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4016" w:rsidRDefault="007C4016" w:rsidP="007C4016">
      <w:pPr>
        <w:pStyle w:val="N1IFT"/>
        <w:spacing w:before="240" w:after="0"/>
        <w:rPr>
          <w:rFonts w:eastAsia="Times New Roman"/>
          <w:lang w:val="es-MX" w:eastAsia="en-US"/>
        </w:rPr>
      </w:pPr>
      <w:r w:rsidRPr="00BB504D">
        <w:t>ACUERDO MEDIANTE LA CUAL EL PLENO DEL INSTITUTO FEDERAL DE TELECOMUNICACIONES MODIFICA AL AGENTE ECONÓMICO PREPONDERANTE LOS TÉRMINOS Y CONDICIONES DE LA OFERTA DE REFERENCIA PARA EL ACCESO Y USO COMPARTIDO DE INFRAESTRUCTURA PASIVA, PRESENTADA POR TELÉFONOS DEL NOROESTE, S.A. DE C.V., APLICABLES DEL 1 DE ENERO DE 2018 AL 31 DE DICIEMBRE DE 2018.</w:t>
      </w:r>
    </w:p>
    <w:p w:rsidR="007C4016" w:rsidRPr="006A7AA7" w:rsidRDefault="007C4016" w:rsidP="006A7AA7">
      <w:pPr>
        <w:pStyle w:val="Ttulo2"/>
        <w:jc w:val="center"/>
        <w:rPr>
          <w:rFonts w:ascii="ITC Avant Garde" w:hAnsi="ITC Avant Garde"/>
          <w:sz w:val="22"/>
          <w:szCs w:val="22"/>
        </w:rPr>
      </w:pPr>
      <w:bookmarkStart w:id="0" w:name="_Toc426649744"/>
      <w:bookmarkStart w:id="1" w:name="_Toc426973639"/>
      <w:r w:rsidRPr="006A7AA7">
        <w:rPr>
          <w:rFonts w:ascii="ITC Avant Garde" w:hAnsi="ITC Avant Garde"/>
          <w:sz w:val="22"/>
          <w:szCs w:val="22"/>
        </w:rPr>
        <w:t>ANTECEDENTES</w:t>
      </w:r>
      <w:bookmarkEnd w:id="0"/>
      <w:bookmarkEnd w:id="1"/>
    </w:p>
    <w:p w:rsidR="007C4016" w:rsidRDefault="007C4016" w:rsidP="007C4016">
      <w:pPr>
        <w:pStyle w:val="IFTnormal"/>
        <w:numPr>
          <w:ilvl w:val="0"/>
          <w:numId w:val="147"/>
        </w:numPr>
        <w:spacing w:before="240" w:after="0"/>
      </w:pPr>
      <w:bookmarkStart w:id="2" w:name="_Toc426649745"/>
      <w:r w:rsidRPr="00BF1B2A">
        <w:rPr>
          <w:b/>
        </w:rPr>
        <w:t>Decreto de Reforma Constitucional.-</w:t>
      </w:r>
      <w:r w:rsidRPr="00BF1B2A">
        <w:t xml:space="preserve"> El 11 de junio de 2013 se publicó en el Diario Oficial de la Federación (en lo sucesivo, “DOF”) el “</w:t>
      </w:r>
      <w:r w:rsidRPr="00BF1B2A">
        <w:rPr>
          <w:i/>
        </w:rPr>
        <w:t>DECRETO por el que se reforman y adicionan diversas disposiciones de los artículos 6o., 7o., 27, 28, 73, 78, 94 y 105 de la Constitución Política de los Estados Unidos Mexicanos, en materia de telecomunicaciones</w:t>
      </w:r>
      <w:r w:rsidRPr="00BF1B2A">
        <w:t>” (en lo sucesivo, “Decreto Constitucional”), mediante el cual se creó al Instituto Federal de Telecomunicaciones (en lo sucesivo, “Instituto”), como un órgano autónomo con personalidad jurídica y patrimonio propio, cuyo objeto es el desarrollo eficiente de la radiodifusión y las telecomunicaciones conforme a lo dispuesto en la propia Constitución Política de los Estados Unidos Mexicanos (en lo sucesivo,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rsidR="007C4016" w:rsidRPr="00BE440B" w:rsidRDefault="007C4016" w:rsidP="007C4016">
      <w:pPr>
        <w:pStyle w:val="Prrafodelista"/>
        <w:numPr>
          <w:ilvl w:val="0"/>
          <w:numId w:val="147"/>
        </w:numPr>
        <w:suppressAutoHyphens w:val="0"/>
        <w:spacing w:before="240" w:after="0" w:line="276" w:lineRule="auto"/>
        <w:rPr>
          <w:rFonts w:ascii="ITC Avant Garde" w:hAnsi="ITC Avant Garde" w:cs="Arial"/>
          <w:lang w:val="es-ES_tradnl"/>
        </w:rPr>
      </w:pPr>
      <w:r w:rsidRPr="008F0A1D">
        <w:rPr>
          <w:rFonts w:ascii="ITC Avant Garde" w:hAnsi="ITC Avant Garde" w:cs="Arial"/>
          <w:b/>
          <w:lang w:val="es-ES_tradnl"/>
        </w:rPr>
        <w:t>Determinación del Agente Económico Preponderante.-</w:t>
      </w:r>
      <w:r w:rsidRPr="00BF1B2A">
        <w:t xml:space="preserve"> </w:t>
      </w:r>
      <w:r w:rsidRPr="00BE440B">
        <w:rPr>
          <w:rFonts w:ascii="ITC Avant Garde" w:hAnsi="ITC Avant Garde" w:cs="Arial"/>
          <w:lang w:val="es-ES_tradnl"/>
        </w:rPr>
        <w:t xml:space="preserve">El 6 de marzo de 2014 el Pleno del Instituto en su V Sesión Extraordinaria aprobó mediante Acuerdo P/IFT/EXT/060314/76 la </w:t>
      </w:r>
      <w:r w:rsidRPr="008F0A1D">
        <w:rPr>
          <w:rFonts w:ascii="ITC Avant Garde" w:hAnsi="ITC Avant Garde" w:cs="Arial"/>
          <w:i/>
          <w:lang w:val="es-ES_tradnl"/>
        </w:rPr>
        <w:t xml:space="preserve">“RESOLUCIÓN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w:t>
      </w:r>
      <w:r w:rsidRPr="008F0A1D">
        <w:rPr>
          <w:rFonts w:ascii="ITC Avant Garde" w:hAnsi="ITC Avant Garde" w:cs="Arial"/>
          <w:i/>
          <w:lang w:val="es-ES_tradnl"/>
        </w:rPr>
        <w:lastRenderedPageBreak/>
        <w:t>COMPETENCIA Y LA LIBRE CONCURRENCIA.”</w:t>
      </w:r>
      <w:r w:rsidRPr="00BE440B">
        <w:rPr>
          <w:rFonts w:ascii="ITC Avant Garde" w:hAnsi="ITC Avant Garde" w:cs="Arial"/>
          <w:lang w:val="es-ES_tradnl"/>
        </w:rPr>
        <w:t xml:space="preserve"> (en lo sucesivo, “Resolución AEP”).</w:t>
      </w:r>
    </w:p>
    <w:p w:rsidR="007C4016" w:rsidRDefault="007C4016" w:rsidP="007C4016">
      <w:pPr>
        <w:pStyle w:val="IFTnormal"/>
        <w:spacing w:before="240" w:after="0"/>
        <w:ind w:left="720"/>
      </w:pPr>
      <w:r>
        <w:t>L</w:t>
      </w:r>
      <w:r w:rsidRPr="00BF1B2A">
        <w:t xml:space="preserve">a Resolución AEP </w:t>
      </w:r>
      <w:r>
        <w:t xml:space="preserve">contiene, entre otros, </w:t>
      </w:r>
      <w:r w:rsidRPr="00BF1B2A">
        <w:t xml:space="preserve">el Anexo 2 denominado </w:t>
      </w:r>
      <w:r w:rsidRPr="00BF1B2A">
        <w:rPr>
          <w:i/>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Pr="00BF1B2A">
        <w:t xml:space="preserve"> (en lo sucesivo, “Medidas Fijas”).</w:t>
      </w:r>
    </w:p>
    <w:p w:rsidR="007C4016" w:rsidRDefault="007C4016" w:rsidP="007C4016">
      <w:pPr>
        <w:pStyle w:val="IFTnormal"/>
        <w:numPr>
          <w:ilvl w:val="0"/>
          <w:numId w:val="147"/>
        </w:numPr>
        <w:spacing w:before="240" w:after="0"/>
      </w:pPr>
      <w:r w:rsidRPr="00BF1B2A">
        <w:rPr>
          <w:b/>
        </w:rPr>
        <w:t xml:space="preserve">Ley Federal de Telecomunicaciones y Radiodifusión.- </w:t>
      </w:r>
      <w:r w:rsidRPr="00BF1B2A">
        <w:t xml:space="preserve">Con fecha 14 de julio de 2014 se publicó en el DOF el </w:t>
      </w:r>
      <w:r w:rsidRPr="00BF1B2A">
        <w:rPr>
          <w:i/>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BF1B2A">
        <w:t>”, (en lo sucesivo, “Decreto de Ley”) entrando en vigor la Ley Federal de Telecomunicaciones y Radiodifusión (en lo sucesivo, “LFT</w:t>
      </w:r>
      <w:r>
        <w:t>y</w:t>
      </w:r>
      <w:r w:rsidRPr="00BF1B2A">
        <w:t>R”) el 13 de agosto del 2014</w:t>
      </w:r>
      <w:r>
        <w:t xml:space="preserve">, </w:t>
      </w:r>
      <w:r w:rsidRPr="00333678">
        <w:t>cuya última reforma fue publicada en el DOF el 27 de enero de 2017</w:t>
      </w:r>
      <w:r w:rsidRPr="00BF1B2A">
        <w:t>.</w:t>
      </w:r>
    </w:p>
    <w:p w:rsidR="007C4016" w:rsidRDefault="007C4016" w:rsidP="007C4016">
      <w:pPr>
        <w:pStyle w:val="IFTnormal"/>
        <w:numPr>
          <w:ilvl w:val="0"/>
          <w:numId w:val="147"/>
        </w:numPr>
        <w:spacing w:before="240" w:after="0"/>
      </w:pPr>
      <w:r w:rsidRPr="00BF1B2A">
        <w:rPr>
          <w:b/>
        </w:rPr>
        <w:t>Estatuto Orgánico del Instituto Federal de Telecomunicaciones.-</w:t>
      </w:r>
      <w:r w:rsidRPr="00BF1B2A">
        <w:t xml:space="preserve"> El 4 de septiembre de 2014 se publicó en el DOF el </w:t>
      </w:r>
      <w:r w:rsidRPr="00BF1B2A">
        <w:rPr>
          <w:i/>
        </w:rPr>
        <w:t>“ESTATUTO Orgánico del Instituto Federal de Telecomunicaciones”</w:t>
      </w:r>
      <w:r w:rsidRPr="00BF1B2A">
        <w:t xml:space="preserve"> (en lo sucesivo, “Estatuto”), mismo que entró en vigor el 26 de septiembre de 2014</w:t>
      </w:r>
      <w:r>
        <w:t xml:space="preserve">, </w:t>
      </w:r>
      <w:r w:rsidRPr="009D3F7C">
        <w:rPr>
          <w:lang w:val="es-ES"/>
        </w:rPr>
        <w:t>cuya última modificación fue publicada en el DOF 20 de julio de 2017</w:t>
      </w:r>
      <w:r w:rsidRPr="00BF1B2A">
        <w:t>.</w:t>
      </w:r>
    </w:p>
    <w:p w:rsidR="007C4016" w:rsidRDefault="007C4016" w:rsidP="007C4016">
      <w:pPr>
        <w:pStyle w:val="IFTnormal"/>
        <w:numPr>
          <w:ilvl w:val="0"/>
          <w:numId w:val="147"/>
        </w:numPr>
        <w:spacing w:before="240" w:after="0"/>
        <w:rPr>
          <w:i/>
        </w:rPr>
      </w:pPr>
      <w:r w:rsidRPr="00BF1B2A">
        <w:rPr>
          <w:b/>
        </w:rPr>
        <w:t>Oferta de Referencia.-</w:t>
      </w:r>
      <w:r>
        <w:t xml:space="preserve"> El 24</w:t>
      </w:r>
      <w:r w:rsidRPr="00BF1B2A">
        <w:t xml:space="preserve"> de noviembre de 201</w:t>
      </w:r>
      <w:r>
        <w:t>5</w:t>
      </w:r>
      <w:r w:rsidRPr="00BF1B2A">
        <w:t xml:space="preserve"> el Pleno del Instituto en su </w:t>
      </w:r>
      <w:r w:rsidRPr="008F0A1D">
        <w:t>XLVI Sesión Extraordinaria</w:t>
      </w:r>
      <w:r w:rsidRPr="00BF1B2A">
        <w:t xml:space="preserve"> </w:t>
      </w:r>
      <w:r>
        <w:t xml:space="preserve">aprobó </w:t>
      </w:r>
      <w:r w:rsidRPr="00BF1B2A">
        <w:t xml:space="preserve">mediante acuerdo </w:t>
      </w:r>
      <w:r w:rsidRPr="008F0A1D">
        <w:t>P/IFT/EXT/241115/17</w:t>
      </w:r>
      <w:r>
        <w:t>5</w:t>
      </w:r>
      <w:r w:rsidRPr="00BF1B2A">
        <w:t xml:space="preserve"> la </w:t>
      </w:r>
      <w:r w:rsidRPr="00BF1B2A">
        <w:rPr>
          <w:i/>
        </w:rPr>
        <w:t>“</w:t>
      </w:r>
      <w:r w:rsidRPr="008F0A1D">
        <w:rPr>
          <w:i/>
        </w:rPr>
        <w:t>RESOLUCIÓN MEDIANTE LA CUAL EL PLENO DEL INSTITUTO FEDERAL DE TELECOMUNICACIONES MODIFICA Y AUTORIZA AL AGENTE ECONÓMICO PREPONDERANTE LOS TÉRMINOS Y CONDICIONES DE LA OFERTA DE REFERENCIA PARA EL ACCESO Y USO COMPARTIDO DE INFRAESTRUCTURA PASIVA, PRESENTADA POR TELÉFONOS DE</w:t>
      </w:r>
      <w:r>
        <w:rPr>
          <w:i/>
        </w:rPr>
        <w:t>L NOROESTE</w:t>
      </w:r>
      <w:r w:rsidRPr="008F0A1D">
        <w:rPr>
          <w:i/>
        </w:rPr>
        <w:t>, S.A. DE C.V., APLICABLES DEL 1 DE ENERO DE 2016 AL 31 DE DICIEMBRE DE 2017</w:t>
      </w:r>
      <w:r>
        <w:rPr>
          <w:i/>
        </w:rPr>
        <w:t>.</w:t>
      </w:r>
      <w:r w:rsidRPr="00BF1B2A">
        <w:rPr>
          <w:i/>
        </w:rPr>
        <w:t>”</w:t>
      </w:r>
      <w:r w:rsidRPr="00281230">
        <w:t xml:space="preserve"> </w:t>
      </w:r>
      <w:r w:rsidRPr="00550DA3">
        <w:t>(en</w:t>
      </w:r>
      <w:r>
        <w:t xml:space="preserve"> lo sucesivo, “Oferta de Referencia Vigente</w:t>
      </w:r>
      <w:r w:rsidRPr="00550DA3">
        <w:t xml:space="preserve">”). </w:t>
      </w:r>
    </w:p>
    <w:p w:rsidR="007C4016" w:rsidRDefault="007C4016" w:rsidP="007C4016">
      <w:pPr>
        <w:pStyle w:val="IFTnormal"/>
        <w:numPr>
          <w:ilvl w:val="0"/>
          <w:numId w:val="147"/>
        </w:numPr>
        <w:spacing w:before="240" w:after="0"/>
        <w:rPr>
          <w:bCs w:val="0"/>
          <w:i/>
        </w:rPr>
      </w:pPr>
      <w:r w:rsidRPr="00550DA3">
        <w:rPr>
          <w:b/>
        </w:rPr>
        <w:lastRenderedPageBreak/>
        <w:t>Resolución Bienal.</w:t>
      </w:r>
      <w:r w:rsidRPr="00550DA3">
        <w:t xml:space="preserve"> El 27 de febrero de 2017 el Pleno del Instituto en su IV Sesión Extraordinaria aprobó mediante Acuerdo P/IFT/EXT/270217/119 la “</w:t>
      </w:r>
      <w:r w:rsidRPr="00550DA3">
        <w:rPr>
          <w:i/>
        </w:rPr>
        <w:t>RESOLUCIÓN MEDIANTE LA CUAL EL PLENO DEL INSTITUTO FEDERAL DE TELECOMUNICACIONES SUPRIME, MODIFICA Y ADICIONA LAS MEDIDAS IMPUESTAS AL AGENTE ECONÓMICO PREPONDERANTE EN EL SECTOR DE TELECOMUNICACIONES MEDIANTE RESOLUCIÓN DE FECHA 6 DE MARZO</w:t>
      </w:r>
      <w:r>
        <w:rPr>
          <w:i/>
        </w:rPr>
        <w:t xml:space="preserve"> </w:t>
      </w:r>
      <w:r w:rsidRPr="00550DA3">
        <w:rPr>
          <w:i/>
        </w:rPr>
        <w:t>DE 2014, APROBADA MEDIANTE ACUERDO P /IFT/EXT /060314/76</w:t>
      </w:r>
      <w:r>
        <w:rPr>
          <w:i/>
        </w:rPr>
        <w:t>.</w:t>
      </w:r>
      <w:r w:rsidRPr="00550DA3">
        <w:rPr>
          <w:i/>
        </w:rPr>
        <w:t>”</w:t>
      </w:r>
      <w:r w:rsidRPr="00550DA3">
        <w:t xml:space="preserve"> (en lo sucesivo, “Resolución Bienal”). </w:t>
      </w:r>
    </w:p>
    <w:p w:rsidR="007C4016" w:rsidRDefault="007C4016" w:rsidP="007C4016">
      <w:pPr>
        <w:pStyle w:val="IFTnormal"/>
        <w:spacing w:before="240" w:after="0"/>
        <w:ind w:left="720"/>
        <w:rPr>
          <w:bCs w:val="0"/>
        </w:rPr>
      </w:pPr>
      <w:r>
        <w:t>L</w:t>
      </w:r>
      <w:r w:rsidRPr="00FF18C8">
        <w:t>a Resolución Bienal</w:t>
      </w:r>
      <w:r>
        <w:t xml:space="preserve"> contiene, entre otros,</w:t>
      </w:r>
      <w:r w:rsidRPr="00FF18C8">
        <w:t xml:space="preserve"> el Anexo </w:t>
      </w:r>
      <w:r>
        <w:t>2</w:t>
      </w:r>
      <w:r w:rsidRPr="00FF18C8">
        <w:t xml:space="preserve"> en el que se </w:t>
      </w:r>
      <w:r w:rsidRPr="00FF18C8">
        <w:rPr>
          <w:b/>
        </w:rPr>
        <w:t>MODIFICAN</w:t>
      </w:r>
      <w:r w:rsidRPr="00FF18C8">
        <w:t xml:space="preserve"> </w:t>
      </w:r>
      <w:r w:rsidRPr="00992F9B">
        <w:rPr>
          <w:lang w:val="es-ES"/>
        </w:rPr>
        <w:t>las medidas TERCERA, primer párrafo, incisos 5), 9), 22), 23), 24), 30), 31), y último párrafo, CUARTA, QUINTA, SEXTA, OCTAVA, UNDÉCIMA, DUODÉCIMA, DECIMOTERCERA, DECIMOQUINTA, DECIMOSEXTA, DECIMOSÉPTIMA, DECIMOCTAVA, DECIMONOVENA, VIGÉSIMA, VIGÉSIMA SEGUNDA, VIGÉSIMA TERCERA</w:t>
      </w:r>
      <w:r w:rsidRPr="00B35F40">
        <w:rPr>
          <w:lang w:val="es-ES"/>
        </w:rPr>
        <w:t xml:space="preserve"> </w:t>
      </w:r>
      <w:r w:rsidRPr="00992F9B">
        <w:rPr>
          <w:lang w:val="es-ES"/>
        </w:rPr>
        <w:t>primer párrafo, VIGÉSIMA SEXTA, TRIGÉSIMA QUINTA, TRIGÉSIMA SEXTA, TRIGÉSIMA SÉPTIMA, TRIGÉSIMA OCTAVA, TRIGÉSIMA NOVENA, CUADRAGÉSIMA PRIMERA, CUADRAGÉSIMA SEGUNDA, CUADRAGÉSIMA TERCERA, CUADRAGÉSIMA CUARTA, QUINCUAGÉSIMA TERCERA</w:t>
      </w:r>
      <w:r>
        <w:rPr>
          <w:lang w:val="es-ES"/>
        </w:rPr>
        <w:t xml:space="preserve"> y</w:t>
      </w:r>
      <w:r w:rsidRPr="00992F9B">
        <w:rPr>
          <w:lang w:val="es-ES"/>
        </w:rPr>
        <w:t xml:space="preserve"> SEXAGÉSIMA; se </w:t>
      </w:r>
      <w:r w:rsidRPr="00992F9B">
        <w:rPr>
          <w:b/>
          <w:lang w:val="es-ES"/>
        </w:rPr>
        <w:t>ADICIONAN</w:t>
      </w:r>
      <w:r w:rsidRPr="00992F9B">
        <w:rPr>
          <w:lang w:val="es-ES"/>
        </w:rPr>
        <w:t xml:space="preserve"> las medidas TERCERA, incisos 0), 3.1), 11.1), 12.1), 19.1), 19.2), 20.1)</w:t>
      </w:r>
      <w:r>
        <w:rPr>
          <w:lang w:val="es-ES"/>
        </w:rPr>
        <w:t>,</w:t>
      </w:r>
      <w:r w:rsidRPr="00992F9B">
        <w:rPr>
          <w:lang w:val="es-ES"/>
        </w:rPr>
        <w:t xml:space="preserve"> 20.2)</w:t>
      </w:r>
      <w:r>
        <w:rPr>
          <w:lang w:val="es-ES"/>
        </w:rPr>
        <w:t xml:space="preserve"> y 24.1)</w:t>
      </w:r>
      <w:r w:rsidRPr="00992F9B">
        <w:rPr>
          <w:lang w:val="es-ES"/>
        </w:rPr>
        <w:t xml:space="preserve">, SÉPTIMA, segundo párrafo, SEXAGÉSIMA CUARTA, SEXAGÉSIMA QUINTA, SEXAGÉSIMA SEXTA, SEXAGÉSIMA SÉPTIMA, SEXAGÉSIMA OCTAVA, SEXAGÉSIMA NOVENA, SEPTUAGÉSIMA y SEPTUAGÉSIMA PRIMERA, y se </w:t>
      </w:r>
      <w:r w:rsidRPr="00992F9B">
        <w:rPr>
          <w:b/>
          <w:lang w:val="es-ES"/>
        </w:rPr>
        <w:t>SUPRIME</w:t>
      </w:r>
      <w:r w:rsidRPr="00992F9B">
        <w:rPr>
          <w:lang w:val="es-ES"/>
        </w:rPr>
        <w:t xml:space="preserve"> la medida TERCERA, incisos 3), 13), 14), 15), 18), 19) y 29),</w:t>
      </w:r>
      <w:r w:rsidRPr="0087469D">
        <w:rPr>
          <w:rFonts w:eastAsia="Times New Roman"/>
          <w:lang w:val="es-ES"/>
        </w:rPr>
        <w:t xml:space="preserve"> </w:t>
      </w:r>
      <w:r w:rsidRPr="00C651BE">
        <w:t xml:space="preserve">todas ellas del Anexo </w:t>
      </w:r>
      <w:r>
        <w:t>2</w:t>
      </w:r>
      <w:r w:rsidRPr="00C651BE">
        <w:t xml:space="preserve"> </w:t>
      </w:r>
      <w:r w:rsidRPr="00FF18C8">
        <w:t>de la Resolución AEP</w:t>
      </w:r>
      <w:r>
        <w:t>.</w:t>
      </w:r>
    </w:p>
    <w:p w:rsidR="007C4016" w:rsidRDefault="007C4016" w:rsidP="007C4016">
      <w:pPr>
        <w:pStyle w:val="IFTnormal"/>
        <w:spacing w:before="240" w:after="0"/>
        <w:ind w:left="720"/>
      </w:pPr>
      <w:r>
        <w:t>Para efectos del</w:t>
      </w:r>
      <w:r w:rsidRPr="00C651BE">
        <w:t xml:space="preserve"> presente </w:t>
      </w:r>
      <w:r>
        <w:t>Acuerdo</w:t>
      </w:r>
      <w:r w:rsidRPr="00C651BE">
        <w:t xml:space="preserve">, se le denominará de manera integral “Medidas </w:t>
      </w:r>
      <w:r>
        <w:t>Fijas</w:t>
      </w:r>
      <w:r w:rsidRPr="00C651BE">
        <w:t xml:space="preserve">” a las emitidas como parte del Anexo </w:t>
      </w:r>
      <w:r>
        <w:t>2</w:t>
      </w:r>
      <w:r w:rsidRPr="00C651BE">
        <w:t xml:space="preserve"> de la Resolución AEP, así como a las modificaciones realizadas </w:t>
      </w:r>
      <w:r>
        <w:t xml:space="preserve">al </w:t>
      </w:r>
      <w:r w:rsidRPr="00C651BE">
        <w:t xml:space="preserve">Anexo </w:t>
      </w:r>
      <w:r>
        <w:t>2</w:t>
      </w:r>
      <w:r w:rsidRPr="00C651BE">
        <w:t xml:space="preserve"> de la Resolución Bienal.</w:t>
      </w:r>
    </w:p>
    <w:p w:rsidR="007C4016" w:rsidRDefault="007C4016" w:rsidP="007C4016">
      <w:pPr>
        <w:pStyle w:val="IFTnormal"/>
        <w:numPr>
          <w:ilvl w:val="0"/>
          <w:numId w:val="147"/>
        </w:numPr>
        <w:spacing w:before="240" w:after="0"/>
      </w:pPr>
      <w:r w:rsidRPr="00641387">
        <w:rPr>
          <w:b/>
        </w:rPr>
        <w:t>Propuesta de Oferta de Referencia.-</w:t>
      </w:r>
      <w:r w:rsidRPr="00641387">
        <w:t xml:space="preserve"> El 3</w:t>
      </w:r>
      <w:r>
        <w:t>1</w:t>
      </w:r>
      <w:r w:rsidRPr="00641387">
        <w:t xml:space="preserve"> de ju</w:t>
      </w:r>
      <w:r>
        <w:t>l</w:t>
      </w:r>
      <w:r w:rsidRPr="00641387">
        <w:t>io de 201</w:t>
      </w:r>
      <w:r>
        <w:t>7</w:t>
      </w:r>
      <w:r w:rsidRPr="00641387">
        <w:t xml:space="preserve"> Teléfonos de</w:t>
      </w:r>
      <w:r>
        <w:t>l Noroeste</w:t>
      </w:r>
      <w:r w:rsidRPr="00641387">
        <w:t>, S.A. de C.V. (en lo sucesivo, “</w:t>
      </w:r>
      <w:r>
        <w:t>Telnor</w:t>
      </w:r>
      <w:r w:rsidRPr="00641387">
        <w:t>”)</w:t>
      </w:r>
      <w:r>
        <w:t>,</w:t>
      </w:r>
      <w:r w:rsidRPr="00641387">
        <w:t xml:space="preserve"> como parte del Agente Económico Preponderante, presentó ante la Oficialía de Partes de este Instituto escrito mediante el cual exhibió su propuesta de </w:t>
      </w:r>
      <w:r w:rsidRPr="00641387">
        <w:rPr>
          <w:i/>
        </w:rPr>
        <w:t xml:space="preserve">“Oferta de Referencia </w:t>
      </w:r>
      <w:r>
        <w:rPr>
          <w:i/>
        </w:rPr>
        <w:t xml:space="preserve">para el Servicio de </w:t>
      </w:r>
      <w:r w:rsidRPr="00641387">
        <w:rPr>
          <w:i/>
        </w:rPr>
        <w:t>Acceso y uso compartido de Infraestructura Pasiva</w:t>
      </w:r>
      <w:r w:rsidRPr="00641387">
        <w:t>” (en lo sucesivo, “Propuesta de Oferta de Referencia”), a efecto de dar cumplimiento a lo previsto en las Medidas CUADRAGÉSIMA PRIMERA y CUADRAGÉSIMA TERCERA de las Medidas Fijas.</w:t>
      </w:r>
    </w:p>
    <w:p w:rsidR="007C4016" w:rsidRPr="00641387" w:rsidRDefault="007C4016" w:rsidP="007C4016">
      <w:pPr>
        <w:pStyle w:val="IFTTexto"/>
        <w:numPr>
          <w:ilvl w:val="0"/>
          <w:numId w:val="147"/>
        </w:numPr>
        <w:spacing w:before="240" w:after="0"/>
        <w:rPr>
          <w:color w:val="auto"/>
        </w:rPr>
      </w:pPr>
      <w:r>
        <w:rPr>
          <w:b/>
          <w:color w:val="auto"/>
        </w:rPr>
        <w:lastRenderedPageBreak/>
        <w:t>Oficio de prevención</w:t>
      </w:r>
      <w:r w:rsidRPr="00641387">
        <w:rPr>
          <w:b/>
          <w:color w:val="auto"/>
        </w:rPr>
        <w:t>.-</w:t>
      </w:r>
      <w:r w:rsidRPr="00641387">
        <w:rPr>
          <w:color w:val="auto"/>
        </w:rPr>
        <w:t xml:space="preserve"> Mediante oficio IFT/221/UPR/DG</w:t>
      </w:r>
      <w:r>
        <w:rPr>
          <w:color w:val="auto"/>
        </w:rPr>
        <w:t>-</w:t>
      </w:r>
      <w:r w:rsidRPr="00641387">
        <w:rPr>
          <w:color w:val="auto"/>
        </w:rPr>
        <w:t>CI</w:t>
      </w:r>
      <w:r>
        <w:rPr>
          <w:color w:val="auto"/>
        </w:rPr>
        <w:t>N</w:t>
      </w:r>
      <w:r w:rsidRPr="00641387">
        <w:rPr>
          <w:color w:val="auto"/>
        </w:rPr>
        <w:t>/</w:t>
      </w:r>
      <w:r>
        <w:rPr>
          <w:color w:val="auto"/>
        </w:rPr>
        <w:t>116</w:t>
      </w:r>
      <w:r w:rsidRPr="00641387">
        <w:rPr>
          <w:color w:val="auto"/>
        </w:rPr>
        <w:t>/201</w:t>
      </w:r>
      <w:r>
        <w:rPr>
          <w:color w:val="auto"/>
        </w:rPr>
        <w:t>7</w:t>
      </w:r>
      <w:r w:rsidRPr="00641387">
        <w:rPr>
          <w:color w:val="auto"/>
        </w:rPr>
        <w:t xml:space="preserve"> de fecha 1 de </w:t>
      </w:r>
      <w:r>
        <w:rPr>
          <w:color w:val="auto"/>
        </w:rPr>
        <w:t>agost</w:t>
      </w:r>
      <w:r w:rsidRPr="00641387">
        <w:rPr>
          <w:color w:val="auto"/>
        </w:rPr>
        <w:t>o de 201</w:t>
      </w:r>
      <w:r>
        <w:rPr>
          <w:color w:val="auto"/>
        </w:rPr>
        <w:t>7</w:t>
      </w:r>
      <w:r w:rsidRPr="00641387">
        <w:rPr>
          <w:color w:val="auto"/>
        </w:rPr>
        <w:t xml:space="preserve">, </w:t>
      </w:r>
      <w:r>
        <w:rPr>
          <w:color w:val="auto"/>
        </w:rPr>
        <w:t xml:space="preserve">la Dirección General de Compartición de Infraestructura del Instituto </w:t>
      </w:r>
      <w:r w:rsidRPr="007077C6">
        <w:t xml:space="preserve">previno a </w:t>
      </w:r>
      <w:r>
        <w:t>Telnor</w:t>
      </w:r>
      <w:r w:rsidRPr="007077C6">
        <w:t xml:space="preserve"> para que</w:t>
      </w:r>
      <w:r>
        <w:t xml:space="preserve"> en el término de cinco días hábiles contados a partir del día siguiente al que surtiera efectos las notificación del citado oficio, </w:t>
      </w:r>
      <w:r w:rsidRPr="007077C6">
        <w:t xml:space="preserve">presentara </w:t>
      </w:r>
      <w:r>
        <w:t xml:space="preserve">ante el Instituto la </w:t>
      </w:r>
      <w:r w:rsidRPr="007077C6">
        <w:t>información faltante</w:t>
      </w:r>
      <w:r>
        <w:t xml:space="preserve"> dentro de su Propuesta de Oferta de Referencia</w:t>
      </w:r>
      <w:r w:rsidRPr="007077C6">
        <w:t xml:space="preserve">. Dicho oficio fue notificado por instructivo </w:t>
      </w:r>
      <w:r>
        <w:t xml:space="preserve">de notificación </w:t>
      </w:r>
      <w:r w:rsidRPr="007077C6">
        <w:t xml:space="preserve">el </w:t>
      </w:r>
      <w:r>
        <w:t>3</w:t>
      </w:r>
      <w:r w:rsidRPr="007077C6">
        <w:t xml:space="preserve"> de </w:t>
      </w:r>
      <w:r>
        <w:t>agost</w:t>
      </w:r>
      <w:r w:rsidRPr="007077C6">
        <w:t>o de 201</w:t>
      </w:r>
      <w:r>
        <w:t>7</w:t>
      </w:r>
      <w:r w:rsidRPr="007077C6">
        <w:t xml:space="preserve"> (en lo sucesivo, “Oficio de Prevención”).</w:t>
      </w:r>
    </w:p>
    <w:p w:rsidR="007C4016" w:rsidRDefault="007C4016" w:rsidP="007C4016">
      <w:pPr>
        <w:pStyle w:val="IFTTexto"/>
        <w:spacing w:before="240" w:after="0"/>
        <w:ind w:left="720"/>
        <w:rPr>
          <w:color w:val="auto"/>
        </w:rPr>
      </w:pPr>
      <w:r w:rsidRPr="00641387">
        <w:rPr>
          <w:color w:val="auto"/>
        </w:rPr>
        <w:t xml:space="preserve">El </w:t>
      </w:r>
      <w:r>
        <w:rPr>
          <w:color w:val="auto"/>
        </w:rPr>
        <w:t>1</w:t>
      </w:r>
      <w:r w:rsidRPr="00641387">
        <w:rPr>
          <w:color w:val="auto"/>
        </w:rPr>
        <w:t>0 de agosto de 201</w:t>
      </w:r>
      <w:r>
        <w:rPr>
          <w:color w:val="auto"/>
        </w:rPr>
        <w:t>7</w:t>
      </w:r>
      <w:r w:rsidRPr="00641387">
        <w:rPr>
          <w:color w:val="auto"/>
        </w:rPr>
        <w:t xml:space="preserve">, </w:t>
      </w:r>
      <w:r>
        <w:rPr>
          <w:color w:val="auto"/>
        </w:rPr>
        <w:t>Telnor</w:t>
      </w:r>
      <w:r w:rsidRPr="00641387">
        <w:rPr>
          <w:color w:val="auto"/>
        </w:rPr>
        <w:t xml:space="preserve"> presentó ante la Oficialía de Partes de este Instituto escrito mediante el cual dio cumplimiento a lo solicitado en el Oficio de </w:t>
      </w:r>
      <w:r>
        <w:rPr>
          <w:color w:val="auto"/>
        </w:rPr>
        <w:t>Prevención</w:t>
      </w:r>
      <w:r w:rsidRPr="00641387">
        <w:rPr>
          <w:color w:val="auto"/>
        </w:rPr>
        <w:t>.</w:t>
      </w:r>
    </w:p>
    <w:p w:rsidR="007C4016" w:rsidRPr="009A5747" w:rsidRDefault="007C4016" w:rsidP="007C4016">
      <w:pPr>
        <w:pStyle w:val="IFTTexto"/>
        <w:numPr>
          <w:ilvl w:val="0"/>
          <w:numId w:val="147"/>
        </w:numPr>
        <w:spacing w:before="240" w:after="0"/>
        <w:rPr>
          <w:color w:val="auto"/>
        </w:rPr>
      </w:pPr>
      <w:r w:rsidRPr="00F77764">
        <w:rPr>
          <w:b/>
          <w:color w:val="auto"/>
        </w:rPr>
        <w:t>Oficio de requerimiento de información.-</w:t>
      </w:r>
      <w:r w:rsidRPr="00F77764">
        <w:rPr>
          <w:color w:val="auto"/>
        </w:rPr>
        <w:t xml:space="preserve"> Mediante oficio IFT/221/UPR/DG-CIN/12</w:t>
      </w:r>
      <w:r>
        <w:rPr>
          <w:color w:val="auto"/>
        </w:rPr>
        <w:t>6</w:t>
      </w:r>
      <w:r w:rsidRPr="00F77764">
        <w:rPr>
          <w:color w:val="auto"/>
        </w:rPr>
        <w:t xml:space="preserve">/2017 de fecha 21 de agosto de 2017, la Dirección General de Compartición de Infraestructura </w:t>
      </w:r>
      <w:r>
        <w:rPr>
          <w:color w:val="auto"/>
        </w:rPr>
        <w:t>del</w:t>
      </w:r>
      <w:r w:rsidRPr="00F77764">
        <w:rPr>
          <w:color w:val="auto"/>
        </w:rPr>
        <w:t xml:space="preserve"> Instituto </w:t>
      </w:r>
      <w:r>
        <w:t>requirió</w:t>
      </w:r>
      <w:r w:rsidRPr="007077C6">
        <w:t xml:space="preserve"> a </w:t>
      </w:r>
      <w:r>
        <w:t>Telnor</w:t>
      </w:r>
      <w:r w:rsidRPr="007077C6">
        <w:t xml:space="preserve"> para que</w:t>
      </w:r>
      <w:r>
        <w:t xml:space="preserve"> en el término de diez días hábiles contados a partir del día siguiente al que surtiera efectos las notificación del citado oficio, </w:t>
      </w:r>
      <w:r w:rsidRPr="00F77764">
        <w:rPr>
          <w:color w:val="auto"/>
        </w:rPr>
        <w:t>proporcionara a este Instituto la información descrita en dicho oficio (en lo sucesivo, “Oficio de Requerimiento”)</w:t>
      </w:r>
      <w:r>
        <w:rPr>
          <w:color w:val="auto"/>
        </w:rPr>
        <w:t xml:space="preserve">, el cual </w:t>
      </w:r>
      <w:r w:rsidRPr="007077C6">
        <w:t xml:space="preserve">fue notificado por instructivo </w:t>
      </w:r>
      <w:r>
        <w:t xml:space="preserve">de notificación </w:t>
      </w:r>
      <w:r w:rsidRPr="007077C6">
        <w:t xml:space="preserve">el </w:t>
      </w:r>
      <w:r>
        <w:t>22</w:t>
      </w:r>
      <w:r w:rsidRPr="007077C6">
        <w:t xml:space="preserve"> de </w:t>
      </w:r>
      <w:r>
        <w:t>agost</w:t>
      </w:r>
      <w:r w:rsidRPr="007077C6">
        <w:t>o de 201</w:t>
      </w:r>
      <w:r>
        <w:t>7.</w:t>
      </w:r>
    </w:p>
    <w:p w:rsidR="007C4016" w:rsidRPr="00BF1B2A" w:rsidRDefault="007C4016" w:rsidP="007C4016">
      <w:pPr>
        <w:pStyle w:val="IFTTexto"/>
        <w:numPr>
          <w:ilvl w:val="0"/>
          <w:numId w:val="147"/>
        </w:numPr>
        <w:spacing w:before="240" w:after="0"/>
        <w:rPr>
          <w:color w:val="auto"/>
        </w:rPr>
      </w:pPr>
      <w:r w:rsidRPr="00BF1B2A">
        <w:rPr>
          <w:b/>
          <w:color w:val="auto"/>
        </w:rPr>
        <w:t>Consulta Pública.-</w:t>
      </w:r>
      <w:r w:rsidRPr="00BF1B2A">
        <w:rPr>
          <w:color w:val="auto"/>
        </w:rPr>
        <w:t xml:space="preserve"> </w:t>
      </w:r>
      <w:r w:rsidRPr="00BF1B2A">
        <w:rPr>
          <w:rFonts w:eastAsia="Times New Roman"/>
          <w:bCs/>
          <w:color w:val="auto"/>
        </w:rPr>
        <w:t xml:space="preserve">El </w:t>
      </w:r>
      <w:r>
        <w:rPr>
          <w:rFonts w:eastAsia="Times New Roman"/>
          <w:bCs/>
          <w:color w:val="auto"/>
        </w:rPr>
        <w:t>23</w:t>
      </w:r>
      <w:r w:rsidRPr="00BF1B2A">
        <w:rPr>
          <w:rFonts w:eastAsia="Times New Roman"/>
          <w:bCs/>
          <w:color w:val="auto"/>
        </w:rPr>
        <w:t xml:space="preserve"> de </w:t>
      </w:r>
      <w:r>
        <w:rPr>
          <w:rFonts w:eastAsia="Times New Roman"/>
          <w:bCs/>
          <w:color w:val="auto"/>
        </w:rPr>
        <w:t>agost</w:t>
      </w:r>
      <w:r w:rsidRPr="00BF1B2A">
        <w:rPr>
          <w:rFonts w:eastAsia="Times New Roman"/>
          <w:bCs/>
          <w:color w:val="auto"/>
        </w:rPr>
        <w:t>o de 201</w:t>
      </w:r>
      <w:r>
        <w:rPr>
          <w:rFonts w:eastAsia="Times New Roman"/>
          <w:bCs/>
          <w:color w:val="auto"/>
        </w:rPr>
        <w:t>7</w:t>
      </w:r>
      <w:r w:rsidRPr="00BF1B2A">
        <w:rPr>
          <w:rFonts w:eastAsia="Times New Roman"/>
          <w:bCs/>
          <w:color w:val="auto"/>
        </w:rPr>
        <w:t xml:space="preserve"> el Pleno del Instituto en su </w:t>
      </w:r>
      <w:r w:rsidRPr="00884045">
        <w:rPr>
          <w:rFonts w:eastAsia="Times New Roman"/>
          <w:bCs/>
          <w:color w:val="auto"/>
        </w:rPr>
        <w:t>XXXIV Sesión Ordinaria</w:t>
      </w:r>
      <w:r w:rsidRPr="00BF1B2A">
        <w:rPr>
          <w:rFonts w:eastAsia="Times New Roman"/>
          <w:bCs/>
          <w:color w:val="auto"/>
        </w:rPr>
        <w:t xml:space="preserve"> mediante Acuerdo </w:t>
      </w:r>
      <w:r w:rsidRPr="00884045">
        <w:rPr>
          <w:rFonts w:eastAsia="Times New Roman"/>
          <w:bCs/>
          <w:color w:val="auto"/>
        </w:rPr>
        <w:t>P/IFT/230817/501</w:t>
      </w:r>
      <w:r w:rsidRPr="00BF1B2A">
        <w:rPr>
          <w:rFonts w:eastAsia="Times New Roman"/>
          <w:bCs/>
          <w:color w:val="auto"/>
        </w:rPr>
        <w:t xml:space="preserve"> determinó someter a Consulta Pública por un plazo de treinta días naturales, entre otras, la propuesta de Oferta de Referencia presentada por </w:t>
      </w:r>
      <w:r>
        <w:rPr>
          <w:rFonts w:eastAsia="Times New Roman"/>
          <w:bCs/>
          <w:color w:val="auto"/>
        </w:rPr>
        <w:t xml:space="preserve">Telnor, la cual </w:t>
      </w:r>
      <w:r w:rsidRPr="00BF1B2A">
        <w:rPr>
          <w:rFonts w:eastAsia="Times New Roman"/>
          <w:bCs/>
          <w:color w:val="auto"/>
        </w:rPr>
        <w:t xml:space="preserve">se realizó del </w:t>
      </w:r>
      <w:r w:rsidRPr="00884045">
        <w:rPr>
          <w:rFonts w:eastAsia="Times New Roman"/>
          <w:bCs/>
          <w:color w:val="auto"/>
        </w:rPr>
        <w:t>24 de Agosto al 25 de Septiembre de 2017</w:t>
      </w:r>
      <w:r w:rsidRPr="00BF1B2A">
        <w:rPr>
          <w:rFonts w:eastAsia="Times New Roman"/>
          <w:bCs/>
          <w:color w:val="auto"/>
        </w:rPr>
        <w:t>.</w:t>
      </w:r>
    </w:p>
    <w:p w:rsidR="007C4016" w:rsidRDefault="007C4016" w:rsidP="007C4016">
      <w:pPr>
        <w:pStyle w:val="IFTTexto"/>
        <w:numPr>
          <w:ilvl w:val="0"/>
          <w:numId w:val="147"/>
        </w:numPr>
        <w:spacing w:before="240" w:after="0"/>
      </w:pPr>
      <w:r w:rsidRPr="00C55D7C">
        <w:rPr>
          <w:b/>
          <w:color w:val="auto"/>
        </w:rPr>
        <w:t>Solicitud de ampliación del plazo.-</w:t>
      </w:r>
      <w:r>
        <w:rPr>
          <w:color w:val="auto"/>
        </w:rPr>
        <w:t xml:space="preserve"> </w:t>
      </w:r>
      <w:r w:rsidRPr="00641387">
        <w:rPr>
          <w:color w:val="auto"/>
        </w:rPr>
        <w:t xml:space="preserve">El </w:t>
      </w:r>
      <w:r>
        <w:rPr>
          <w:color w:val="auto"/>
        </w:rPr>
        <w:t>5</w:t>
      </w:r>
      <w:r w:rsidRPr="00641387">
        <w:rPr>
          <w:color w:val="auto"/>
        </w:rPr>
        <w:t xml:space="preserve"> de </w:t>
      </w:r>
      <w:r>
        <w:rPr>
          <w:color w:val="auto"/>
        </w:rPr>
        <w:t>septiembre</w:t>
      </w:r>
      <w:r w:rsidRPr="00641387">
        <w:rPr>
          <w:color w:val="auto"/>
        </w:rPr>
        <w:t xml:space="preserve"> de 201</w:t>
      </w:r>
      <w:r>
        <w:rPr>
          <w:color w:val="auto"/>
        </w:rPr>
        <w:t>7</w:t>
      </w:r>
      <w:r w:rsidRPr="00641387">
        <w:rPr>
          <w:color w:val="auto"/>
        </w:rPr>
        <w:t xml:space="preserve"> </w:t>
      </w:r>
      <w:r>
        <w:rPr>
          <w:color w:val="auto"/>
        </w:rPr>
        <w:t>Telnor</w:t>
      </w:r>
      <w:r w:rsidRPr="00641387">
        <w:rPr>
          <w:color w:val="auto"/>
        </w:rPr>
        <w:t xml:space="preserve"> presentó ante la Oficialía de Partes de este Instituto escrito mediante el cual </w:t>
      </w:r>
      <w:r w:rsidRPr="007077C6">
        <w:t xml:space="preserve">solicitó una </w:t>
      </w:r>
      <w:r>
        <w:t>ampliación del plazo</w:t>
      </w:r>
      <w:r w:rsidRPr="007077C6">
        <w:t xml:space="preserve"> para dar cumplimiento al </w:t>
      </w:r>
      <w:r>
        <w:t xml:space="preserve">Oficio de Requerimiento. En respuesta a su petición, mediante </w:t>
      </w:r>
      <w:r w:rsidRPr="007077C6">
        <w:t>ofi</w:t>
      </w:r>
      <w:r>
        <w:t>cio número IFT/221/UPR/DG-CIN/135</w:t>
      </w:r>
      <w:r w:rsidRPr="007077C6">
        <w:t>/201</w:t>
      </w:r>
      <w:r>
        <w:t>7</w:t>
      </w:r>
      <w:r w:rsidRPr="007077C6">
        <w:t xml:space="preserve"> del </w:t>
      </w:r>
      <w:r>
        <w:t>5</w:t>
      </w:r>
      <w:r w:rsidRPr="007077C6">
        <w:t xml:space="preserve"> de </w:t>
      </w:r>
      <w:r>
        <w:t>septiembre</w:t>
      </w:r>
      <w:r w:rsidRPr="007077C6">
        <w:t xml:space="preserve"> de 201</w:t>
      </w:r>
      <w:r>
        <w:t xml:space="preserve">7 notificado el 7 del mismo mes y año, </w:t>
      </w:r>
      <w:r w:rsidRPr="007077C6">
        <w:t>este Instituto otorg</w:t>
      </w:r>
      <w:r>
        <w:t>ó a Telnor</w:t>
      </w:r>
      <w:r w:rsidRPr="007077C6">
        <w:t xml:space="preserve"> una </w:t>
      </w:r>
      <w:r>
        <w:t>ampliación de cinco</w:t>
      </w:r>
      <w:r w:rsidRPr="007077C6">
        <w:t xml:space="preserve"> días hábiles</w:t>
      </w:r>
      <w:r>
        <w:t xml:space="preserve"> contados a partir del día siguiente al que surtiera efectos la notificación del citado oficio para proporcionar la información solicitada dentro del Oficio de Requerimiento</w:t>
      </w:r>
      <w:r w:rsidRPr="007077C6">
        <w:t xml:space="preserve">. </w:t>
      </w:r>
    </w:p>
    <w:p w:rsidR="007C4016" w:rsidRDefault="007C4016" w:rsidP="007C4016">
      <w:pPr>
        <w:pStyle w:val="IFTTexto"/>
        <w:spacing w:before="240" w:after="0"/>
        <w:ind w:left="720"/>
        <w:rPr>
          <w:color w:val="auto"/>
        </w:rPr>
      </w:pPr>
      <w:r w:rsidRPr="00641387">
        <w:rPr>
          <w:color w:val="auto"/>
        </w:rPr>
        <w:lastRenderedPageBreak/>
        <w:t xml:space="preserve">El </w:t>
      </w:r>
      <w:r w:rsidRPr="00DD4E7E">
        <w:rPr>
          <w:color w:val="auto"/>
        </w:rPr>
        <w:t>14 de septiembre de 2017</w:t>
      </w:r>
      <w:r w:rsidRPr="00641387">
        <w:rPr>
          <w:color w:val="auto"/>
        </w:rPr>
        <w:t xml:space="preserve">, </w:t>
      </w:r>
      <w:r>
        <w:rPr>
          <w:color w:val="auto"/>
        </w:rPr>
        <w:t>Telnor</w:t>
      </w:r>
      <w:r w:rsidRPr="00641387">
        <w:rPr>
          <w:color w:val="auto"/>
        </w:rPr>
        <w:t xml:space="preserve"> presentó ante la Oficialía de Partes de este Instituto escrito mediante el cual dio cumplimiento a lo solicitad</w:t>
      </w:r>
      <w:r>
        <w:rPr>
          <w:color w:val="auto"/>
        </w:rPr>
        <w:t>o en el Oficio de Requerimiento (en lo sucesivo “Respuesta al Oficio de Requerimiento”).</w:t>
      </w:r>
    </w:p>
    <w:p w:rsidR="007C4016" w:rsidRDefault="007C4016" w:rsidP="007C4016">
      <w:pPr>
        <w:pStyle w:val="IFTTexto"/>
        <w:spacing w:before="240" w:after="0"/>
        <w:rPr>
          <w:color w:val="auto"/>
        </w:rPr>
      </w:pPr>
      <w:r w:rsidRPr="00BF1B2A">
        <w:rPr>
          <w:color w:val="auto"/>
        </w:rPr>
        <w:t>En virtud de los citados Antecedentes, y</w:t>
      </w:r>
    </w:p>
    <w:p w:rsidR="007C4016" w:rsidRPr="006A7AA7" w:rsidRDefault="007C4016" w:rsidP="006A7AA7">
      <w:pPr>
        <w:pStyle w:val="Ttulo2"/>
        <w:jc w:val="center"/>
        <w:rPr>
          <w:rFonts w:ascii="ITC Avant Garde" w:hAnsi="ITC Avant Garde"/>
          <w:sz w:val="22"/>
          <w:szCs w:val="22"/>
        </w:rPr>
      </w:pPr>
      <w:bookmarkStart w:id="3" w:name="_Toc426973640"/>
      <w:r w:rsidRPr="006A7AA7">
        <w:rPr>
          <w:rFonts w:ascii="ITC Avant Garde" w:hAnsi="ITC Avant Garde"/>
          <w:sz w:val="22"/>
          <w:szCs w:val="22"/>
        </w:rPr>
        <w:t>CONSIDERANDO</w:t>
      </w:r>
      <w:bookmarkEnd w:id="2"/>
      <w:bookmarkEnd w:id="3"/>
    </w:p>
    <w:p w:rsidR="007C4016" w:rsidRPr="00BF1B2A" w:rsidRDefault="007C4016" w:rsidP="007C4016">
      <w:pPr>
        <w:pStyle w:val="IFTnormal"/>
        <w:spacing w:before="240" w:after="0"/>
      </w:pPr>
      <w:r w:rsidRPr="00BF1B2A">
        <w:rPr>
          <w:rStyle w:val="3TitTerCar"/>
        </w:rPr>
        <w:t>PRIMERO.- Competencia del Instituto.</w:t>
      </w:r>
      <w:r w:rsidRPr="00BF1B2A">
        <w:rPr>
          <w:rStyle w:val="IFTnormalCar"/>
        </w:rPr>
        <w:t xml:space="preserve"> </w:t>
      </w:r>
      <w:r w:rsidRPr="00B1226C">
        <w:t>De conformidad con el artículo 28, párrafos décimo quinto y décimo sexto de la Constitución, el Instituto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 garantizando con ello lo dispuesto en los artículos 6o. y 7o. de la Constitución.</w:t>
      </w:r>
    </w:p>
    <w:p w:rsidR="007C4016" w:rsidRPr="00BF1B2A" w:rsidRDefault="007C4016" w:rsidP="007C4016">
      <w:pPr>
        <w:pStyle w:val="IFTnormal"/>
        <w:spacing w:before="240" w:after="0"/>
      </w:pPr>
      <w:r w:rsidRPr="00BF1B2A">
        <w:t>Ahora bien, en cumplimiento a lo establecido en el artículo Octavo Transitorio, fracción III del Decreto Constitucional y mediante la Resolución AEP, el Instituto determinó la existencia de Agentes Económicos Preponderantes en el sector de  telecomunicaciones, e impuso las medidas necesarias para evitar que se afecte la competencia y la libre concurrencia y, con ello, a los usuarios finales. Dichas medidas incluyen las Medidas Fijas, mismas que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 agente.</w:t>
      </w:r>
    </w:p>
    <w:p w:rsidR="007C4016" w:rsidRPr="00BF1B2A" w:rsidRDefault="007C4016" w:rsidP="007C4016">
      <w:pPr>
        <w:pStyle w:val="IFTnormal"/>
        <w:spacing w:before="240" w:after="0"/>
      </w:pPr>
      <w:r w:rsidRPr="00BF1B2A">
        <w:t xml:space="preserve">Asimismo, el artículo Trigésimo Quinto Transitorio del Decreto de Ley dispone que las resoluciones administrativas que el Instituto hubiere emitido previamente a la </w:t>
      </w:r>
      <w:r w:rsidRPr="00BF1B2A">
        <w:lastRenderedPageBreak/>
        <w:t>entrada en vigor del mismo en materia de preponderancia, continuarán surtiendo todos sus efectos, por lo que la Resolución AEP y sus anexos se encuentran vigentes.</w:t>
      </w:r>
    </w:p>
    <w:p w:rsidR="007C4016" w:rsidRPr="00C9593E" w:rsidRDefault="007C4016" w:rsidP="007C4016">
      <w:pPr>
        <w:pStyle w:val="IFTnormal"/>
        <w:spacing w:before="240" w:after="0"/>
      </w:pPr>
      <w:r w:rsidRPr="00BF1B2A">
        <w:rPr>
          <w:rStyle w:val="3TitTerCar"/>
        </w:rPr>
        <w:t>SEGUNDO.- Medidas.</w:t>
      </w:r>
      <w:r w:rsidRPr="00BF1B2A">
        <w:rPr>
          <w:b/>
        </w:rPr>
        <w:t xml:space="preserve"> </w:t>
      </w:r>
      <w:r w:rsidRPr="00BF1B2A">
        <w:t>Como se estableció en la Resolución AEP</w:t>
      </w:r>
      <w:r>
        <w:t xml:space="preserve"> y en la Resolución Bienal</w:t>
      </w:r>
      <w:r w:rsidRPr="00BF1B2A">
        <w:t xml:space="preserve">, </w:t>
      </w:r>
      <w:r w:rsidRPr="00C9593E">
        <w:t xml:space="preserve">el sector de telecomunicaciones se caracteriza por contar con importantes economías de escala, alcance y densidad que implican que los operadores entrantes enfrenten costos medios unitarios mayores que </w:t>
      </w:r>
      <w:r>
        <w:t>el</w:t>
      </w:r>
      <w:r w:rsidRPr="00C9593E">
        <w:t xml:space="preserve"> operador </w:t>
      </w:r>
      <w:r>
        <w:t>establecido o incumbente.</w:t>
      </w:r>
      <w:r w:rsidRPr="00C9593E">
        <w:t xml:space="preserve"> </w:t>
      </w:r>
      <w:r>
        <w:t>P</w:t>
      </w:r>
      <w:r w:rsidRPr="00C9593E">
        <w:t xml:space="preserve">or lo tanto, la decisión de entrada de un nuevo competidor está en función de estos costos y de la rentabilidad que espere obtener la empresa por la inversión realizada. </w:t>
      </w:r>
    </w:p>
    <w:p w:rsidR="007C4016" w:rsidRPr="00C9593E" w:rsidRDefault="007C4016" w:rsidP="007C4016">
      <w:pPr>
        <w:pStyle w:val="IFTnormal"/>
        <w:spacing w:before="240" w:after="0"/>
      </w:pPr>
      <w:r w:rsidRPr="00C9593E">
        <w:t>Es por ello que el Instituto determinó a trav</w:t>
      </w:r>
      <w:r>
        <w:t>és de la Resolución AEP que el Acceso a la Infraestructura P</w:t>
      </w:r>
      <w:r w:rsidRPr="00C9593E">
        <w:t>asiva del A</w:t>
      </w:r>
      <w:r>
        <w:t xml:space="preserve">gente </w:t>
      </w:r>
      <w:r w:rsidRPr="00C9593E">
        <w:t>E</w:t>
      </w:r>
      <w:r>
        <w:t xml:space="preserve">conómico </w:t>
      </w:r>
      <w:r w:rsidRPr="00C9593E">
        <w:t>P</w:t>
      </w:r>
      <w:r>
        <w:t xml:space="preserve">reponderante (en lo sucesivo “AEP”) </w:t>
      </w:r>
      <w:r w:rsidRPr="00C9593E">
        <w:t xml:space="preserve">resulta de suma importancia para que se permita a concesionarios entrantes y pequeños operadores realizar una oferta competitiva en el sector, al no tener que incurrir en elevados costos de inversión, por el desarrollo de infraestructura en aquellas zonas donde no sea posible alcanzar una escala mínima de operación que </w:t>
      </w:r>
      <w:r>
        <w:t xml:space="preserve">les </w:t>
      </w:r>
      <w:r w:rsidRPr="00C9593E">
        <w:t>permita cubrir las inversiones realizadas</w:t>
      </w:r>
      <w:r>
        <w:t xml:space="preserve"> </w:t>
      </w:r>
      <w:r w:rsidRPr="00BF1B2A">
        <w:t>cuando el operador que la posee no permite el acceso a la misma a sus competidores</w:t>
      </w:r>
      <w:r>
        <w:t xml:space="preserve"> bajo condiciones no discriminatorias</w:t>
      </w:r>
      <w:r w:rsidRPr="00C9593E" w:rsidDel="001B443B">
        <w:t>.</w:t>
      </w:r>
    </w:p>
    <w:p w:rsidR="007C4016" w:rsidRPr="00C9593E" w:rsidRDefault="007C4016" w:rsidP="007C4016">
      <w:pPr>
        <w:pStyle w:val="IFTnormal"/>
        <w:spacing w:before="240" w:after="0"/>
      </w:pPr>
      <w:r w:rsidRPr="00C9593E">
        <w:t>Asimismo, es importante mencionar que para el despliegue de la obra civil</w:t>
      </w:r>
      <w:r>
        <w:t>,</w:t>
      </w:r>
      <w:r w:rsidRPr="00C9593E">
        <w:t xml:space="preserve"> en diversas ocasiones los operadores enfrentan obstáculos legales y reglamentarios para obtener las autorizaciones necesarias, generando incertidumbre en cuanto al tiempo y condiciones en los que se realizará el despliegue de infraestructura, lo que afecta</w:t>
      </w:r>
      <w:r w:rsidRPr="00C9593E" w:rsidDel="00F111A8">
        <w:t xml:space="preserve"> </w:t>
      </w:r>
      <w:r w:rsidRPr="00C9593E">
        <w:t xml:space="preserve">la capacidad de los operadores para </w:t>
      </w:r>
      <w:r>
        <w:t>desplegar</w:t>
      </w:r>
      <w:r w:rsidRPr="00C9593E">
        <w:t xml:space="preserve"> sus redes conforme a la planificación y tiempo</w:t>
      </w:r>
      <w:r>
        <w:t>s</w:t>
      </w:r>
      <w:r w:rsidRPr="00C9593E">
        <w:t xml:space="preserve"> previstos. </w:t>
      </w:r>
    </w:p>
    <w:p w:rsidR="007C4016" w:rsidRPr="00C9593E" w:rsidRDefault="007C4016" w:rsidP="007C4016">
      <w:pPr>
        <w:pStyle w:val="IFTnormal"/>
        <w:spacing w:before="240" w:after="0"/>
      </w:pPr>
      <w:r w:rsidRPr="00C9593E">
        <w:t xml:space="preserve">En este mismo sentido, los concesionarios que ya prestan servicios requieren complementar su infraestructura de telecomunicaciones arrendando a otro operador elementos de red en aquellos lugares o localidades en las que no cuentan con </w:t>
      </w:r>
      <w:r>
        <w:t xml:space="preserve">infraestructura propia o con </w:t>
      </w:r>
      <w:r w:rsidRPr="00C9593E">
        <w:t xml:space="preserve">la capilaridad suficiente de sus redes; </w:t>
      </w:r>
      <w:r>
        <w:t>por lo que podrían subsanar esta situación</w:t>
      </w:r>
      <w:r w:rsidRPr="00C9593E">
        <w:t xml:space="preserve"> mediante la compra de un servicio mayorista a otro operador que </w:t>
      </w:r>
      <w:r w:rsidRPr="005C6B3A">
        <w:t>les</w:t>
      </w:r>
      <w:r w:rsidRPr="00C9593E">
        <w:t xml:space="preserve"> permita </w:t>
      </w:r>
      <w:r w:rsidRPr="005C6B3A">
        <w:t xml:space="preserve">alcanzar una escala mínima eficiente para instalar infraestructura propia </w:t>
      </w:r>
      <w:r w:rsidRPr="00C9593E">
        <w:t xml:space="preserve">en </w:t>
      </w:r>
      <w:r w:rsidRPr="005C6B3A">
        <w:t>el</w:t>
      </w:r>
      <w:r w:rsidRPr="00C9593E">
        <w:t xml:space="preserve"> mediano</w:t>
      </w:r>
      <w:r w:rsidRPr="005C6B3A">
        <w:t xml:space="preserve"> plazo. </w:t>
      </w:r>
      <w:r w:rsidRPr="00C9593E">
        <w:t xml:space="preserve"> </w:t>
      </w:r>
    </w:p>
    <w:p w:rsidR="007C4016" w:rsidRPr="00607A23" w:rsidRDefault="007C4016" w:rsidP="007C4016">
      <w:pPr>
        <w:pStyle w:val="IFTnormal"/>
        <w:spacing w:before="240" w:after="0"/>
        <w:rPr>
          <w:bCs w:val="0"/>
        </w:rPr>
      </w:pPr>
      <w:r w:rsidRPr="00607A23">
        <w:t xml:space="preserve">El acceso a insumos provistos por otros operadores, le permite a un concesionario complementar su red para ofrecer servicios a los usuarios finales, incrementar la cobertura de sus servicios y su calidad, además de hacer un uso eficiente de la </w:t>
      </w:r>
      <w:r w:rsidRPr="00607A23">
        <w:lastRenderedPageBreak/>
        <w:t>infraestructura pasiva disponible. Esto tendrá efectos positivos para el concesionario entrante como para el concesionario que otorgue el acceso y uso compartido de su infraestructura pasiva, ya que se fomenta la disminución de los costos de operación y permite</w:t>
      </w:r>
      <w:r w:rsidRPr="00607A23" w:rsidDel="00FE4EF9">
        <w:t xml:space="preserve"> </w:t>
      </w:r>
      <w:r w:rsidRPr="00607A23">
        <w:t xml:space="preserve">reorientar recursos inicialmente destinados a inversión en infraestructura hacia la ampliación y modernización de las redes de los operadores. </w:t>
      </w:r>
    </w:p>
    <w:p w:rsidR="007C4016" w:rsidRPr="00607A23" w:rsidRDefault="007C4016" w:rsidP="007C4016">
      <w:pPr>
        <w:pStyle w:val="IFTnormal"/>
        <w:spacing w:before="240" w:after="0"/>
        <w:rPr>
          <w:bCs w:val="0"/>
        </w:rPr>
      </w:pPr>
      <w:r w:rsidRPr="00607A23">
        <w:t>Sin embargo, dado que el AEP al mismo tiempo controla la principal infraestructura del país y es oferente de servicios a los clientes finales a nivel minorista,</w:t>
      </w:r>
      <w:r w:rsidRPr="00607A23" w:rsidDel="00FE4EF9">
        <w:t xml:space="preserve"> </w:t>
      </w:r>
      <w:r w:rsidRPr="00607A23">
        <w:t>tiene incentivos para negar el servicio mayorista a sus competidores, venderlo a precios poco competitivos o incurrir en otro tipo de prácticas que degraden la calidad del servicio prestado, a fin de obtener un mayor porcentaje de ventas del servicio minorista o para retrasar el proceso de competencia a través de dificultar la entrada o la expansión de los competidores en la provisión de servicios.</w:t>
      </w:r>
    </w:p>
    <w:p w:rsidR="007C4016" w:rsidRPr="00607A23" w:rsidRDefault="007C4016" w:rsidP="007C4016">
      <w:pPr>
        <w:pStyle w:val="IFTnormal"/>
        <w:spacing w:before="240" w:after="0"/>
      </w:pPr>
      <w:r w:rsidRPr="00607A23">
        <w:t>De esta manera, la regulación en infraestructura a través del uso y acceso compartido de la misma permite una reducción de los costos de despliegue de las redes, reduciendo las inversiones requeridas y liberando recursos para financiar los costos operativos. Por ejemplo, diversos concesionarios que ya operan en el mercado podrían ofrecer sus servicios de manera más eficiente y expedita al</w:t>
      </w:r>
      <w:r w:rsidRPr="00607A23" w:rsidDel="00FA4587">
        <w:t xml:space="preserve"> </w:t>
      </w:r>
      <w:r w:rsidRPr="00607A23">
        <w:t>utilizar la infraestructura pasiva del AEP, como postes, ductos y pozos, así como los sitios o torres,</w:t>
      </w:r>
      <w:r w:rsidRPr="00607A23" w:rsidDel="00FA4587">
        <w:t xml:space="preserve"> </w:t>
      </w:r>
      <w:r w:rsidRPr="00607A23">
        <w:t>generando importantes ahorros en costos de construcción y operación de las torres, mientras que se generan ingresos al operador propietario de la infraestructura por la renta de los espacios no utilizados.</w:t>
      </w:r>
    </w:p>
    <w:p w:rsidR="007C4016" w:rsidRPr="00C9593E" w:rsidRDefault="007C4016" w:rsidP="007C4016">
      <w:pPr>
        <w:pStyle w:val="IFTnormal"/>
        <w:spacing w:before="240" w:after="0"/>
      </w:pPr>
      <w:r w:rsidRPr="00C9593E">
        <w:t xml:space="preserve">El acceso a la infraestructura pasiva es además importante para desarrollar la competencia en zonas rurales, en las cuales el despliegue de infraestructura requiere de la adquisición de una masa crítica que haga rentable la prestación del servicio. De esta forma, al compartirse los costos entre varias empresas se facilita el despliegue en zonas que de otra manera no sería rentable. </w:t>
      </w:r>
    </w:p>
    <w:p w:rsidR="007C4016" w:rsidRPr="00C9593E" w:rsidRDefault="007C4016" w:rsidP="007C4016">
      <w:pPr>
        <w:pStyle w:val="IFTnormal"/>
        <w:spacing w:before="240" w:after="0"/>
      </w:pPr>
      <w:r>
        <w:t>En este sentido,</w:t>
      </w:r>
      <w:r w:rsidRPr="00C9593E">
        <w:t xml:space="preserve"> la Medida PRIMERA de las Medidas Fijas establece que las mismas serán aplicables al </w:t>
      </w:r>
      <w:r>
        <w:t>AEP</w:t>
      </w:r>
      <w:r w:rsidRPr="00C9593E">
        <w:t xml:space="preserve"> en el sector de telecomunicaciones a través de sus integrantes que cuenten con títulos de concesión de Red Pública de Telec</w:t>
      </w:r>
      <w:r>
        <w:t>omunicaciones. Puesto que Telnor</w:t>
      </w:r>
      <w:r w:rsidRPr="00C9593E">
        <w:t xml:space="preserve"> es integrante del AEP y es concesionario de una Red Pública de Telecomunicaciones, queda por lo tanto obligado al cumplimiento de las Medidas Fijas.</w:t>
      </w:r>
    </w:p>
    <w:p w:rsidR="007C4016" w:rsidRPr="00C9593E" w:rsidRDefault="007C4016" w:rsidP="007C4016">
      <w:pPr>
        <w:pStyle w:val="IFTnormal"/>
        <w:spacing w:before="240" w:after="0"/>
      </w:pPr>
      <w:r w:rsidRPr="00C9593E">
        <w:t>Para mayor referencia, la Medida PRIMERA señala:</w:t>
      </w:r>
    </w:p>
    <w:p w:rsidR="007C4016" w:rsidRPr="00C9593E" w:rsidRDefault="007C4016" w:rsidP="007C4016">
      <w:pPr>
        <w:pStyle w:val="CitaIFT"/>
        <w:spacing w:before="240" w:after="0"/>
        <w:rPr>
          <w:rFonts w:eastAsia="Calibri"/>
          <w:color w:val="auto"/>
        </w:rPr>
      </w:pPr>
      <w:r w:rsidRPr="00C9593E">
        <w:rPr>
          <w:rFonts w:eastAsia="Calibri"/>
          <w:color w:val="auto"/>
        </w:rPr>
        <w:lastRenderedPageBreak/>
        <w:t>"</w:t>
      </w:r>
      <w:r w:rsidRPr="00C9593E">
        <w:rPr>
          <w:rFonts w:eastAsia="Calibri"/>
          <w:b/>
          <w:color w:val="auto"/>
        </w:rPr>
        <w:t>PRIMERA.-</w:t>
      </w:r>
      <w:r w:rsidRPr="00C9593E">
        <w:rPr>
          <w:rFonts w:eastAsia="Calibri"/>
          <w:color w:val="auto"/>
        </w:rPr>
        <w:t xml:space="preserve"> Las presentes medidas serán aplicables al Agente Económico Preponderante en el sector de telecomunicaciones a través de sus integrantes que cuenten con títulos de concesión de Red Pública de Telecomunicaciones o que sean propietarios o poseedores de Infraestructura Pasiva, así como de los que lleven a cabo las actividades reguladas en el presente instrumento.”</w:t>
      </w:r>
    </w:p>
    <w:p w:rsidR="007C4016" w:rsidRPr="00BF1B2A" w:rsidRDefault="007C4016" w:rsidP="007C4016">
      <w:pPr>
        <w:pStyle w:val="IFTnormal"/>
        <w:spacing w:before="240" w:after="0"/>
      </w:pPr>
      <w:r w:rsidRPr="00BF1B2A">
        <w:t xml:space="preserve">Asimismo, la Medida VIGÉSIMA TERCERA de las Medidas Fijas establece: </w:t>
      </w:r>
    </w:p>
    <w:p w:rsidR="007C4016" w:rsidRDefault="007C4016" w:rsidP="007C4016">
      <w:pPr>
        <w:pStyle w:val="CitaIFT"/>
        <w:spacing w:before="240" w:after="0"/>
        <w:rPr>
          <w:lang w:val="es-ES"/>
        </w:rPr>
      </w:pPr>
      <w:r w:rsidRPr="00BF1B2A">
        <w:rPr>
          <w:color w:val="auto"/>
        </w:rPr>
        <w:t>“</w:t>
      </w:r>
      <w:r w:rsidRPr="00BF1B2A">
        <w:rPr>
          <w:b/>
          <w:color w:val="auto"/>
        </w:rPr>
        <w:t xml:space="preserve">VIGÉSIMA TERCERA.- </w:t>
      </w:r>
      <w:r w:rsidRPr="0087469D">
        <w:rPr>
          <w:lang w:val="es-ES"/>
        </w:rPr>
        <w:t>El Agente Económico Preponderante deberá proveer el Servicio de Acceso y Uso Compartido de Infraestructura Pasiva a los Concesionarios Solicitantes, para toda la infraestructura pasiva que posea bajo cualquier título legal.</w:t>
      </w:r>
    </w:p>
    <w:p w:rsidR="007C4016" w:rsidRPr="00BF1B2A" w:rsidRDefault="007C4016" w:rsidP="007C4016">
      <w:pPr>
        <w:pStyle w:val="CitaIFT"/>
        <w:spacing w:before="240" w:after="0"/>
        <w:rPr>
          <w:color w:val="auto"/>
        </w:rPr>
      </w:pPr>
      <w:r w:rsidRPr="00773ADD">
        <w:rPr>
          <w:color w:val="auto"/>
        </w:rPr>
        <w:t xml:space="preserve">Dicha infraestructura </w:t>
      </w:r>
      <w:r w:rsidRPr="00773ADD">
        <w:rPr>
          <w:b/>
          <w:color w:val="auto"/>
          <w:u w:val="single"/>
        </w:rPr>
        <w:t>deberá estar disponible a los concesionarios de redes públicas de telecomunicaciones sobre bases no discriminatorias considerando las condiciones ofrecidas a sus propias operaciones</w:t>
      </w:r>
      <w:r w:rsidRPr="00773ADD">
        <w:rPr>
          <w:color w:val="auto"/>
        </w:rPr>
        <w:t>. El Agente Económico Preponderante no deberá otorgar el uso o aprovechamiento de dichos bienes con derechos de exclusividad</w:t>
      </w:r>
      <w:r>
        <w:rPr>
          <w:color w:val="auto"/>
        </w:rPr>
        <w:t>”</w:t>
      </w:r>
      <w:r w:rsidRPr="00773ADD">
        <w:rPr>
          <w:color w:val="auto"/>
        </w:rPr>
        <w:t>.</w:t>
      </w:r>
    </w:p>
    <w:p w:rsidR="007C4016" w:rsidRPr="00BF1B2A" w:rsidRDefault="007C4016" w:rsidP="007C4016">
      <w:pPr>
        <w:pStyle w:val="CitaIFT"/>
        <w:spacing w:before="240" w:after="0"/>
        <w:jc w:val="right"/>
        <w:rPr>
          <w:color w:val="auto"/>
        </w:rPr>
      </w:pPr>
      <w:r w:rsidRPr="00BF1B2A">
        <w:rPr>
          <w:i w:val="0"/>
          <w:color w:val="auto"/>
        </w:rPr>
        <w:t>(Énfasis añadido)</w:t>
      </w:r>
    </w:p>
    <w:p w:rsidR="007C4016" w:rsidRPr="00341AD9" w:rsidRDefault="007C4016" w:rsidP="007C4016">
      <w:pPr>
        <w:pStyle w:val="IFTnormal"/>
        <w:spacing w:before="240" w:after="0"/>
      </w:pPr>
      <w:r w:rsidRPr="00341AD9">
        <w:t xml:space="preserve">Asimismo, la fracción XXVII del artículo 3 de la </w:t>
      </w:r>
      <w:r w:rsidRPr="00341AD9" w:rsidDel="00931D01">
        <w:t>LFTyR</w:t>
      </w:r>
      <w:r w:rsidRPr="00341AD9">
        <w:t xml:space="preserve"> dispone lo siguiente:</w:t>
      </w:r>
      <w:r>
        <w:t xml:space="preserve"> </w:t>
      </w:r>
    </w:p>
    <w:p w:rsidR="007C4016" w:rsidRDefault="007C4016" w:rsidP="007C4016">
      <w:pPr>
        <w:pStyle w:val="CitaIFT"/>
        <w:spacing w:before="240" w:after="0"/>
        <w:rPr>
          <w:lang w:val="es-ES_tradnl"/>
        </w:rPr>
      </w:pPr>
      <w:r>
        <w:rPr>
          <w:b/>
          <w:lang w:val="es-ES_tradnl"/>
        </w:rPr>
        <w:t>“</w:t>
      </w:r>
      <w:r w:rsidRPr="00A70215">
        <w:rPr>
          <w:b/>
          <w:lang w:val="es-ES_tradnl"/>
        </w:rPr>
        <w:t>Artículo 3.</w:t>
      </w:r>
      <w:r w:rsidRPr="00A70215">
        <w:rPr>
          <w:lang w:val="es-ES_tradnl"/>
        </w:rPr>
        <w:t xml:space="preserve"> Para los efectos de esta Ley se entenderá por:</w:t>
      </w:r>
    </w:p>
    <w:p w:rsidR="007C4016" w:rsidRDefault="007C4016" w:rsidP="007C4016">
      <w:pPr>
        <w:pStyle w:val="CitaIFT"/>
        <w:spacing w:before="240" w:after="0"/>
        <w:rPr>
          <w:lang w:val="es-ES_tradnl"/>
        </w:rPr>
      </w:pPr>
      <w:r>
        <w:rPr>
          <w:lang w:val="es-ES_tradnl"/>
        </w:rPr>
        <w:t>[…]</w:t>
      </w:r>
    </w:p>
    <w:p w:rsidR="007C4016" w:rsidRDefault="007C4016" w:rsidP="007C4016">
      <w:pPr>
        <w:pStyle w:val="CitaIFT"/>
        <w:spacing w:before="240" w:after="0"/>
        <w:rPr>
          <w:lang w:val="es-ES_tradnl"/>
        </w:rPr>
      </w:pPr>
      <w:r w:rsidRPr="00A70215">
        <w:rPr>
          <w:b/>
          <w:lang w:val="es-ES_tradnl"/>
        </w:rPr>
        <w:t>XXVII.</w:t>
      </w:r>
      <w:r>
        <w:rPr>
          <w:b/>
          <w:lang w:val="es-ES_tradnl"/>
        </w:rPr>
        <w:t xml:space="preserve"> </w:t>
      </w:r>
      <w:r w:rsidRPr="00A70215">
        <w:rPr>
          <w:b/>
          <w:lang w:val="es-ES_tradnl"/>
        </w:rPr>
        <w:tab/>
        <w:t>Infraestructura pasiva:</w:t>
      </w:r>
      <w:r w:rsidRPr="00A70215">
        <w:rPr>
          <w:lang w:val="es-ES_tradnl"/>
        </w:rPr>
        <w:t xml:space="preserve"> Elementos accesorios que proporcionan soporte a la infraestructura activa, entre otros, bastidores, cableado subterráneo y aéreo, canalizaciones, construcciones, ductos, obras, postes, sistemas de suministro y respaldo de energía eléctrica, sistemas de climatización, sitios, torres y demás aditamentos, incluyendo derechos de vía, que sean necesarios para la instalación y operación de las redes, así como para la prestación de servicios de telecomunicaciones y radiodifusión;</w:t>
      </w:r>
    </w:p>
    <w:p w:rsidR="007C4016" w:rsidRPr="000E35D0" w:rsidRDefault="007C4016" w:rsidP="007C4016">
      <w:pPr>
        <w:pStyle w:val="CitaIFT"/>
        <w:spacing w:before="240" w:after="0"/>
      </w:pPr>
      <w:r>
        <w:t>[…]”</w:t>
      </w:r>
    </w:p>
    <w:p w:rsidR="007C4016" w:rsidRPr="00C9593E" w:rsidRDefault="007C4016" w:rsidP="007C4016">
      <w:pPr>
        <w:pStyle w:val="IFTnormal"/>
        <w:spacing w:before="240" w:after="0"/>
      </w:pPr>
      <w:r>
        <w:t xml:space="preserve">De lo anterior se desprende que el </w:t>
      </w:r>
      <w:r w:rsidRPr="00C9593E">
        <w:t xml:space="preserve">AEP </w:t>
      </w:r>
      <w:r>
        <w:t xml:space="preserve">tiene la obligación </w:t>
      </w:r>
      <w:r w:rsidRPr="00C9593E">
        <w:t xml:space="preserve">de ofrecer a </w:t>
      </w:r>
      <w:r>
        <w:t xml:space="preserve">los </w:t>
      </w:r>
      <w:r w:rsidRPr="00C9593E">
        <w:t xml:space="preserve">concesionarios de redes públicas de telecomunicaciones </w:t>
      </w:r>
      <w:r>
        <w:t xml:space="preserve">que así lo requieran </w:t>
      </w:r>
      <w:r w:rsidRPr="00C9593E">
        <w:t xml:space="preserve">el servicio de Acceso y Uso Compartido de Infraestructura Pasiva en su red sobre bases no discriminatorias y sin </w:t>
      </w:r>
      <w:r>
        <w:t>condiciones de</w:t>
      </w:r>
      <w:r w:rsidRPr="00C9593E">
        <w:t xml:space="preserve"> exclusividad.</w:t>
      </w:r>
      <w:r>
        <w:t xml:space="preserve"> Asimismo, deberá de ofrecer la totalidad de elementos de infraestructura pasiva que posea, sin limitación o distinción alguna.</w:t>
      </w:r>
    </w:p>
    <w:p w:rsidR="007C4016" w:rsidRPr="00BF1B2A" w:rsidRDefault="007C4016" w:rsidP="007C4016">
      <w:pPr>
        <w:pStyle w:val="IFTnormal"/>
        <w:spacing w:before="240" w:after="0"/>
      </w:pPr>
      <w:r w:rsidRPr="00BF1B2A">
        <w:t xml:space="preserve">Cabe destacar que las concesiones únicas surgen como figura legal en la </w:t>
      </w:r>
      <w:r w:rsidRPr="00BF1B2A" w:rsidDel="00931D01">
        <w:t>LFT</w:t>
      </w:r>
      <w:r w:rsidDel="00931D01">
        <w:t>y</w:t>
      </w:r>
      <w:r w:rsidRPr="00BF1B2A" w:rsidDel="00931D01">
        <w:t>R</w:t>
      </w:r>
      <w:r w:rsidRPr="00BF1B2A">
        <w:t>, y estas pueden sustituir a los títulos de concesión de red pública de telecomunicaciones, por lo que los servicios ofertados por el AEP deberán hacerse extensivos a los sujetos que cuenten con concesiones únicas.</w:t>
      </w:r>
    </w:p>
    <w:p w:rsidR="007C4016" w:rsidRDefault="007C4016" w:rsidP="007C4016">
      <w:pPr>
        <w:spacing w:before="240" w:after="0" w:line="276" w:lineRule="auto"/>
        <w:rPr>
          <w:rFonts w:ascii="ITC Avant Garde" w:eastAsia="Calibri" w:hAnsi="ITC Avant Garde" w:cs="Arial"/>
          <w:sz w:val="22"/>
          <w:szCs w:val="22"/>
          <w:lang w:val="es-ES_tradnl"/>
        </w:rPr>
      </w:pPr>
      <w:r w:rsidRPr="00F6732D">
        <w:rPr>
          <w:rFonts w:ascii="ITC Avant Garde" w:eastAsia="Calibri" w:hAnsi="ITC Avant Garde"/>
          <w:b/>
          <w:sz w:val="22"/>
          <w:szCs w:val="22"/>
        </w:rPr>
        <w:lastRenderedPageBreak/>
        <w:t>TERCERO.- Oferta de Referencia para el Acceso y Uso Compartido de Infraestructura Pasiva y su correspondiente modelo de Convenio presentados por el AEP.</w:t>
      </w:r>
      <w:r w:rsidRPr="00F6732D">
        <w:rPr>
          <w:b/>
          <w:sz w:val="22"/>
          <w:szCs w:val="22"/>
        </w:rPr>
        <w:t xml:space="preserve"> </w:t>
      </w:r>
      <w:r w:rsidRPr="00F6732D">
        <w:rPr>
          <w:rFonts w:ascii="ITC Avant Garde" w:eastAsia="Calibri" w:hAnsi="ITC Avant Garde" w:cs="Arial"/>
          <w:sz w:val="22"/>
          <w:szCs w:val="22"/>
          <w:lang w:val="es-ES_tradnl"/>
        </w:rPr>
        <w:t>La oferta de referencia de acceso y uso compartido de infraestructura pasiva (en lo sucesivo, “Oferta de Referencia”) tiene por objeto poner a disposición de los Concesionarios Solicitantes (en lo sucesivo, “CS” utilizado indistintamente en singular o plural) los términos y condiciones en los que el AEP pondrá a disposición el servicio de acceso y uso compartido de infraestructura pasiva, así como los servicios complementarios pertinentes, con lo cual los CS contarán con los insumos necesarios para tomar una decisión informada respecto a la utilización de los mencionados servicios.</w:t>
      </w:r>
    </w:p>
    <w:p w:rsidR="007C4016" w:rsidRDefault="007C4016" w:rsidP="007C4016">
      <w:pPr>
        <w:spacing w:before="240" w:after="0" w:line="276" w:lineRule="auto"/>
        <w:rPr>
          <w:rFonts w:ascii="ITC Avant Garde" w:eastAsia="Calibri" w:hAnsi="ITC Avant Garde" w:cs="Arial"/>
          <w:sz w:val="22"/>
          <w:szCs w:val="22"/>
          <w:lang w:val="es-ES_tradnl"/>
        </w:rPr>
      </w:pPr>
      <w:r w:rsidRPr="00F6732D">
        <w:rPr>
          <w:rFonts w:ascii="ITC Avant Garde" w:eastAsia="Calibri" w:hAnsi="ITC Avant Garde" w:cs="Arial"/>
          <w:sz w:val="22"/>
          <w:szCs w:val="22"/>
          <w:lang w:val="es-ES_tradnl"/>
        </w:rPr>
        <w:t>La utilización de una Oferta de Referencia presentada por el AEP y revisada por el Instituto otorga certeza en la provisión de los servicios mayoristas, ya que el CS tiene conocimiento de los términos y condiciones que puede aceptar, acortando los tiempos para la prestación de los servicios mayoristas.</w:t>
      </w:r>
    </w:p>
    <w:p w:rsidR="007C4016" w:rsidRDefault="007C4016" w:rsidP="007C4016">
      <w:pPr>
        <w:spacing w:before="240" w:after="0" w:line="276" w:lineRule="auto"/>
        <w:rPr>
          <w:rFonts w:ascii="ITC Avant Garde" w:eastAsia="Calibri" w:hAnsi="ITC Avant Garde" w:cs="Arial"/>
          <w:sz w:val="22"/>
          <w:szCs w:val="22"/>
          <w:lang w:val="es-ES_tradnl"/>
        </w:rPr>
      </w:pPr>
      <w:r w:rsidRPr="00F6732D">
        <w:rPr>
          <w:rFonts w:ascii="ITC Avant Garde" w:eastAsia="Calibri" w:hAnsi="ITC Avant Garde" w:cs="Arial"/>
          <w:sz w:val="22"/>
          <w:szCs w:val="22"/>
          <w:lang w:val="es-ES_tradnl"/>
        </w:rPr>
        <w:t>La supervisión del Instituto tiene el propósito de que los servicios mayoristas se presten de manera justa y equitativa, evitando incurrir en prácticas anticompetitivas en la prestación de los mismos, por lo que se hace necesario que el Instituto pueda realizar modificaciones a la Propuesta de Oferta de Referencia para asegurar que los términos y condiciones que se establezcan permitan mejorar la competencia en el mercado y conseguir mejores condiciones de calidad y precio para los consumidores.</w:t>
      </w:r>
    </w:p>
    <w:p w:rsidR="007C4016" w:rsidRPr="00F6732D" w:rsidRDefault="007C4016" w:rsidP="007C4016">
      <w:pPr>
        <w:spacing w:before="240" w:after="0" w:line="276" w:lineRule="auto"/>
        <w:rPr>
          <w:rFonts w:ascii="ITC Avant Garde" w:eastAsia="Calibri" w:hAnsi="ITC Avant Garde" w:cs="Arial"/>
          <w:sz w:val="22"/>
          <w:szCs w:val="22"/>
          <w:lang w:val="es-ES_tradnl"/>
        </w:rPr>
      </w:pPr>
      <w:r w:rsidRPr="00F6732D">
        <w:rPr>
          <w:rFonts w:ascii="ITC Avant Garde" w:eastAsia="Calibri" w:hAnsi="ITC Avant Garde" w:cs="Arial"/>
          <w:sz w:val="22"/>
          <w:szCs w:val="22"/>
          <w:lang w:val="es-ES_tradnl"/>
        </w:rPr>
        <w:t>En virtud de lo anterior es que el Instituto estableció la Medida CUADRAGÉSIMA PRIMERA de las Medidas Fijas, la cual a la letra señala lo siguiente:</w:t>
      </w:r>
    </w:p>
    <w:p w:rsidR="007C4016" w:rsidRDefault="007C4016" w:rsidP="007C4016">
      <w:pPr>
        <w:pStyle w:val="CitaIFT"/>
        <w:spacing w:before="240" w:after="0"/>
        <w:rPr>
          <w:rStyle w:val="CitaiftCar0"/>
          <w:rFonts w:eastAsia="Century Gothic"/>
          <w:i/>
        </w:rPr>
      </w:pPr>
      <w:r w:rsidRPr="00750FEB">
        <w:t>“</w:t>
      </w:r>
      <w:r w:rsidRPr="00750FEB">
        <w:rPr>
          <w:rStyle w:val="CitaiftCar0"/>
          <w:rFonts w:eastAsia="Century Gothic"/>
          <w:b/>
          <w:i/>
        </w:rPr>
        <w:t>CUADRAGÉSIMA PRIMERA</w:t>
      </w:r>
      <w:r w:rsidRPr="00750FEB">
        <w:rPr>
          <w:rStyle w:val="CitaiftCar0"/>
          <w:rFonts w:eastAsia="Century Gothic"/>
          <w:i/>
        </w:rPr>
        <w:t>.- 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7C4016" w:rsidRDefault="007C4016" w:rsidP="007C4016">
      <w:pPr>
        <w:pStyle w:val="CitaIFT"/>
        <w:spacing w:before="240" w:after="0"/>
        <w:rPr>
          <w:rStyle w:val="CitaiftCar0"/>
          <w:rFonts w:eastAsia="Century Gothic"/>
          <w:i/>
        </w:rPr>
      </w:pPr>
      <w:r w:rsidRPr="00750FEB">
        <w:rPr>
          <w:rStyle w:val="CitaiftCar0"/>
          <w:rFonts w:eastAsia="Century Gothic"/>
          <w:i/>
        </w:rPr>
        <w:t>Cada oferta deberá contener cuando menos lo siguiente:</w:t>
      </w:r>
    </w:p>
    <w:p w:rsidR="007C4016" w:rsidRDefault="007C4016" w:rsidP="007C4016">
      <w:pPr>
        <w:pStyle w:val="CitaIFT"/>
        <w:numPr>
          <w:ilvl w:val="0"/>
          <w:numId w:val="148"/>
        </w:numPr>
        <w:suppressAutoHyphens w:val="0"/>
        <w:spacing w:before="240" w:after="0"/>
        <w:contextualSpacing w:val="0"/>
        <w:rPr>
          <w:rStyle w:val="CitaiftCar0"/>
          <w:rFonts w:eastAsia="Century Gothic"/>
          <w:i/>
        </w:rPr>
      </w:pPr>
      <w:r w:rsidRPr="00750FEB">
        <w:rPr>
          <w:rStyle w:val="CitaiftCar0"/>
          <w:rFonts w:eastAsia="Century Gothic"/>
          <w:i/>
        </w:rPr>
        <w:t>Servicios establecidos de manera específica y condiciones aplicables a los mismos;</w:t>
      </w:r>
    </w:p>
    <w:p w:rsidR="007C4016" w:rsidRDefault="007C4016" w:rsidP="007C4016">
      <w:pPr>
        <w:pStyle w:val="CitaIFT"/>
        <w:spacing w:before="240" w:after="0"/>
        <w:rPr>
          <w:rStyle w:val="CitaiftCar0"/>
          <w:rFonts w:eastAsia="Century Gothic"/>
          <w:i/>
        </w:rPr>
      </w:pPr>
      <w:r w:rsidRPr="00750FEB">
        <w:rPr>
          <w:rStyle w:val="CitaiftCar0"/>
          <w:rFonts w:eastAsia="Century Gothic"/>
          <w:i/>
        </w:rPr>
        <w:t>a) Características de los servicios incluidos, así como de los servicios auxiliares en caso de ser necesarios;</w:t>
      </w:r>
    </w:p>
    <w:p w:rsidR="007C4016" w:rsidRDefault="007C4016" w:rsidP="007C4016">
      <w:pPr>
        <w:pStyle w:val="CitaIFT"/>
        <w:numPr>
          <w:ilvl w:val="0"/>
          <w:numId w:val="148"/>
        </w:numPr>
        <w:suppressAutoHyphens w:val="0"/>
        <w:spacing w:before="240" w:after="0"/>
        <w:contextualSpacing w:val="0"/>
        <w:rPr>
          <w:rStyle w:val="CitaiftCar0"/>
          <w:rFonts w:eastAsia="Century Gothic"/>
          <w:i/>
        </w:rPr>
      </w:pPr>
      <w:r w:rsidRPr="00750FEB">
        <w:rPr>
          <w:rStyle w:val="CitaiftCar0"/>
          <w:rFonts w:eastAsia="Century Gothic"/>
          <w:i/>
        </w:rPr>
        <w:lastRenderedPageBreak/>
        <w:t>Procedimientos para la solicitud de servicios, entrega de los servicios, conciliación y facturación, reparación de fallas, mantenimiento y gestión de incidencias, y demás necesarios para la eficiente prestación del servicio;</w:t>
      </w:r>
    </w:p>
    <w:p w:rsidR="007C4016" w:rsidRDefault="007C4016" w:rsidP="007C4016">
      <w:pPr>
        <w:pStyle w:val="CitaIFT"/>
        <w:numPr>
          <w:ilvl w:val="0"/>
          <w:numId w:val="148"/>
        </w:numPr>
        <w:suppressAutoHyphens w:val="0"/>
        <w:spacing w:before="240" w:after="0"/>
        <w:contextualSpacing w:val="0"/>
        <w:rPr>
          <w:rStyle w:val="CitaiftCar0"/>
          <w:rFonts w:eastAsia="Century Gothic"/>
          <w:i/>
        </w:rPr>
      </w:pPr>
      <w:r w:rsidRPr="00750FEB">
        <w:rPr>
          <w:rStyle w:val="CitaiftCar0"/>
          <w:rFonts w:eastAsia="Century Gothic"/>
          <w:i/>
        </w:rPr>
        <w:t>Plazos para ejecución de cada una de las etapas de los procedimientos referidos en el inciso anterior;</w:t>
      </w:r>
    </w:p>
    <w:p w:rsidR="007C4016" w:rsidRDefault="007C4016" w:rsidP="007C4016">
      <w:pPr>
        <w:pStyle w:val="CitaIFT"/>
        <w:numPr>
          <w:ilvl w:val="0"/>
          <w:numId w:val="148"/>
        </w:numPr>
        <w:suppressAutoHyphens w:val="0"/>
        <w:spacing w:before="240" w:after="0"/>
        <w:contextualSpacing w:val="0"/>
        <w:rPr>
          <w:rStyle w:val="CitaiftCar0"/>
          <w:rFonts w:eastAsia="Century Gothic"/>
          <w:i/>
        </w:rPr>
      </w:pPr>
      <w:r w:rsidRPr="00750FEB">
        <w:rPr>
          <w:rStyle w:val="CitaiftCar0"/>
          <w:rFonts w:eastAsia="Century Gothic"/>
          <w:i/>
        </w:rPr>
        <w:t>Parámetros e indicadores de calidad de servicio;</w:t>
      </w:r>
    </w:p>
    <w:p w:rsidR="007C4016" w:rsidRDefault="007C4016" w:rsidP="007C4016">
      <w:pPr>
        <w:pStyle w:val="CitaIFT"/>
        <w:numPr>
          <w:ilvl w:val="0"/>
          <w:numId w:val="148"/>
        </w:numPr>
        <w:suppressAutoHyphens w:val="0"/>
        <w:spacing w:before="240" w:after="0"/>
        <w:contextualSpacing w:val="0"/>
        <w:rPr>
          <w:rStyle w:val="CitaiftCar0"/>
          <w:rFonts w:eastAsia="Century Gothic"/>
          <w:i/>
        </w:rPr>
      </w:pPr>
      <w:r w:rsidRPr="00750FEB">
        <w:rPr>
          <w:rStyle w:val="CitaiftCar0"/>
          <w:rFonts w:eastAsia="Century Gothic"/>
          <w:i/>
        </w:rPr>
        <w:t>Acuerdos de Nivel de Servicio y las penas aplicables y proporcionales asociadas a su incumplimiento;</w:t>
      </w:r>
    </w:p>
    <w:p w:rsidR="007C4016" w:rsidRDefault="007C4016" w:rsidP="007C4016">
      <w:pPr>
        <w:pStyle w:val="CitaIFT"/>
        <w:numPr>
          <w:ilvl w:val="0"/>
          <w:numId w:val="148"/>
        </w:numPr>
        <w:suppressAutoHyphens w:val="0"/>
        <w:spacing w:before="240" w:after="0"/>
        <w:contextualSpacing w:val="0"/>
        <w:rPr>
          <w:rStyle w:val="CitaiftCar0"/>
          <w:rFonts w:eastAsia="Century Gothic"/>
          <w:i/>
        </w:rPr>
      </w:pPr>
      <w:r w:rsidRPr="00750FEB">
        <w:rPr>
          <w:rStyle w:val="CitaiftCar0"/>
          <w:rFonts w:eastAsia="Century Gothic"/>
          <w:i/>
        </w:rPr>
        <w:t>Tarifas;</w:t>
      </w:r>
    </w:p>
    <w:p w:rsidR="007C4016" w:rsidRDefault="007C4016" w:rsidP="007C4016">
      <w:pPr>
        <w:pStyle w:val="CitaIFT"/>
        <w:numPr>
          <w:ilvl w:val="0"/>
          <w:numId w:val="148"/>
        </w:numPr>
        <w:suppressAutoHyphens w:val="0"/>
        <w:spacing w:before="240" w:after="0"/>
        <w:contextualSpacing w:val="0"/>
        <w:rPr>
          <w:rStyle w:val="CitaiftCar0"/>
          <w:rFonts w:eastAsia="Century Gothic"/>
          <w:i/>
        </w:rPr>
      </w:pPr>
      <w:r w:rsidRPr="00750FEB">
        <w:rPr>
          <w:rStyle w:val="CitaiftCar0"/>
          <w:rFonts w:eastAsia="Century Gothic"/>
          <w:i/>
        </w:rPr>
        <w:t>Información, características y normativa técnica necesaria para la prestación de los diferentes servicios, e</w:t>
      </w:r>
    </w:p>
    <w:p w:rsidR="007C4016" w:rsidRPr="00F14164" w:rsidRDefault="007C4016" w:rsidP="007C4016">
      <w:pPr>
        <w:pStyle w:val="CitaIFT"/>
        <w:numPr>
          <w:ilvl w:val="0"/>
          <w:numId w:val="148"/>
        </w:numPr>
        <w:suppressAutoHyphens w:val="0"/>
        <w:spacing w:before="240" w:after="0"/>
        <w:contextualSpacing w:val="0"/>
        <w:rPr>
          <w:rStyle w:val="CitaiftCar0"/>
          <w:rFonts w:eastAsia="Century Gothic"/>
          <w:i/>
        </w:rPr>
      </w:pPr>
      <w:r w:rsidRPr="00750FEB">
        <w:rPr>
          <w:rStyle w:val="CitaiftCar0"/>
          <w:rFonts w:eastAsia="Century Gothic"/>
          <w:i/>
        </w:rPr>
        <w:t>Información que deberá reflejarse en el Sistema Electrónico de Gestión.</w:t>
      </w:r>
    </w:p>
    <w:p w:rsidR="007C4016" w:rsidRDefault="007C4016" w:rsidP="007C4016">
      <w:pPr>
        <w:pStyle w:val="CitaIFT"/>
        <w:spacing w:before="240" w:after="0"/>
        <w:rPr>
          <w:rStyle w:val="CitaiftCar0"/>
          <w:rFonts w:eastAsia="Century Gothic"/>
          <w:i/>
        </w:rPr>
      </w:pPr>
      <w:r w:rsidRPr="00750FEB">
        <w:rPr>
          <w:rStyle w:val="CitaiftCar0"/>
          <w:rFonts w:eastAsia="Century Gothic"/>
          <w:i/>
        </w:rPr>
        <w:t>La propuesta que presente el Agente Económico Preponderante deberá reflejar, al menos, condiciones equivalentes a las de la Oferta de Referencia vigente.</w:t>
      </w:r>
    </w:p>
    <w:p w:rsidR="007C4016" w:rsidRDefault="007C4016" w:rsidP="007C4016">
      <w:pPr>
        <w:pStyle w:val="CitaIFT"/>
        <w:spacing w:before="240" w:after="0"/>
        <w:rPr>
          <w:rStyle w:val="CitaiftCar0"/>
          <w:rFonts w:eastAsia="Century Gothic"/>
          <w:i/>
        </w:rPr>
      </w:pPr>
      <w:r w:rsidRPr="00750FEB">
        <w:rPr>
          <w:rStyle w:val="CitaiftCar0"/>
          <w:rFonts w:eastAsia="Century Gothic"/>
          <w:i/>
        </w:rPr>
        <w:t>Las Ofertas de Referencia se someterán a consulta pública por un periodo de treinta días naturales. Terminada la consulta, el Instituto contará con treinta días naturales para aprobar o modificar la oferta, plazo dentro del cual, en caso de haberse realizado alguna modificación, dará vista al Agente Económico Preponderante para que manifieste lo que a su derecho convenga.</w:t>
      </w:r>
    </w:p>
    <w:p w:rsidR="007C4016" w:rsidRDefault="007C4016" w:rsidP="007C4016">
      <w:pPr>
        <w:pStyle w:val="CitaIFT"/>
        <w:spacing w:before="240" w:after="0"/>
        <w:rPr>
          <w:rStyle w:val="CitaiftCar0"/>
          <w:rFonts w:eastAsia="Century Gothic"/>
          <w:i/>
        </w:rPr>
      </w:pPr>
      <w:r w:rsidRPr="00750FEB">
        <w:rPr>
          <w:rStyle w:val="CitaiftCar0"/>
          <w:rFonts w:eastAsia="Century Gothic"/>
          <w:i/>
        </w:rPr>
        <w:t>Las Ofertas de Referencia deberán publicarse a través de la página de Internet del Instituto y del Agente Económico Preponderante dentro de los primeros quince días del mes de diciembre de cada año y entrarán en vigor el primero de enero del siguiente año.</w:t>
      </w:r>
    </w:p>
    <w:p w:rsidR="007C4016" w:rsidRDefault="007C4016" w:rsidP="007C4016">
      <w:pPr>
        <w:pStyle w:val="CitaIFT"/>
        <w:spacing w:before="240" w:after="0"/>
        <w:rPr>
          <w:rStyle w:val="CitaiftCar0"/>
          <w:rFonts w:eastAsia="Century Gothic"/>
          <w:i/>
        </w:rPr>
      </w:pPr>
      <w:r w:rsidRPr="00750FEB">
        <w:rPr>
          <w:rStyle w:val="CitaiftCar0"/>
          <w:rFonts w:eastAsia="Century Gothic"/>
          <w:i/>
        </w:rPr>
        <w:t>Las Ofertas de Referencia se podrán modificar en los siguientes casos:</w:t>
      </w:r>
    </w:p>
    <w:p w:rsidR="007C4016" w:rsidRPr="0061331A" w:rsidRDefault="007C4016" w:rsidP="007C4016">
      <w:pPr>
        <w:pStyle w:val="CitaIFT"/>
        <w:numPr>
          <w:ilvl w:val="0"/>
          <w:numId w:val="149"/>
        </w:numPr>
        <w:suppressAutoHyphens w:val="0"/>
        <w:spacing w:before="240" w:after="0"/>
        <w:contextualSpacing w:val="0"/>
        <w:rPr>
          <w:rStyle w:val="CitaiftCar0"/>
          <w:rFonts w:eastAsia="Century Gothic"/>
          <w:i/>
        </w:rPr>
      </w:pPr>
      <w:r w:rsidRPr="00750FEB">
        <w:rPr>
          <w:rStyle w:val="CitaiftCar0"/>
          <w:rFonts w:eastAsia="Century Gothic"/>
          <w:i/>
        </w:rPr>
        <w:t>Cuando el Agente Económica Preponderante lo solicite al Instituto para asegurar la replicabilidad técnica y económica de una nueva oferta minorista o modificación a una existente, y para ello requiera adecuar los servicios y/o tarifas incluidos en las Ofertas de Referencia vigentes.</w:t>
      </w:r>
    </w:p>
    <w:p w:rsidR="007C4016" w:rsidRPr="0061331A" w:rsidRDefault="007C4016" w:rsidP="007C4016">
      <w:pPr>
        <w:pStyle w:val="CitaIFT"/>
        <w:numPr>
          <w:ilvl w:val="0"/>
          <w:numId w:val="149"/>
        </w:numPr>
        <w:suppressAutoHyphens w:val="0"/>
        <w:spacing w:before="240" w:after="0"/>
        <w:contextualSpacing w:val="0"/>
        <w:rPr>
          <w:rStyle w:val="CitaiftCar0"/>
          <w:rFonts w:eastAsia="Century Gothic"/>
          <w:i/>
        </w:rPr>
      </w:pPr>
      <w:r w:rsidRPr="00750FEB">
        <w:rPr>
          <w:rStyle w:val="CitaiftCar0"/>
          <w:rFonts w:eastAsia="Century Gothic"/>
          <w:i/>
        </w:rPr>
        <w:t>Cuando lo ordene el Instituto por haber identificado que existen elementos clave adicionales a los ya contemplados en la Oferta de Referencia que se consideran indispensables para asegurar que las presentes medidas cumplan con su objetivo de fomento a la competencia. En tal caso, el Instituto dará vista al Agente Económico Preponderante para que manifieste lo que a su derecho convenga.</w:t>
      </w:r>
    </w:p>
    <w:p w:rsidR="007C4016" w:rsidRPr="0061331A" w:rsidRDefault="007C4016" w:rsidP="007C4016">
      <w:pPr>
        <w:pStyle w:val="CitaIFT"/>
        <w:spacing w:before="240" w:after="0"/>
        <w:rPr>
          <w:rStyle w:val="CitaiftCar0"/>
          <w:rFonts w:eastAsia="Century Gothic"/>
          <w:i/>
        </w:rPr>
      </w:pPr>
      <w:r w:rsidRPr="00750FEB">
        <w:rPr>
          <w:rStyle w:val="CitaiftCar0"/>
          <w:rFonts w:eastAsia="Century Gothic"/>
          <w:i/>
        </w:rPr>
        <w:t>En los casos anteriores, el Instituto resolverá lo conducente en un plazo no mayor a treinta días naturales.</w:t>
      </w:r>
    </w:p>
    <w:p w:rsidR="007C4016" w:rsidRDefault="007C4016" w:rsidP="007C4016">
      <w:pPr>
        <w:pStyle w:val="CitaIFT"/>
        <w:spacing w:before="240" w:after="0"/>
        <w:rPr>
          <w:rStyle w:val="CitaiftCar0"/>
          <w:rFonts w:eastAsia="Century Gothic"/>
          <w:i/>
        </w:rPr>
      </w:pPr>
      <w:r w:rsidRPr="00750FEB">
        <w:rPr>
          <w:rStyle w:val="CitaiftCar0"/>
          <w:rFonts w:eastAsia="Century Gothic"/>
          <w:i/>
        </w:rPr>
        <w:t>Cualquier modificación a una Oferta de Referencia estará vigente hasta en tanto no haya una que la sustituya y deberá reflejarse en el Sistema Electrónico de Gestión.</w:t>
      </w:r>
    </w:p>
    <w:p w:rsidR="007C4016" w:rsidRDefault="007C4016" w:rsidP="007C4016">
      <w:pPr>
        <w:pStyle w:val="CitaIFT"/>
        <w:spacing w:before="240" w:after="0"/>
        <w:rPr>
          <w:rStyle w:val="CitaiftCar0"/>
          <w:rFonts w:eastAsia="Century Gothic"/>
          <w:i/>
        </w:rPr>
      </w:pPr>
      <w:r w:rsidRPr="00750FEB">
        <w:rPr>
          <w:rStyle w:val="CitaiftCar0"/>
          <w:rFonts w:eastAsia="Century Gothic"/>
          <w:i/>
        </w:rPr>
        <w:lastRenderedPageBreak/>
        <w:t>El Agente Económico Preponderante no podrá establecer condiciones que inhiban la competencia en la prestación de los servicios objeto de las Ofertas de Referencia, cualquier requisito que no sea necesario para la eficiente prestación del servicio, ni:</w:t>
      </w:r>
    </w:p>
    <w:p w:rsidR="007C4016" w:rsidRDefault="007C4016" w:rsidP="007C4016">
      <w:pPr>
        <w:pStyle w:val="CitaIFT"/>
        <w:numPr>
          <w:ilvl w:val="0"/>
          <w:numId w:val="150"/>
        </w:numPr>
        <w:suppressAutoHyphens w:val="0"/>
        <w:spacing w:before="240" w:after="0"/>
        <w:contextualSpacing w:val="0"/>
        <w:rPr>
          <w:rStyle w:val="CitaiftCar0"/>
          <w:rFonts w:eastAsia="Century Gothic"/>
          <w:i/>
        </w:rPr>
      </w:pPr>
      <w:r w:rsidRPr="00750FEB">
        <w:rPr>
          <w:rStyle w:val="CitaiftCar0"/>
          <w:rFonts w:eastAsia="Century Gothic"/>
          <w:i/>
        </w:rPr>
        <w:t>Aplicar condiciones discriminatorias y/o abusivas en la prestación de los servicios, por lo que deberán ofrecer los mismos precios, términos, condiciones y descuentos establecidos en las Ofertas de Referencia a cualquier Concesionario Solicitante o Autorizado Solicitante que se lo requiera.</w:t>
      </w:r>
    </w:p>
    <w:p w:rsidR="007C4016" w:rsidRDefault="007C4016" w:rsidP="007C4016">
      <w:pPr>
        <w:pStyle w:val="CitaIFT"/>
        <w:numPr>
          <w:ilvl w:val="0"/>
          <w:numId w:val="150"/>
        </w:numPr>
        <w:suppressAutoHyphens w:val="0"/>
        <w:spacing w:before="240" w:after="0"/>
        <w:contextualSpacing w:val="0"/>
        <w:rPr>
          <w:rStyle w:val="CitaiftCar0"/>
          <w:rFonts w:eastAsia="Century Gothic"/>
          <w:i/>
        </w:rPr>
      </w:pPr>
      <w:r w:rsidRPr="00750FEB">
        <w:rPr>
          <w:rStyle w:val="CitaiftCar0"/>
          <w:rFonts w:eastAsia="Century Gothic"/>
          <w:i/>
        </w:rPr>
        <w:t>Aplicar términos y condiciones a sus propias operaciones, subsidiarias o filiales, o empresas que pertenezcan al mismo grupo de interés económico distintos a los establecidos en las Ofertas de Referencia.</w:t>
      </w:r>
    </w:p>
    <w:p w:rsidR="007C4016" w:rsidRDefault="007C4016" w:rsidP="007C4016">
      <w:pPr>
        <w:pStyle w:val="CitaIFT"/>
        <w:numPr>
          <w:ilvl w:val="0"/>
          <w:numId w:val="150"/>
        </w:numPr>
        <w:suppressAutoHyphens w:val="0"/>
        <w:spacing w:before="240" w:after="0"/>
        <w:contextualSpacing w:val="0"/>
        <w:rPr>
          <w:rStyle w:val="CitaiftCar0"/>
          <w:rFonts w:eastAsia="Century Gothic"/>
          <w:i/>
        </w:rPr>
      </w:pPr>
      <w:r w:rsidRPr="00750FEB">
        <w:rPr>
          <w:rStyle w:val="CitaiftCar0"/>
          <w:rFonts w:eastAsia="Century Gothic"/>
          <w:i/>
        </w:rPr>
        <w:t>Condicionar la provisión de los servicios a comprar, adquirir, vender o proporcionar otro bien o servicio adicional o diferente de aquél.</w:t>
      </w:r>
    </w:p>
    <w:p w:rsidR="007C4016" w:rsidRDefault="007C4016" w:rsidP="007C4016">
      <w:pPr>
        <w:pStyle w:val="CitaIFT"/>
        <w:numPr>
          <w:ilvl w:val="0"/>
          <w:numId w:val="150"/>
        </w:numPr>
        <w:suppressAutoHyphens w:val="0"/>
        <w:spacing w:before="240" w:after="0"/>
        <w:contextualSpacing w:val="0"/>
        <w:rPr>
          <w:rStyle w:val="CitaiftCar0"/>
          <w:rFonts w:eastAsia="Century Gothic"/>
          <w:i/>
        </w:rPr>
      </w:pPr>
      <w:r w:rsidRPr="00750FEB">
        <w:rPr>
          <w:rStyle w:val="CitaiftCar0"/>
          <w:rFonts w:eastAsia="Century Gothic"/>
          <w:i/>
        </w:rPr>
        <w:t>Sujetar la provisión de los servicios a una condición de exclusividad, o de no adquirir, vender, comercializar o proporcionar los servicios proporcionados o comercializados por un tercero.</w:t>
      </w:r>
    </w:p>
    <w:p w:rsidR="007C4016" w:rsidRPr="00F14164" w:rsidRDefault="007C4016" w:rsidP="007C4016">
      <w:pPr>
        <w:pStyle w:val="CitaIFT"/>
        <w:numPr>
          <w:ilvl w:val="0"/>
          <w:numId w:val="150"/>
        </w:numPr>
        <w:suppressAutoHyphens w:val="0"/>
        <w:spacing w:before="240" w:after="0"/>
        <w:contextualSpacing w:val="0"/>
        <w:rPr>
          <w:rStyle w:val="CitaiftCar0"/>
          <w:rFonts w:eastAsia="Century Gothic"/>
          <w:i/>
        </w:rPr>
      </w:pPr>
      <w:r w:rsidRPr="00750FEB">
        <w:rPr>
          <w:rStyle w:val="CitaiftCar0"/>
          <w:rFonts w:eastAsia="Century Gothic"/>
          <w:i/>
        </w:rPr>
        <w:t>Sujetar la provisión de los servicios a la obligación de convenir condiciones distintas o adicionales a las que contemplan las Ofertas de Referencia</w:t>
      </w:r>
      <w:r>
        <w:rPr>
          <w:rStyle w:val="CitaiftCar0"/>
          <w:rFonts w:eastAsia="Century Gothic"/>
          <w:i/>
        </w:rPr>
        <w:t>”</w:t>
      </w:r>
      <w:r w:rsidRPr="00750FEB">
        <w:rPr>
          <w:rStyle w:val="CitaiftCar0"/>
          <w:rFonts w:eastAsia="Century Gothic"/>
          <w:i/>
        </w:rPr>
        <w:t>.</w:t>
      </w:r>
    </w:p>
    <w:p w:rsidR="007C4016" w:rsidRDefault="007C4016" w:rsidP="007C4016">
      <w:pPr>
        <w:spacing w:before="240" w:after="0" w:line="276" w:lineRule="auto"/>
        <w:rPr>
          <w:rFonts w:ascii="ITC Avant Garde" w:eastAsia="Calibri" w:hAnsi="ITC Avant Garde" w:cs="Arial"/>
          <w:sz w:val="22"/>
          <w:szCs w:val="22"/>
          <w:lang w:val="es-ES_tradnl"/>
        </w:rPr>
      </w:pPr>
      <w:r w:rsidRPr="00F6732D">
        <w:rPr>
          <w:rFonts w:ascii="ITC Avant Garde" w:eastAsia="Calibri" w:hAnsi="ITC Avant Garde" w:cs="Arial"/>
          <w:sz w:val="22"/>
          <w:szCs w:val="22"/>
          <w:lang w:val="es-ES_tradnl"/>
        </w:rPr>
        <w:t>Por otra parte, el Instituto consideró necesario dotar de certeza jurídica a los CS que requieran los servicios mayoristas del AEP, así como a</w:t>
      </w:r>
      <w:r w:rsidRPr="00F6732D">
        <w:rPr>
          <w:rFonts w:ascii="ITC Avant Garde" w:hAnsi="ITC Avant Garde" w:cs="Calibri"/>
          <w:sz w:val="22"/>
          <w:szCs w:val="22"/>
          <w:lang w:val="es-ES_tradnl" w:eastAsia="es-MX"/>
        </w:rPr>
        <w:t xml:space="preserve"> </w:t>
      </w:r>
      <w:r w:rsidRPr="00F6732D">
        <w:rPr>
          <w:rFonts w:ascii="ITC Avant Garde" w:eastAsia="Calibri" w:hAnsi="ITC Avant Garde" w:cs="Arial"/>
          <w:sz w:val="22"/>
          <w:szCs w:val="22"/>
          <w:lang w:val="es-ES_tradnl"/>
        </w:rPr>
        <w:t>este último, por lo que en la Resolución AEP estimó conveniente la existencia de un modelo de convenio por medio del cual se formalice la relación contractual, el cual también está previsto que sea revisado por el Instituto. Con ello se otorga seguridad a los CS respecto de los servicios que les sean proporcionados, asegurando términos y condiciones justas y equitativas para que no se incurra en prácticas contrarias a la sana competencia.</w:t>
      </w:r>
    </w:p>
    <w:p w:rsidR="007C4016" w:rsidRPr="00F6732D" w:rsidRDefault="007C4016" w:rsidP="007C4016">
      <w:pPr>
        <w:spacing w:before="240" w:after="0" w:line="276" w:lineRule="auto"/>
        <w:rPr>
          <w:rFonts w:ascii="ITC Avant Garde" w:eastAsia="Calibri" w:hAnsi="ITC Avant Garde" w:cs="Arial"/>
          <w:sz w:val="22"/>
          <w:szCs w:val="22"/>
          <w:lang w:val="es-ES"/>
        </w:rPr>
      </w:pPr>
      <w:r w:rsidRPr="00F6732D">
        <w:rPr>
          <w:rFonts w:ascii="ITC Avant Garde" w:eastAsia="Calibri" w:hAnsi="ITC Avant Garde" w:cs="Arial"/>
          <w:sz w:val="22"/>
          <w:szCs w:val="22"/>
          <w:lang w:val="es-ES"/>
        </w:rPr>
        <w:t xml:space="preserve">Lo anterior quedó plasmado en la Medida CUADRAGÉSIMA TERCERA de las Medidas Fijas, de la siguiente manera: </w:t>
      </w:r>
    </w:p>
    <w:p w:rsidR="007C4016" w:rsidRPr="00F14164" w:rsidRDefault="007C4016" w:rsidP="007C4016">
      <w:pPr>
        <w:pStyle w:val="Citaift0"/>
        <w:spacing w:before="240" w:after="0"/>
        <w:rPr>
          <w:lang w:val="es-ES_tradnl"/>
        </w:rPr>
      </w:pPr>
      <w:r w:rsidRPr="0065529E">
        <w:rPr>
          <w:lang w:val="es-ES_tradnl"/>
        </w:rPr>
        <w:t>“</w:t>
      </w:r>
      <w:r w:rsidRPr="00F14164">
        <w:rPr>
          <w:b/>
          <w:lang w:val="es-ES_tradnl"/>
        </w:rPr>
        <w:t>CUADRAGÉSIMA TERCERA</w:t>
      </w:r>
      <w:r w:rsidRPr="00F14164">
        <w:rPr>
          <w:lang w:val="es-ES_tradnl"/>
        </w:rPr>
        <w:t>.- El Agente Económico Preponderante deberá suscribir con los Concesionarios Solicitantes y Autorizados Solicitantes, dentro de los quince días siguientes a los que les sea presentada la solicitud de prestación de servicios mayoristas regulados, el Convenio respectivo.</w:t>
      </w:r>
    </w:p>
    <w:p w:rsidR="007C4016" w:rsidRPr="00F14164" w:rsidRDefault="007C4016" w:rsidP="007C4016">
      <w:pPr>
        <w:pStyle w:val="Citaift0"/>
        <w:spacing w:before="240" w:after="0"/>
        <w:rPr>
          <w:lang w:val="es-ES_tradnl"/>
        </w:rPr>
      </w:pPr>
      <w:r w:rsidRPr="00F14164">
        <w:rPr>
          <w:lang w:val="es-ES_tradnl"/>
        </w:rPr>
        <w:t>Dichos convenios deberán reflejar lo establecido en las presentes medidas y en las Ofertas de Referencia, así como incluir las compensaciones existentes por incumplimientos y todas aquellas condiciones que otorguen certeza en la prestación de los servicios contratados, incluyendo plazos mínimos de permanencia.”</w:t>
      </w:r>
    </w:p>
    <w:p w:rsidR="007C4016" w:rsidRPr="00F6732D" w:rsidRDefault="007C4016" w:rsidP="007C4016">
      <w:pPr>
        <w:spacing w:before="240" w:after="0" w:line="276" w:lineRule="auto"/>
        <w:rPr>
          <w:rFonts w:ascii="ITC Avant Garde" w:eastAsia="Calibri" w:hAnsi="ITC Avant Garde" w:cs="Arial"/>
          <w:color w:val="000000"/>
          <w:sz w:val="22"/>
          <w:szCs w:val="22"/>
          <w:lang w:val="es-ES"/>
        </w:rPr>
      </w:pPr>
      <w:r w:rsidRPr="00F6732D">
        <w:rPr>
          <w:rFonts w:ascii="ITC Avant Garde" w:eastAsia="Calibri" w:hAnsi="ITC Avant Garde" w:cs="Arial"/>
          <w:color w:val="000000"/>
          <w:sz w:val="22"/>
          <w:szCs w:val="22"/>
          <w:lang w:val="es-ES"/>
        </w:rPr>
        <w:lastRenderedPageBreak/>
        <w:t xml:space="preserve">De esta forma se observa que en cumplimiento a las Medidas CUADRAGÉSIMA PRIMERA y CUADRAGÉSIMA TERCERA de las Medidas Fijas, la Oferta de Referencia y el modelo de Convenio </w:t>
      </w:r>
      <w:r w:rsidRPr="00F6732D">
        <w:rPr>
          <w:rFonts w:ascii="ITC Avant Garde" w:eastAsia="Calibri" w:hAnsi="ITC Avant Garde" w:cs="Arial"/>
          <w:color w:val="000000"/>
          <w:sz w:val="22"/>
          <w:szCs w:val="22"/>
        </w:rPr>
        <w:t>finalmente autorizados</w:t>
      </w:r>
      <w:r w:rsidRPr="00F6732D">
        <w:rPr>
          <w:rFonts w:ascii="ITC Avant Garde" w:eastAsia="Calibri" w:hAnsi="ITC Avant Garde" w:cs="Arial"/>
          <w:color w:val="000000"/>
          <w:sz w:val="22"/>
          <w:szCs w:val="22"/>
          <w:lang w:val="es-ES"/>
        </w:rPr>
        <w:t xml:space="preserve"> deberán ser aprobados por el Instituto, pues éste tiene la obligación de vigilar en todo momento que dicha Oferta de Referencia y su Convenio cumplan con lo establecido en las Medidas Fijas. De esta forma, el Instituto cuenta con la facultad de modificar los términos y condiciones </w:t>
      </w:r>
      <w:r w:rsidRPr="00F6732D">
        <w:rPr>
          <w:rFonts w:ascii="ITC Avant Garde" w:eastAsia="Calibri" w:hAnsi="ITC Avant Garde" w:cs="Arial"/>
          <w:color w:val="000000"/>
          <w:sz w:val="22"/>
          <w:szCs w:val="22"/>
          <w:lang w:val="es-ES_tradnl"/>
        </w:rPr>
        <w:t>de</w:t>
      </w:r>
      <w:r w:rsidRPr="00F6732D">
        <w:rPr>
          <w:rFonts w:ascii="ITC Avant Garde" w:eastAsia="Calibri" w:hAnsi="ITC Avant Garde" w:cs="Arial"/>
          <w:color w:val="000000"/>
          <w:sz w:val="22"/>
          <w:szCs w:val="22"/>
          <w:lang w:val="es-ES"/>
        </w:rPr>
        <w:t xml:space="preserve"> los mismos, cuando a su juicio no se ajusten a lo establecido en las Medidas Fijas o no ofrezcan condiciones que favorezcan la competencia en el sector.</w:t>
      </w:r>
    </w:p>
    <w:p w:rsidR="007C4016" w:rsidRPr="005E3D05" w:rsidRDefault="007C4016" w:rsidP="007C4016">
      <w:pPr>
        <w:pStyle w:val="IFTnormal"/>
        <w:spacing w:before="240" w:after="0"/>
      </w:pPr>
      <w:r w:rsidRPr="005E3D05">
        <w:rPr>
          <w:b/>
        </w:rPr>
        <w:t>CUARTO</w:t>
      </w:r>
      <w:r w:rsidRPr="005E3D05">
        <w:t xml:space="preserve">.- </w:t>
      </w:r>
      <w:r w:rsidRPr="005E3D05">
        <w:rPr>
          <w:b/>
        </w:rPr>
        <w:t xml:space="preserve">Procedimiento de revisión de la Oferta de Referencia de Acceso y Uso Compartido de Infraestructura Pasiva.- </w:t>
      </w:r>
      <w:r w:rsidRPr="005E3D05">
        <w:t xml:space="preserve">El artículo 6, apartado B, fracción II de la Constitución establece que las telecomunicaciones son servicios públicos de interés general, y </w:t>
      </w:r>
      <w:r>
        <w:t xml:space="preserve">que </w:t>
      </w:r>
      <w:r w:rsidRPr="005E3D05">
        <w:t>es deber del Estado garantizar que se presten en condiciones de competencia, calidad, pluralidad, cobertura universal, interconexión, convergencia, continuidad, acceso libre y sin injerencias arbitrarias.</w:t>
      </w:r>
    </w:p>
    <w:p w:rsidR="007C4016" w:rsidRPr="005E3D05" w:rsidRDefault="007C4016" w:rsidP="007C4016">
      <w:pPr>
        <w:pStyle w:val="IFTnormal"/>
        <w:spacing w:before="240" w:after="0"/>
      </w:pPr>
      <w:r w:rsidRPr="005E3D05">
        <w:t xml:space="preserve">Es así que uno de los objetivos de la </w:t>
      </w:r>
      <w:r w:rsidRPr="005E3D05" w:rsidDel="00931D01">
        <w:t>LFT</w:t>
      </w:r>
      <w:r w:rsidDel="00931D01">
        <w:t>y</w:t>
      </w:r>
      <w:r w:rsidRPr="005E3D05" w:rsidDel="00931D01">
        <w:t>R</w:t>
      </w:r>
      <w:r w:rsidRPr="005E3D05">
        <w:t xml:space="preserve"> es regular el uso y aprovechamiento de las redes públicas de telecomunicaciones, así como la prestación de los servicios públicos de interés general de telecomunicaciones.</w:t>
      </w:r>
    </w:p>
    <w:p w:rsidR="007C4016" w:rsidRDefault="007C4016" w:rsidP="007C4016">
      <w:pPr>
        <w:pStyle w:val="IFTnormal"/>
        <w:spacing w:before="240" w:after="0"/>
        <w:rPr>
          <w:rFonts w:eastAsia="Times New Roman"/>
        </w:rPr>
      </w:pPr>
      <w:r w:rsidRPr="005E3D05">
        <w:t xml:space="preserve">En este sentido, la Medida </w:t>
      </w:r>
      <w:r>
        <w:t>CUADRAGÉSIMA PRIMERA</w:t>
      </w:r>
      <w:r w:rsidRPr="005E3D05">
        <w:t xml:space="preserve"> de </w:t>
      </w:r>
      <w:r>
        <w:t>Medidas Fijas</w:t>
      </w:r>
      <w:r w:rsidRPr="005E3D05">
        <w:t xml:space="preserve"> establece que el AEP deberá</w:t>
      </w:r>
      <w:r>
        <w:t xml:space="preserve"> presentar</w:t>
      </w:r>
      <w:r w:rsidRPr="005E3D05">
        <w:t xml:space="preserve"> en el mes de julio del año</w:t>
      </w:r>
      <w:r w:rsidRPr="00364243">
        <w:rPr>
          <w:rFonts w:eastAsia="Times New Roman"/>
          <w:szCs w:val="20"/>
        </w:rPr>
        <w:t xml:space="preserve"> que corresponda</w:t>
      </w:r>
      <w:r w:rsidRPr="00364243">
        <w:rPr>
          <w:rFonts w:eastAsia="Times New Roman"/>
        </w:rPr>
        <w:t>, para autorización del Instituto</w:t>
      </w:r>
      <w:r>
        <w:rPr>
          <w:rFonts w:eastAsia="Times New Roman"/>
        </w:rPr>
        <w:t>,</w:t>
      </w:r>
      <w:r w:rsidRPr="00364243">
        <w:rPr>
          <w:rFonts w:eastAsia="Times New Roman"/>
        </w:rPr>
        <w:t xml:space="preserve"> una propuesta de Oferta de Referencia para la prestación del Servicio de Acceso y Uso Compartido de Infraestructura Pasiva </w:t>
      </w:r>
      <w:r w:rsidRPr="00907919">
        <w:rPr>
          <w:rFonts w:eastAsia="Times New Roman"/>
        </w:rPr>
        <w:t>que cumpla con lo establecido en la legislación aplicable</w:t>
      </w:r>
      <w:r>
        <w:rPr>
          <w:rFonts w:eastAsia="Times New Roman"/>
        </w:rPr>
        <w:t>.</w:t>
      </w:r>
    </w:p>
    <w:p w:rsidR="007C4016" w:rsidRPr="005E3D05" w:rsidRDefault="007C4016" w:rsidP="007C4016">
      <w:pPr>
        <w:pStyle w:val="IFTnormal"/>
        <w:spacing w:before="240" w:after="0"/>
        <w:rPr>
          <w:rFonts w:eastAsia="Times New Roman"/>
        </w:rPr>
      </w:pPr>
      <w:r w:rsidRPr="005E3D05">
        <w:rPr>
          <w:rFonts w:eastAsia="Times New Roman"/>
        </w:rPr>
        <w:t xml:space="preserve">Asimismo, se estableció que la vigencia de la Oferta de Referencia de Acceso y Uso Compartido de Infraestructura Pasiva, el procedimiento para su presentación y autorización, así como las fechas para su publicación serán aquellas especificadas en </w:t>
      </w:r>
      <w:r>
        <w:rPr>
          <w:rFonts w:eastAsia="Times New Roman"/>
        </w:rPr>
        <w:t xml:space="preserve">el artículo 268 de </w:t>
      </w:r>
      <w:r w:rsidRPr="005E3D05">
        <w:rPr>
          <w:rFonts w:eastAsia="Times New Roman"/>
        </w:rPr>
        <w:t xml:space="preserve">la </w:t>
      </w:r>
      <w:r w:rsidRPr="005E3D05" w:rsidDel="00931D01">
        <w:rPr>
          <w:rFonts w:eastAsia="Times New Roman"/>
        </w:rPr>
        <w:t>LFT</w:t>
      </w:r>
      <w:r w:rsidDel="00931D01">
        <w:rPr>
          <w:rFonts w:eastAsia="Times New Roman"/>
        </w:rPr>
        <w:t>y</w:t>
      </w:r>
      <w:r w:rsidRPr="005E3D05" w:rsidDel="00931D01">
        <w:rPr>
          <w:rFonts w:eastAsia="Times New Roman"/>
        </w:rPr>
        <w:t>R</w:t>
      </w:r>
      <w:r w:rsidRPr="005E3D05">
        <w:rPr>
          <w:rFonts w:eastAsia="Times New Roman"/>
        </w:rPr>
        <w:t xml:space="preserve"> o aquella que la sustituya. </w:t>
      </w:r>
    </w:p>
    <w:p w:rsidR="007C4016" w:rsidRPr="005E3D05" w:rsidRDefault="007C4016" w:rsidP="007C4016">
      <w:pPr>
        <w:pStyle w:val="IFTnormal"/>
        <w:spacing w:before="240" w:after="0"/>
        <w:rPr>
          <w:rFonts w:eastAsia="Times New Roman"/>
        </w:rPr>
      </w:pPr>
      <w:r>
        <w:rPr>
          <w:rFonts w:eastAsia="Times New Roman"/>
        </w:rPr>
        <w:t xml:space="preserve">Al respecto, </w:t>
      </w:r>
      <w:r w:rsidRPr="005E3D05">
        <w:rPr>
          <w:rFonts w:eastAsia="Times New Roman"/>
        </w:rPr>
        <w:t xml:space="preserve">la Medida </w:t>
      </w:r>
      <w:r>
        <w:rPr>
          <w:rFonts w:eastAsia="Times New Roman"/>
        </w:rPr>
        <w:t>CUADRAGÉSIMA PRIMERA</w:t>
      </w:r>
      <w:r w:rsidRPr="005E3D05">
        <w:rPr>
          <w:rFonts w:eastAsia="Times New Roman"/>
        </w:rPr>
        <w:t xml:space="preserve"> de las Medidas </w:t>
      </w:r>
      <w:r>
        <w:rPr>
          <w:rFonts w:eastAsia="Times New Roman"/>
        </w:rPr>
        <w:t>Fijas,</w:t>
      </w:r>
      <w:r w:rsidRPr="005E3D05">
        <w:rPr>
          <w:rFonts w:eastAsia="Times New Roman"/>
        </w:rPr>
        <w:t xml:space="preserve"> en correspondencia con el artículo 268 de la </w:t>
      </w:r>
      <w:r w:rsidRPr="005E3D05" w:rsidDel="00931D01">
        <w:rPr>
          <w:rFonts w:eastAsia="Times New Roman"/>
        </w:rPr>
        <w:t>LFT</w:t>
      </w:r>
      <w:r w:rsidDel="00931D01">
        <w:rPr>
          <w:rFonts w:eastAsia="Times New Roman"/>
        </w:rPr>
        <w:t>y</w:t>
      </w:r>
      <w:r w:rsidRPr="005E3D05" w:rsidDel="00931D01">
        <w:rPr>
          <w:rFonts w:eastAsia="Times New Roman"/>
        </w:rPr>
        <w:t>R</w:t>
      </w:r>
      <w:r>
        <w:rPr>
          <w:rFonts w:eastAsia="Times New Roman"/>
        </w:rPr>
        <w:t>,</w:t>
      </w:r>
      <w:r w:rsidRPr="005E3D05">
        <w:rPr>
          <w:rFonts w:eastAsia="Times New Roman"/>
        </w:rPr>
        <w:t xml:space="preserve"> establece que el Instituto someterá a consulta pública por un periodo de treinta días naturales a las </w:t>
      </w:r>
      <w:r>
        <w:rPr>
          <w:rFonts w:eastAsia="Times New Roman"/>
        </w:rPr>
        <w:t xml:space="preserve">propuestas de </w:t>
      </w:r>
      <w:r w:rsidRPr="005E3D05">
        <w:rPr>
          <w:rFonts w:eastAsia="Times New Roman"/>
        </w:rPr>
        <w:t>ofertas públicas</w:t>
      </w:r>
      <w:r>
        <w:rPr>
          <w:rFonts w:eastAsia="Times New Roman"/>
        </w:rPr>
        <w:t xml:space="preserve"> presentadas por el AEP</w:t>
      </w:r>
      <w:r w:rsidRPr="005E3D05">
        <w:rPr>
          <w:rFonts w:eastAsia="Times New Roman"/>
        </w:rPr>
        <w:t xml:space="preserve">, y que una vez terminada la misma, el Instituto contará con 30 días naturales para aprobar o modificar la oferta, plazo dentro del cual dará vista al </w:t>
      </w:r>
      <w:r>
        <w:rPr>
          <w:rFonts w:eastAsia="Times New Roman"/>
        </w:rPr>
        <w:t>AEP</w:t>
      </w:r>
      <w:r w:rsidRPr="005E3D05">
        <w:rPr>
          <w:rFonts w:eastAsia="Times New Roman"/>
        </w:rPr>
        <w:t>.</w:t>
      </w:r>
    </w:p>
    <w:p w:rsidR="007C4016" w:rsidRPr="005E3D05" w:rsidRDefault="007C4016" w:rsidP="007C4016">
      <w:pPr>
        <w:pStyle w:val="IFTnormal"/>
        <w:spacing w:before="240" w:after="0"/>
        <w:rPr>
          <w:rFonts w:eastAsia="Times New Roman"/>
        </w:rPr>
      </w:pPr>
      <w:r w:rsidRPr="005E3D05">
        <w:rPr>
          <w:rFonts w:eastAsia="Times New Roman"/>
        </w:rPr>
        <w:lastRenderedPageBreak/>
        <w:t xml:space="preserve">En tal virtud, y toda vez que la consulta pública de mérito se llevó a </w:t>
      </w:r>
      <w:r w:rsidRPr="00AC4158">
        <w:rPr>
          <w:rFonts w:eastAsia="Times New Roman"/>
        </w:rPr>
        <w:t xml:space="preserve">cabo del 24 de agosto al 25 de septiembre de 2017, el Instituto cuenta </w:t>
      </w:r>
      <w:r>
        <w:rPr>
          <w:rFonts w:eastAsia="Times New Roman"/>
        </w:rPr>
        <w:t xml:space="preserve">hasta el 25 de octubre de 2017 para dar vista al AEP de </w:t>
      </w:r>
      <w:r w:rsidRPr="00AC4158">
        <w:rPr>
          <w:rFonts w:eastAsia="Times New Roman"/>
        </w:rPr>
        <w:t>la Oferta d</w:t>
      </w:r>
      <w:r w:rsidRPr="005E3D05">
        <w:rPr>
          <w:rFonts w:eastAsia="Times New Roman"/>
        </w:rPr>
        <w:t xml:space="preserve">e Referencia de Acceso y Uso Compartido de Infraestructura Pasiva </w:t>
      </w:r>
      <w:r>
        <w:rPr>
          <w:rFonts w:eastAsia="Times New Roman"/>
        </w:rPr>
        <w:t xml:space="preserve">aprobada </w:t>
      </w:r>
      <w:r w:rsidRPr="005E3D05">
        <w:rPr>
          <w:rFonts w:eastAsia="Times New Roman"/>
        </w:rPr>
        <w:t xml:space="preserve">o </w:t>
      </w:r>
      <w:r>
        <w:rPr>
          <w:rFonts w:eastAsia="Times New Roman"/>
        </w:rPr>
        <w:t>modificada</w:t>
      </w:r>
      <w:r w:rsidRPr="005E3D05">
        <w:rPr>
          <w:rFonts w:eastAsia="Times New Roman"/>
        </w:rPr>
        <w:t>.</w:t>
      </w:r>
    </w:p>
    <w:p w:rsidR="007C4016" w:rsidRPr="00C26A42" w:rsidRDefault="007C4016" w:rsidP="007C4016">
      <w:pPr>
        <w:pStyle w:val="IFTnormal"/>
        <w:spacing w:before="240" w:after="0"/>
        <w:rPr>
          <w:rFonts w:eastAsia="Times New Roman"/>
        </w:rPr>
      </w:pPr>
      <w:r w:rsidRPr="005E3D05">
        <w:rPr>
          <w:rFonts w:eastAsia="Times New Roman"/>
        </w:rPr>
        <w:t xml:space="preserve">Ahora bien, toda vez que el presente Acuerdo modifica al Agente Económico Preponderante los términos y condiciones de la </w:t>
      </w:r>
      <w:r>
        <w:rPr>
          <w:rFonts w:eastAsia="Times New Roman"/>
        </w:rPr>
        <w:t>p</w:t>
      </w:r>
      <w:r w:rsidRPr="005E3D05">
        <w:rPr>
          <w:rFonts w:eastAsia="Times New Roman"/>
        </w:rPr>
        <w:t xml:space="preserve">ropuesta de Oferta de Referencia de Acceso y Uso Compartido de Infraestructura Pasiva, al darse vista del mismo al AEP, se tiene por cumplido el plazo de 30 días naturales establecido en la Medida </w:t>
      </w:r>
      <w:r>
        <w:rPr>
          <w:rFonts w:eastAsia="Times New Roman"/>
        </w:rPr>
        <w:t>CUADRAGÉSIMA PRIMERA de las Medidas Fijas,</w:t>
      </w:r>
      <w:r w:rsidRPr="005E3D05">
        <w:rPr>
          <w:rFonts w:eastAsia="Times New Roman"/>
        </w:rPr>
        <w:t xml:space="preserve"> así como en el artículo 268 de la </w:t>
      </w:r>
      <w:r w:rsidRPr="005E3D05" w:rsidDel="00931D01">
        <w:rPr>
          <w:rFonts w:eastAsia="Times New Roman"/>
        </w:rPr>
        <w:t>LFT</w:t>
      </w:r>
      <w:r w:rsidDel="00931D01">
        <w:rPr>
          <w:rFonts w:eastAsia="Times New Roman"/>
        </w:rPr>
        <w:t>y</w:t>
      </w:r>
      <w:r w:rsidRPr="005E3D05" w:rsidDel="00931D01">
        <w:rPr>
          <w:rFonts w:eastAsia="Times New Roman"/>
        </w:rPr>
        <w:t>R</w:t>
      </w:r>
      <w:r w:rsidRPr="005E3D05">
        <w:rPr>
          <w:rFonts w:eastAsia="Times New Roman"/>
        </w:rPr>
        <w:t>.</w:t>
      </w:r>
    </w:p>
    <w:p w:rsidR="007C4016" w:rsidRDefault="007C4016" w:rsidP="007C4016">
      <w:pPr>
        <w:pStyle w:val="IFTnormal"/>
        <w:spacing w:before="240" w:after="0"/>
        <w:rPr>
          <w:b/>
          <w:shd w:val="clear" w:color="auto" w:fill="FFFFFF"/>
        </w:rPr>
      </w:pPr>
      <w:r w:rsidRPr="00892490">
        <w:rPr>
          <w:b/>
          <w:shd w:val="clear" w:color="auto" w:fill="FFFFFF"/>
        </w:rPr>
        <w:t>QUINTO.- Análisis de la Oferta de referencia.</w:t>
      </w:r>
    </w:p>
    <w:p w:rsidR="007C4016" w:rsidRPr="006A7AA7" w:rsidRDefault="006A7AA7" w:rsidP="006A7AA7">
      <w:pPr>
        <w:spacing w:before="240"/>
        <w:rPr>
          <w:rFonts w:ascii="ITC Avant Garde" w:hAnsi="ITC Avant Garde"/>
          <w:b/>
          <w:sz w:val="22"/>
          <w:szCs w:val="22"/>
        </w:rPr>
      </w:pPr>
      <w:r>
        <w:rPr>
          <w:rFonts w:ascii="ITC Avant Garde" w:hAnsi="ITC Avant Garde"/>
          <w:b/>
          <w:sz w:val="22"/>
          <w:szCs w:val="22"/>
        </w:rPr>
        <w:t>5.1.</w:t>
      </w:r>
      <w:r w:rsidR="00483567">
        <w:rPr>
          <w:rFonts w:ascii="ITC Avant Garde" w:hAnsi="ITC Avant Garde"/>
          <w:b/>
          <w:sz w:val="22"/>
          <w:szCs w:val="22"/>
        </w:rPr>
        <w:t xml:space="preserve"> </w:t>
      </w:r>
      <w:r w:rsidR="007C4016" w:rsidRPr="006A7AA7">
        <w:rPr>
          <w:rFonts w:ascii="ITC Avant Garde" w:hAnsi="ITC Avant Garde"/>
          <w:b/>
          <w:sz w:val="22"/>
          <w:szCs w:val="22"/>
        </w:rPr>
        <w:t xml:space="preserve">Contenido de la Propuesta de Oferta de Referencia </w:t>
      </w:r>
    </w:p>
    <w:p w:rsidR="007C4016" w:rsidRPr="00BF1B2A" w:rsidRDefault="007C4016" w:rsidP="007C4016">
      <w:pPr>
        <w:pStyle w:val="IFTnormal"/>
        <w:spacing w:before="240" w:after="0"/>
      </w:pPr>
      <w:r w:rsidRPr="00BF1B2A">
        <w:t xml:space="preserve">La </w:t>
      </w:r>
      <w:r>
        <w:t xml:space="preserve">Propuesta de </w:t>
      </w:r>
      <w:r w:rsidRPr="00BF1B2A">
        <w:t>Oferta de</w:t>
      </w:r>
      <w:r>
        <w:t xml:space="preserve"> Referencia</w:t>
      </w:r>
      <w:r w:rsidRPr="00BF1B2A">
        <w:t xml:space="preserve"> </w:t>
      </w:r>
      <w:r>
        <w:t>debe contener</w:t>
      </w:r>
      <w:r w:rsidRPr="00BF1B2A">
        <w:t xml:space="preserve"> los términos, condiciones, normas técnicas, especificaciones y niveles de calidad para la prestación del Servicio de Acceso y uso Compartido de Infraestructura Pasiva, a efecto de que los Concesionarios Solicitantes que lo requieran, tengan la información relevante que les permita la contratación de los servicios en igualdad de condiciones.</w:t>
      </w:r>
    </w:p>
    <w:p w:rsidR="007C4016" w:rsidRPr="00BF1B2A" w:rsidRDefault="007C4016" w:rsidP="007C4016">
      <w:pPr>
        <w:pStyle w:val="IFTnormal"/>
        <w:spacing w:before="240" w:after="0"/>
      </w:pPr>
      <w:r>
        <w:t>Para su Propuesta</w:t>
      </w:r>
      <w:r w:rsidRPr="00BF1B2A">
        <w:t xml:space="preserve"> de Oferta de Referencia, el AEP utilizó la siguiente estructura:</w:t>
      </w:r>
    </w:p>
    <w:p w:rsidR="007C4016" w:rsidRPr="00130F67" w:rsidRDefault="007C4016" w:rsidP="007C4016">
      <w:pPr>
        <w:pStyle w:val="IFTnormal"/>
        <w:numPr>
          <w:ilvl w:val="0"/>
          <w:numId w:val="201"/>
        </w:numPr>
        <w:spacing w:before="240" w:after="0"/>
        <w:ind w:left="720"/>
      </w:pPr>
      <w:r w:rsidRPr="00130F67">
        <w:t>Oferta de Referencia; contiene la descripción de los servicios y procedimientos para su utilización.</w:t>
      </w:r>
    </w:p>
    <w:p w:rsidR="007C4016" w:rsidRPr="00130F67" w:rsidRDefault="007C4016" w:rsidP="007C4016">
      <w:pPr>
        <w:pStyle w:val="IFTnormal"/>
        <w:numPr>
          <w:ilvl w:val="1"/>
          <w:numId w:val="201"/>
        </w:numPr>
        <w:spacing w:before="240" w:after="0"/>
        <w:ind w:left="1440"/>
      </w:pPr>
      <w:r w:rsidRPr="00130F67">
        <w:t xml:space="preserve"> Anexo 1. Formatos; contiene los diferentes formatos a ser llenados para las diferentes actividades relacionadas con lo</w:t>
      </w:r>
      <w:r>
        <w:t>s servicios ofertados por Telnor</w:t>
      </w:r>
      <w:r w:rsidRPr="00130F67">
        <w:t>.</w:t>
      </w:r>
    </w:p>
    <w:p w:rsidR="007C4016" w:rsidRPr="00130F67" w:rsidRDefault="007C4016" w:rsidP="007C4016">
      <w:pPr>
        <w:pStyle w:val="IFTnormal"/>
        <w:numPr>
          <w:ilvl w:val="1"/>
          <w:numId w:val="201"/>
        </w:numPr>
        <w:spacing w:before="240" w:after="0"/>
        <w:ind w:left="1440"/>
      </w:pPr>
      <w:r w:rsidRPr="00130F67">
        <w:t xml:space="preserve"> Anexo 2. Normatividad Técnica; contiene los lineamientos técnicos que los Concesionarios Solicitantes deberán de seguir para la compartición de la i</w:t>
      </w:r>
      <w:r>
        <w:t>nfraestructura pasiva que Telnor</w:t>
      </w:r>
      <w:r w:rsidRPr="00130F67">
        <w:t xml:space="preserve"> pone a su disposición.</w:t>
      </w:r>
    </w:p>
    <w:p w:rsidR="007C4016" w:rsidRPr="00130F67" w:rsidRDefault="007C4016" w:rsidP="007C4016">
      <w:pPr>
        <w:pStyle w:val="IFTnormal"/>
        <w:numPr>
          <w:ilvl w:val="2"/>
          <w:numId w:val="201"/>
        </w:numPr>
        <w:spacing w:before="240" w:after="0"/>
        <w:ind w:left="2160"/>
      </w:pPr>
      <w:r w:rsidRPr="00130F67">
        <w:t xml:space="preserve"> Norma 1: Compar</w:t>
      </w:r>
      <w:r>
        <w:t>tición de Canalización de Telnor</w:t>
      </w:r>
      <w:r w:rsidRPr="00130F67">
        <w:t xml:space="preserve"> para Nuevos Concesionarios. </w:t>
      </w:r>
    </w:p>
    <w:p w:rsidR="007C4016" w:rsidRPr="00130F67" w:rsidRDefault="007C4016" w:rsidP="007C4016">
      <w:pPr>
        <w:pStyle w:val="IFTnormal"/>
        <w:spacing w:before="240" w:after="0"/>
        <w:ind w:left="2160"/>
      </w:pPr>
      <w:r w:rsidRPr="00130F67">
        <w:t>Esquemas y configuraciones de pozos, canalizaciones y tapas.</w:t>
      </w:r>
    </w:p>
    <w:p w:rsidR="007C4016" w:rsidRPr="00130F67" w:rsidRDefault="007C4016" w:rsidP="007C4016">
      <w:pPr>
        <w:pStyle w:val="IFTnormal"/>
        <w:spacing w:before="240" w:after="0"/>
        <w:ind w:left="2160"/>
      </w:pPr>
      <w:r w:rsidRPr="00130F67">
        <w:lastRenderedPageBreak/>
        <w:t>Tendido de Cable e Instalación de otros elementos de red sobre la infraestructura desagregada.</w:t>
      </w:r>
    </w:p>
    <w:p w:rsidR="007C4016" w:rsidRPr="00130F67" w:rsidRDefault="007C4016" w:rsidP="007C4016">
      <w:pPr>
        <w:pStyle w:val="IFTnormal"/>
        <w:numPr>
          <w:ilvl w:val="2"/>
          <w:numId w:val="201"/>
        </w:numPr>
        <w:spacing w:before="240" w:after="0"/>
        <w:ind w:left="2160"/>
      </w:pPr>
      <w:r w:rsidRPr="00130F67">
        <w:t xml:space="preserve"> Norma 2: </w:t>
      </w:r>
      <w:r>
        <w:t>Compartición de Postes de Telnor</w:t>
      </w:r>
      <w:r w:rsidRPr="00130F67">
        <w:t xml:space="preserve"> para nuevos concesionarios.</w:t>
      </w:r>
    </w:p>
    <w:p w:rsidR="007C4016" w:rsidRPr="00130F67" w:rsidRDefault="007C4016" w:rsidP="007C4016">
      <w:pPr>
        <w:pStyle w:val="IFTnormal"/>
        <w:numPr>
          <w:ilvl w:val="2"/>
          <w:numId w:val="201"/>
        </w:numPr>
        <w:spacing w:before="240" w:after="0"/>
        <w:ind w:left="2160"/>
      </w:pPr>
      <w:r w:rsidRPr="00130F67">
        <w:t xml:space="preserve"> Norma 3: Compartición de Infraestructura Pasiva en Torres.</w:t>
      </w:r>
    </w:p>
    <w:p w:rsidR="007C4016" w:rsidRPr="00130F67" w:rsidRDefault="007C4016" w:rsidP="007C4016">
      <w:pPr>
        <w:pStyle w:val="IFTnormal"/>
        <w:spacing w:before="240" w:after="0"/>
        <w:ind w:left="2160"/>
      </w:pPr>
      <w:r w:rsidRPr="00130F67">
        <w:t xml:space="preserve">Anexo 1. Poligonal del sistema punto a punto. </w:t>
      </w:r>
    </w:p>
    <w:p w:rsidR="007C4016" w:rsidRPr="00130F67" w:rsidRDefault="007C4016" w:rsidP="007C4016">
      <w:pPr>
        <w:pStyle w:val="IFTnormal"/>
        <w:spacing w:after="0"/>
        <w:ind w:left="2160"/>
      </w:pPr>
      <w:r w:rsidRPr="00130F67">
        <w:t>Anexo 2. Poligonal sistema punto a multipunto.</w:t>
      </w:r>
    </w:p>
    <w:p w:rsidR="007C4016" w:rsidRPr="00130F67" w:rsidRDefault="007C4016" w:rsidP="007C4016">
      <w:pPr>
        <w:pStyle w:val="IFTnormal"/>
        <w:spacing w:after="0"/>
        <w:ind w:left="2163"/>
      </w:pPr>
      <w:r w:rsidRPr="00130F67">
        <w:t>Anexo 3. Plan de Canalización en la Banda de Frecuencias.</w:t>
      </w:r>
    </w:p>
    <w:p w:rsidR="007C4016" w:rsidRPr="00130F67" w:rsidRDefault="007C4016" w:rsidP="007C4016">
      <w:pPr>
        <w:pStyle w:val="IFTnormal"/>
        <w:spacing w:after="0"/>
        <w:ind w:left="2163"/>
      </w:pPr>
      <w:r w:rsidRPr="00130F67">
        <w:t>Anexo 4. Formato de Datos Generales del Sistema.</w:t>
      </w:r>
    </w:p>
    <w:p w:rsidR="007C4016" w:rsidRPr="00130F67" w:rsidRDefault="007C4016" w:rsidP="007C4016">
      <w:pPr>
        <w:pStyle w:val="IFTnormal"/>
        <w:spacing w:after="0"/>
        <w:ind w:left="2163"/>
      </w:pPr>
      <w:r w:rsidRPr="00130F67">
        <w:t>Anexo 5. Datos técnicos radios.</w:t>
      </w:r>
    </w:p>
    <w:p w:rsidR="007C4016" w:rsidRPr="00130F67" w:rsidRDefault="007C4016" w:rsidP="007C4016">
      <w:pPr>
        <w:pStyle w:val="IFTnormal"/>
        <w:spacing w:after="0"/>
        <w:ind w:left="2163"/>
      </w:pPr>
      <w:r w:rsidRPr="00130F67">
        <w:t>Anexo 6. Datos técnicos antenas.</w:t>
      </w:r>
    </w:p>
    <w:p w:rsidR="007C4016" w:rsidRPr="00130F67" w:rsidRDefault="007C4016" w:rsidP="007C4016">
      <w:pPr>
        <w:pStyle w:val="IFTnormal"/>
        <w:spacing w:after="0" w:line="240" w:lineRule="auto"/>
        <w:ind w:left="2163"/>
      </w:pPr>
      <w:r w:rsidRPr="00130F67">
        <w:t>Anexo 7. Manual para el llenado del “Formato para rentar infraestructura a otros Carrier V5”.</w:t>
      </w:r>
    </w:p>
    <w:p w:rsidR="007C4016" w:rsidRPr="00130F67" w:rsidRDefault="007C4016" w:rsidP="007C4016">
      <w:pPr>
        <w:pStyle w:val="IFTnormal"/>
        <w:numPr>
          <w:ilvl w:val="2"/>
          <w:numId w:val="201"/>
        </w:numPr>
        <w:spacing w:before="240" w:after="0"/>
        <w:ind w:left="2160"/>
      </w:pPr>
      <w:r w:rsidRPr="00130F67">
        <w:t>Norma 4. Norma de ingeniería para el aprovisionamiento del servicio de Canal Óptico.</w:t>
      </w:r>
    </w:p>
    <w:p w:rsidR="007C4016" w:rsidRPr="00130F67" w:rsidRDefault="007C4016" w:rsidP="007C4016">
      <w:pPr>
        <w:pStyle w:val="IFTnormal"/>
        <w:numPr>
          <w:ilvl w:val="2"/>
          <w:numId w:val="201"/>
        </w:numPr>
        <w:spacing w:before="240" w:after="0"/>
        <w:ind w:left="2160"/>
      </w:pPr>
      <w:r w:rsidRPr="00130F67">
        <w:t xml:space="preserve"> Norma 5. Normas de diseño uso de espacios interiores</w:t>
      </w:r>
    </w:p>
    <w:p w:rsidR="007C4016" w:rsidRPr="00130F67" w:rsidRDefault="007C4016" w:rsidP="007C4016">
      <w:pPr>
        <w:pStyle w:val="IFTnormal"/>
        <w:numPr>
          <w:ilvl w:val="2"/>
          <w:numId w:val="201"/>
        </w:numPr>
        <w:spacing w:before="240" w:after="0"/>
        <w:ind w:left="2160"/>
      </w:pPr>
      <w:r w:rsidRPr="00130F67">
        <w:t xml:space="preserve"> Norma 6. Normas de Elaboración para Trabajos de Construcción.</w:t>
      </w:r>
    </w:p>
    <w:p w:rsidR="007C4016" w:rsidRPr="00130F67" w:rsidRDefault="007C4016" w:rsidP="007C4016">
      <w:pPr>
        <w:pStyle w:val="IFTnormal"/>
        <w:numPr>
          <w:ilvl w:val="2"/>
          <w:numId w:val="201"/>
        </w:numPr>
        <w:spacing w:before="240" w:after="0"/>
        <w:ind w:left="2160"/>
      </w:pPr>
      <w:r w:rsidRPr="00130F67">
        <w:t xml:space="preserve"> Norma 7. Manual de Aplicación para Trabajos Tipo.</w:t>
      </w:r>
    </w:p>
    <w:p w:rsidR="007C4016" w:rsidRPr="00130F67" w:rsidRDefault="007C4016" w:rsidP="007C4016">
      <w:pPr>
        <w:pStyle w:val="IFTnormal"/>
        <w:numPr>
          <w:ilvl w:val="1"/>
          <w:numId w:val="201"/>
        </w:numPr>
        <w:spacing w:before="240" w:after="0"/>
        <w:ind w:left="1440"/>
      </w:pPr>
      <w:r w:rsidRPr="00130F67">
        <w:t xml:space="preserve"> Anexo 3. Procedimiento de Atención de Fallas, Continuidad del Servicio y Gestión de incidencias; contiene los procedimientos mediante los cual se reportaran las fallas que se presenten en los servicios de compartic</w:t>
      </w:r>
      <w:r>
        <w:t>ión de infraestructura de Telnor</w:t>
      </w:r>
      <w:r w:rsidRPr="00130F67">
        <w:t>, así como la solución y/o alternativa para la continuidad en el servicio.</w:t>
      </w:r>
    </w:p>
    <w:p w:rsidR="007C4016" w:rsidRPr="00130F67" w:rsidRDefault="007C4016" w:rsidP="007C4016">
      <w:pPr>
        <w:pStyle w:val="IFTnormal"/>
        <w:numPr>
          <w:ilvl w:val="1"/>
          <w:numId w:val="201"/>
        </w:numPr>
        <w:spacing w:before="240" w:after="0"/>
        <w:ind w:left="1440"/>
      </w:pPr>
      <w:r w:rsidRPr="00130F67">
        <w:t xml:space="preserve"> Anexo 4.  Parámetros e Indicadores de los Niveles de Calidad y Penas Convencionales; presenta los niveles de cumplimiento para la realización de actividades relacionadas con los servicios así como las penas convencionales correspondientes.</w:t>
      </w:r>
    </w:p>
    <w:p w:rsidR="007C4016" w:rsidRPr="00130F67" w:rsidRDefault="007C4016" w:rsidP="007C4016">
      <w:pPr>
        <w:pStyle w:val="IFTnormal"/>
        <w:numPr>
          <w:ilvl w:val="1"/>
          <w:numId w:val="201"/>
        </w:numPr>
        <w:spacing w:before="240" w:after="0"/>
        <w:ind w:left="1440"/>
      </w:pPr>
      <w:r w:rsidRPr="00130F67">
        <w:t xml:space="preserve"> Anexo 5. Diagramas de Flujo; presenta las diferentes actividades que deben ser realizadas para la contratación, modificación y baja de los diferentes servicios.</w:t>
      </w:r>
    </w:p>
    <w:p w:rsidR="007C4016" w:rsidRPr="00130F67" w:rsidRDefault="007C4016" w:rsidP="007C4016">
      <w:pPr>
        <w:pStyle w:val="IFTnormal"/>
        <w:numPr>
          <w:ilvl w:val="1"/>
          <w:numId w:val="201"/>
        </w:numPr>
        <w:spacing w:before="240" w:after="0"/>
        <w:ind w:left="1440"/>
      </w:pPr>
      <w:r w:rsidRPr="00130F67">
        <w:lastRenderedPageBreak/>
        <w:t xml:space="preserve"> Anexo 6. Restricciones y Políticas de Uso para los Servicios de Compartición de Infraestructura; contiene las políticas que serán aplicadas para los servicios del Convenio y de la Oferta F</w:t>
      </w:r>
      <w:r>
        <w:t>inal de Telnor</w:t>
      </w:r>
      <w:r w:rsidRPr="00130F67">
        <w:t>.</w:t>
      </w:r>
    </w:p>
    <w:p w:rsidR="007C4016" w:rsidRPr="00130F67" w:rsidRDefault="007C4016" w:rsidP="007C4016">
      <w:pPr>
        <w:pStyle w:val="IFTnormal"/>
        <w:numPr>
          <w:ilvl w:val="1"/>
          <w:numId w:val="201"/>
        </w:numPr>
        <w:spacing w:before="240" w:after="0"/>
        <w:ind w:left="1440"/>
      </w:pPr>
      <w:r w:rsidRPr="00130F67">
        <w:t xml:space="preserve"> Anexo 7. </w:t>
      </w:r>
      <w:r>
        <w:t>Convenio</w:t>
      </w:r>
      <w:r w:rsidRPr="00130F67">
        <w:t>; contiene los términos y condiciones mediante los cuales se llevará a cabo la contratación de lo</w:t>
      </w:r>
      <w:r>
        <w:t>s servicios ofertados por Telnor</w:t>
      </w:r>
      <w:r w:rsidRPr="00130F67">
        <w:t>.</w:t>
      </w:r>
    </w:p>
    <w:p w:rsidR="007C4016" w:rsidRPr="00130F67" w:rsidRDefault="007C4016" w:rsidP="007C4016">
      <w:pPr>
        <w:pStyle w:val="IFTnormal"/>
        <w:numPr>
          <w:ilvl w:val="2"/>
          <w:numId w:val="201"/>
        </w:numPr>
        <w:spacing w:before="240" w:after="0"/>
        <w:ind w:left="2160"/>
      </w:pPr>
      <w:r w:rsidRPr="00130F67">
        <w:t>Anexo A. Tarifas del convenio de prestación de servicios de telecomunicaciones; detalla los precios y condiciones de facturación.</w:t>
      </w:r>
    </w:p>
    <w:p w:rsidR="007C4016" w:rsidRPr="00BF1B2A" w:rsidRDefault="007C4016" w:rsidP="007C4016">
      <w:pPr>
        <w:pStyle w:val="IFTnormal"/>
        <w:spacing w:before="240" w:after="0"/>
      </w:pPr>
      <w:r w:rsidRPr="00BF1B2A">
        <w:t>Visto lo anterior</w:t>
      </w:r>
      <w:r>
        <w:t>, el Instituto</w:t>
      </w:r>
      <w:r w:rsidRPr="00BF1B2A">
        <w:t xml:space="preserve"> procede a analizar aquellas condiciones cont</w:t>
      </w:r>
      <w:r>
        <w:t>enidas en la Propuesta</w:t>
      </w:r>
      <w:r w:rsidRPr="00BF1B2A">
        <w:t xml:space="preserve"> de Oferta de Ref</w:t>
      </w:r>
      <w:r>
        <w:t>erencia presentados por el AEP, incluyendo sus Anexos,</w:t>
      </w:r>
      <w:r w:rsidRPr="00BF1B2A">
        <w:t xml:space="preserve"> por lo que hace a aquellas situaciones que no se ajustan a lo establecido e</w:t>
      </w:r>
      <w:r>
        <w:t xml:space="preserve">n las Medidas Fijas, </w:t>
      </w:r>
      <w:r w:rsidRPr="00BF1B2A">
        <w:t>o que a juicio del Instituto no ofrecen condiciones favorables p</w:t>
      </w:r>
      <w:r>
        <w:t>ara la competencia en el sector,</w:t>
      </w:r>
      <w:r w:rsidRPr="00BF1B2A">
        <w:t xml:space="preserve"> así como que no se establezcan condiciones que inhiban la competencia, ni que solicite requisitos que no sean necesarios para la eficiente prestación del servicio, </w:t>
      </w:r>
      <w:r>
        <w:t xml:space="preserve">y </w:t>
      </w:r>
      <w:r w:rsidRPr="00BF1B2A">
        <w:t xml:space="preserve">que no existan condiciones discriminatorias y/o abusivas en la prestación de los mismos. </w:t>
      </w:r>
      <w:r w:rsidRPr="005D301D">
        <w:t>Por lo que el Instituto modificará el contenido de dicha Propuesta de Oferta de Referencia a efecto de que, entre otras cosas, sus términos y condiciones generen certeza, sean claras, proporcionales, no abusivas, equitativas, recíprocas, reduzcan asimetrías de información, no discriminen y favorezcan la competencia.</w:t>
      </w:r>
    </w:p>
    <w:p w:rsidR="007C4016" w:rsidRPr="005D301D" w:rsidRDefault="007C4016" w:rsidP="007C4016">
      <w:pPr>
        <w:pStyle w:val="IFTnormal"/>
        <w:spacing w:before="240" w:after="0"/>
      </w:pPr>
      <w:r>
        <w:t>Cabe señalar que las modificaciones realizadas a la Propuesta de Oferta de Referencia en el presente Considerando se verán reflejadas en la Oferta de Referencia modificada por el Instituto la cual forma parte del presente Acuerdo.</w:t>
      </w:r>
    </w:p>
    <w:p w:rsidR="007C4016" w:rsidRDefault="007C4016" w:rsidP="007C4016">
      <w:pPr>
        <w:pStyle w:val="IFTnormal"/>
        <w:spacing w:before="240" w:after="0"/>
      </w:pPr>
      <w:r>
        <w:t>En primer término</w:t>
      </w:r>
      <w:r w:rsidRPr="001631AA">
        <w:t>, se entra al análisis de la Propuesta de Oferta de Referencia</w:t>
      </w:r>
      <w:r>
        <w:t>, sus Anexos</w:t>
      </w:r>
      <w:r w:rsidRPr="001631AA">
        <w:t xml:space="preserve"> y la </w:t>
      </w:r>
      <w:r>
        <w:t>p</w:t>
      </w:r>
      <w:r w:rsidRPr="001631AA">
        <w:t>ropuesta de Convenio</w:t>
      </w:r>
      <w:r>
        <w:t>. El</w:t>
      </w:r>
      <w:r w:rsidRPr="001631AA">
        <w:t xml:space="preserve"> estu</w:t>
      </w:r>
      <w:r>
        <w:t>dio en general para cada una de sus secciones está en función de lo previsto en la Medida CUADRAGÉSIMA PRIMERA de las Medidas Fijas que establece lo siguiente:</w:t>
      </w:r>
    </w:p>
    <w:p w:rsidR="007C4016" w:rsidRPr="001810C1" w:rsidRDefault="007C4016" w:rsidP="007C4016">
      <w:pPr>
        <w:pStyle w:val="IFTcita"/>
        <w:spacing w:before="240" w:after="0"/>
        <w:rPr>
          <w:b w:val="0"/>
        </w:rPr>
      </w:pPr>
      <w:r w:rsidRPr="001810C1">
        <w:rPr>
          <w:b w:val="0"/>
        </w:rPr>
        <w:t xml:space="preserve">“CUADRAGÉSIMA PRIMERA.- 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w:t>
      </w:r>
      <w:r w:rsidRPr="001810C1">
        <w:rPr>
          <w:b w:val="0"/>
        </w:rPr>
        <w:lastRenderedPageBreak/>
        <w:t>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7C4016" w:rsidRPr="001810C1" w:rsidRDefault="007C4016" w:rsidP="007C4016">
      <w:pPr>
        <w:pStyle w:val="IFTcita"/>
        <w:spacing w:before="240" w:after="0"/>
        <w:rPr>
          <w:b w:val="0"/>
        </w:rPr>
      </w:pPr>
      <w:r w:rsidRPr="001810C1">
        <w:rPr>
          <w:b w:val="0"/>
        </w:rPr>
        <w:t>[…]</w:t>
      </w:r>
    </w:p>
    <w:p w:rsidR="007C4016" w:rsidRDefault="007C4016" w:rsidP="007C4016">
      <w:pPr>
        <w:pStyle w:val="IFTcita"/>
        <w:spacing w:before="240" w:after="0"/>
      </w:pPr>
      <w:r w:rsidRPr="001810C1">
        <w:t>La propuesta que presente el Agente Económico Preponderante deberá reflejar, al menos, condiciones equivalentes a las de la Oferta de Referencia vigente.</w:t>
      </w:r>
    </w:p>
    <w:p w:rsidR="007C4016" w:rsidRPr="001810C1" w:rsidRDefault="007C4016" w:rsidP="007C4016">
      <w:pPr>
        <w:pStyle w:val="IFTcita"/>
        <w:spacing w:before="240" w:after="0"/>
        <w:rPr>
          <w:b w:val="0"/>
        </w:rPr>
      </w:pPr>
      <w:r w:rsidRPr="001810C1">
        <w:rPr>
          <w:b w:val="0"/>
        </w:rPr>
        <w:t xml:space="preserve">[…] “ </w:t>
      </w:r>
    </w:p>
    <w:p w:rsidR="007C4016" w:rsidRPr="001810C1" w:rsidRDefault="007C4016" w:rsidP="007C4016">
      <w:pPr>
        <w:pStyle w:val="IFTcita"/>
        <w:spacing w:before="240" w:after="0"/>
        <w:jc w:val="right"/>
        <w:rPr>
          <w:b w:val="0"/>
        </w:rPr>
      </w:pPr>
      <w:r w:rsidRPr="001810C1">
        <w:rPr>
          <w:b w:val="0"/>
        </w:rPr>
        <w:t>(Énfasis añadido)</w:t>
      </w:r>
    </w:p>
    <w:p w:rsidR="007C4016" w:rsidRPr="005D301D" w:rsidRDefault="007C4016" w:rsidP="007C4016">
      <w:pPr>
        <w:pStyle w:val="IFTnormal"/>
        <w:spacing w:before="240" w:after="0"/>
      </w:pPr>
      <w:r w:rsidRPr="005D301D">
        <w:t xml:space="preserve">Es decir, de lo anterior se desprende que la Propuesta de Oferta de Referencia de </w:t>
      </w:r>
      <w:r>
        <w:t>Telnor</w:t>
      </w:r>
      <w:r w:rsidRPr="005D301D">
        <w:t xml:space="preserve"> debe reflejar, al menos, </w:t>
      </w:r>
      <w:r>
        <w:t xml:space="preserve">la promoción de adecuadas condiciones </w:t>
      </w:r>
      <w:r w:rsidRPr="005D301D">
        <w:t>para la competencia en el sector</w:t>
      </w:r>
      <w:r>
        <w:t xml:space="preserve"> ya aprobadas en la Oferta de Referencia Vigente, ya que el AEP podría tener incentivos a modificar las condiciones vigentes en detrimento  de las</w:t>
      </w:r>
      <w:r w:rsidRPr="005D301D">
        <w:t xml:space="preserve"> condiciones </w:t>
      </w:r>
      <w:r>
        <w:t xml:space="preserve">que </w:t>
      </w:r>
      <w:r w:rsidRPr="005D301D">
        <w:t>generen certeza, sean claras, proporcionales, no abusivas, equitativas, recíprocas, reduzcan asimetrías d</w:t>
      </w:r>
      <w:r>
        <w:t>e información, no discriminen, por lo que es esencial que en estos casos se mantenga al menos lo vigente</w:t>
      </w:r>
      <w:r w:rsidRPr="005D301D">
        <w:t xml:space="preserve">. </w:t>
      </w:r>
    </w:p>
    <w:p w:rsidR="007C4016" w:rsidRPr="005247B8" w:rsidRDefault="007C4016" w:rsidP="007C4016">
      <w:pPr>
        <w:pStyle w:val="IFTnormal"/>
        <w:spacing w:before="240" w:after="0"/>
      </w:pPr>
      <w:r w:rsidRPr="005247B8">
        <w:t xml:space="preserve">Lo anterior considera que se debe hacer una comparación y revisión con respecto a la Oferta de Referencia </w:t>
      </w:r>
      <w:r>
        <w:t>V</w:t>
      </w:r>
      <w:r w:rsidRPr="005247B8">
        <w:t xml:space="preserve">igente y establecer </w:t>
      </w:r>
      <w:r>
        <w:t>aquellas</w:t>
      </w:r>
      <w:r w:rsidRPr="005247B8">
        <w:t xml:space="preserve"> condiciones </w:t>
      </w:r>
      <w:r>
        <w:t>que</w:t>
      </w:r>
      <w:r w:rsidRPr="005247B8">
        <w:t xml:space="preserve"> se han cambiado y en qué grado.</w:t>
      </w:r>
    </w:p>
    <w:p w:rsidR="007C4016" w:rsidRPr="005247B8" w:rsidRDefault="007C4016" w:rsidP="007C4016">
      <w:pPr>
        <w:pStyle w:val="IFTnormal"/>
        <w:spacing w:before="240" w:after="0"/>
      </w:pPr>
      <w:r>
        <w:t xml:space="preserve">En atención a lo anterior, los resultados del análisis que realiza el Instituto </w:t>
      </w:r>
      <w:bookmarkStart w:id="4" w:name="OLE_LINK2"/>
      <w:r w:rsidRPr="005247B8">
        <w:t>se clas</w:t>
      </w:r>
      <w:r>
        <w:t>ifican en los siguientes tres escenarios</w:t>
      </w:r>
      <w:r w:rsidRPr="005247B8">
        <w:t>:</w:t>
      </w:r>
    </w:p>
    <w:p w:rsidR="007C4016" w:rsidRPr="00DA1903" w:rsidRDefault="007C4016" w:rsidP="007C4016">
      <w:pPr>
        <w:pStyle w:val="IFTnormal"/>
        <w:numPr>
          <w:ilvl w:val="0"/>
          <w:numId w:val="67"/>
        </w:numPr>
        <w:spacing w:before="240" w:after="0"/>
        <w:rPr>
          <w:lang w:val="es-ES"/>
        </w:rPr>
      </w:pPr>
      <w:r w:rsidRPr="00DA1903">
        <w:rPr>
          <w:lang w:val="es-ES"/>
        </w:rPr>
        <w:t xml:space="preserve">MODIFICACIONES CASO </w:t>
      </w:r>
      <w:r w:rsidRPr="00DA1903">
        <w:t>1.</w:t>
      </w:r>
      <w:r w:rsidRPr="00DA1903">
        <w:tab/>
        <w:t xml:space="preserve"> Cambios que </w:t>
      </w:r>
      <w:r>
        <w:t xml:space="preserve">no reflejan al menos condiciones equivalentes a las </w:t>
      </w:r>
      <w:r w:rsidRPr="00DA1903">
        <w:t xml:space="preserve">de la Oferta de Referencia vigente, </w:t>
      </w:r>
      <w:r>
        <w:t>por lo que se instruye a Telnor a recuperar la redacción actual</w:t>
      </w:r>
      <w:r w:rsidRPr="00DA1903">
        <w:rPr>
          <w:lang w:val="es-ES"/>
        </w:rPr>
        <w:t>.</w:t>
      </w:r>
    </w:p>
    <w:p w:rsidR="007C4016" w:rsidRPr="00DA1903" w:rsidRDefault="007C4016" w:rsidP="007C4016">
      <w:pPr>
        <w:pStyle w:val="IFTnormal"/>
        <w:numPr>
          <w:ilvl w:val="0"/>
          <w:numId w:val="67"/>
        </w:numPr>
        <w:spacing w:before="240" w:after="0"/>
      </w:pPr>
      <w:r w:rsidRPr="00DA1903">
        <w:rPr>
          <w:lang w:val="es-ES"/>
        </w:rPr>
        <w:t xml:space="preserve">MODIFICACIONES CASO </w:t>
      </w:r>
      <w:r w:rsidRPr="00DA1903">
        <w:t>2.</w:t>
      </w:r>
      <w:r w:rsidRPr="00DA1903">
        <w:tab/>
        <w:t xml:space="preserve"> Cambios que </w:t>
      </w:r>
      <w:r>
        <w:t>establecen condiciones que podrían inhibir la competencia o</w:t>
      </w:r>
      <w:r w:rsidRPr="00DA1903">
        <w:t xml:space="preserve"> </w:t>
      </w:r>
      <w:r>
        <w:t>atentar contra</w:t>
      </w:r>
      <w:r w:rsidRPr="00DA1903">
        <w:t xml:space="preserve"> la correcta y eficiente prestación de los servicios. En est</w:t>
      </w:r>
      <w:r>
        <w:t xml:space="preserve">as circunstancias </w:t>
      </w:r>
      <w:r w:rsidRPr="00DA1903">
        <w:t>las consideraciones del Instituto</w:t>
      </w:r>
      <w:r>
        <w:t xml:space="preserve"> en el contexto de las Medidas Fijas generan </w:t>
      </w:r>
      <w:r w:rsidRPr="00DA1903">
        <w:t>una nueva redacción de la Oferta de Referencia.</w:t>
      </w:r>
    </w:p>
    <w:p w:rsidR="007C4016" w:rsidRPr="00DA1903" w:rsidRDefault="007C4016" w:rsidP="007C4016">
      <w:pPr>
        <w:pStyle w:val="IFTnormal"/>
        <w:numPr>
          <w:ilvl w:val="0"/>
          <w:numId w:val="67"/>
        </w:numPr>
        <w:spacing w:before="240" w:after="0"/>
        <w:rPr>
          <w:lang w:val="es-ES"/>
        </w:rPr>
      </w:pPr>
      <w:r w:rsidRPr="00F75524">
        <w:rPr>
          <w:lang w:val="es-ES"/>
        </w:rPr>
        <w:t>MODIFICACIONES</w:t>
      </w:r>
      <w:r w:rsidRPr="00DA1903">
        <w:rPr>
          <w:lang w:val="es-ES"/>
        </w:rPr>
        <w:t xml:space="preserve"> CASO 3. Cambios </w:t>
      </w:r>
      <w:r>
        <w:rPr>
          <w:lang w:val="es-ES"/>
        </w:rPr>
        <w:t xml:space="preserve">propuestos por Telnor que se consideran </w:t>
      </w:r>
      <w:r w:rsidRPr="00DA1903">
        <w:rPr>
          <w:lang w:val="es-ES"/>
        </w:rPr>
        <w:t xml:space="preserve">aceptables </w:t>
      </w:r>
      <w:r>
        <w:rPr>
          <w:lang w:val="es-ES"/>
        </w:rPr>
        <w:t xml:space="preserve">ya </w:t>
      </w:r>
      <w:r w:rsidRPr="00DA1903">
        <w:rPr>
          <w:lang w:val="es-ES"/>
        </w:rPr>
        <w:t xml:space="preserve">que mantienen o mejoran </w:t>
      </w:r>
      <w:r>
        <w:rPr>
          <w:lang w:val="es-ES"/>
        </w:rPr>
        <w:t xml:space="preserve">las </w:t>
      </w:r>
      <w:r w:rsidRPr="00DA1903">
        <w:rPr>
          <w:lang w:val="es-ES"/>
        </w:rPr>
        <w:t xml:space="preserve">condiciones de la </w:t>
      </w:r>
      <w:r w:rsidRPr="00DA1903">
        <w:rPr>
          <w:lang w:val="es-ES"/>
        </w:rPr>
        <w:lastRenderedPageBreak/>
        <w:t xml:space="preserve">Oferta de Referencia </w:t>
      </w:r>
      <w:r>
        <w:rPr>
          <w:lang w:val="es-ES"/>
        </w:rPr>
        <w:t>V</w:t>
      </w:r>
      <w:r w:rsidRPr="00DA1903">
        <w:rPr>
          <w:lang w:val="es-ES"/>
        </w:rPr>
        <w:t>igente</w:t>
      </w:r>
      <w:r>
        <w:rPr>
          <w:lang w:val="es-ES"/>
        </w:rPr>
        <w:t>,</w:t>
      </w:r>
      <w:r w:rsidRPr="00DA1903">
        <w:rPr>
          <w:lang w:val="es-ES"/>
        </w:rPr>
        <w:t xml:space="preserve"> </w:t>
      </w:r>
      <w:r w:rsidRPr="00F75524">
        <w:rPr>
          <w:lang w:val="es-ES"/>
        </w:rPr>
        <w:t xml:space="preserve">no atentan con lo establecido en las Medidas Fijas y no imponen condiciones que inhiben la competencia. En este caso no se señalan los casos particulares ni se exponen las consideraciones del Instituto al </w:t>
      </w:r>
      <w:r w:rsidRPr="00644B88">
        <w:rPr>
          <w:lang w:val="es-ES"/>
        </w:rPr>
        <w:t>respecto</w:t>
      </w:r>
      <w:r w:rsidRPr="00644B88">
        <w:rPr>
          <w:bCs w:val="0"/>
          <w:lang w:val="es-ES"/>
        </w:rPr>
        <w:t xml:space="preserve">, por lo que se aceptan las modificaciones y se mantienen para efectos de la redacción definitiva de la Oferta de Referencia. </w:t>
      </w:r>
      <w:r w:rsidRPr="00644B88">
        <w:rPr>
          <w:lang w:val="es-ES"/>
        </w:rPr>
        <w:t xml:space="preserve">En este sentido, </w:t>
      </w:r>
      <w:r w:rsidRPr="00DA1903">
        <w:rPr>
          <w:lang w:val="es-ES"/>
        </w:rPr>
        <w:t>se aceptan las modificaciones y se mantienen para efectos de la redacción</w:t>
      </w:r>
      <w:r>
        <w:rPr>
          <w:lang w:val="es-ES"/>
        </w:rPr>
        <w:t xml:space="preserve"> definitiva</w:t>
      </w:r>
      <w:r w:rsidRPr="00DA1903">
        <w:rPr>
          <w:lang w:val="es-ES"/>
        </w:rPr>
        <w:t xml:space="preserve"> de </w:t>
      </w:r>
      <w:r w:rsidRPr="00B85873">
        <w:rPr>
          <w:lang w:val="es-ES"/>
        </w:rPr>
        <w:t>la Oferta de Referencia.</w:t>
      </w:r>
      <w:r>
        <w:rPr>
          <w:lang w:val="es-ES"/>
        </w:rPr>
        <w:t xml:space="preserve"> </w:t>
      </w:r>
    </w:p>
    <w:bookmarkEnd w:id="4"/>
    <w:p w:rsidR="007C4016" w:rsidRDefault="007C4016" w:rsidP="007C4016">
      <w:pPr>
        <w:pStyle w:val="IFTnormal"/>
        <w:spacing w:before="240" w:after="0"/>
      </w:pPr>
      <w:r>
        <w:t>En complemento a lo anterior, cuando lo consideró procedente el Instituto, se hacen precisiones de redacción y/o de ortografía con el fin de hacer más precisos los textos.</w:t>
      </w:r>
    </w:p>
    <w:p w:rsidR="007C4016" w:rsidRPr="005247B8" w:rsidRDefault="007C4016" w:rsidP="007C4016">
      <w:pPr>
        <w:pStyle w:val="IFTnormal"/>
        <w:spacing w:before="240" w:after="0"/>
      </w:pPr>
      <w:r w:rsidRPr="005247B8">
        <w:t>Para ello, y a fin de facilitar la l</w:t>
      </w:r>
      <w:r>
        <w:t>ectura del presente Acuerdo</w:t>
      </w:r>
      <w:r w:rsidRPr="005247B8">
        <w:t>, se hace referencia a cada sección de la Propuesta de Oferta de Referencia por su título, número romano o arábigo, y un indicador del tema principal que en ésta se aborda (por ejemplo, “II. SOLICITUDES”).</w:t>
      </w:r>
    </w:p>
    <w:p w:rsidR="007C4016" w:rsidRDefault="007C4016" w:rsidP="007C4016">
      <w:pPr>
        <w:pStyle w:val="IFTnormal"/>
        <w:spacing w:before="240" w:after="0"/>
      </w:pPr>
      <w:r w:rsidRPr="005247B8">
        <w:t>De conformidad con lo antes expuesto, se procede al análisis de la Propuesta de Oferta de Referencia y la Propuesta de Convenio presentado por el AEP.</w:t>
      </w:r>
    </w:p>
    <w:p w:rsidR="007C4016" w:rsidRPr="006A7AA7" w:rsidRDefault="007C4016" w:rsidP="006A7AA7">
      <w:pPr>
        <w:spacing w:before="240"/>
        <w:rPr>
          <w:rFonts w:ascii="ITC Avant Garde" w:hAnsi="ITC Avant Garde"/>
          <w:b/>
          <w:sz w:val="22"/>
          <w:szCs w:val="22"/>
        </w:rPr>
      </w:pPr>
      <w:r w:rsidRPr="006A7AA7">
        <w:rPr>
          <w:rFonts w:ascii="ITC Avant Garde" w:hAnsi="ITC Avant Garde"/>
          <w:b/>
          <w:sz w:val="22"/>
          <w:szCs w:val="22"/>
        </w:rPr>
        <w:t>5.2 De los aspectos generales y elementos a considerar en la Oferta de Referencia</w:t>
      </w:r>
    </w:p>
    <w:p w:rsidR="007C4016" w:rsidRDefault="007C4016" w:rsidP="007C4016">
      <w:pPr>
        <w:pStyle w:val="IFTnormal"/>
        <w:spacing w:before="240" w:after="0"/>
      </w:pPr>
      <w:r w:rsidRPr="008713E7">
        <w:t>En este numeral y sus apartados, el Instituto analiza los temas de carácter general dentro de la Propuesta de Oferta de Referencia para el Acceso y Uso Compartido de Infraestructura Pasiva, a efectos de determinar la preservación, cambio o incorporación de aquellos elementos que a juicio del Instituto resultan indispensables para dar cumplimiento a los requisitos establecidos en las Medidas Fijas, asegurar la correcta prestación de los Servicios de Compartición de Infraestructura y ofrecer condiciones que favorezcan la competencia en el sector.</w:t>
      </w:r>
    </w:p>
    <w:p w:rsidR="007C4016" w:rsidRPr="006A7AA7" w:rsidRDefault="007C4016" w:rsidP="006A7AA7">
      <w:pPr>
        <w:spacing w:before="240"/>
        <w:rPr>
          <w:rFonts w:ascii="ITC Avant Garde" w:hAnsi="ITC Avant Garde"/>
          <w:b/>
          <w:sz w:val="22"/>
          <w:szCs w:val="22"/>
        </w:rPr>
      </w:pPr>
      <w:r w:rsidRPr="006A7AA7">
        <w:rPr>
          <w:rFonts w:ascii="ITC Avant Garde" w:hAnsi="ITC Avant Garde"/>
          <w:b/>
          <w:sz w:val="22"/>
          <w:szCs w:val="22"/>
        </w:rPr>
        <w:t>DEFINICIONES.</w:t>
      </w:r>
    </w:p>
    <w:p w:rsidR="007C4016" w:rsidRPr="00F44994" w:rsidRDefault="007C4016" w:rsidP="007C4016">
      <w:pPr>
        <w:pStyle w:val="IFTnormal"/>
        <w:spacing w:before="240" w:after="0"/>
        <w:rPr>
          <w:b/>
          <w:lang w:val="es-ES"/>
        </w:rPr>
      </w:pPr>
      <w:r w:rsidRPr="00F44994">
        <w:rPr>
          <w:b/>
          <w:lang w:val="es-ES"/>
        </w:rPr>
        <w:t>Consideraciones del Instituto</w:t>
      </w:r>
    </w:p>
    <w:p w:rsidR="007C4016" w:rsidRPr="00F44994" w:rsidRDefault="007C4016" w:rsidP="007C4016">
      <w:pPr>
        <w:pStyle w:val="IFTnormal"/>
        <w:spacing w:before="240" w:after="0"/>
        <w:rPr>
          <w:b/>
          <w:lang w:val="es-ES"/>
        </w:rPr>
      </w:pPr>
      <w:r w:rsidRPr="002802DB">
        <w:rPr>
          <w:b/>
          <w:lang w:val="es-ES"/>
        </w:rPr>
        <w:t xml:space="preserve">CASO 1. </w:t>
      </w:r>
      <w:r w:rsidRPr="002802DB">
        <w:rPr>
          <w:b/>
        </w:rPr>
        <w:t>Cambios que recuperan la redacción de la Oferta de Referencia Vigente</w:t>
      </w:r>
      <w:r w:rsidRPr="002802DB">
        <w:rPr>
          <w:b/>
          <w:lang w:val="es-ES"/>
        </w:rPr>
        <w:t>.</w:t>
      </w:r>
    </w:p>
    <w:p w:rsidR="007C4016" w:rsidRPr="00857B07" w:rsidRDefault="007C4016" w:rsidP="007C4016">
      <w:pPr>
        <w:pStyle w:val="IFTnormal"/>
        <w:spacing w:before="240" w:after="0"/>
        <w:rPr>
          <w:lang w:val="es-ES"/>
        </w:rPr>
      </w:pPr>
      <w:r w:rsidRPr="00857B07">
        <w:rPr>
          <w:lang w:val="es-ES"/>
        </w:rPr>
        <w:t>El Instituto considera que la definición de “Análisis de Disponibilidad” es una actividad inherente a la contratación de servicios de la ORCI, es decir, que previ</w:t>
      </w:r>
      <w:r>
        <w:rPr>
          <w:lang w:val="es-ES"/>
        </w:rPr>
        <w:t>amente</w:t>
      </w:r>
      <w:r w:rsidRPr="00857B07">
        <w:rPr>
          <w:lang w:val="es-ES"/>
        </w:rPr>
        <w:t xml:space="preserve"> a la solicitud, se puede verificar la disponibilidad </w:t>
      </w:r>
      <w:r>
        <w:rPr>
          <w:lang w:val="es-ES"/>
        </w:rPr>
        <w:t xml:space="preserve">de la infraestructura </w:t>
      </w:r>
      <w:r>
        <w:rPr>
          <w:lang w:val="es-ES"/>
        </w:rPr>
        <w:lastRenderedPageBreak/>
        <w:t>de interés</w:t>
      </w:r>
      <w:r w:rsidRPr="00857B07">
        <w:rPr>
          <w:lang w:val="es-ES"/>
        </w:rPr>
        <w:t xml:space="preserve"> para su contratación, sin embargo el AEP la define de la siguiente manera</w:t>
      </w:r>
      <w:r>
        <w:rPr>
          <w:lang w:val="es-ES"/>
        </w:rPr>
        <w:t xml:space="preserve"> en la </w:t>
      </w:r>
      <w:r w:rsidRPr="00641387">
        <w:t>Propuesta de Oferta de Referencia</w:t>
      </w:r>
      <w:r w:rsidRPr="00857B07">
        <w:rPr>
          <w:lang w:val="es-ES"/>
        </w:rPr>
        <w:t>:</w:t>
      </w:r>
    </w:p>
    <w:p w:rsidR="007C4016" w:rsidRPr="005E771D" w:rsidRDefault="007C4016" w:rsidP="007C4016">
      <w:pPr>
        <w:pStyle w:val="Citaift0"/>
        <w:spacing w:before="240" w:after="0"/>
        <w:rPr>
          <w:b/>
          <w:color w:val="auto"/>
        </w:rPr>
      </w:pPr>
      <w:r w:rsidRPr="00F44994">
        <w:rPr>
          <w:b/>
          <w:color w:val="auto"/>
        </w:rPr>
        <w:t xml:space="preserve">“2) Análisis de Disponibilidad: </w:t>
      </w:r>
      <w:r w:rsidRPr="00F44994">
        <w:rPr>
          <w:color w:val="auto"/>
        </w:rPr>
        <w:t>La actividad rea</w:t>
      </w:r>
      <w:r>
        <w:rPr>
          <w:color w:val="auto"/>
        </w:rPr>
        <w:t>lizada exclusivamente por Telnor</w:t>
      </w:r>
      <w:r w:rsidRPr="00F44994">
        <w:rPr>
          <w:color w:val="auto"/>
        </w:rPr>
        <w:t xml:space="preserve"> a fin de analizar y concretar in situ los elementos sobre los que efectivamente se podrá ejercer el Acceso y Uso Compartido de Infraestructura Pasiva. Corresponde a una alternativa al servicio de Visita Técnica para el CS a fin de contar con una determinación sobre las condiciones de la infraestructura de manera pronta y expedita</w:t>
      </w:r>
      <w:r w:rsidRPr="00F44994">
        <w:rPr>
          <w:b/>
          <w:color w:val="auto"/>
        </w:rPr>
        <w:t>”</w:t>
      </w:r>
    </w:p>
    <w:p w:rsidR="007C4016" w:rsidRPr="00857B07" w:rsidRDefault="007C4016" w:rsidP="007C4016">
      <w:pPr>
        <w:pStyle w:val="IFTnormal"/>
        <w:spacing w:before="240" w:after="0"/>
        <w:rPr>
          <w:lang w:val="es-ES"/>
        </w:rPr>
      </w:pPr>
      <w:r>
        <w:rPr>
          <w:lang w:val="es-ES"/>
        </w:rPr>
        <w:t>La</w:t>
      </w:r>
      <w:r w:rsidRPr="00857B07">
        <w:rPr>
          <w:lang w:val="es-ES"/>
        </w:rPr>
        <w:t xml:space="preserve"> </w:t>
      </w:r>
      <w:r>
        <w:rPr>
          <w:lang w:val="es-ES"/>
        </w:rPr>
        <w:t xml:space="preserve">Medida </w:t>
      </w:r>
      <w:r w:rsidRPr="00857B07">
        <w:rPr>
          <w:lang w:val="es-ES"/>
        </w:rPr>
        <w:t>TERCER</w:t>
      </w:r>
      <w:r>
        <w:rPr>
          <w:lang w:val="es-ES"/>
        </w:rPr>
        <w:t>A</w:t>
      </w:r>
      <w:r w:rsidRPr="00857B07">
        <w:rPr>
          <w:lang w:val="es-ES"/>
        </w:rPr>
        <w:t xml:space="preserve"> TRANSITORI</w:t>
      </w:r>
      <w:r>
        <w:rPr>
          <w:lang w:val="es-ES"/>
        </w:rPr>
        <w:t>A</w:t>
      </w:r>
      <w:r w:rsidRPr="00352ABA">
        <w:rPr>
          <w:lang w:val="es-ES"/>
        </w:rPr>
        <w:t xml:space="preserve"> </w:t>
      </w:r>
      <w:r>
        <w:rPr>
          <w:lang w:val="es-ES"/>
        </w:rPr>
        <w:t xml:space="preserve">de </w:t>
      </w:r>
      <w:r w:rsidRPr="00857B07">
        <w:rPr>
          <w:lang w:val="es-ES"/>
        </w:rPr>
        <w:t>las Medidas Fijas</w:t>
      </w:r>
      <w:r>
        <w:rPr>
          <w:lang w:val="es-ES"/>
        </w:rPr>
        <w:t>,</w:t>
      </w:r>
      <w:r w:rsidRPr="00857B07">
        <w:rPr>
          <w:lang w:val="es-ES"/>
        </w:rPr>
        <w:t xml:space="preserve"> </w:t>
      </w:r>
      <w:r>
        <w:rPr>
          <w:lang w:val="es-ES"/>
        </w:rPr>
        <w:t>establece</w:t>
      </w:r>
      <w:r w:rsidRPr="00857B07">
        <w:rPr>
          <w:lang w:val="es-ES"/>
        </w:rPr>
        <w:t xml:space="preserve"> que para el 30 de septiembre de 2017, los inventarios de infraestructura de postes y pozos deberán estar al 60%</w:t>
      </w:r>
      <w:r>
        <w:rPr>
          <w:lang w:val="es-ES"/>
        </w:rPr>
        <w:t>,</w:t>
      </w:r>
      <w:r w:rsidRPr="00857B07">
        <w:rPr>
          <w:lang w:val="es-ES"/>
        </w:rPr>
        <w:t xml:space="preserve"> hasta completar el 100% a los </w:t>
      </w:r>
      <w:r>
        <w:rPr>
          <w:lang w:val="es-ES"/>
        </w:rPr>
        <w:t>dos</w:t>
      </w:r>
      <w:r w:rsidRPr="00857B07">
        <w:rPr>
          <w:lang w:val="es-ES"/>
        </w:rPr>
        <w:t xml:space="preserve"> años de haberse instalado el SEG como puede verse a continuación</w:t>
      </w:r>
      <w:r>
        <w:rPr>
          <w:lang w:val="es-ES"/>
        </w:rPr>
        <w:t>:</w:t>
      </w:r>
    </w:p>
    <w:p w:rsidR="007C4016" w:rsidRDefault="007C4016" w:rsidP="007C4016">
      <w:pPr>
        <w:pStyle w:val="IFTcita"/>
        <w:spacing w:before="240" w:after="0"/>
        <w:rPr>
          <w:b w:val="0"/>
        </w:rPr>
      </w:pPr>
      <w:r w:rsidRPr="00857B07">
        <w:rPr>
          <w:b w:val="0"/>
        </w:rPr>
        <w:t>“</w:t>
      </w:r>
      <w:r w:rsidRPr="00205884">
        <w:rPr>
          <w:b w:val="0"/>
        </w:rPr>
        <w:t>TRANSITORIAS DE LA REVISIÓN BIENAL 2016</w:t>
      </w:r>
    </w:p>
    <w:p w:rsidR="007C4016" w:rsidRDefault="007C4016" w:rsidP="007C4016">
      <w:pPr>
        <w:pStyle w:val="IFTcita"/>
        <w:spacing w:before="240" w:after="0"/>
        <w:rPr>
          <w:b w:val="0"/>
        </w:rPr>
      </w:pPr>
      <w:r>
        <w:rPr>
          <w:b w:val="0"/>
        </w:rPr>
        <w:t>[…]</w:t>
      </w:r>
    </w:p>
    <w:p w:rsidR="007C4016" w:rsidRPr="00857B07" w:rsidRDefault="007C4016" w:rsidP="007C4016">
      <w:pPr>
        <w:pStyle w:val="IFTcita"/>
        <w:spacing w:before="240" w:after="0"/>
        <w:rPr>
          <w:b w:val="0"/>
        </w:rPr>
      </w:pPr>
      <w:r w:rsidRPr="00857B07">
        <w:rPr>
          <w:b w:val="0"/>
        </w:rPr>
        <w:t>TERCERA.- El Sistema Electrónico de Gestión deberá estar disponible para su uso, en un tiempo máximo de 10 días hábiles posteriores a que surtan efectos las presentes</w:t>
      </w:r>
      <w:r w:rsidRPr="00813684">
        <w:rPr>
          <w:b w:val="0"/>
          <w:color w:val="0000FF"/>
        </w:rPr>
        <w:t xml:space="preserve"> </w:t>
      </w:r>
      <w:r w:rsidRPr="00857B07">
        <w:rPr>
          <w:b w:val="0"/>
        </w:rPr>
        <w:t>modificaciones, supresiones y adiciones, con la totalidad de los módulos habilitados y la información disponible cargada en el sistema, salvo en aquellos casos en los que el periodo de desarrollo del módulo no haya fenecido, en cuyo caso tendrá hasta dicha fecha.</w:t>
      </w:r>
    </w:p>
    <w:p w:rsidR="007C4016" w:rsidRPr="00205884" w:rsidRDefault="007C4016" w:rsidP="007C4016">
      <w:pPr>
        <w:pStyle w:val="IFTcita"/>
        <w:spacing w:before="240" w:after="0"/>
        <w:rPr>
          <w:u w:val="single"/>
        </w:rPr>
      </w:pPr>
      <w:r w:rsidRPr="00205884">
        <w:rPr>
          <w:u w:val="single"/>
        </w:rPr>
        <w:t>Para los inventarios de infraestructura de postes y pozos, la información debe estar disponible en la herramienta cumpliendo lo siguiente: 1) a más tardar el 30 de septiembre de 2017, al menos el 60% de la información de todo el país; y 2) en periodos de 6 meses, se deberá registrar al menos un 15% adicional de la infraestructura total.</w:t>
      </w:r>
    </w:p>
    <w:p w:rsidR="007C4016" w:rsidRPr="00857B07" w:rsidRDefault="007C4016" w:rsidP="007C4016">
      <w:pPr>
        <w:pStyle w:val="IFTcita"/>
        <w:spacing w:before="240" w:after="0"/>
        <w:rPr>
          <w:b w:val="0"/>
        </w:rPr>
      </w:pPr>
      <w:r w:rsidRPr="00857B07">
        <w:rPr>
          <w:b w:val="0"/>
        </w:rPr>
        <w:t>La información completa debe estar disponible en la herramienta a más tardar a los dos años siguientes a la fecha de la puesta en operación del Sistema Electrónico de Gestión.”</w:t>
      </w:r>
    </w:p>
    <w:p w:rsidR="007C4016" w:rsidRDefault="007C4016" w:rsidP="007C4016">
      <w:pPr>
        <w:pStyle w:val="IFTnormal"/>
        <w:spacing w:before="240" w:after="0"/>
        <w:rPr>
          <w:lang w:val="es-ES"/>
        </w:rPr>
      </w:pPr>
      <w:r>
        <w:rPr>
          <w:lang w:val="es-ES"/>
        </w:rPr>
        <w:t>Por otra parte, la Medida CUADRAGÉSIMA PRIMERA, también establece que cada oferta no deberá contener condiciones que inhiban la competencia, como a continuación se señala:</w:t>
      </w:r>
    </w:p>
    <w:p w:rsidR="007C4016" w:rsidRPr="00B51CE2" w:rsidRDefault="007C4016" w:rsidP="007C4016">
      <w:pPr>
        <w:pStyle w:val="CitaIFT"/>
        <w:spacing w:before="240" w:after="0"/>
        <w:contextualSpacing w:val="0"/>
        <w:rPr>
          <w:lang w:val="es-ES"/>
        </w:rPr>
      </w:pPr>
      <w:r>
        <w:rPr>
          <w:lang w:val="es-ES"/>
        </w:rPr>
        <w:t>“</w:t>
      </w:r>
      <w:r w:rsidRPr="00B51CE2">
        <w:rPr>
          <w:lang w:val="es-ES"/>
        </w:rPr>
        <w:t xml:space="preserve">CUADRAGÉSIMA PRIMERA.- 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w:t>
      </w:r>
      <w:r w:rsidRPr="00B51CE2">
        <w:rPr>
          <w:lang w:val="es-ES"/>
        </w:rPr>
        <w:lastRenderedPageBreak/>
        <w:t>Agente Económico Preponderante y el Concesionario Solicitante o Autorizado Solicitante puedan acordar la firma de convenios con duración mayor al de la vigencia de la Oferta de Referencia respectiva.</w:t>
      </w:r>
    </w:p>
    <w:p w:rsidR="007C4016" w:rsidRDefault="007C4016" w:rsidP="007C4016">
      <w:pPr>
        <w:pStyle w:val="CitaIFT"/>
        <w:spacing w:before="240" w:after="0"/>
        <w:contextualSpacing w:val="0"/>
        <w:rPr>
          <w:lang w:val="es-ES"/>
        </w:rPr>
      </w:pPr>
      <w:r w:rsidRPr="00B51CE2">
        <w:rPr>
          <w:lang w:val="es-ES"/>
        </w:rPr>
        <w:t>Cada oferta deberá contener cuando menos lo siguiente:</w:t>
      </w:r>
    </w:p>
    <w:p w:rsidR="007C4016" w:rsidRDefault="007C4016" w:rsidP="007C4016">
      <w:pPr>
        <w:pStyle w:val="CitaIFT"/>
        <w:spacing w:before="240" w:after="0"/>
        <w:contextualSpacing w:val="0"/>
        <w:rPr>
          <w:lang w:val="es-ES"/>
        </w:rPr>
      </w:pPr>
      <w:r>
        <w:rPr>
          <w:lang w:val="es-ES"/>
        </w:rPr>
        <w:t>{…}</w:t>
      </w:r>
    </w:p>
    <w:p w:rsidR="007C4016" w:rsidRPr="00B51CE2" w:rsidRDefault="007C4016" w:rsidP="007C4016">
      <w:pPr>
        <w:pStyle w:val="CitaIFT"/>
        <w:spacing w:before="240" w:after="0"/>
        <w:rPr>
          <w:lang w:val="es-ES"/>
        </w:rPr>
      </w:pPr>
      <w:r w:rsidRPr="00B51CE2">
        <w:rPr>
          <w:lang w:val="es-ES"/>
        </w:rPr>
        <w:t xml:space="preserve">El Agente Económico Preponderante </w:t>
      </w:r>
      <w:r w:rsidRPr="00B51CE2">
        <w:rPr>
          <w:b/>
          <w:u w:val="single"/>
          <w:lang w:val="es-ES"/>
        </w:rPr>
        <w:t>no podrá establecer condiciones que inhiban la competencia en la prestación de los servicios objeto de las Ofertas de Referencia,</w:t>
      </w:r>
      <w:r w:rsidRPr="00B51CE2">
        <w:rPr>
          <w:lang w:val="es-ES"/>
        </w:rPr>
        <w:t xml:space="preserve"> cualquier requisito que no sea necesario para la eficiente prestación del servicio, ni:</w:t>
      </w:r>
    </w:p>
    <w:p w:rsidR="007C4016" w:rsidRPr="00B51CE2" w:rsidRDefault="007C4016" w:rsidP="007C4016">
      <w:pPr>
        <w:pStyle w:val="CitaIFT"/>
        <w:numPr>
          <w:ilvl w:val="0"/>
          <w:numId w:val="175"/>
        </w:numPr>
        <w:spacing w:before="240" w:after="0"/>
        <w:ind w:left="1560" w:hanging="426"/>
        <w:rPr>
          <w:lang w:val="es-ES"/>
        </w:rPr>
      </w:pPr>
      <w:r w:rsidRPr="00B51CE2">
        <w:rPr>
          <w:lang w:val="es-ES"/>
        </w:rPr>
        <w:t>Aplicar condiciones discriminatorias y/o abusivas en la prestación de los servicios, por lo que deberán ofrecer los mismos precios, términos, condiciones y descuentos establecidos en las Ofertas de Referencia a cualquier Concesionario Solicitante o Autorizado Solicitante que se lo requiera.</w:t>
      </w:r>
    </w:p>
    <w:p w:rsidR="007C4016" w:rsidRPr="00B51CE2" w:rsidRDefault="007C4016" w:rsidP="007C4016">
      <w:pPr>
        <w:pStyle w:val="CitaIFT"/>
        <w:numPr>
          <w:ilvl w:val="0"/>
          <w:numId w:val="175"/>
        </w:numPr>
        <w:spacing w:before="240" w:after="0"/>
        <w:ind w:left="1560" w:hanging="426"/>
        <w:rPr>
          <w:lang w:val="es-ES"/>
        </w:rPr>
      </w:pPr>
      <w:r w:rsidRPr="00B51CE2">
        <w:rPr>
          <w:lang w:val="es-ES"/>
        </w:rPr>
        <w:t>Aplicar términos y condiciones a sus propias operaciones, subsidiarias o filiales, o empresas que pertenezcan al mismo grupo de interés económico distintos a los establecidos en las Ofertas de Referencia.</w:t>
      </w:r>
    </w:p>
    <w:p w:rsidR="007C4016" w:rsidRPr="00B51CE2" w:rsidRDefault="007C4016" w:rsidP="007C4016">
      <w:pPr>
        <w:pStyle w:val="CitaIFT"/>
        <w:numPr>
          <w:ilvl w:val="0"/>
          <w:numId w:val="175"/>
        </w:numPr>
        <w:spacing w:before="240" w:after="0"/>
        <w:ind w:left="1560" w:hanging="426"/>
        <w:rPr>
          <w:b/>
          <w:u w:val="single"/>
          <w:lang w:val="es-ES"/>
        </w:rPr>
      </w:pPr>
      <w:r w:rsidRPr="00B51CE2">
        <w:rPr>
          <w:b/>
          <w:u w:val="single"/>
          <w:lang w:val="es-ES"/>
        </w:rPr>
        <w:t>Condicionar la provisión de los servicios a comprar, adquirir, vender o proporcionar otro bien o servicio adicional o diferente de aquél.</w:t>
      </w:r>
    </w:p>
    <w:p w:rsidR="007C4016" w:rsidRDefault="007C4016" w:rsidP="007C4016">
      <w:pPr>
        <w:pStyle w:val="CitaIFT"/>
        <w:spacing w:before="240" w:after="0"/>
        <w:rPr>
          <w:lang w:val="es-ES"/>
        </w:rPr>
      </w:pPr>
      <w:r>
        <w:rPr>
          <w:lang w:val="es-ES"/>
        </w:rPr>
        <w:t>{…}”</w:t>
      </w:r>
    </w:p>
    <w:p w:rsidR="007C4016" w:rsidRDefault="007C4016" w:rsidP="007C4016">
      <w:pPr>
        <w:pStyle w:val="CitaIFT"/>
        <w:spacing w:before="240" w:after="0"/>
        <w:jc w:val="right"/>
        <w:rPr>
          <w:lang w:val="es-ES"/>
        </w:rPr>
      </w:pPr>
      <w:r w:rsidRPr="00BF1B2A">
        <w:rPr>
          <w:i w:val="0"/>
          <w:color w:val="auto"/>
        </w:rPr>
        <w:t>(Énfasis añadido)</w:t>
      </w:r>
    </w:p>
    <w:p w:rsidR="007C4016" w:rsidRDefault="007C4016" w:rsidP="007C4016">
      <w:pPr>
        <w:pStyle w:val="IFTnormal"/>
        <w:spacing w:before="240" w:after="0"/>
        <w:rPr>
          <w:lang w:val="es-ES"/>
        </w:rPr>
      </w:pPr>
      <w:r>
        <w:rPr>
          <w:lang w:val="es-ES"/>
        </w:rPr>
        <w:t>De la lectura de las citas anteriores el Instituto identifica que</w:t>
      </w:r>
      <w:r w:rsidRPr="00857B07">
        <w:rPr>
          <w:lang w:val="es-ES"/>
        </w:rPr>
        <w:t xml:space="preserve"> </w:t>
      </w:r>
      <w:r>
        <w:rPr>
          <w:lang w:val="es-ES"/>
        </w:rPr>
        <w:t>Telnor pretende ofrecer una alternativa a la Visita Técnica, sin embargo, dado que el SEG ya debe contener la información de infraestructura, sería la Visita técnica la actividad idónea para que el CS pueda corroborar “in situ” las condiciones de la infraestructura, o en su caso, hacerse de manera presencial de toda aquella información relevante que le permita tomar una decisión de la manera precisa. Por lo anterior se considera que incluir una actividad adicional como el “Análisis de disponibilidad”, podría constituirse como un factor que demora la entrega de los servicios.</w:t>
      </w:r>
    </w:p>
    <w:p w:rsidR="007C4016" w:rsidRDefault="007C4016" w:rsidP="007C4016">
      <w:pPr>
        <w:pStyle w:val="IFTnormal"/>
        <w:spacing w:before="240" w:after="0"/>
      </w:pPr>
      <w:r w:rsidRPr="00857B07">
        <w:rPr>
          <w:lang w:val="es-ES"/>
        </w:rPr>
        <w:t xml:space="preserve">Por lo anterior, el Instituto </w:t>
      </w:r>
      <w:r>
        <w:rPr>
          <w:lang w:val="es-ES"/>
        </w:rPr>
        <w:t>considera</w:t>
      </w:r>
      <w:r w:rsidRPr="00857B07">
        <w:rPr>
          <w:lang w:val="es-ES"/>
        </w:rPr>
        <w:t xml:space="preserve"> que en cuanto a dicha actividad “</w:t>
      </w:r>
      <w:r>
        <w:rPr>
          <w:lang w:val="es-ES"/>
        </w:rPr>
        <w:t>A</w:t>
      </w:r>
      <w:r w:rsidRPr="00857B07">
        <w:rPr>
          <w:lang w:val="es-ES"/>
        </w:rPr>
        <w:t xml:space="preserve">nálisis de disponibilidad”, </w:t>
      </w:r>
      <w:r w:rsidRPr="00857B07">
        <w:t>el AEP pretende sustituir o solventar las deficiencias de información de la infraestructura pasiva en el SEG (Sistema Electrónico de Gestión). En caso de información incorrecta o incompleta, será complementada en la etapa de la Visita Técnica.</w:t>
      </w:r>
      <w:r>
        <w:t xml:space="preserve"> Por lo anterior se resuelve la eliminación de esta definición.</w:t>
      </w:r>
    </w:p>
    <w:p w:rsidR="007C4016" w:rsidRPr="00F44994" w:rsidRDefault="007C4016" w:rsidP="007C4016">
      <w:pPr>
        <w:pStyle w:val="IFTnormal"/>
        <w:spacing w:before="240" w:after="0"/>
        <w:rPr>
          <w:lang w:val="es-ES"/>
        </w:rPr>
      </w:pPr>
      <w:r>
        <w:rPr>
          <w:lang w:val="es-ES"/>
        </w:rPr>
        <w:t>Adicionalmente dentro de la Consulta Pública, algunos operadores</w:t>
      </w:r>
      <w:r w:rsidRPr="00257BD7">
        <w:rPr>
          <w:lang w:val="es-ES"/>
        </w:rPr>
        <w:t xml:space="preserve"> </w:t>
      </w:r>
      <w:r w:rsidRPr="00F44994">
        <w:rPr>
          <w:lang w:val="es-ES"/>
        </w:rPr>
        <w:t>consideran que la oferta presentada por el AEP a nivel general contiene pasos innecesarios a los procesos de compartición de infraestructura, establece condiciones de cobro por actividades que anteriormente no cobraba</w:t>
      </w:r>
      <w:r>
        <w:rPr>
          <w:lang w:val="es-ES"/>
        </w:rPr>
        <w:t xml:space="preserve"> y</w:t>
      </w:r>
      <w:r w:rsidRPr="00F44994">
        <w:rPr>
          <w:lang w:val="es-ES"/>
        </w:rPr>
        <w:t xml:space="preserve"> que se traducen en restricciones </w:t>
      </w:r>
      <w:r w:rsidRPr="00857B07">
        <w:rPr>
          <w:lang w:val="es-ES"/>
        </w:rPr>
        <w:lastRenderedPageBreak/>
        <w:t>limita</w:t>
      </w:r>
      <w:r>
        <w:rPr>
          <w:lang w:val="es-ES"/>
        </w:rPr>
        <w:t>ndo</w:t>
      </w:r>
      <w:r w:rsidRPr="00F44994">
        <w:rPr>
          <w:lang w:val="es-ES"/>
        </w:rPr>
        <w:t xml:space="preserve"> así el aprovechamiento efectivo de los servicios contemplados en la oferta.</w:t>
      </w:r>
    </w:p>
    <w:p w:rsidR="007C4016" w:rsidRPr="00D138E3" w:rsidRDefault="007C4016" w:rsidP="007C4016">
      <w:pPr>
        <w:pStyle w:val="IFTnormal"/>
        <w:spacing w:before="240" w:after="0"/>
        <w:rPr>
          <w:b/>
        </w:rPr>
      </w:pPr>
      <w:r w:rsidRPr="00D138E3">
        <w:rPr>
          <w:b/>
        </w:rPr>
        <w:t xml:space="preserve">Redacción </w:t>
      </w:r>
      <w:r>
        <w:rPr>
          <w:b/>
        </w:rPr>
        <w:t>Definitiva</w:t>
      </w:r>
    </w:p>
    <w:p w:rsidR="007C4016" w:rsidRPr="00857B07" w:rsidRDefault="007C4016" w:rsidP="007C4016">
      <w:pPr>
        <w:pStyle w:val="IFTnormal"/>
        <w:spacing w:before="240" w:after="0"/>
        <w:rPr>
          <w:rFonts w:eastAsiaTheme="minorHAnsi"/>
        </w:rPr>
      </w:pPr>
      <w:r w:rsidRPr="00857B07">
        <w:rPr>
          <w:rFonts w:eastAsiaTheme="minorHAnsi"/>
        </w:rPr>
        <w:t>Se elimina de las Definiciones el “Análisis de Disponibilidad”.</w:t>
      </w:r>
    </w:p>
    <w:p w:rsidR="007C4016" w:rsidRPr="00120F1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Pr="00C63F88" w:rsidRDefault="007C4016" w:rsidP="007C4016">
      <w:pPr>
        <w:pStyle w:val="IFTnormal"/>
        <w:spacing w:before="240" w:after="0"/>
        <w:rPr>
          <w:lang w:val="es-ES"/>
        </w:rPr>
      </w:pPr>
      <w:r w:rsidRPr="00C63F88">
        <w:rPr>
          <w:lang w:val="es-ES"/>
        </w:rPr>
        <w:t xml:space="preserve">Por otra parte, </w:t>
      </w:r>
      <w:r>
        <w:rPr>
          <w:lang w:val="es-ES"/>
        </w:rPr>
        <w:t>en las siguientes DEFINICIONES</w:t>
      </w:r>
      <w:r w:rsidRPr="00C63F88">
        <w:rPr>
          <w:lang w:val="es-ES"/>
        </w:rPr>
        <w:t xml:space="preserve"> el AEP también </w:t>
      </w:r>
      <w:r>
        <w:rPr>
          <w:lang w:val="es-ES"/>
        </w:rPr>
        <w:t xml:space="preserve">presentó cambios en la Propuesta de Oferta de Referencia respecto a las </w:t>
      </w:r>
      <w:r w:rsidRPr="00C63F88">
        <w:rPr>
          <w:lang w:val="es-ES"/>
        </w:rPr>
        <w:t>presentadas con anterioridad</w:t>
      </w:r>
      <w:r>
        <w:rPr>
          <w:lang w:val="es-ES"/>
        </w:rPr>
        <w:t>:</w:t>
      </w:r>
    </w:p>
    <w:p w:rsidR="007C4016" w:rsidRPr="00857B07" w:rsidRDefault="007C4016" w:rsidP="007C4016">
      <w:pPr>
        <w:pStyle w:val="Citaift0"/>
        <w:spacing w:before="240" w:after="0"/>
        <w:rPr>
          <w:b/>
          <w:color w:val="auto"/>
        </w:rPr>
      </w:pPr>
      <w:r w:rsidRPr="00857B07">
        <w:rPr>
          <w:b/>
          <w:color w:val="auto"/>
        </w:rPr>
        <w:t xml:space="preserve">“19) Inspección: </w:t>
      </w:r>
      <w:r w:rsidRPr="00857B07">
        <w:rPr>
          <w:color w:val="auto"/>
        </w:rPr>
        <w:t>La actividad de revisión subsecuente a la Verificación, que se realiz</w:t>
      </w:r>
      <w:r>
        <w:rPr>
          <w:color w:val="auto"/>
        </w:rPr>
        <w:t>a en forma conjunta entre Telnor</w:t>
      </w:r>
      <w:r w:rsidRPr="00857B07">
        <w:rPr>
          <w:color w:val="auto"/>
        </w:rPr>
        <w:t xml:space="preserve"> y el CS, y se realiza cuando el CS haya implementado los cambios y ajustes para que se considere como satisfactoria la instalación. También puede realizarse después de una inspección previa en el caso de que no hayan sido aten</w:t>
      </w:r>
      <w:r>
        <w:rPr>
          <w:color w:val="auto"/>
        </w:rPr>
        <w:t>didas las correcciones de Telnor</w:t>
      </w:r>
      <w:r w:rsidRPr="00857B07">
        <w:rPr>
          <w:color w:val="auto"/>
        </w:rPr>
        <w:t>. Su carácter es obligatorio hasta que se hayan atendido todos los ajustes de conf</w:t>
      </w:r>
      <w:r>
        <w:rPr>
          <w:color w:val="auto"/>
        </w:rPr>
        <w:t>ormidad con lo señalado por Telnor</w:t>
      </w:r>
      <w:r w:rsidRPr="00857B07">
        <w:rPr>
          <w:color w:val="auto"/>
        </w:rPr>
        <w:t>.</w:t>
      </w:r>
      <w:r w:rsidRPr="00857B07">
        <w:rPr>
          <w:b/>
          <w:color w:val="auto"/>
        </w:rPr>
        <w:t>”</w:t>
      </w:r>
    </w:p>
    <w:p w:rsidR="007C4016" w:rsidRPr="00857B07" w:rsidRDefault="007C4016" w:rsidP="007C4016">
      <w:pPr>
        <w:pStyle w:val="Citaift0"/>
        <w:spacing w:before="240" w:after="0"/>
        <w:rPr>
          <w:b/>
          <w:color w:val="auto"/>
        </w:rPr>
      </w:pPr>
      <w:r w:rsidRPr="00DB45D9">
        <w:rPr>
          <w:b/>
          <w:color w:val="auto"/>
        </w:rPr>
        <w:t>“35) Verificación:</w:t>
      </w:r>
      <w:r w:rsidRPr="00DB45D9">
        <w:rPr>
          <w:color w:val="auto"/>
        </w:rPr>
        <w:t xml:space="preserve"> La actividad corresponde a la primera revisión obligatoria </w:t>
      </w:r>
      <w:r>
        <w:rPr>
          <w:color w:val="auto"/>
        </w:rPr>
        <w:t>de manera conjunta, entre Telnor</w:t>
      </w:r>
      <w:r w:rsidRPr="00DB45D9">
        <w:rPr>
          <w:color w:val="auto"/>
        </w:rPr>
        <w:t xml:space="preserve"> y el CS, de los trabajos de instalación concluidos por el CS para determinar si se cumplió sin desvíos a la normatividad y al proyecto que fue aprobado en el análisis de factibilidad, a fin de evitar afectaciones</w:t>
      </w:r>
      <w:r>
        <w:rPr>
          <w:color w:val="auto"/>
        </w:rPr>
        <w:t xml:space="preserve"> a los demás servicios de Telnor</w:t>
      </w:r>
      <w:r w:rsidRPr="00DB45D9">
        <w:rPr>
          <w:color w:val="auto"/>
        </w:rPr>
        <w:t xml:space="preserve"> y a los de los CS.</w:t>
      </w:r>
      <w:r w:rsidRPr="00DB45D9">
        <w:rPr>
          <w:b/>
          <w:color w:val="auto"/>
        </w:rPr>
        <w:t>”</w:t>
      </w:r>
    </w:p>
    <w:p w:rsidR="007C4016" w:rsidRPr="00C63F88" w:rsidRDefault="007C4016" w:rsidP="007C4016">
      <w:pPr>
        <w:pStyle w:val="IFTnormal"/>
        <w:spacing w:before="240" w:after="0"/>
        <w:rPr>
          <w:lang w:val="es-ES"/>
        </w:rPr>
      </w:pPr>
      <w:r>
        <w:rPr>
          <w:lang w:val="es-ES"/>
        </w:rPr>
        <w:t xml:space="preserve">Al respecto, </w:t>
      </w:r>
      <w:r w:rsidRPr="00C63F88">
        <w:rPr>
          <w:lang w:val="es-ES"/>
        </w:rPr>
        <w:t xml:space="preserve">el Instituto realizó </w:t>
      </w:r>
      <w:r>
        <w:rPr>
          <w:lang w:val="es-ES"/>
        </w:rPr>
        <w:t>el análisis correspondiente para realizar las modificaciones pertinentes que favorezcan</w:t>
      </w:r>
      <w:r w:rsidRPr="00C63F88">
        <w:rPr>
          <w:lang w:val="es-ES"/>
        </w:rPr>
        <w:t xml:space="preserve"> las condiciones actuales de la ORCI, por lo que se </w:t>
      </w:r>
      <w:r>
        <w:rPr>
          <w:lang w:val="es-ES"/>
        </w:rPr>
        <w:t>presentan a continuación los argumentos que permiten su modificación</w:t>
      </w:r>
      <w:r w:rsidRPr="00C63F88">
        <w:rPr>
          <w:lang w:val="es-ES"/>
        </w:rPr>
        <w:t>.</w:t>
      </w:r>
    </w:p>
    <w:p w:rsidR="007C4016" w:rsidRPr="00857B07" w:rsidRDefault="007C4016" w:rsidP="007C4016">
      <w:pPr>
        <w:pStyle w:val="IFTnormal"/>
        <w:spacing w:before="240" w:after="0"/>
      </w:pPr>
      <w:r>
        <w:t>L</w:t>
      </w:r>
      <w:r w:rsidRPr="00857B07">
        <w:t xml:space="preserve">a definición </w:t>
      </w:r>
      <w:r w:rsidRPr="00857B07">
        <w:rPr>
          <w:b/>
        </w:rPr>
        <w:t>19 “Inspección”</w:t>
      </w:r>
      <w:r>
        <w:rPr>
          <w:b/>
        </w:rPr>
        <w:t>.</w:t>
      </w:r>
      <w:r w:rsidRPr="00857B07">
        <w:t xml:space="preserve"> </w:t>
      </w:r>
      <w:r>
        <w:t>E</w:t>
      </w:r>
      <w:r w:rsidRPr="00857B07">
        <w:t>l</w:t>
      </w:r>
      <w:r w:rsidRPr="00857B07" w:rsidDel="00927836">
        <w:t xml:space="preserve"> </w:t>
      </w:r>
      <w:r>
        <w:t>I</w:t>
      </w:r>
      <w:r w:rsidRPr="00857B07">
        <w:t xml:space="preserve">nstituto encuentra que dicha definición forma parte inherente de las actividades de Verificación, por </w:t>
      </w:r>
      <w:r>
        <w:t>otra parte considera que no es acorde con la Medida CUADRAGÉSIMA PRIMERA que establece</w:t>
      </w:r>
      <w:r w:rsidRPr="00857B07">
        <w:t xml:space="preserve"> lo </w:t>
      </w:r>
      <w:r>
        <w:t>siguiente:</w:t>
      </w:r>
    </w:p>
    <w:p w:rsidR="007C4016" w:rsidRDefault="007C4016" w:rsidP="007C4016">
      <w:pPr>
        <w:pStyle w:val="Citaift0"/>
        <w:spacing w:before="240" w:after="0"/>
      </w:pPr>
      <w:r>
        <w:t>[…]</w:t>
      </w:r>
    </w:p>
    <w:p w:rsidR="007C4016" w:rsidRPr="001B4AAB" w:rsidRDefault="007C4016" w:rsidP="007C4016">
      <w:pPr>
        <w:pStyle w:val="Citaift0"/>
        <w:spacing w:before="240" w:after="0"/>
      </w:pPr>
      <w:r w:rsidRPr="001B4AAB">
        <w:t xml:space="preserve">CUADRAGÉSIMA PRIMERA.- El Agente Económico Preponderante deberá presentar para aprobación del Instituto, en el mes de julio del año que corresponda, una propuesta </w:t>
      </w:r>
      <w:r>
        <w:t>[…]</w:t>
      </w:r>
    </w:p>
    <w:p w:rsidR="007C4016" w:rsidRPr="001B4AAB" w:rsidRDefault="007C4016" w:rsidP="007C4016">
      <w:pPr>
        <w:pStyle w:val="Citaift0"/>
        <w:spacing w:before="240" w:after="0"/>
      </w:pPr>
      <w:r w:rsidRPr="001B4AAB">
        <w:t>La propuesta que presente el Agente Económico Preponderante deberá reflejar, al menos, condiciones equivalentes a las de la Oferta de Referencia vigente.</w:t>
      </w:r>
    </w:p>
    <w:p w:rsidR="007C4016" w:rsidRPr="001B4AAB" w:rsidRDefault="007C4016" w:rsidP="007C4016">
      <w:pPr>
        <w:pStyle w:val="Citaift0"/>
        <w:spacing w:before="240" w:after="0"/>
      </w:pPr>
      <w:r>
        <w:lastRenderedPageBreak/>
        <w:t>{…]</w:t>
      </w:r>
    </w:p>
    <w:p w:rsidR="007C4016" w:rsidRPr="001B4AAB" w:rsidRDefault="007C4016" w:rsidP="007C4016">
      <w:pPr>
        <w:pStyle w:val="Citaift0"/>
        <w:spacing w:before="240" w:after="0"/>
      </w:pPr>
      <w:r w:rsidRPr="001B4AAB">
        <w:t xml:space="preserve">El </w:t>
      </w:r>
      <w:r w:rsidRPr="001B4AAB">
        <w:rPr>
          <w:b/>
          <w:u w:val="single"/>
        </w:rPr>
        <w:t>Agente Económico Preponderante no podrá establecer condiciones que inhiban la competencia en la prestación de los servicios objeto de las Ofertas de Referencia</w:t>
      </w:r>
      <w:r w:rsidRPr="001B4AAB">
        <w:t>, cualquier requisito que no sea necesario para la eficiente prestación del servicio, ni:</w:t>
      </w:r>
    </w:p>
    <w:p w:rsidR="007C4016" w:rsidRPr="001B4AAB" w:rsidRDefault="007C4016" w:rsidP="007C4016">
      <w:pPr>
        <w:pStyle w:val="Citaift0"/>
        <w:spacing w:before="240" w:after="0"/>
        <w:ind w:left="1560" w:hanging="426"/>
      </w:pPr>
      <w:r w:rsidRPr="00010FE3">
        <w:t>•</w:t>
      </w:r>
      <w:r w:rsidRPr="00010FE3">
        <w:tab/>
        <w:t>Aplicar condiciones discriminatorias y/o abusivas en la prestación de los servicios, por lo que deberán ofrecer los mismos precios, términos, condiciones y descuentos establecidos en las Ofertas de Referencia a cualquier Concesionario Solicitante o Autorizado Solicitante que se lo requiera.</w:t>
      </w:r>
    </w:p>
    <w:p w:rsidR="007C4016" w:rsidRPr="00857B07" w:rsidRDefault="007C4016" w:rsidP="007C4016">
      <w:pPr>
        <w:pStyle w:val="Citaift0"/>
        <w:spacing w:before="240" w:after="0"/>
      </w:pPr>
      <w:r>
        <w:t>[…]</w:t>
      </w:r>
    </w:p>
    <w:p w:rsidR="007C4016" w:rsidRDefault="007C4016" w:rsidP="007C4016">
      <w:pPr>
        <w:pStyle w:val="IFTnormal"/>
        <w:spacing w:before="240" w:after="0"/>
      </w:pPr>
      <w:r>
        <w:t xml:space="preserve">Dado lo anterior, el Instituto considera que la Inspección es una actividad implícita y redundante en las actividades de verificación encaminada a que se atiendan las necesidades de la Oferta de Referencia Vigente. Por lo anterior en Instituto resuelve eliminar esta definición para efectos de claridad y consistencia con los conceptos y procedimientos contenidos en la Oferta de Referencia. </w:t>
      </w:r>
    </w:p>
    <w:p w:rsidR="007C4016" w:rsidRPr="00857B07" w:rsidRDefault="007C4016" w:rsidP="007C4016">
      <w:pPr>
        <w:pStyle w:val="IFTnormal"/>
        <w:spacing w:before="240" w:after="0"/>
      </w:pPr>
      <w:r w:rsidRPr="0026468B">
        <w:t xml:space="preserve">La definición </w:t>
      </w:r>
      <w:r w:rsidRPr="0026468B">
        <w:rPr>
          <w:b/>
        </w:rPr>
        <w:t>35 “Verificación”</w:t>
      </w:r>
      <w:r>
        <w:rPr>
          <w:b/>
        </w:rPr>
        <w:t>.</w:t>
      </w:r>
      <w:r>
        <w:t xml:space="preserve"> El</w:t>
      </w:r>
      <w:r w:rsidDel="00927836">
        <w:t xml:space="preserve"> </w:t>
      </w:r>
      <w:r>
        <w:t>Instituto considera clave que esta actividad se encuentre definida, ya que establece las condiciones para que las actividades de las Visitas Técnicas y los Análisis de Factibilidad se den en las condiciones más favorables y de esta forma se otorgue certidumbre a los CS. Al respecto el instituto identifica dentro de esta definición las condicionantes de que dicha “verificación”, solo sea la primera y de forma obligatoria, cuando en estricto sentido pueden existir varias iteraciones y son una prerrogativa del CS para habilitar sus servicios. Es por esto que el Instituto considera que mantener dichas condicionantes puede atentar contra la correcta y eficiente prestación de los servicios, y por lo tanto resuelve modificar la definición conforme a la Medida CUADRAGÉSIMA PRIMERA antes citada.</w:t>
      </w:r>
    </w:p>
    <w:p w:rsidR="007C4016" w:rsidRPr="00857B07" w:rsidRDefault="007C4016" w:rsidP="007C4016">
      <w:pPr>
        <w:pStyle w:val="CondicionesFinales"/>
        <w:spacing w:before="240" w:after="0"/>
        <w:ind w:left="0"/>
        <w:rPr>
          <w:b/>
          <w:color w:val="auto"/>
        </w:rPr>
      </w:pPr>
      <w:bookmarkStart w:id="5" w:name="_Toc385173219"/>
      <w:bookmarkStart w:id="6" w:name="_Toc385190434"/>
      <w:bookmarkStart w:id="7" w:name="_Toc388972110"/>
      <w:bookmarkStart w:id="8" w:name="_Toc388869586"/>
      <w:bookmarkStart w:id="9" w:name="_Toc398890428"/>
      <w:bookmarkStart w:id="10" w:name="_Toc400610118"/>
      <w:bookmarkStart w:id="11" w:name="_Toc433915531"/>
      <w:bookmarkStart w:id="12" w:name="_Toc435555523"/>
      <w:bookmarkStart w:id="13" w:name="_Toc436229677"/>
      <w:bookmarkStart w:id="14" w:name="_Toc436230592"/>
      <w:bookmarkStart w:id="15" w:name="_Toc436230686"/>
      <w:r w:rsidRPr="00857B07">
        <w:rPr>
          <w:b/>
          <w:color w:val="auto"/>
        </w:rPr>
        <w:t>Redacción Definitiva</w:t>
      </w:r>
    </w:p>
    <w:p w:rsidR="007C4016" w:rsidRPr="00857B07" w:rsidRDefault="007C4016" w:rsidP="007C4016">
      <w:pPr>
        <w:pStyle w:val="IFTnormal"/>
        <w:spacing w:before="240" w:after="0"/>
        <w:rPr>
          <w:sz w:val="20"/>
          <w:szCs w:val="20"/>
          <w:lang w:eastAsia="es-MX"/>
        </w:rPr>
      </w:pPr>
      <w:r w:rsidRPr="00857B07">
        <w:t>Derivado del análisis realizado, el Instituto resuelve que la sección de las “Definiciones” deberá quedar de la siguiente manera:</w:t>
      </w:r>
    </w:p>
    <w:p w:rsidR="007C4016" w:rsidRPr="00857B07" w:rsidRDefault="007C4016" w:rsidP="007C4016">
      <w:pPr>
        <w:pStyle w:val="CondicionesFinales"/>
        <w:spacing w:before="240" w:after="0"/>
        <w:rPr>
          <w:b/>
          <w:color w:val="auto"/>
        </w:rPr>
      </w:pPr>
      <w:r w:rsidRPr="00857B07">
        <w:rPr>
          <w:b/>
          <w:color w:val="auto"/>
        </w:rPr>
        <w:t>Definiciones.</w:t>
      </w:r>
      <w:bookmarkEnd w:id="5"/>
      <w:bookmarkEnd w:id="6"/>
      <w:bookmarkEnd w:id="7"/>
      <w:bookmarkEnd w:id="8"/>
      <w:bookmarkEnd w:id="9"/>
      <w:bookmarkEnd w:id="10"/>
      <w:bookmarkEnd w:id="11"/>
      <w:bookmarkEnd w:id="12"/>
      <w:bookmarkEnd w:id="13"/>
      <w:bookmarkEnd w:id="14"/>
      <w:bookmarkEnd w:id="15"/>
      <w:r w:rsidRPr="00857B07">
        <w:rPr>
          <w:b/>
          <w:color w:val="auto"/>
        </w:rPr>
        <w:t xml:space="preserve"> </w:t>
      </w:r>
    </w:p>
    <w:p w:rsidR="007C4016" w:rsidRPr="00DB45D9" w:rsidRDefault="007C4016" w:rsidP="007C4016">
      <w:pPr>
        <w:pStyle w:val="CondicionesFinales"/>
        <w:spacing w:before="240" w:after="0"/>
        <w:ind w:left="1701" w:hanging="490"/>
        <w:rPr>
          <w:color w:val="auto"/>
        </w:rPr>
      </w:pPr>
      <w:r w:rsidRPr="00DB45D9">
        <w:rPr>
          <w:color w:val="auto"/>
        </w:rPr>
        <w:t>[…]</w:t>
      </w:r>
    </w:p>
    <w:p w:rsidR="007C4016" w:rsidRDefault="007C4016" w:rsidP="007C4016">
      <w:pPr>
        <w:pStyle w:val="CondicionesFinales"/>
        <w:spacing w:before="240" w:after="0"/>
        <w:ind w:left="1211"/>
        <w:rPr>
          <w:color w:val="auto"/>
        </w:rPr>
      </w:pPr>
      <w:r w:rsidRPr="008A41D2">
        <w:rPr>
          <w:b/>
          <w:color w:val="auto"/>
        </w:rPr>
        <w:lastRenderedPageBreak/>
        <w:t>Inspección</w:t>
      </w:r>
      <w:r>
        <w:rPr>
          <w:b/>
          <w:color w:val="auto"/>
        </w:rPr>
        <w:t>:</w:t>
      </w:r>
      <w:r w:rsidRPr="008A41D2">
        <w:rPr>
          <w:color w:val="auto"/>
        </w:rPr>
        <w:t xml:space="preserve"> Se elimina de las definiciones</w:t>
      </w:r>
    </w:p>
    <w:p w:rsidR="007C4016" w:rsidRPr="00DB45D9" w:rsidRDefault="007C4016" w:rsidP="007C4016">
      <w:pPr>
        <w:pStyle w:val="CondicionesFinales"/>
        <w:spacing w:before="240" w:after="0"/>
        <w:ind w:left="1211"/>
        <w:rPr>
          <w:color w:val="auto"/>
        </w:rPr>
      </w:pPr>
      <w:r w:rsidRPr="00DB45D9">
        <w:rPr>
          <w:color w:val="auto"/>
        </w:rPr>
        <w:t>[…]</w:t>
      </w:r>
    </w:p>
    <w:p w:rsidR="007C4016" w:rsidRPr="00857B07" w:rsidRDefault="007C4016" w:rsidP="007C4016">
      <w:pPr>
        <w:pStyle w:val="CondicionesFinales"/>
        <w:spacing w:before="240" w:after="0"/>
        <w:ind w:left="1211"/>
        <w:rPr>
          <w:color w:val="auto"/>
        </w:rPr>
      </w:pPr>
      <w:r w:rsidRPr="00E924B0">
        <w:rPr>
          <w:b/>
          <w:color w:val="auto"/>
        </w:rPr>
        <w:t>34 Verificación:</w:t>
      </w:r>
      <w:r w:rsidRPr="00E924B0">
        <w:rPr>
          <w:color w:val="auto"/>
        </w:rPr>
        <w:t xml:space="preserve"> La actividad corresponde a la</w:t>
      </w:r>
      <w:r>
        <w:rPr>
          <w:color w:val="auto"/>
        </w:rPr>
        <w:t>s</w:t>
      </w:r>
      <w:r w:rsidRPr="00E924B0">
        <w:rPr>
          <w:color w:val="auto"/>
        </w:rPr>
        <w:t xml:space="preserve"> </w:t>
      </w:r>
      <w:r>
        <w:rPr>
          <w:color w:val="auto"/>
        </w:rPr>
        <w:t>revisio</w:t>
      </w:r>
      <w:r w:rsidRPr="00E924B0">
        <w:rPr>
          <w:color w:val="auto"/>
        </w:rPr>
        <w:t>n</w:t>
      </w:r>
      <w:r>
        <w:rPr>
          <w:color w:val="auto"/>
        </w:rPr>
        <w:t>es</w:t>
      </w:r>
      <w:r w:rsidRPr="00E924B0">
        <w:rPr>
          <w:color w:val="auto"/>
        </w:rPr>
        <w:t xml:space="preserve"> </w:t>
      </w:r>
      <w:r>
        <w:rPr>
          <w:color w:val="auto"/>
        </w:rPr>
        <w:t>de manera conjunta, entre Telnor</w:t>
      </w:r>
      <w:r w:rsidRPr="00E924B0">
        <w:rPr>
          <w:color w:val="auto"/>
        </w:rPr>
        <w:t xml:space="preserve"> y el CS, de los trabajos de instalación concluidos por el CS para determinar si se cumplió sin desvíos a la normatividad y al proyecto que fue aprobado en el análisis de factibilidad, a fin de evitar afectaciones a los dem</w:t>
      </w:r>
      <w:r>
        <w:rPr>
          <w:color w:val="auto"/>
        </w:rPr>
        <w:t>ás servicios de Telnor</w:t>
      </w:r>
      <w:r w:rsidRPr="00E924B0">
        <w:rPr>
          <w:color w:val="auto"/>
        </w:rPr>
        <w:t xml:space="preserve"> y a los de los CS.”</w:t>
      </w:r>
    </w:p>
    <w:p w:rsidR="007C4016" w:rsidRPr="00857B07" w:rsidRDefault="007C4016" w:rsidP="007C4016">
      <w:pPr>
        <w:pStyle w:val="CondicionesFinales"/>
        <w:spacing w:before="240" w:after="0"/>
        <w:ind w:left="1211"/>
        <w:rPr>
          <w:color w:val="auto"/>
        </w:rPr>
      </w:pPr>
      <w:r>
        <w:rPr>
          <w:color w:val="auto"/>
        </w:rPr>
        <w:t>[…]</w:t>
      </w:r>
    </w:p>
    <w:p w:rsidR="007C4016" w:rsidRPr="006A7AA7" w:rsidRDefault="007C4016" w:rsidP="006A7AA7">
      <w:pPr>
        <w:spacing w:before="240"/>
        <w:rPr>
          <w:rFonts w:ascii="ITC Avant Garde" w:hAnsi="ITC Avant Garde"/>
          <w:b/>
          <w:sz w:val="22"/>
          <w:szCs w:val="22"/>
        </w:rPr>
      </w:pPr>
      <w:r w:rsidRPr="006A7AA7">
        <w:rPr>
          <w:rFonts w:ascii="ITC Avant Garde" w:hAnsi="ITC Avant Garde"/>
          <w:b/>
          <w:sz w:val="22"/>
          <w:szCs w:val="22"/>
        </w:rPr>
        <w:t>INTRODUCCIÓN</w:t>
      </w:r>
    </w:p>
    <w:p w:rsidR="007C4016" w:rsidRPr="00BF4959" w:rsidRDefault="007C4016" w:rsidP="007C4016">
      <w:pPr>
        <w:pStyle w:val="IFTnormal"/>
        <w:spacing w:before="240" w:after="0"/>
        <w:rPr>
          <w:b/>
        </w:rPr>
      </w:pPr>
      <w:bookmarkStart w:id="16" w:name="_Toc433915532"/>
      <w:bookmarkStart w:id="17" w:name="_Toc435555524"/>
      <w:bookmarkStart w:id="18" w:name="_Toc436229678"/>
      <w:bookmarkStart w:id="19" w:name="_Toc436230593"/>
      <w:bookmarkStart w:id="20" w:name="_Toc488945208"/>
      <w:bookmarkStart w:id="21" w:name="_Toc436230687"/>
      <w:bookmarkEnd w:id="16"/>
      <w:bookmarkEnd w:id="17"/>
      <w:bookmarkEnd w:id="18"/>
      <w:bookmarkEnd w:id="19"/>
      <w:bookmarkEnd w:id="20"/>
      <w:bookmarkEnd w:id="21"/>
      <w:r w:rsidRPr="00BF4959">
        <w:rPr>
          <w:b/>
        </w:rPr>
        <w:t>Consideraciones del Instituto</w:t>
      </w:r>
    </w:p>
    <w:p w:rsidR="007C4016" w:rsidRDefault="007C4016" w:rsidP="007C4016">
      <w:pPr>
        <w:pStyle w:val="IFTnormal"/>
        <w:spacing w:before="240" w:after="0"/>
        <w:rPr>
          <w:b/>
          <w:lang w:val="es-ES"/>
        </w:rPr>
      </w:pPr>
      <w:r w:rsidRPr="002802DB">
        <w:rPr>
          <w:b/>
          <w:lang w:val="es-ES"/>
        </w:rPr>
        <w:t xml:space="preserve">CASO </w:t>
      </w:r>
      <w:r>
        <w:rPr>
          <w:b/>
          <w:lang w:val="es-ES"/>
        </w:rPr>
        <w:t>2</w:t>
      </w:r>
      <w:r w:rsidRPr="002802DB">
        <w:rPr>
          <w:b/>
          <w:lang w:val="es-ES"/>
        </w:rPr>
        <w:t xml:space="preserve">. Cambios que </w:t>
      </w:r>
      <w:r w:rsidRPr="002802DB">
        <w:rPr>
          <w:b/>
        </w:rPr>
        <w:t>modifican la redacción de la Propuesta de Oferta de Referencia.</w:t>
      </w:r>
    </w:p>
    <w:p w:rsidR="007C4016" w:rsidRPr="00F44994" w:rsidRDefault="007C4016" w:rsidP="007C4016">
      <w:pPr>
        <w:spacing w:before="240" w:after="0"/>
        <w:rPr>
          <w:rFonts w:ascii="ITC Avant Garde" w:eastAsiaTheme="minorHAnsi" w:hAnsi="ITC Avant Garde" w:cs="Arial"/>
          <w:sz w:val="22"/>
          <w:szCs w:val="22"/>
          <w:lang w:val="es-ES"/>
        </w:rPr>
      </w:pPr>
      <w:r w:rsidRPr="00F44994">
        <w:rPr>
          <w:rFonts w:ascii="ITC Avant Garde" w:eastAsiaTheme="minorHAnsi" w:hAnsi="ITC Avant Garde" w:cs="Arial"/>
          <w:sz w:val="22"/>
          <w:szCs w:val="22"/>
          <w:lang w:val="es-ES"/>
        </w:rPr>
        <w:t>Relativo a la Introducción</w:t>
      </w:r>
      <w:r>
        <w:rPr>
          <w:rFonts w:ascii="ITC Avant Garde" w:eastAsiaTheme="minorHAnsi" w:hAnsi="ITC Avant Garde" w:cs="Arial"/>
          <w:sz w:val="22"/>
          <w:szCs w:val="22"/>
          <w:lang w:val="es-ES"/>
        </w:rPr>
        <w:t>,</w:t>
      </w:r>
      <w:r w:rsidRPr="00F44994">
        <w:rPr>
          <w:rFonts w:ascii="ITC Avant Garde" w:eastAsiaTheme="minorHAnsi" w:hAnsi="ITC Avant Garde" w:cs="Arial"/>
          <w:sz w:val="22"/>
          <w:szCs w:val="22"/>
          <w:lang w:val="es-ES"/>
        </w:rPr>
        <w:t xml:space="preserve"> el AEP en su </w:t>
      </w:r>
      <w:r>
        <w:rPr>
          <w:rFonts w:ascii="ITC Avant Garde" w:eastAsiaTheme="minorHAnsi" w:hAnsi="ITC Avant Garde" w:cs="Arial"/>
          <w:sz w:val="22"/>
          <w:szCs w:val="22"/>
          <w:lang w:val="es-ES"/>
        </w:rPr>
        <w:t>Propuesta</w:t>
      </w:r>
      <w:r w:rsidRPr="00F44994">
        <w:rPr>
          <w:rFonts w:ascii="ITC Avant Garde" w:eastAsiaTheme="minorHAnsi" w:hAnsi="ITC Avant Garde" w:cs="Arial"/>
          <w:sz w:val="22"/>
          <w:szCs w:val="22"/>
          <w:lang w:val="es-ES"/>
        </w:rPr>
        <w:t xml:space="preserve"> de </w:t>
      </w:r>
      <w:r>
        <w:rPr>
          <w:rFonts w:ascii="ITC Avant Garde" w:eastAsiaTheme="minorHAnsi" w:hAnsi="ITC Avant Garde" w:cs="Arial"/>
          <w:sz w:val="22"/>
          <w:szCs w:val="22"/>
          <w:lang w:val="es-ES"/>
        </w:rPr>
        <w:t>Oferta de Referencia</w:t>
      </w:r>
      <w:r w:rsidRPr="00F44994">
        <w:rPr>
          <w:rFonts w:ascii="ITC Avant Garde" w:eastAsiaTheme="minorHAnsi" w:hAnsi="ITC Avant Garde" w:cs="Arial"/>
          <w:sz w:val="22"/>
          <w:szCs w:val="22"/>
          <w:lang w:val="es-ES"/>
        </w:rPr>
        <w:t xml:space="preserve"> establece lo siguiente:</w:t>
      </w:r>
    </w:p>
    <w:p w:rsidR="007C4016" w:rsidRPr="00F44994" w:rsidRDefault="007C4016" w:rsidP="007C4016">
      <w:pPr>
        <w:pStyle w:val="7CitaTextual"/>
        <w:spacing w:before="240" w:after="0"/>
        <w:rPr>
          <w:lang w:val="es-ES"/>
        </w:rPr>
      </w:pPr>
      <w:r w:rsidRPr="00F44994">
        <w:rPr>
          <w:lang w:val="es-ES"/>
        </w:rPr>
        <w:t>“[…]</w:t>
      </w:r>
    </w:p>
    <w:p w:rsidR="007C4016" w:rsidRPr="00F44994" w:rsidRDefault="007C4016" w:rsidP="007C4016">
      <w:pPr>
        <w:pStyle w:val="7CitaTextual"/>
        <w:spacing w:before="240" w:after="0" w:line="360" w:lineRule="auto"/>
        <w:contextualSpacing/>
      </w:pPr>
      <w:r w:rsidRPr="00F44994">
        <w:t>Los eleme</w:t>
      </w:r>
      <w:r>
        <w:t>ntos pasivos de la red de Telnor</w:t>
      </w:r>
      <w:r w:rsidRPr="00F44994">
        <w:t xml:space="preserve"> que incluye esta Oferta, son:</w:t>
      </w:r>
    </w:p>
    <w:p w:rsidR="007C4016" w:rsidRPr="00F44994" w:rsidRDefault="007C4016" w:rsidP="007C4016">
      <w:pPr>
        <w:pStyle w:val="7CitaTextual"/>
        <w:numPr>
          <w:ilvl w:val="0"/>
          <w:numId w:val="172"/>
        </w:numPr>
        <w:spacing w:before="240" w:after="0" w:line="360" w:lineRule="auto"/>
        <w:ind w:left="1276"/>
        <w:contextualSpacing/>
      </w:pPr>
      <w:r w:rsidRPr="00F44994">
        <w:t>Postes.</w:t>
      </w:r>
    </w:p>
    <w:p w:rsidR="007C4016" w:rsidRPr="00F44994" w:rsidRDefault="007C4016" w:rsidP="007C4016">
      <w:pPr>
        <w:pStyle w:val="7CitaTextual"/>
        <w:numPr>
          <w:ilvl w:val="0"/>
          <w:numId w:val="172"/>
        </w:numPr>
        <w:spacing w:before="240" w:after="0" w:line="360" w:lineRule="auto"/>
        <w:ind w:left="1276"/>
        <w:contextualSpacing/>
      </w:pPr>
      <w:r w:rsidRPr="00F44994">
        <w:t>Pozos.</w:t>
      </w:r>
    </w:p>
    <w:p w:rsidR="007C4016" w:rsidRPr="00F44994" w:rsidRDefault="007C4016" w:rsidP="007C4016">
      <w:pPr>
        <w:pStyle w:val="7CitaTextual"/>
        <w:numPr>
          <w:ilvl w:val="0"/>
          <w:numId w:val="172"/>
        </w:numPr>
        <w:spacing w:before="240" w:after="0" w:line="360" w:lineRule="auto"/>
        <w:ind w:left="1276"/>
        <w:contextualSpacing/>
      </w:pPr>
      <w:r w:rsidRPr="00F44994">
        <w:t xml:space="preserve">Torres, Mástiles. </w:t>
      </w:r>
    </w:p>
    <w:p w:rsidR="007C4016" w:rsidRPr="00F44994" w:rsidRDefault="007C4016" w:rsidP="007C4016">
      <w:pPr>
        <w:pStyle w:val="7CitaTextual"/>
        <w:numPr>
          <w:ilvl w:val="0"/>
          <w:numId w:val="172"/>
        </w:numPr>
        <w:spacing w:before="240" w:after="0" w:line="360" w:lineRule="auto"/>
        <w:ind w:left="1276"/>
        <w:contextualSpacing/>
      </w:pPr>
      <w:r w:rsidRPr="00F44994">
        <w:t>Zanjas y Ductos</w:t>
      </w:r>
    </w:p>
    <w:p w:rsidR="007C4016" w:rsidRPr="00F44994" w:rsidRDefault="007C4016" w:rsidP="007C4016">
      <w:pPr>
        <w:pStyle w:val="7CitaTextual"/>
        <w:numPr>
          <w:ilvl w:val="0"/>
          <w:numId w:val="172"/>
        </w:numPr>
        <w:spacing w:before="240" w:after="0" w:line="360" w:lineRule="auto"/>
        <w:ind w:left="1276"/>
        <w:contextualSpacing/>
      </w:pPr>
      <w:r w:rsidRPr="00F44994">
        <w:t xml:space="preserve">Sitios, predios, espacios físicos. </w:t>
      </w:r>
    </w:p>
    <w:p w:rsidR="007C4016" w:rsidRPr="00F44994" w:rsidRDefault="007C4016" w:rsidP="007C4016">
      <w:pPr>
        <w:pStyle w:val="7CitaTextual"/>
        <w:numPr>
          <w:ilvl w:val="0"/>
          <w:numId w:val="172"/>
        </w:numPr>
        <w:spacing w:before="240" w:after="0" w:line="360" w:lineRule="auto"/>
        <w:ind w:left="1276"/>
        <w:contextualSpacing/>
      </w:pPr>
      <w:r w:rsidRPr="00F44994">
        <w:t>Fuentes de energía, seguridad y sistemas de aire acondicionado</w:t>
      </w:r>
      <w:r w:rsidRPr="00F44994">
        <w:rPr>
          <w:vertAlign w:val="superscript"/>
        </w:rPr>
        <w:t>1</w:t>
      </w:r>
      <w:r w:rsidRPr="00F44994">
        <w:t>.</w:t>
      </w:r>
    </w:p>
    <w:p w:rsidR="007C4016" w:rsidRDefault="007C4016" w:rsidP="007C4016">
      <w:pPr>
        <w:pStyle w:val="7CitaTextual"/>
        <w:numPr>
          <w:ilvl w:val="0"/>
          <w:numId w:val="172"/>
        </w:numPr>
        <w:spacing w:before="240" w:after="0" w:line="360" w:lineRule="auto"/>
        <w:ind w:left="1276"/>
        <w:contextualSpacing/>
      </w:pPr>
      <w:r w:rsidRPr="00F44994">
        <w:t>Equipos auxiliares, instalaciones de equipo y de alimentaciones conexas. (Servicios Auxiliares).</w:t>
      </w:r>
    </w:p>
    <w:p w:rsidR="007C4016" w:rsidRDefault="007C4016" w:rsidP="007C4016">
      <w:pPr>
        <w:pStyle w:val="7CitaTextual"/>
        <w:spacing w:before="240" w:after="0" w:line="360" w:lineRule="auto"/>
        <w:contextualSpacing/>
      </w:pPr>
      <w:r w:rsidRPr="00F44994">
        <w:t>Los elementos anteriores están contenidos en los servicios de compartición de infraestructura, los cuales son:</w:t>
      </w:r>
    </w:p>
    <w:p w:rsidR="007C4016" w:rsidRPr="00F44994" w:rsidRDefault="007C4016" w:rsidP="007C4016">
      <w:pPr>
        <w:pStyle w:val="7CitaTextual"/>
        <w:numPr>
          <w:ilvl w:val="0"/>
          <w:numId w:val="170"/>
        </w:numPr>
        <w:spacing w:before="240" w:after="0" w:line="360" w:lineRule="auto"/>
        <w:ind w:left="1276"/>
        <w:contextualSpacing/>
        <w:rPr>
          <w:lang w:val="es-ES"/>
        </w:rPr>
      </w:pPr>
      <w:r w:rsidRPr="00F44994">
        <w:rPr>
          <w:lang w:val="es-ES"/>
        </w:rPr>
        <w:t>Servicio de Acceso y Uso Compartido de Obra Civil;</w:t>
      </w:r>
    </w:p>
    <w:p w:rsidR="007C4016" w:rsidRPr="00F44994" w:rsidRDefault="007C4016" w:rsidP="007C4016">
      <w:pPr>
        <w:pStyle w:val="7CitaTextual"/>
        <w:numPr>
          <w:ilvl w:val="0"/>
          <w:numId w:val="170"/>
        </w:numPr>
        <w:spacing w:before="240" w:after="0" w:line="360" w:lineRule="auto"/>
        <w:ind w:left="1276"/>
        <w:contextualSpacing/>
        <w:rPr>
          <w:lang w:val="es-ES"/>
        </w:rPr>
      </w:pPr>
      <w:r w:rsidRPr="00F44994">
        <w:rPr>
          <w:lang w:val="es-ES"/>
        </w:rPr>
        <w:t>Servicio de Acceso y Uso Compartido de Torres;</w:t>
      </w:r>
    </w:p>
    <w:p w:rsidR="007C4016" w:rsidRPr="00F44994" w:rsidRDefault="007C4016" w:rsidP="007C4016">
      <w:pPr>
        <w:pStyle w:val="7CitaTextual"/>
        <w:numPr>
          <w:ilvl w:val="0"/>
          <w:numId w:val="170"/>
        </w:numPr>
        <w:spacing w:before="240" w:after="0" w:line="360" w:lineRule="auto"/>
        <w:ind w:left="1276"/>
        <w:contextualSpacing/>
        <w:rPr>
          <w:lang w:val="es-ES"/>
        </w:rPr>
      </w:pPr>
      <w:r w:rsidRPr="00F44994">
        <w:rPr>
          <w:lang w:val="es-ES"/>
        </w:rPr>
        <w:t>Servicio de Uso de Sitios, Predios y Espacios Físicos;</w:t>
      </w:r>
    </w:p>
    <w:p w:rsidR="007C4016" w:rsidRPr="00F44994" w:rsidRDefault="007C4016" w:rsidP="007C4016">
      <w:pPr>
        <w:pStyle w:val="7CitaTextual"/>
        <w:numPr>
          <w:ilvl w:val="0"/>
          <w:numId w:val="170"/>
        </w:numPr>
        <w:spacing w:before="240" w:after="0" w:line="360" w:lineRule="auto"/>
        <w:ind w:left="1276"/>
        <w:contextualSpacing/>
        <w:rPr>
          <w:lang w:val="es-ES"/>
        </w:rPr>
      </w:pPr>
      <w:r w:rsidRPr="00F44994">
        <w:rPr>
          <w:lang w:val="es-ES"/>
        </w:rPr>
        <w:lastRenderedPageBreak/>
        <w:t xml:space="preserve">Servicio de Tendido de Cable sobre Infraestructura Desagregada, y </w:t>
      </w:r>
    </w:p>
    <w:p w:rsidR="007C4016" w:rsidRDefault="007C4016" w:rsidP="007C4016">
      <w:pPr>
        <w:pStyle w:val="7CitaTextual"/>
        <w:numPr>
          <w:ilvl w:val="0"/>
          <w:numId w:val="170"/>
        </w:numPr>
        <w:spacing w:before="240" w:after="0" w:line="360" w:lineRule="auto"/>
        <w:ind w:left="1276"/>
        <w:contextualSpacing/>
        <w:rPr>
          <w:lang w:val="es-ES"/>
        </w:rPr>
      </w:pPr>
      <w:r w:rsidRPr="00F44994">
        <w:rPr>
          <w:lang w:val="es-ES"/>
        </w:rPr>
        <w:t>Servicio de Canales Ópticos de Alta Capacidad de Transporte.</w:t>
      </w:r>
    </w:p>
    <w:p w:rsidR="007C4016" w:rsidRDefault="007C4016" w:rsidP="007C4016">
      <w:pPr>
        <w:pStyle w:val="7CitaTextual"/>
        <w:spacing w:before="240" w:after="0" w:line="360" w:lineRule="auto"/>
        <w:contextualSpacing/>
        <w:rPr>
          <w:lang w:val="es-ES"/>
        </w:rPr>
      </w:pPr>
      <w:r w:rsidRPr="00F44994">
        <w:rPr>
          <w:lang w:val="es-ES"/>
        </w:rPr>
        <w:t xml:space="preserve">Adicionalmente, con efecto de mejorar la prestación de los servicios, los mismos incluyen actividades de apoyo que permiten la eficiente y correcta instalación de los servicios en la infraestructura, los cuales son: </w:t>
      </w:r>
    </w:p>
    <w:p w:rsidR="007C4016" w:rsidRPr="00F44994" w:rsidRDefault="007C4016" w:rsidP="007C4016">
      <w:pPr>
        <w:pStyle w:val="7CitaTextual"/>
        <w:numPr>
          <w:ilvl w:val="0"/>
          <w:numId w:val="171"/>
        </w:numPr>
        <w:spacing w:before="240" w:after="0" w:line="360" w:lineRule="auto"/>
        <w:ind w:left="1276" w:hanging="357"/>
        <w:contextualSpacing/>
        <w:rPr>
          <w:lang w:val="es-ES"/>
        </w:rPr>
      </w:pPr>
      <w:r w:rsidRPr="00F44994">
        <w:rPr>
          <w:lang w:val="es-ES"/>
        </w:rPr>
        <w:t>Visita Técnica.</w:t>
      </w:r>
    </w:p>
    <w:p w:rsidR="007C4016" w:rsidRPr="00F44994" w:rsidRDefault="007C4016" w:rsidP="007C4016">
      <w:pPr>
        <w:pStyle w:val="7CitaTextual"/>
        <w:numPr>
          <w:ilvl w:val="0"/>
          <w:numId w:val="171"/>
        </w:numPr>
        <w:spacing w:before="240" w:after="0" w:line="360" w:lineRule="auto"/>
        <w:ind w:left="1276" w:hanging="357"/>
        <w:contextualSpacing/>
        <w:rPr>
          <w:lang w:val="es-ES"/>
        </w:rPr>
      </w:pPr>
      <w:r w:rsidRPr="00F44994">
        <w:rPr>
          <w:lang w:val="es-ES"/>
        </w:rPr>
        <w:t xml:space="preserve">Análisis de Factibilidad. </w:t>
      </w:r>
    </w:p>
    <w:p w:rsidR="007C4016" w:rsidRPr="00F44994" w:rsidRDefault="007C4016" w:rsidP="007C4016">
      <w:pPr>
        <w:pStyle w:val="7CitaTextual"/>
        <w:numPr>
          <w:ilvl w:val="0"/>
          <w:numId w:val="171"/>
        </w:numPr>
        <w:spacing w:before="240" w:after="0" w:line="360" w:lineRule="auto"/>
        <w:ind w:left="1276" w:hanging="357"/>
        <w:contextualSpacing/>
        <w:rPr>
          <w:lang w:val="es-ES"/>
        </w:rPr>
      </w:pPr>
      <w:r w:rsidRPr="00F44994">
        <w:rPr>
          <w:lang w:val="es-ES"/>
        </w:rPr>
        <w:t>Inspección.</w:t>
      </w:r>
    </w:p>
    <w:p w:rsidR="007C4016" w:rsidRPr="00F44994" w:rsidRDefault="007C4016" w:rsidP="007C4016">
      <w:pPr>
        <w:pStyle w:val="7CitaTextual"/>
        <w:numPr>
          <w:ilvl w:val="0"/>
          <w:numId w:val="171"/>
        </w:numPr>
        <w:spacing w:before="240" w:after="0" w:line="360" w:lineRule="auto"/>
        <w:ind w:left="1276" w:hanging="357"/>
        <w:contextualSpacing/>
        <w:rPr>
          <w:lang w:val="es-ES"/>
        </w:rPr>
      </w:pPr>
      <w:r w:rsidRPr="00F44994">
        <w:rPr>
          <w:lang w:val="es-ES"/>
        </w:rPr>
        <w:t>Análisis de Disponibilidad.</w:t>
      </w:r>
    </w:p>
    <w:p w:rsidR="007C4016" w:rsidRPr="00F44994" w:rsidRDefault="007C4016" w:rsidP="007C4016">
      <w:pPr>
        <w:pStyle w:val="7CitaTextual"/>
        <w:numPr>
          <w:ilvl w:val="0"/>
          <w:numId w:val="171"/>
        </w:numPr>
        <w:spacing w:before="240" w:after="0" w:line="360" w:lineRule="auto"/>
        <w:ind w:left="1276" w:hanging="357"/>
        <w:contextualSpacing/>
        <w:rPr>
          <w:lang w:val="es-ES"/>
        </w:rPr>
      </w:pPr>
      <w:r w:rsidRPr="00F44994">
        <w:rPr>
          <w:lang w:val="es-ES"/>
        </w:rPr>
        <w:t>Verificación.</w:t>
      </w:r>
    </w:p>
    <w:p w:rsidR="007C4016" w:rsidRPr="00F44994" w:rsidRDefault="007C4016" w:rsidP="007C4016">
      <w:pPr>
        <w:pStyle w:val="7CitaTextual"/>
        <w:numPr>
          <w:ilvl w:val="0"/>
          <w:numId w:val="171"/>
        </w:numPr>
        <w:spacing w:before="240" w:after="0" w:line="360" w:lineRule="auto"/>
        <w:ind w:left="1276" w:hanging="357"/>
        <w:rPr>
          <w:lang w:val="es-ES"/>
        </w:rPr>
      </w:pPr>
      <w:r w:rsidRPr="00F44994">
        <w:rPr>
          <w:lang w:val="es-ES"/>
        </w:rPr>
        <w:t>Solicitud de acceso a la información de infraestructura de red.</w:t>
      </w:r>
    </w:p>
    <w:p w:rsidR="007C4016" w:rsidRDefault="007C4016" w:rsidP="007C4016">
      <w:pPr>
        <w:pStyle w:val="7CitaTextual"/>
        <w:spacing w:before="240" w:after="0" w:line="360" w:lineRule="auto"/>
        <w:contextualSpacing/>
        <w:rPr>
          <w:lang w:val="es-ES"/>
        </w:rPr>
      </w:pPr>
      <w:r w:rsidRPr="00F44994">
        <w:rPr>
          <w:lang w:val="es-ES"/>
        </w:rPr>
        <w:t>Finalmente, los trabajos especiales a lo que el CS podrá acceder son:</w:t>
      </w:r>
    </w:p>
    <w:p w:rsidR="007C4016" w:rsidRPr="00F44994" w:rsidRDefault="007C4016" w:rsidP="007C4016">
      <w:pPr>
        <w:pStyle w:val="7CitaTextual"/>
        <w:numPr>
          <w:ilvl w:val="0"/>
          <w:numId w:val="170"/>
        </w:numPr>
        <w:spacing w:before="240" w:after="0" w:line="360" w:lineRule="auto"/>
        <w:ind w:left="1276" w:hanging="357"/>
        <w:contextualSpacing/>
        <w:rPr>
          <w:lang w:val="es-ES"/>
        </w:rPr>
      </w:pPr>
      <w:r w:rsidRPr="00F44994">
        <w:rPr>
          <w:lang w:val="es-ES"/>
        </w:rPr>
        <w:t>Servicio de Instalación de Infraestructura del CS en Despliegue de Nueva Obra Civil;</w:t>
      </w:r>
    </w:p>
    <w:p w:rsidR="007C4016" w:rsidRPr="00F44994" w:rsidRDefault="007C4016" w:rsidP="007C4016">
      <w:pPr>
        <w:pStyle w:val="7CitaTextual"/>
        <w:numPr>
          <w:ilvl w:val="0"/>
          <w:numId w:val="170"/>
        </w:numPr>
        <w:spacing w:before="240" w:after="0" w:line="360" w:lineRule="auto"/>
        <w:ind w:left="1276" w:hanging="357"/>
        <w:contextualSpacing/>
        <w:rPr>
          <w:lang w:val="es-ES"/>
        </w:rPr>
      </w:pPr>
      <w:r w:rsidRPr="00F44994">
        <w:rPr>
          <w:lang w:val="es-ES"/>
        </w:rPr>
        <w:t>Acondicionamiento de la infraestructura, y</w:t>
      </w:r>
    </w:p>
    <w:p w:rsidR="007C4016" w:rsidRPr="00857B07" w:rsidRDefault="007C4016" w:rsidP="007C4016">
      <w:pPr>
        <w:pStyle w:val="7CitaTextual"/>
        <w:numPr>
          <w:ilvl w:val="0"/>
          <w:numId w:val="170"/>
        </w:numPr>
        <w:spacing w:before="240" w:after="0" w:line="360" w:lineRule="auto"/>
        <w:ind w:left="1276" w:hanging="357"/>
        <w:contextualSpacing/>
        <w:rPr>
          <w:lang w:val="es-ES"/>
        </w:rPr>
      </w:pPr>
      <w:r w:rsidRPr="00857B07">
        <w:rPr>
          <w:lang w:val="es-ES"/>
        </w:rPr>
        <w:t>Servicio de Recuperación de Espacio”</w:t>
      </w:r>
    </w:p>
    <w:p w:rsidR="007C4016" w:rsidRDefault="007C4016" w:rsidP="007C4016">
      <w:pPr>
        <w:pStyle w:val="IFTnormal"/>
        <w:spacing w:before="240" w:after="0"/>
        <w:rPr>
          <w:lang w:val="es-ES"/>
        </w:rPr>
      </w:pPr>
      <w:r w:rsidRPr="00F44994">
        <w:rPr>
          <w:lang w:val="es-ES"/>
        </w:rPr>
        <w:t xml:space="preserve">El Instituto considera que los cambios </w:t>
      </w:r>
      <w:r>
        <w:rPr>
          <w:lang w:val="es-ES"/>
        </w:rPr>
        <w:t xml:space="preserve">que </w:t>
      </w:r>
      <w:r w:rsidRPr="00F44994">
        <w:rPr>
          <w:lang w:val="es-ES"/>
        </w:rPr>
        <w:t xml:space="preserve">presenta el AEP en la “Introducción” no se apegan a las </w:t>
      </w:r>
      <w:r>
        <w:rPr>
          <w:lang w:val="es-ES"/>
        </w:rPr>
        <w:t>M</w:t>
      </w:r>
      <w:r w:rsidRPr="00F44994">
        <w:rPr>
          <w:lang w:val="es-ES"/>
        </w:rPr>
        <w:t xml:space="preserve">edidas </w:t>
      </w:r>
      <w:r>
        <w:rPr>
          <w:lang w:val="es-ES"/>
        </w:rPr>
        <w:t>F</w:t>
      </w:r>
      <w:r w:rsidRPr="00F44994">
        <w:rPr>
          <w:lang w:val="es-ES"/>
        </w:rPr>
        <w:t>ij</w:t>
      </w:r>
      <w:r>
        <w:rPr>
          <w:lang w:val="es-ES"/>
        </w:rPr>
        <w:t xml:space="preserve">as, ya que elimina elementos pasivos de la red de Telnor que son fundamentales para prestar los servicios contenidos en la Oferta de Referencia Vigente, </w:t>
      </w:r>
      <w:r w:rsidRPr="00591D13">
        <w:rPr>
          <w:lang w:val="es-ES"/>
        </w:rPr>
        <w:t>a la cual puede acceder el CS</w:t>
      </w:r>
      <w:r>
        <w:rPr>
          <w:lang w:val="es-ES"/>
        </w:rPr>
        <w:t>, la canalización y derechos de vía. Esto no se apega a la Medida TERCERA de las Medidas Fijas, que indica que se entenderá como Acceso y Uso compartido de Infraestructura Pasiva el uso por dos o más redes públicas de telecomunicaciones de la Infraestructura Pasiva. Entendiéndose por Infraestructura Pasiva, como se encuentra previsto en el Artículo Tres de la Ley Federal de Telecomunicaciones, lo siguiente:</w:t>
      </w:r>
    </w:p>
    <w:p w:rsidR="007C4016" w:rsidRDefault="007C4016" w:rsidP="007C4016">
      <w:pPr>
        <w:pStyle w:val="Citaift0"/>
        <w:spacing w:before="240" w:after="0"/>
        <w:rPr>
          <w:lang w:val="es-ES"/>
        </w:rPr>
      </w:pPr>
      <w:r>
        <w:rPr>
          <w:lang w:val="es-ES"/>
        </w:rPr>
        <w:t>“</w:t>
      </w:r>
      <w:r w:rsidRPr="009A058A">
        <w:rPr>
          <w:b/>
          <w:lang w:val="es-ES"/>
        </w:rPr>
        <w:t>Artículo 3</w:t>
      </w:r>
      <w:r w:rsidRPr="009A058A">
        <w:rPr>
          <w:lang w:val="es-ES"/>
        </w:rPr>
        <w:t>. Para los efectos de esta Ley se entenderá por:</w:t>
      </w:r>
    </w:p>
    <w:p w:rsidR="007C4016" w:rsidRDefault="007C4016" w:rsidP="007C4016">
      <w:pPr>
        <w:pStyle w:val="Citaift0"/>
        <w:spacing w:before="240" w:after="0"/>
        <w:rPr>
          <w:lang w:val="es-ES"/>
        </w:rPr>
      </w:pPr>
      <w:r>
        <w:rPr>
          <w:lang w:val="es-ES"/>
        </w:rPr>
        <w:t>(…)</w:t>
      </w:r>
    </w:p>
    <w:p w:rsidR="007C4016" w:rsidRDefault="007C4016" w:rsidP="007C4016">
      <w:pPr>
        <w:pStyle w:val="Citaift0"/>
        <w:spacing w:before="240" w:after="0"/>
        <w:rPr>
          <w:lang w:val="es-ES"/>
        </w:rPr>
      </w:pPr>
      <w:r w:rsidRPr="009A058A">
        <w:rPr>
          <w:b/>
          <w:lang w:val="es-ES"/>
        </w:rPr>
        <w:t>XXVII.</w:t>
      </w:r>
      <w:r w:rsidRPr="009A058A">
        <w:rPr>
          <w:lang w:val="es-ES"/>
        </w:rPr>
        <w:t xml:space="preserve"> Infraestructura pasiva: Elementos accesorios que proporcionan soporte a la infraestructura</w:t>
      </w:r>
      <w:r>
        <w:rPr>
          <w:lang w:val="es-ES"/>
        </w:rPr>
        <w:t xml:space="preserve"> </w:t>
      </w:r>
      <w:r w:rsidRPr="009A058A">
        <w:rPr>
          <w:lang w:val="es-ES"/>
        </w:rPr>
        <w:t>activa, entre otros, bastidores, cableado subterráneo y aéreo, canalizaciones, construcciones,</w:t>
      </w:r>
      <w:r>
        <w:rPr>
          <w:lang w:val="es-ES"/>
        </w:rPr>
        <w:t xml:space="preserve"> </w:t>
      </w:r>
      <w:r w:rsidRPr="009A058A">
        <w:rPr>
          <w:lang w:val="es-ES"/>
        </w:rPr>
        <w:t>ductos, obras, postes, sistemas de suministro y respaldo de energía eléctrica, sistemas de</w:t>
      </w:r>
      <w:r>
        <w:rPr>
          <w:lang w:val="es-ES"/>
        </w:rPr>
        <w:t xml:space="preserve"> </w:t>
      </w:r>
      <w:r w:rsidRPr="009A058A">
        <w:rPr>
          <w:lang w:val="es-ES"/>
        </w:rPr>
        <w:t>climatización, sitios, torres y demás aditamentos, incluyendo derechos de vía, que sean</w:t>
      </w:r>
      <w:r>
        <w:rPr>
          <w:lang w:val="es-ES"/>
        </w:rPr>
        <w:t xml:space="preserve"> </w:t>
      </w:r>
      <w:r w:rsidRPr="009A058A">
        <w:rPr>
          <w:lang w:val="es-ES"/>
        </w:rPr>
        <w:t>necesarios para la instalación y operación</w:t>
      </w:r>
      <w:r>
        <w:rPr>
          <w:lang w:val="es-ES"/>
        </w:rPr>
        <w:t xml:space="preserve"> </w:t>
      </w:r>
      <w:r w:rsidRPr="009A058A">
        <w:rPr>
          <w:lang w:val="es-ES"/>
        </w:rPr>
        <w:t>de las redes, así como para la prestación de servicios</w:t>
      </w:r>
      <w:r>
        <w:rPr>
          <w:lang w:val="es-ES"/>
        </w:rPr>
        <w:t xml:space="preserve"> </w:t>
      </w:r>
      <w:r w:rsidRPr="009A058A">
        <w:rPr>
          <w:lang w:val="es-ES"/>
        </w:rPr>
        <w:t>de telecomunicaciones y radiodifusión;</w:t>
      </w:r>
    </w:p>
    <w:p w:rsidR="007C4016" w:rsidRDefault="007C4016" w:rsidP="007C4016">
      <w:pPr>
        <w:pStyle w:val="Citaift0"/>
        <w:spacing w:before="240" w:after="0"/>
        <w:rPr>
          <w:lang w:val="es-ES"/>
        </w:rPr>
      </w:pPr>
      <w:r w:rsidRPr="009A058A">
        <w:rPr>
          <w:lang w:val="es-ES"/>
        </w:rPr>
        <w:lastRenderedPageBreak/>
        <w:t>(…)</w:t>
      </w:r>
      <w:r>
        <w:rPr>
          <w:lang w:val="es-ES"/>
        </w:rPr>
        <w:t>”</w:t>
      </w:r>
    </w:p>
    <w:p w:rsidR="007C4016" w:rsidRDefault="007C4016" w:rsidP="007C4016">
      <w:pPr>
        <w:pStyle w:val="IFTnormal"/>
        <w:spacing w:before="240" w:after="0"/>
      </w:pPr>
      <w:r>
        <w:rPr>
          <w:lang w:val="es-ES"/>
        </w:rPr>
        <w:t>De lo cual es claro que se debe considerar, entre otros elementos, la canalización y el derecho de vía.</w:t>
      </w:r>
      <w:r>
        <w:t xml:space="preserve"> </w:t>
      </w:r>
    </w:p>
    <w:p w:rsidR="007C4016" w:rsidRDefault="007C4016" w:rsidP="007C4016">
      <w:pPr>
        <w:pStyle w:val="IFTnormal"/>
        <w:spacing w:before="240" w:after="0"/>
      </w:pPr>
      <w:r>
        <w:t>Por otro lado, el Instituto observa que se incorpora la actividad de “Análisis de Disponibilidad”, y se elimina de los trabajos especiales el “Servicio de Solución Correctiva”.</w:t>
      </w:r>
    </w:p>
    <w:p w:rsidR="007C4016" w:rsidRPr="00F44994" w:rsidRDefault="007C4016" w:rsidP="007C4016">
      <w:pPr>
        <w:pStyle w:val="IFTnormal"/>
        <w:spacing w:before="240" w:after="0"/>
        <w:rPr>
          <w:lang w:val="es-ES"/>
        </w:rPr>
      </w:pPr>
      <w:r w:rsidRPr="00F44994">
        <w:rPr>
          <w:lang w:val="es-ES"/>
        </w:rPr>
        <w:t xml:space="preserve">De acuerdo a la Medida VIGÉSIMA </w:t>
      </w:r>
      <w:r>
        <w:rPr>
          <w:lang w:val="es-ES"/>
        </w:rPr>
        <w:t>TERCERA</w:t>
      </w:r>
      <w:r w:rsidRPr="00F44994">
        <w:rPr>
          <w:lang w:val="es-ES"/>
        </w:rPr>
        <w:t xml:space="preserve"> de las </w:t>
      </w:r>
      <w:r w:rsidRPr="00DB7031">
        <w:rPr>
          <w:lang w:val="es-ES"/>
        </w:rPr>
        <w:t>Medidas Fijas</w:t>
      </w:r>
      <w:r w:rsidRPr="00F44994">
        <w:rPr>
          <w:lang w:val="es-ES"/>
        </w:rPr>
        <w:t>, el AEP, deberá proveer el Servicio de Acceso y Uso Compartido de Infraestructura Pasiva a los Concesionarios, como se muestra a continuación.</w:t>
      </w:r>
    </w:p>
    <w:p w:rsidR="007C4016" w:rsidRPr="00F44994" w:rsidRDefault="007C4016" w:rsidP="007C4016">
      <w:pPr>
        <w:pStyle w:val="7CitaTextual"/>
        <w:spacing w:before="240" w:after="0"/>
        <w:rPr>
          <w:lang w:val="es-ES"/>
        </w:rPr>
      </w:pPr>
      <w:r w:rsidRPr="00F44994">
        <w:rPr>
          <w:lang w:val="es-ES"/>
        </w:rPr>
        <w:t>VIGÉSIMA TERCERA.- El Agente Económico Preponderante deberá proveer el Servicio de Acceso y Uso Compartido de Infraestructura Pasiva a los Concesionarios Solicitantes, para toda la infraestructura pasiva que posea bajo cualquier título legal.</w:t>
      </w:r>
    </w:p>
    <w:p w:rsidR="007C4016" w:rsidRPr="00F44994" w:rsidRDefault="007C4016" w:rsidP="007C4016">
      <w:pPr>
        <w:pStyle w:val="7CitaTextual"/>
        <w:spacing w:before="240" w:after="0"/>
        <w:rPr>
          <w:lang w:val="es-ES"/>
        </w:rPr>
      </w:pPr>
      <w:r w:rsidRPr="00F44994">
        <w:rPr>
          <w:lang w:val="es-ES"/>
        </w:rPr>
        <w:t xml:space="preserve">Dicha infraestructura deberá estar </w:t>
      </w:r>
      <w:r w:rsidRPr="00F44994">
        <w:rPr>
          <w:b/>
          <w:u w:val="single"/>
          <w:lang w:val="es-ES"/>
        </w:rPr>
        <w:t>disponible a los concesionarios de redes públicas de telecomunicaciones sobre bases no discriminatorias considerando las condiciones ofrecidas a sus propias operaciones.</w:t>
      </w:r>
      <w:r w:rsidRPr="00F44994">
        <w:rPr>
          <w:lang w:val="es-ES"/>
        </w:rPr>
        <w:t xml:space="preserve"> El Agente Económico Preponderante no deberá otorgar el uso o aprovechamiento de dichos bienes con derechos de exclusividad.</w:t>
      </w:r>
    </w:p>
    <w:p w:rsidR="007C4016" w:rsidRPr="00F44994" w:rsidRDefault="007C4016" w:rsidP="007C4016">
      <w:pPr>
        <w:pStyle w:val="7CitaTextual"/>
        <w:spacing w:before="240" w:after="0"/>
        <w:jc w:val="right"/>
        <w:rPr>
          <w:lang w:val="es-ES"/>
        </w:rPr>
      </w:pPr>
      <w:r w:rsidRPr="00F44994">
        <w:rPr>
          <w:lang w:val="es-ES"/>
        </w:rPr>
        <w:t>(Énfasis añadido)</w:t>
      </w:r>
    </w:p>
    <w:p w:rsidR="007C4016" w:rsidRDefault="007C4016" w:rsidP="007C4016">
      <w:pPr>
        <w:pStyle w:val="IFTnormal"/>
        <w:spacing w:before="240" w:after="0"/>
        <w:rPr>
          <w:lang w:val="es-ES"/>
        </w:rPr>
      </w:pPr>
      <w:r>
        <w:rPr>
          <w:lang w:val="es-ES"/>
        </w:rPr>
        <w:t>Adicionalmente dentro de la consulta pública se enfatiza que estos elementos son necesarios para la correcta prestación de los servicios.</w:t>
      </w:r>
    </w:p>
    <w:p w:rsidR="007C4016" w:rsidRDefault="007C4016" w:rsidP="007C4016">
      <w:pPr>
        <w:pStyle w:val="IFTnormal"/>
        <w:spacing w:before="240" w:after="0"/>
        <w:rPr>
          <w:lang w:val="es-ES"/>
        </w:rPr>
      </w:pPr>
      <w:r>
        <w:rPr>
          <w:lang w:val="es-ES"/>
        </w:rPr>
        <w:t>Por otra parte, el instituto considera eliminar aquellos elementos que acoten la prestación de servicios, derivado de que la Medida VIGÉSIMA TERCERA de las Medidas Fijas establece</w:t>
      </w:r>
      <w:r w:rsidRPr="00A96D27">
        <w:rPr>
          <w:lang w:val="es-ES"/>
        </w:rPr>
        <w:t xml:space="preserve"> </w:t>
      </w:r>
      <w:r>
        <w:rPr>
          <w:lang w:val="es-ES"/>
        </w:rPr>
        <w:t>que:</w:t>
      </w:r>
    </w:p>
    <w:p w:rsidR="007C4016" w:rsidRPr="00760E6A" w:rsidRDefault="007C4016" w:rsidP="007C4016">
      <w:pPr>
        <w:pStyle w:val="Citaift0"/>
        <w:spacing w:before="240" w:after="0"/>
        <w:rPr>
          <w:lang w:val="es-ES"/>
        </w:rPr>
      </w:pPr>
      <w:r>
        <w:rPr>
          <w:lang w:val="es-ES"/>
        </w:rPr>
        <w:t>“</w:t>
      </w:r>
      <w:r w:rsidRPr="00760E6A">
        <w:rPr>
          <w:lang w:val="es-ES"/>
        </w:rPr>
        <w:t>VIGÉSIMA TERCERA.- El Agente Económico Preponderante deberá proveer el Servicio de Acceso y Uso Compartido de Infraestructura Pasiva a los Concesionarios Solicitantes, para toda la infraestructura pasiva que posea bajo cualquier título legal.</w:t>
      </w:r>
    </w:p>
    <w:p w:rsidR="007C4016" w:rsidRDefault="007C4016" w:rsidP="007C4016">
      <w:pPr>
        <w:pStyle w:val="Citaift0"/>
        <w:spacing w:before="240" w:after="0"/>
        <w:rPr>
          <w:lang w:val="es-ES"/>
        </w:rPr>
      </w:pPr>
      <w:r w:rsidRPr="00760E6A">
        <w:rPr>
          <w:lang w:val="es-ES"/>
        </w:rPr>
        <w:t>Dicha infraestructura deberá estar disponible a los concesionarios de redes públicas de telecomunicaciones sobre bases no discriminatorias considerando las condiciones ofrecidas a sus propias operaciones. El Agente Económico Preponderante no deberá otorgar el uso o aprovechamiento de dichos bienes con derechos de exclusividad.</w:t>
      </w:r>
      <w:r>
        <w:rPr>
          <w:lang w:val="es-ES"/>
        </w:rPr>
        <w:t>”</w:t>
      </w:r>
    </w:p>
    <w:p w:rsidR="007C4016" w:rsidRDefault="007C4016" w:rsidP="007C4016">
      <w:pPr>
        <w:pStyle w:val="IFTnormal"/>
        <w:spacing w:before="240" w:after="0"/>
        <w:rPr>
          <w:lang w:val="es-ES"/>
        </w:rPr>
      </w:pPr>
      <w:r w:rsidRPr="009006A3">
        <w:rPr>
          <w:lang w:val="es-ES"/>
        </w:rPr>
        <w:lastRenderedPageBreak/>
        <w:t>Por último, se elimina de la oferta el “Mástil”, derivado de que de la información provista por</w:t>
      </w:r>
      <w:r>
        <w:rPr>
          <w:lang w:val="es-ES"/>
        </w:rPr>
        <w:t xml:space="preserve"> Telnor</w:t>
      </w:r>
      <w:r w:rsidRPr="005F6B34">
        <w:rPr>
          <w:lang w:val="es-ES"/>
        </w:rPr>
        <w:t xml:space="preserve"> en respuesta al oficio IFT/2211UPR/DG-CIN/04112017, se desprende que no posee mástiles</w:t>
      </w:r>
      <w:r w:rsidRPr="009006A3">
        <w:rPr>
          <w:lang w:val="es-ES"/>
        </w:rPr>
        <w:t>.</w:t>
      </w:r>
    </w:p>
    <w:p w:rsidR="007C4016" w:rsidRPr="00F44994" w:rsidRDefault="007C4016" w:rsidP="007C4016">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por consistencia en lo ya expuesto la redacción de la “Introducción” se modifica quedando en los siguientes términos:</w:t>
      </w:r>
    </w:p>
    <w:p w:rsidR="007C4016" w:rsidRPr="00F44994" w:rsidRDefault="007C4016" w:rsidP="007C4016">
      <w:pPr>
        <w:pStyle w:val="IFTnormal"/>
        <w:spacing w:before="240" w:after="0"/>
        <w:rPr>
          <w:b/>
          <w:lang w:val="es-ES"/>
        </w:rPr>
      </w:pPr>
      <w:r w:rsidRPr="00F44994">
        <w:rPr>
          <w:b/>
          <w:lang w:val="es-ES"/>
        </w:rPr>
        <w:t>Redacción Definitiva</w:t>
      </w:r>
    </w:p>
    <w:p w:rsidR="007C4016" w:rsidRPr="00F44994" w:rsidRDefault="007C4016" w:rsidP="007C4016">
      <w:pPr>
        <w:pStyle w:val="CondicionesFinales"/>
        <w:spacing w:before="240" w:after="0"/>
        <w:rPr>
          <w:b/>
          <w:color w:val="auto"/>
        </w:rPr>
      </w:pPr>
      <w:r w:rsidRPr="00F44994">
        <w:rPr>
          <w:b/>
          <w:color w:val="auto"/>
        </w:rPr>
        <w:t>Introducción.</w:t>
      </w:r>
    </w:p>
    <w:p w:rsidR="007C4016" w:rsidRDefault="007C4016" w:rsidP="007C4016">
      <w:pPr>
        <w:pStyle w:val="CondicionesFinales"/>
        <w:spacing w:before="240" w:after="0"/>
        <w:rPr>
          <w:color w:val="auto"/>
        </w:rPr>
      </w:pPr>
      <w:r w:rsidRPr="00F44994">
        <w:rPr>
          <w:color w:val="auto"/>
        </w:rPr>
        <w:t>La presente Oferta tiene como objetivo establecer los términos, condiciones, normas técnicas, especificaciones y niveles de calidad para los Servicios de Compartición de Infraestructura, de tal forma que los Concesionarios que operan Redes Públicas de Telecomunicaciones puedan hacer uso de la capacidad excedente de la infraestructura pasiva para desplegar redes de telecomunicaciones</w:t>
      </w:r>
      <w:r>
        <w:rPr>
          <w:color w:val="auto"/>
        </w:rPr>
        <w:t>.</w:t>
      </w:r>
    </w:p>
    <w:p w:rsidR="007C4016" w:rsidRPr="00D73514" w:rsidRDefault="007C4016" w:rsidP="007C4016">
      <w:pPr>
        <w:pStyle w:val="CondicionesFinales"/>
        <w:spacing w:before="240" w:after="0"/>
        <w:rPr>
          <w:color w:val="auto"/>
        </w:rPr>
      </w:pPr>
      <w:r>
        <w:rPr>
          <w:color w:val="auto"/>
        </w:rPr>
        <w:t>[…]</w:t>
      </w:r>
    </w:p>
    <w:p w:rsidR="007C4016" w:rsidRPr="00F44994" w:rsidRDefault="007C4016" w:rsidP="007C4016">
      <w:pPr>
        <w:pStyle w:val="CondicionesFinales"/>
        <w:spacing w:before="240" w:after="0"/>
        <w:rPr>
          <w:color w:val="auto"/>
        </w:rPr>
      </w:pPr>
      <w:r w:rsidRPr="00F44994">
        <w:rPr>
          <w:color w:val="auto"/>
        </w:rPr>
        <w:t>Los eleme</w:t>
      </w:r>
      <w:r>
        <w:rPr>
          <w:color w:val="auto"/>
        </w:rPr>
        <w:t>ntos pasivos de la red de Telnor</w:t>
      </w:r>
      <w:r w:rsidRPr="00F44994">
        <w:rPr>
          <w:color w:val="auto"/>
        </w:rPr>
        <w:t xml:space="preserve"> que incluye esta Oferta, son:</w:t>
      </w:r>
    </w:p>
    <w:p w:rsidR="007C4016" w:rsidRPr="00F44994" w:rsidRDefault="007C4016" w:rsidP="007C4016">
      <w:pPr>
        <w:pStyle w:val="CondicionesFinales"/>
        <w:numPr>
          <w:ilvl w:val="0"/>
          <w:numId w:val="137"/>
        </w:numPr>
        <w:spacing w:before="240" w:after="0"/>
        <w:rPr>
          <w:color w:val="auto"/>
        </w:rPr>
      </w:pPr>
      <w:r w:rsidRPr="00F44994">
        <w:rPr>
          <w:color w:val="auto"/>
        </w:rPr>
        <w:t>Postes.</w:t>
      </w:r>
    </w:p>
    <w:p w:rsidR="007C4016" w:rsidRPr="00F44994" w:rsidRDefault="007C4016" w:rsidP="007C4016">
      <w:pPr>
        <w:pStyle w:val="CondicionesFinales"/>
        <w:numPr>
          <w:ilvl w:val="0"/>
          <w:numId w:val="137"/>
        </w:numPr>
        <w:spacing w:after="0"/>
        <w:rPr>
          <w:color w:val="auto"/>
        </w:rPr>
      </w:pPr>
      <w:r w:rsidRPr="00F44994">
        <w:rPr>
          <w:color w:val="auto"/>
        </w:rPr>
        <w:t>Pozos.</w:t>
      </w:r>
    </w:p>
    <w:p w:rsidR="007C4016" w:rsidRPr="00F44994" w:rsidRDefault="007C4016" w:rsidP="007C4016">
      <w:pPr>
        <w:pStyle w:val="CondicionesFinales"/>
        <w:numPr>
          <w:ilvl w:val="0"/>
          <w:numId w:val="137"/>
        </w:numPr>
        <w:spacing w:after="0"/>
        <w:rPr>
          <w:color w:val="auto"/>
        </w:rPr>
      </w:pPr>
      <w:r w:rsidRPr="00F44994">
        <w:rPr>
          <w:color w:val="auto"/>
        </w:rPr>
        <w:t xml:space="preserve">Torres. </w:t>
      </w:r>
    </w:p>
    <w:p w:rsidR="007C4016" w:rsidRPr="00F44994" w:rsidRDefault="007C4016" w:rsidP="007C4016">
      <w:pPr>
        <w:pStyle w:val="CondicionesFinales"/>
        <w:numPr>
          <w:ilvl w:val="0"/>
          <w:numId w:val="137"/>
        </w:numPr>
        <w:spacing w:after="0"/>
        <w:rPr>
          <w:color w:val="auto"/>
        </w:rPr>
      </w:pPr>
      <w:r w:rsidRPr="00F44994">
        <w:rPr>
          <w:color w:val="auto"/>
        </w:rPr>
        <w:t>Zanjas, Ductos y Canalizaciones.</w:t>
      </w:r>
    </w:p>
    <w:p w:rsidR="007C4016" w:rsidRPr="00F44994" w:rsidRDefault="007C4016" w:rsidP="007C4016">
      <w:pPr>
        <w:pStyle w:val="CondicionesFinales"/>
        <w:numPr>
          <w:ilvl w:val="0"/>
          <w:numId w:val="137"/>
        </w:numPr>
        <w:spacing w:after="0"/>
        <w:rPr>
          <w:color w:val="auto"/>
        </w:rPr>
      </w:pPr>
      <w:r w:rsidRPr="00F44994">
        <w:rPr>
          <w:color w:val="auto"/>
        </w:rPr>
        <w:t>Derechos de vía.</w:t>
      </w:r>
    </w:p>
    <w:p w:rsidR="007C4016" w:rsidRPr="00F44994" w:rsidRDefault="007C4016" w:rsidP="007C4016">
      <w:pPr>
        <w:pStyle w:val="CondicionesFinales"/>
        <w:numPr>
          <w:ilvl w:val="0"/>
          <w:numId w:val="137"/>
        </w:numPr>
        <w:spacing w:after="0"/>
        <w:rPr>
          <w:color w:val="auto"/>
        </w:rPr>
      </w:pPr>
      <w:r w:rsidRPr="00F44994">
        <w:rPr>
          <w:color w:val="auto"/>
        </w:rPr>
        <w:t xml:space="preserve">Sitios, predios, espacios físicos. </w:t>
      </w:r>
    </w:p>
    <w:p w:rsidR="007C4016" w:rsidRPr="00F44994" w:rsidRDefault="007C4016" w:rsidP="007C4016">
      <w:pPr>
        <w:pStyle w:val="CondicionesFinales"/>
        <w:numPr>
          <w:ilvl w:val="0"/>
          <w:numId w:val="137"/>
        </w:numPr>
        <w:spacing w:after="0"/>
        <w:rPr>
          <w:color w:val="auto"/>
        </w:rPr>
      </w:pPr>
      <w:r w:rsidRPr="00F44994">
        <w:rPr>
          <w:color w:val="auto"/>
        </w:rPr>
        <w:t>Fuentes de energía, seguridad y sistemas de aire acondicionado</w:t>
      </w:r>
      <w:r w:rsidRPr="00F44994">
        <w:rPr>
          <w:rStyle w:val="Refdenotaalpie"/>
          <w:color w:val="auto"/>
        </w:rPr>
        <w:footnoteReference w:id="2"/>
      </w:r>
      <w:r w:rsidRPr="00F44994">
        <w:rPr>
          <w:color w:val="auto"/>
        </w:rPr>
        <w:t>.</w:t>
      </w:r>
    </w:p>
    <w:p w:rsidR="007C4016" w:rsidRPr="00F44994" w:rsidRDefault="007C4016" w:rsidP="007C4016">
      <w:pPr>
        <w:pStyle w:val="CondicionesFinales"/>
        <w:numPr>
          <w:ilvl w:val="0"/>
          <w:numId w:val="137"/>
        </w:numPr>
        <w:spacing w:after="0"/>
        <w:rPr>
          <w:color w:val="auto"/>
        </w:rPr>
      </w:pPr>
      <w:r w:rsidRPr="00F44994">
        <w:rPr>
          <w:color w:val="auto"/>
        </w:rPr>
        <w:t>Equipos auxiliares, instalaciones de equipo y de alimentaciones conexas. (Servicios Auxiliares).</w:t>
      </w:r>
    </w:p>
    <w:p w:rsidR="007C4016" w:rsidRPr="00F44994" w:rsidRDefault="007C4016" w:rsidP="007C4016">
      <w:pPr>
        <w:pStyle w:val="CondicionesFinales"/>
        <w:spacing w:before="240" w:after="0"/>
        <w:rPr>
          <w:color w:val="auto"/>
        </w:rPr>
      </w:pPr>
      <w:r w:rsidRPr="00F44994">
        <w:rPr>
          <w:color w:val="auto"/>
        </w:rPr>
        <w:lastRenderedPageBreak/>
        <w:t>Los elementos anteriores están contenidos en los servicios de compartición de infraestructura, los cuales son:</w:t>
      </w:r>
    </w:p>
    <w:p w:rsidR="007C4016" w:rsidRPr="00F44994" w:rsidRDefault="007C4016" w:rsidP="007C4016">
      <w:pPr>
        <w:pStyle w:val="CondicionesFinales"/>
        <w:numPr>
          <w:ilvl w:val="0"/>
          <w:numId w:val="138"/>
        </w:numPr>
        <w:spacing w:before="240" w:after="0"/>
        <w:rPr>
          <w:color w:val="auto"/>
          <w:lang w:val="es-ES"/>
        </w:rPr>
      </w:pPr>
      <w:r w:rsidRPr="00F44994">
        <w:rPr>
          <w:color w:val="auto"/>
          <w:lang w:val="es-ES"/>
        </w:rPr>
        <w:t>Servicio de Acceso y Uso Compartido de Obra Civil;</w:t>
      </w:r>
    </w:p>
    <w:p w:rsidR="007C4016" w:rsidRPr="00F44994" w:rsidRDefault="007C4016" w:rsidP="007C4016">
      <w:pPr>
        <w:pStyle w:val="CondicionesFinales"/>
        <w:numPr>
          <w:ilvl w:val="0"/>
          <w:numId w:val="138"/>
        </w:numPr>
        <w:spacing w:after="0"/>
        <w:rPr>
          <w:color w:val="auto"/>
          <w:lang w:val="es-ES"/>
        </w:rPr>
      </w:pPr>
      <w:r w:rsidRPr="00F44994">
        <w:rPr>
          <w:color w:val="auto"/>
          <w:lang w:val="es-ES"/>
        </w:rPr>
        <w:t>Servicio de Acceso y Uso Compartido de Torres;</w:t>
      </w:r>
    </w:p>
    <w:p w:rsidR="007C4016" w:rsidRPr="00F44994" w:rsidRDefault="007C4016" w:rsidP="007C4016">
      <w:pPr>
        <w:pStyle w:val="CondicionesFinales"/>
        <w:numPr>
          <w:ilvl w:val="0"/>
          <w:numId w:val="138"/>
        </w:numPr>
        <w:spacing w:after="0"/>
        <w:rPr>
          <w:color w:val="auto"/>
          <w:lang w:val="es-ES"/>
        </w:rPr>
      </w:pPr>
      <w:r w:rsidRPr="00F44994">
        <w:rPr>
          <w:color w:val="auto"/>
          <w:lang w:val="es-ES"/>
        </w:rPr>
        <w:t>Servicio de Uso de Sitios, Predios y Espacios Físicos;</w:t>
      </w:r>
    </w:p>
    <w:p w:rsidR="007C4016" w:rsidRPr="00F44994" w:rsidRDefault="007C4016" w:rsidP="007C4016">
      <w:pPr>
        <w:pStyle w:val="CondicionesFinales"/>
        <w:numPr>
          <w:ilvl w:val="0"/>
          <w:numId w:val="138"/>
        </w:numPr>
        <w:spacing w:after="0"/>
        <w:rPr>
          <w:color w:val="auto"/>
          <w:lang w:val="es-ES"/>
        </w:rPr>
      </w:pPr>
      <w:r w:rsidRPr="00F44994">
        <w:rPr>
          <w:color w:val="auto"/>
          <w:lang w:val="es-ES"/>
        </w:rPr>
        <w:t xml:space="preserve">Servicio de Tendido de Cable sobre Infraestructura Desagregada, y </w:t>
      </w:r>
    </w:p>
    <w:p w:rsidR="007C4016" w:rsidRPr="00F44994" w:rsidRDefault="007C4016" w:rsidP="007C4016">
      <w:pPr>
        <w:pStyle w:val="CondicionesFinales"/>
        <w:numPr>
          <w:ilvl w:val="0"/>
          <w:numId w:val="138"/>
        </w:numPr>
        <w:spacing w:after="0"/>
        <w:rPr>
          <w:color w:val="auto"/>
          <w:lang w:val="es-ES"/>
        </w:rPr>
      </w:pPr>
      <w:r w:rsidRPr="00F44994">
        <w:rPr>
          <w:color w:val="auto"/>
          <w:lang w:val="es-ES"/>
        </w:rPr>
        <w:t>Servicio de Canales Ópticos de Alta Capacidad de Transporte</w:t>
      </w:r>
      <w:r>
        <w:rPr>
          <w:color w:val="auto"/>
          <w:lang w:val="es-ES"/>
        </w:rPr>
        <w:t xml:space="preserve"> y Servicio de Renta de Fibra Obscura</w:t>
      </w:r>
      <w:r w:rsidRPr="00F44994" w:rsidDel="008F42B3">
        <w:rPr>
          <w:color w:val="auto"/>
          <w:lang w:val="es-ES"/>
        </w:rPr>
        <w:t>.</w:t>
      </w:r>
    </w:p>
    <w:p w:rsidR="007C4016" w:rsidRPr="00F44994" w:rsidRDefault="007C4016" w:rsidP="007C4016">
      <w:pPr>
        <w:pStyle w:val="CondicionesFinales"/>
        <w:spacing w:before="240" w:after="0"/>
        <w:rPr>
          <w:color w:val="auto"/>
        </w:rPr>
      </w:pPr>
      <w:r w:rsidRPr="00F44994">
        <w:rPr>
          <w:color w:val="auto"/>
        </w:rPr>
        <w:t xml:space="preserve">Adicionalmente, con efecto de mejorar la prestación de los servicios, los mismos incluyen actividades de apoyo que permiten la eficiente y correcta instalación de los servicios en la infraestructura, los cuales son: </w:t>
      </w:r>
    </w:p>
    <w:p w:rsidR="007C4016" w:rsidRPr="00F44994" w:rsidRDefault="007C4016" w:rsidP="007C4016">
      <w:pPr>
        <w:pStyle w:val="CondicionesFinales"/>
        <w:numPr>
          <w:ilvl w:val="0"/>
          <w:numId w:val="139"/>
        </w:numPr>
        <w:spacing w:before="240" w:after="0"/>
        <w:rPr>
          <w:color w:val="auto"/>
        </w:rPr>
      </w:pPr>
      <w:r w:rsidRPr="00F44994">
        <w:rPr>
          <w:color w:val="auto"/>
        </w:rPr>
        <w:t>Visita Técnica;</w:t>
      </w:r>
    </w:p>
    <w:p w:rsidR="007C4016" w:rsidRPr="00F44994" w:rsidRDefault="007C4016" w:rsidP="007C4016">
      <w:pPr>
        <w:pStyle w:val="CondicionesFinales"/>
        <w:numPr>
          <w:ilvl w:val="0"/>
          <w:numId w:val="139"/>
        </w:numPr>
        <w:spacing w:after="0"/>
        <w:rPr>
          <w:color w:val="auto"/>
        </w:rPr>
      </w:pPr>
      <w:r w:rsidRPr="00F44994">
        <w:rPr>
          <w:color w:val="auto"/>
        </w:rPr>
        <w:t>Análisis de Factibilidad</w:t>
      </w:r>
      <w:r>
        <w:rPr>
          <w:color w:val="auto"/>
        </w:rPr>
        <w:t>;</w:t>
      </w:r>
    </w:p>
    <w:p w:rsidR="007C4016" w:rsidRDefault="007C4016" w:rsidP="007C4016">
      <w:pPr>
        <w:pStyle w:val="CondicionesFinales"/>
        <w:numPr>
          <w:ilvl w:val="0"/>
          <w:numId w:val="139"/>
        </w:numPr>
        <w:spacing w:after="0"/>
        <w:rPr>
          <w:color w:val="auto"/>
        </w:rPr>
      </w:pPr>
      <w:r>
        <w:rPr>
          <w:color w:val="auto"/>
        </w:rPr>
        <w:t>Verificación</w:t>
      </w:r>
    </w:p>
    <w:p w:rsidR="007C4016" w:rsidRPr="00F44994" w:rsidRDefault="007C4016" w:rsidP="007C4016">
      <w:pPr>
        <w:pStyle w:val="CondicionesFinales"/>
        <w:spacing w:before="240" w:after="0"/>
        <w:rPr>
          <w:color w:val="auto"/>
        </w:rPr>
      </w:pPr>
      <w:r w:rsidRPr="00F44994">
        <w:rPr>
          <w:color w:val="auto"/>
        </w:rPr>
        <w:t>Finalmente, los trabajos especiales a lo</w:t>
      </w:r>
      <w:r>
        <w:rPr>
          <w:color w:val="auto"/>
        </w:rPr>
        <w:t>s</w:t>
      </w:r>
      <w:r w:rsidRPr="00F44994">
        <w:rPr>
          <w:color w:val="auto"/>
        </w:rPr>
        <w:t xml:space="preserve"> que el CS podrá acceder son:</w:t>
      </w:r>
    </w:p>
    <w:p w:rsidR="007C4016" w:rsidRPr="00F44994" w:rsidRDefault="007C4016" w:rsidP="007C4016">
      <w:pPr>
        <w:pStyle w:val="CondicionesFinales"/>
        <w:numPr>
          <w:ilvl w:val="0"/>
          <w:numId w:val="140"/>
        </w:numPr>
        <w:spacing w:before="240" w:after="0"/>
        <w:rPr>
          <w:color w:val="auto"/>
        </w:rPr>
      </w:pPr>
      <w:r w:rsidRPr="00F44994">
        <w:rPr>
          <w:color w:val="auto"/>
        </w:rPr>
        <w:t>Servicio de Instalación de Infraestructura del CS en Despliegue de Nueva Obra Civil;</w:t>
      </w:r>
    </w:p>
    <w:p w:rsidR="007C4016" w:rsidRPr="00F44994" w:rsidRDefault="007C4016" w:rsidP="007C4016">
      <w:pPr>
        <w:pStyle w:val="CondicionesFinales"/>
        <w:numPr>
          <w:ilvl w:val="0"/>
          <w:numId w:val="140"/>
        </w:numPr>
        <w:spacing w:after="0"/>
        <w:rPr>
          <w:color w:val="auto"/>
        </w:rPr>
      </w:pPr>
      <w:r w:rsidRPr="00F44994">
        <w:rPr>
          <w:color w:val="auto"/>
        </w:rPr>
        <w:t>Acondicionamiento de la infraestructura;</w:t>
      </w:r>
    </w:p>
    <w:p w:rsidR="007C4016" w:rsidRPr="00F44994" w:rsidRDefault="007C4016" w:rsidP="007C4016">
      <w:pPr>
        <w:pStyle w:val="CondicionesFinales"/>
        <w:numPr>
          <w:ilvl w:val="0"/>
          <w:numId w:val="140"/>
        </w:numPr>
        <w:spacing w:after="0"/>
        <w:rPr>
          <w:color w:val="auto"/>
        </w:rPr>
      </w:pPr>
      <w:r w:rsidRPr="00F44994">
        <w:rPr>
          <w:color w:val="auto"/>
        </w:rPr>
        <w:t>Servicio de Recuperación de Espacio, y</w:t>
      </w:r>
    </w:p>
    <w:p w:rsidR="007C4016" w:rsidRDefault="007C4016" w:rsidP="007C4016">
      <w:pPr>
        <w:pStyle w:val="CondicionesFinales"/>
        <w:numPr>
          <w:ilvl w:val="0"/>
          <w:numId w:val="140"/>
        </w:numPr>
        <w:spacing w:after="0"/>
        <w:rPr>
          <w:color w:val="auto"/>
        </w:rPr>
      </w:pPr>
      <w:r w:rsidRPr="00F44994">
        <w:rPr>
          <w:color w:val="auto"/>
        </w:rPr>
        <w:t>Servicio de Solución Correctiva.</w:t>
      </w:r>
    </w:p>
    <w:p w:rsidR="007C4016" w:rsidRPr="006A7AA7" w:rsidRDefault="007C4016" w:rsidP="006A7AA7">
      <w:pPr>
        <w:spacing w:before="240"/>
        <w:rPr>
          <w:rFonts w:ascii="ITC Avant Garde" w:hAnsi="ITC Avant Garde"/>
          <w:b/>
          <w:sz w:val="22"/>
          <w:szCs w:val="22"/>
        </w:rPr>
      </w:pPr>
      <w:r w:rsidRPr="006A7AA7">
        <w:rPr>
          <w:rFonts w:ascii="ITC Avant Garde" w:hAnsi="ITC Avant Garde"/>
          <w:b/>
          <w:sz w:val="22"/>
          <w:szCs w:val="22"/>
        </w:rPr>
        <w:t>I.</w:t>
      </w:r>
      <w:r w:rsidRPr="006A7AA7">
        <w:rPr>
          <w:rFonts w:ascii="ITC Avant Garde" w:hAnsi="ITC Avant Garde"/>
          <w:b/>
          <w:sz w:val="22"/>
          <w:szCs w:val="22"/>
        </w:rPr>
        <w:tab/>
        <w:t xml:space="preserve"> PRERREQUISITOS PARA LA PRESTACIÓN DE LOS SERVICIOS Y TRABAJOS ESPECIALES DE LA OFERTA.</w:t>
      </w:r>
    </w:p>
    <w:p w:rsidR="007C4016" w:rsidRPr="00F44994" w:rsidRDefault="007C4016" w:rsidP="007C4016">
      <w:pPr>
        <w:pStyle w:val="IFTnormal"/>
        <w:spacing w:before="240" w:after="0"/>
        <w:rPr>
          <w:b/>
        </w:rPr>
      </w:pPr>
      <w:r w:rsidRPr="00F44994">
        <w:rPr>
          <w:b/>
        </w:rPr>
        <w:t>Consideraciones del Instituto</w:t>
      </w:r>
    </w:p>
    <w:p w:rsidR="007C4016" w:rsidRPr="002802DB"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Pr="00F44994" w:rsidRDefault="007C4016" w:rsidP="007C4016">
      <w:pPr>
        <w:pStyle w:val="IFTnormal"/>
        <w:spacing w:before="240" w:after="0"/>
        <w:rPr>
          <w:rFonts w:eastAsiaTheme="minorHAnsi" w:cs="Arial"/>
          <w:lang w:val="es-ES"/>
        </w:rPr>
      </w:pPr>
      <w:r w:rsidRPr="00F44994">
        <w:rPr>
          <w:lang w:val="es-ES"/>
        </w:rPr>
        <w:t xml:space="preserve">Relativo a la sección primera denominada </w:t>
      </w:r>
      <w:r w:rsidRPr="001043A7">
        <w:rPr>
          <w:rFonts w:eastAsiaTheme="minorHAnsi" w:cs="Arial"/>
          <w:b/>
          <w:lang w:val="es-ES"/>
        </w:rPr>
        <w:t>“I. PRERREQUISITOS PARA LA PRESTACIÓN DE LOS SERVICIOS Y TRABAJOS ESPECIALES”</w:t>
      </w:r>
      <w:r w:rsidRPr="00F44994">
        <w:rPr>
          <w:rFonts w:eastAsiaTheme="minorHAnsi" w:cs="Arial"/>
          <w:lang w:val="es-ES"/>
        </w:rPr>
        <w:t xml:space="preserve">, el AEP en </w:t>
      </w:r>
      <w:r>
        <w:rPr>
          <w:rFonts w:eastAsiaTheme="minorHAnsi" w:cs="Arial"/>
          <w:lang w:val="es-ES"/>
        </w:rPr>
        <w:t>la</w:t>
      </w:r>
      <w:r w:rsidRPr="00F44994">
        <w:rPr>
          <w:rFonts w:eastAsiaTheme="minorHAnsi" w:cs="Arial"/>
          <w:lang w:val="es-ES"/>
        </w:rPr>
        <w:t xml:space="preserve"> </w:t>
      </w:r>
      <w:r>
        <w:rPr>
          <w:rFonts w:eastAsiaTheme="minorHAnsi" w:cs="Arial"/>
          <w:lang w:val="es-ES"/>
        </w:rPr>
        <w:t>P</w:t>
      </w:r>
      <w:r w:rsidRPr="00F44994">
        <w:rPr>
          <w:rFonts w:eastAsiaTheme="minorHAnsi" w:cs="Arial"/>
          <w:lang w:val="es-ES"/>
        </w:rPr>
        <w:t xml:space="preserve">ropuesta </w:t>
      </w:r>
      <w:r>
        <w:rPr>
          <w:rFonts w:eastAsiaTheme="minorHAnsi" w:cs="Arial"/>
          <w:lang w:val="es-ES"/>
        </w:rPr>
        <w:t>de Oferta</w:t>
      </w:r>
      <w:r w:rsidRPr="00F44994">
        <w:rPr>
          <w:rFonts w:eastAsiaTheme="minorHAnsi" w:cs="Arial"/>
          <w:lang w:val="es-ES"/>
        </w:rPr>
        <w:t xml:space="preserve"> de </w:t>
      </w:r>
      <w:r>
        <w:rPr>
          <w:rFonts w:eastAsiaTheme="minorHAnsi" w:cs="Arial"/>
          <w:lang w:val="es-ES"/>
        </w:rPr>
        <w:t>Referencia</w:t>
      </w:r>
      <w:r w:rsidRPr="00F44994">
        <w:rPr>
          <w:rFonts w:eastAsiaTheme="minorHAnsi" w:cs="Arial"/>
          <w:lang w:val="es-ES"/>
        </w:rPr>
        <w:t xml:space="preserve"> establece lo siguiente:</w:t>
      </w:r>
    </w:p>
    <w:p w:rsidR="007C4016" w:rsidRPr="00F44994" w:rsidRDefault="007C4016" w:rsidP="007C4016">
      <w:pPr>
        <w:pStyle w:val="7CitaTextual"/>
        <w:spacing w:before="240" w:after="0"/>
        <w:rPr>
          <w:b/>
        </w:rPr>
      </w:pPr>
      <w:r w:rsidRPr="00F44994">
        <w:rPr>
          <w:b/>
        </w:rPr>
        <w:lastRenderedPageBreak/>
        <w:t>“</w:t>
      </w:r>
      <w:r>
        <w:rPr>
          <w:b/>
        </w:rPr>
        <w:t xml:space="preserve">I. </w:t>
      </w:r>
      <w:r w:rsidRPr="00F44994">
        <w:rPr>
          <w:b/>
        </w:rPr>
        <w:t>Prerrequisitos para la prestación de los servicios y trabajos especiales de la Oferta.</w:t>
      </w:r>
    </w:p>
    <w:p w:rsidR="007C4016" w:rsidRPr="00F44994" w:rsidRDefault="007C4016" w:rsidP="007C4016">
      <w:pPr>
        <w:pStyle w:val="7CitaTextual"/>
        <w:spacing w:before="240" w:after="0"/>
        <w:rPr>
          <w:lang w:val="es-ES"/>
        </w:rPr>
      </w:pPr>
      <w:r w:rsidRPr="00F44994">
        <w:rPr>
          <w:lang w:val="es-ES"/>
        </w:rPr>
        <w:t xml:space="preserve">Para poder contratar los servicios de la Oferta de Referencia de Compartición de Infraestructura Pasiva, los concesionarios solicitantes deberán contar con un Título </w:t>
      </w:r>
      <w:r w:rsidRPr="00F44994">
        <w:t xml:space="preserve">que los habilite para operar una red pública de telecomunicaciones y/o para usar, aprovechar o explotar bandas de frecuencia del espectro radioeléctrico, y firmar </w:t>
      </w:r>
      <w:r w:rsidRPr="00F44994">
        <w:rPr>
          <w:lang w:val="es-ES"/>
        </w:rPr>
        <w:t>el Convenio para la Prestación de Servicios de Compartición de Infraestructura Pasiva, una vez que el co</w:t>
      </w:r>
      <w:r>
        <w:rPr>
          <w:lang w:val="es-ES"/>
        </w:rPr>
        <w:t>nvenio haya sido firmado, Telnor</w:t>
      </w:r>
      <w:r w:rsidRPr="00F44994">
        <w:rPr>
          <w:lang w:val="es-ES"/>
        </w:rPr>
        <w:t xml:space="preserve"> proporcionará al CS el número telefónico de contacto y correo electrónico para llevar a cabo todas las gestiones respecto a la prestación del servicio y solicitar los servicios mediante los formatos establecidos en el Anexo 1 de la Oferta.”</w:t>
      </w:r>
    </w:p>
    <w:p w:rsidR="007C4016" w:rsidRPr="00F44994" w:rsidRDefault="007C4016" w:rsidP="007C4016">
      <w:pPr>
        <w:pStyle w:val="IFTnormal"/>
        <w:spacing w:before="240" w:after="0"/>
        <w:rPr>
          <w:lang w:val="es-ES"/>
        </w:rPr>
      </w:pPr>
      <w:r w:rsidRPr="00F44994">
        <w:rPr>
          <w:lang w:val="es-ES"/>
        </w:rPr>
        <w:t xml:space="preserve">El Instituto considera que </w:t>
      </w:r>
      <w:r>
        <w:rPr>
          <w:lang w:val="es-ES"/>
        </w:rPr>
        <w:t xml:space="preserve">se debe modificar el alcance de la Oferta de Referencia Vigente e incluir en este apartado a las personas físicas o morales, titulares de una concesión, para prestar de manera convergente, todo tipo de servicios, tal como se establece en el </w:t>
      </w:r>
      <w:r w:rsidRPr="004A1401">
        <w:rPr>
          <w:lang w:val="es-ES"/>
        </w:rPr>
        <w:t>Artículo 3</w:t>
      </w:r>
      <w:r>
        <w:rPr>
          <w:lang w:val="es-ES"/>
        </w:rPr>
        <w:t xml:space="preserve"> de la LFTyR:</w:t>
      </w:r>
    </w:p>
    <w:p w:rsidR="007C4016" w:rsidRDefault="007C4016" w:rsidP="007C4016">
      <w:pPr>
        <w:pStyle w:val="Citaift0"/>
        <w:spacing w:before="240" w:after="0"/>
        <w:rPr>
          <w:lang w:val="es-ES"/>
        </w:rPr>
      </w:pPr>
      <w:r>
        <w:rPr>
          <w:lang w:val="es-ES"/>
        </w:rPr>
        <w:t>“</w:t>
      </w:r>
      <w:r w:rsidRPr="004A1401">
        <w:rPr>
          <w:lang w:val="es-ES"/>
        </w:rPr>
        <w:t>Artículo 3. Para los efectos de esta Ley se entenderá por:</w:t>
      </w:r>
    </w:p>
    <w:p w:rsidR="007C4016" w:rsidRDefault="007C4016" w:rsidP="007C4016">
      <w:pPr>
        <w:pStyle w:val="Citaift0"/>
        <w:spacing w:before="240" w:after="0"/>
        <w:rPr>
          <w:lang w:val="es-ES"/>
        </w:rPr>
      </w:pPr>
      <w:r>
        <w:rPr>
          <w:lang w:val="es-ES"/>
        </w:rPr>
        <w:t>[…]</w:t>
      </w:r>
    </w:p>
    <w:p w:rsidR="007C4016" w:rsidRDefault="007C4016" w:rsidP="007C4016">
      <w:pPr>
        <w:pStyle w:val="Citaift0"/>
        <w:numPr>
          <w:ilvl w:val="0"/>
          <w:numId w:val="147"/>
        </w:numPr>
        <w:spacing w:before="240" w:after="0"/>
        <w:ind w:left="1276" w:hanging="141"/>
        <w:rPr>
          <w:lang w:val="es-ES"/>
        </w:rPr>
      </w:pPr>
      <w:r w:rsidRPr="004A1401">
        <w:rPr>
          <w:lang w:val="es-ES"/>
        </w:rPr>
        <w:t>Concesión única: Acto administrativo mediante el cual el Instituto confiere el derecho para</w:t>
      </w:r>
      <w:r>
        <w:rPr>
          <w:lang w:val="es-ES"/>
        </w:rPr>
        <w:t xml:space="preserve"> </w:t>
      </w:r>
      <w:r w:rsidRPr="004A1401">
        <w:rPr>
          <w:lang w:val="es-ES"/>
        </w:rPr>
        <w:t>prestar de manera convergente, todo tipo de servicios públicos de telecomunicaciones o</w:t>
      </w:r>
      <w:r>
        <w:rPr>
          <w:lang w:val="es-ES"/>
        </w:rPr>
        <w:t xml:space="preserve"> </w:t>
      </w:r>
      <w:r w:rsidRPr="004A1401">
        <w:rPr>
          <w:lang w:val="es-ES"/>
        </w:rPr>
        <w:t>radiodifusión. En caso de que el concesionario requiera utilizar bandas del espectro</w:t>
      </w:r>
      <w:r>
        <w:rPr>
          <w:lang w:val="es-ES"/>
        </w:rPr>
        <w:t xml:space="preserve"> </w:t>
      </w:r>
      <w:r w:rsidRPr="004A1401">
        <w:rPr>
          <w:lang w:val="es-ES"/>
        </w:rPr>
        <w:t>radioeléctrico o recursos orbitales, deberá obtenerlos conforme a los términos y modalidades</w:t>
      </w:r>
      <w:r>
        <w:rPr>
          <w:lang w:val="es-ES"/>
        </w:rPr>
        <w:t xml:space="preserve"> </w:t>
      </w:r>
      <w:r w:rsidRPr="004A1401">
        <w:rPr>
          <w:lang w:val="es-ES"/>
        </w:rPr>
        <w:t>establecidas en esta Ley;</w:t>
      </w:r>
    </w:p>
    <w:p w:rsidR="007C4016" w:rsidRPr="001136EC" w:rsidRDefault="007C4016" w:rsidP="007C4016">
      <w:pPr>
        <w:pStyle w:val="Citaift0"/>
        <w:spacing w:before="240" w:after="0"/>
        <w:rPr>
          <w:lang w:val="es-ES"/>
        </w:rPr>
      </w:pPr>
      <w:r>
        <w:rPr>
          <w:lang w:val="es-ES"/>
        </w:rPr>
        <w:t>[…]</w:t>
      </w:r>
    </w:p>
    <w:p w:rsidR="007C4016" w:rsidRPr="00F44994" w:rsidRDefault="007C4016" w:rsidP="007C4016">
      <w:pPr>
        <w:pStyle w:val="IFTnormal"/>
        <w:spacing w:before="240" w:after="0"/>
        <w:rPr>
          <w:b/>
          <w:lang w:val="es-ES"/>
        </w:rPr>
      </w:pPr>
      <w:r w:rsidRPr="00F44994">
        <w:rPr>
          <w:b/>
          <w:lang w:val="es-ES"/>
        </w:rPr>
        <w:t>Redacción Definitiva</w:t>
      </w:r>
    </w:p>
    <w:p w:rsidR="007C4016" w:rsidRPr="00572952" w:rsidRDefault="007C4016" w:rsidP="007C4016">
      <w:pPr>
        <w:pStyle w:val="CondicionesFinales"/>
        <w:spacing w:before="240" w:after="0"/>
        <w:rPr>
          <w:b/>
          <w:color w:val="auto"/>
        </w:rPr>
      </w:pPr>
      <w:r w:rsidRPr="00572952">
        <w:rPr>
          <w:b/>
          <w:color w:val="auto"/>
        </w:rPr>
        <w:t>I Prerrequisitos para la prestación de los servicios y trabajos especiales de la Oferta.</w:t>
      </w:r>
    </w:p>
    <w:p w:rsidR="007C4016" w:rsidRPr="00F44994" w:rsidRDefault="007C4016" w:rsidP="007C4016">
      <w:pPr>
        <w:pStyle w:val="CondicionesFinales"/>
        <w:spacing w:before="240" w:after="0"/>
        <w:rPr>
          <w:color w:val="auto"/>
        </w:rPr>
      </w:pPr>
      <w:r w:rsidRPr="00F44994">
        <w:rPr>
          <w:color w:val="auto"/>
        </w:rPr>
        <w:t>Para poder contratar los servicios de la Oferta de Referencia de Compartición de Infraestructura Pasiva, los concesionarios solicitantes deberán contar con un Título que los habilite para operar una red pública de telecomunicaciones y/o para usar, aprovechar o explotar bandas de frecuencia del espectro radioeléctrico, o con concesión única y firmar el Convenio para la Prestación de Servicios de Compartición de Infraestructura Pasiva. Una vez que el co</w:t>
      </w:r>
      <w:r>
        <w:rPr>
          <w:color w:val="auto"/>
        </w:rPr>
        <w:t>nvenio haya sido firmado, Telnor</w:t>
      </w:r>
      <w:r w:rsidRPr="00F44994">
        <w:rPr>
          <w:color w:val="auto"/>
        </w:rPr>
        <w:t xml:space="preserve"> proporcionará al CS el número telefónico de contacto y correo electrónico para llevar a cabo todas las </w:t>
      </w:r>
      <w:r w:rsidRPr="00F44994">
        <w:rPr>
          <w:color w:val="auto"/>
        </w:rPr>
        <w:lastRenderedPageBreak/>
        <w:t>gestiones respecto a la prestación del servicio y solicitar los servicios mediante los formatos establecidos en el Anexo 1 de la Oferta.</w:t>
      </w:r>
    </w:p>
    <w:p w:rsidR="007C4016" w:rsidRPr="006A7AA7" w:rsidRDefault="007C4016" w:rsidP="006A7AA7">
      <w:pPr>
        <w:spacing w:before="240"/>
        <w:rPr>
          <w:rFonts w:ascii="ITC Avant Garde" w:hAnsi="ITC Avant Garde"/>
          <w:b/>
          <w:sz w:val="22"/>
          <w:szCs w:val="22"/>
        </w:rPr>
      </w:pPr>
      <w:r w:rsidRPr="006A7AA7">
        <w:rPr>
          <w:rFonts w:ascii="ITC Avant Garde" w:hAnsi="ITC Avant Garde"/>
          <w:b/>
          <w:sz w:val="22"/>
          <w:szCs w:val="22"/>
        </w:rPr>
        <w:t>II.</w:t>
      </w:r>
      <w:r w:rsidRPr="006A7AA7">
        <w:rPr>
          <w:rFonts w:ascii="ITC Avant Garde" w:hAnsi="ITC Avant Garde"/>
          <w:b/>
          <w:sz w:val="22"/>
          <w:szCs w:val="22"/>
        </w:rPr>
        <w:tab/>
        <w:t xml:space="preserve"> SOLICITUDES.</w:t>
      </w:r>
    </w:p>
    <w:p w:rsidR="007C4016" w:rsidRPr="00F44994" w:rsidRDefault="007C4016" w:rsidP="007C4016">
      <w:pPr>
        <w:pStyle w:val="IFTnormal"/>
        <w:spacing w:before="240" w:after="0"/>
        <w:rPr>
          <w:b/>
          <w:lang w:val="es-ES"/>
        </w:rPr>
      </w:pPr>
      <w:r w:rsidRPr="00F44994">
        <w:rPr>
          <w:b/>
          <w:lang w:val="es-ES"/>
        </w:rPr>
        <w:t>Consideraciones del Instituto</w:t>
      </w:r>
    </w:p>
    <w:p w:rsidR="007C4016" w:rsidRDefault="007C4016" w:rsidP="007C4016">
      <w:pPr>
        <w:pStyle w:val="IFTnormal"/>
        <w:spacing w:before="240" w:after="0"/>
        <w:rPr>
          <w:b/>
          <w:lang w:val="es-ES"/>
        </w:rPr>
      </w:pPr>
      <w:r w:rsidRPr="002802DB">
        <w:rPr>
          <w:b/>
          <w:lang w:val="es-ES"/>
        </w:rPr>
        <w:t xml:space="preserve">CASO 1. </w:t>
      </w:r>
      <w:r w:rsidRPr="002802DB">
        <w:rPr>
          <w:b/>
        </w:rPr>
        <w:t>Cambios que recuperan la redacción de la Oferta de Referencia Vigente</w:t>
      </w:r>
      <w:r w:rsidRPr="002802DB">
        <w:rPr>
          <w:b/>
          <w:lang w:val="es-ES"/>
        </w:rPr>
        <w:t>.</w:t>
      </w:r>
    </w:p>
    <w:p w:rsidR="007C4016" w:rsidRPr="00F44994" w:rsidRDefault="007C4016" w:rsidP="007C4016">
      <w:pPr>
        <w:pStyle w:val="IFTnormal"/>
        <w:spacing w:before="240" w:after="0"/>
        <w:rPr>
          <w:rFonts w:eastAsiaTheme="minorHAnsi" w:cs="Arial"/>
          <w:lang w:val="es-ES"/>
        </w:rPr>
      </w:pPr>
      <w:r w:rsidRPr="00F44994">
        <w:rPr>
          <w:lang w:val="es-ES"/>
        </w:rPr>
        <w:t xml:space="preserve">Relativo a la sección segunda denominada </w:t>
      </w:r>
      <w:r w:rsidRPr="006439D9">
        <w:rPr>
          <w:rFonts w:eastAsiaTheme="minorHAnsi" w:cs="Arial"/>
          <w:b/>
          <w:lang w:val="es-ES"/>
        </w:rPr>
        <w:t>“SOLICITUDES”</w:t>
      </w:r>
      <w:r w:rsidRPr="00F44994">
        <w:rPr>
          <w:rFonts w:eastAsiaTheme="minorHAnsi" w:cs="Arial"/>
          <w:lang w:val="es-ES"/>
        </w:rPr>
        <w:t xml:space="preserve">, el AEP en </w:t>
      </w:r>
      <w:r>
        <w:rPr>
          <w:rFonts w:eastAsiaTheme="minorHAnsi" w:cs="Arial"/>
          <w:lang w:val="es-ES"/>
        </w:rPr>
        <w:t>la Propuesta</w:t>
      </w:r>
      <w:r w:rsidRPr="00F44994">
        <w:rPr>
          <w:rFonts w:eastAsiaTheme="minorHAnsi" w:cs="Arial"/>
          <w:lang w:val="es-ES"/>
        </w:rPr>
        <w:t xml:space="preserve"> de </w:t>
      </w:r>
      <w:r>
        <w:rPr>
          <w:rFonts w:eastAsiaTheme="minorHAnsi" w:cs="Arial"/>
          <w:lang w:val="es-ES"/>
        </w:rPr>
        <w:t>Oferta de Referencia</w:t>
      </w:r>
      <w:r w:rsidRPr="00F44994">
        <w:rPr>
          <w:rFonts w:eastAsiaTheme="minorHAnsi" w:cs="Arial"/>
          <w:lang w:val="es-ES"/>
        </w:rPr>
        <w:t xml:space="preserve"> establece lo siguiente:</w:t>
      </w:r>
    </w:p>
    <w:p w:rsidR="007C4016" w:rsidRPr="00572952" w:rsidRDefault="007C4016" w:rsidP="007C4016">
      <w:pPr>
        <w:pStyle w:val="Citaift0"/>
        <w:spacing w:before="240" w:after="0"/>
      </w:pPr>
      <w:r w:rsidRPr="00572952">
        <w:t>“II.</w:t>
      </w:r>
      <w:r w:rsidRPr="00572952">
        <w:tab/>
        <w:t>Solicitudes.</w:t>
      </w:r>
    </w:p>
    <w:p w:rsidR="007C4016" w:rsidRPr="00F44994" w:rsidRDefault="007C4016" w:rsidP="007C4016">
      <w:pPr>
        <w:pStyle w:val="Citaift0"/>
        <w:spacing w:before="240" w:after="0"/>
      </w:pPr>
      <w:r w:rsidRPr="00F44994">
        <w:t>Las solicitudes se atenderán conforme fueron ingresadas. Con el objeto de mantener niveles de atención de servicio adecuados, se podrán tramitar, por CS un máximo de 200 solicitudes mensualmente, salvo que se observe una demanda que justifique su aumento a juicio del IFT.</w:t>
      </w:r>
    </w:p>
    <w:p w:rsidR="007C4016" w:rsidRPr="00F44994" w:rsidRDefault="007C4016" w:rsidP="007C4016">
      <w:pPr>
        <w:pStyle w:val="Citaift0"/>
        <w:spacing w:before="240" w:after="0"/>
      </w:pPr>
      <w:r w:rsidRPr="00F44994">
        <w:t xml:space="preserve">El CS podrá solicitar servicios de Acceso y Uso Compartido de Obra Civil de la magnitud que requiera, considerando que cada 5 km se contabilizará como una solicitud, de las 200 que puede requerir mensualmente. </w:t>
      </w:r>
    </w:p>
    <w:p w:rsidR="007C4016" w:rsidRDefault="007C4016" w:rsidP="007C4016">
      <w:pPr>
        <w:pStyle w:val="Citaift0"/>
        <w:spacing w:before="240" w:after="0"/>
      </w:pPr>
      <w:r w:rsidRPr="00F44994">
        <w:t>Si un CS, orienta su programa para implementarse en un periodo corto de tiempo, o realiza una solicitud de magnitud superior a los 5 km, que demande su atención más recursos de los disponibles en la zona, estará sujeto a la disponibilidad de recursos y solicitudes programadas en ese periodo.”</w:t>
      </w:r>
    </w:p>
    <w:p w:rsidR="007C4016" w:rsidRDefault="007C4016" w:rsidP="007C4016">
      <w:pPr>
        <w:pStyle w:val="IFTnormal"/>
        <w:spacing w:before="240" w:after="0"/>
        <w:rPr>
          <w:lang w:val="es-ES"/>
        </w:rPr>
      </w:pPr>
      <w:r w:rsidRPr="00F44994">
        <w:rPr>
          <w:lang w:val="es-ES"/>
        </w:rPr>
        <w:t xml:space="preserve">El Instituto considera que </w:t>
      </w:r>
      <w:r>
        <w:rPr>
          <w:lang w:val="es-ES"/>
        </w:rPr>
        <w:t xml:space="preserve">los cambios que se proponen no se apegan a la Medida CUADRAGÉSIMA </w:t>
      </w:r>
      <w:r w:rsidRPr="008D2F0B">
        <w:t>PRIMERA</w:t>
      </w:r>
      <w:r>
        <w:rPr>
          <w:lang w:val="es-ES"/>
        </w:rPr>
        <w:t xml:space="preserve"> porque no mejoran las condiciones de atender más requerimientos para los CS. Esta situación se pone de manifiesto dentro de los comentarios de los concesionarios al señalar que se condiciona el número de solicitudes por problemas de capacidad de atención y no propiamente por la distancia de las mismas.</w:t>
      </w:r>
    </w:p>
    <w:p w:rsidR="007C4016" w:rsidRDefault="007C4016" w:rsidP="007C4016">
      <w:pPr>
        <w:pStyle w:val="IFTnormal"/>
        <w:spacing w:before="240" w:after="0"/>
        <w:rPr>
          <w:lang w:val="es-ES"/>
        </w:rPr>
      </w:pPr>
      <w:r>
        <w:rPr>
          <w:lang w:val="es-ES"/>
        </w:rPr>
        <w:t>Dado lo anterior, el Instituto mantiene la redacción de la Oferta de Referencia Vigente.</w:t>
      </w:r>
    </w:p>
    <w:p w:rsidR="007C4016" w:rsidRPr="006A7AA7" w:rsidRDefault="007C4016" w:rsidP="006A7AA7">
      <w:pPr>
        <w:spacing w:before="240"/>
        <w:rPr>
          <w:rFonts w:ascii="ITC Avant Garde" w:hAnsi="ITC Avant Garde"/>
          <w:b/>
          <w:sz w:val="22"/>
          <w:szCs w:val="22"/>
        </w:rPr>
      </w:pPr>
      <w:r w:rsidRPr="006A7AA7">
        <w:rPr>
          <w:rFonts w:ascii="ITC Avant Garde" w:hAnsi="ITC Avant Garde"/>
          <w:b/>
          <w:sz w:val="22"/>
          <w:szCs w:val="22"/>
        </w:rPr>
        <w:t>II.1 SEGUIMIENTO Y CONTROL DE LAS SOLICITUDES</w:t>
      </w:r>
    </w:p>
    <w:p w:rsidR="007C4016" w:rsidRPr="00F44994" w:rsidRDefault="007C4016" w:rsidP="007C4016">
      <w:pPr>
        <w:pStyle w:val="IFTnormal"/>
        <w:spacing w:before="240" w:after="0"/>
      </w:pPr>
      <w:r w:rsidRPr="00E20290">
        <w:rPr>
          <w:b/>
          <w:lang w:val="es-ES"/>
        </w:rPr>
        <w:t>Consideraciones del Instituto</w:t>
      </w:r>
    </w:p>
    <w:p w:rsidR="007C4016" w:rsidRPr="009006A3" w:rsidRDefault="007C4016" w:rsidP="007C4016">
      <w:pPr>
        <w:pStyle w:val="IFTnormal"/>
        <w:spacing w:before="240" w:after="0"/>
      </w:pPr>
      <w:r w:rsidRPr="002802DB">
        <w:rPr>
          <w:b/>
          <w:lang w:val="es-ES"/>
        </w:rPr>
        <w:lastRenderedPageBreak/>
        <w:t xml:space="preserve">CASO 2. Cambios que </w:t>
      </w:r>
      <w:r w:rsidRPr="002802DB">
        <w:rPr>
          <w:b/>
        </w:rPr>
        <w:t>modifican la redacción de la Propuesta de Oferta de Referencia.</w:t>
      </w:r>
    </w:p>
    <w:p w:rsidR="007C4016" w:rsidRPr="00F44994" w:rsidRDefault="007C4016" w:rsidP="007C4016">
      <w:pPr>
        <w:pStyle w:val="IFTnormal"/>
        <w:spacing w:before="240" w:after="0"/>
        <w:rPr>
          <w:lang w:val="es-ES"/>
        </w:rPr>
      </w:pPr>
      <w:r w:rsidRPr="00F44994">
        <w:rPr>
          <w:lang w:val="es-ES"/>
        </w:rPr>
        <w:t xml:space="preserve">Relativo a la sección </w:t>
      </w:r>
      <w:r w:rsidRPr="00572952">
        <w:rPr>
          <w:b/>
          <w:lang w:val="es-ES"/>
        </w:rPr>
        <w:t>“II.1 SEGUIMIENTO Y CONTROL DE LAS SOLICITUDES”</w:t>
      </w:r>
      <w:r w:rsidRPr="00F44994">
        <w:rPr>
          <w:lang w:val="es-ES"/>
        </w:rPr>
        <w:t xml:space="preserve">, el AEP en </w:t>
      </w:r>
      <w:r>
        <w:rPr>
          <w:lang w:val="es-ES"/>
        </w:rPr>
        <w:t>la</w:t>
      </w:r>
      <w:r w:rsidRPr="00F44994">
        <w:rPr>
          <w:lang w:val="es-ES"/>
        </w:rPr>
        <w:t xml:space="preserve"> </w:t>
      </w:r>
      <w:r>
        <w:rPr>
          <w:lang w:val="es-ES"/>
        </w:rPr>
        <w:t>P</w:t>
      </w:r>
      <w:r w:rsidRPr="00F44994">
        <w:rPr>
          <w:lang w:val="es-ES"/>
        </w:rPr>
        <w:t xml:space="preserve">ropuesta </w:t>
      </w:r>
      <w:r>
        <w:rPr>
          <w:lang w:val="es-ES"/>
        </w:rPr>
        <w:t>de Oferta</w:t>
      </w:r>
      <w:r w:rsidRPr="00F44994">
        <w:rPr>
          <w:lang w:val="es-ES"/>
        </w:rPr>
        <w:t xml:space="preserve"> de </w:t>
      </w:r>
      <w:r>
        <w:rPr>
          <w:lang w:val="es-ES"/>
        </w:rPr>
        <w:t>Referencia</w:t>
      </w:r>
      <w:r w:rsidRPr="00F44994">
        <w:rPr>
          <w:lang w:val="es-ES"/>
        </w:rPr>
        <w:t xml:space="preserve"> establece lo siguiente:</w:t>
      </w:r>
    </w:p>
    <w:p w:rsidR="007C4016" w:rsidRPr="005F711E" w:rsidRDefault="007C4016" w:rsidP="007C4016">
      <w:pPr>
        <w:pStyle w:val="Citaift0"/>
        <w:spacing w:before="240" w:after="0"/>
        <w:rPr>
          <w:b/>
        </w:rPr>
      </w:pPr>
      <w:r>
        <w:rPr>
          <w:b/>
        </w:rPr>
        <w:t>“</w:t>
      </w:r>
      <w:r w:rsidRPr="005F711E">
        <w:rPr>
          <w:b/>
        </w:rPr>
        <w:t>II.1. Seguimiento y Control de las Solicitudes</w:t>
      </w:r>
    </w:p>
    <w:p w:rsidR="007C4016" w:rsidRPr="00F44994" w:rsidRDefault="007C4016" w:rsidP="007C4016">
      <w:pPr>
        <w:pStyle w:val="Citaift0"/>
        <w:spacing w:before="240" w:after="0"/>
        <w:rPr>
          <w:color w:val="auto"/>
        </w:rPr>
      </w:pPr>
      <w:r w:rsidRPr="00F44994">
        <w:rPr>
          <w:color w:val="auto"/>
        </w:rPr>
        <w:t>El seguimiento y control de las solicitudes se refiere al conjunto de actividades y he</w:t>
      </w:r>
      <w:r>
        <w:rPr>
          <w:color w:val="auto"/>
        </w:rPr>
        <w:t>rramientas que permiten a Telnor</w:t>
      </w:r>
      <w:r w:rsidRPr="00F44994">
        <w:rPr>
          <w:color w:val="auto"/>
        </w:rPr>
        <w:t xml:space="preserve"> recibir, procesar y dar respuesta a las solicitudes relacionadas con los Servicios de Compartición de Infraestructura provenientes de cualqui</w:t>
      </w:r>
      <w:r>
        <w:rPr>
          <w:color w:val="auto"/>
        </w:rPr>
        <w:t>er CS así como del propio Telnor</w:t>
      </w:r>
      <w:r w:rsidRPr="00F44994">
        <w:rPr>
          <w:color w:val="auto"/>
        </w:rPr>
        <w:t xml:space="preserve"> incluyendo sus afiliadas, filiales, subsidiarias o empresas que pertenezcan al mismo grupo de interés económico; ya sea a través del Sistema de Captura con dirección web www.sistemadecaptura.com.mx, o del SEG (http://gis.intranet.telmex.com).</w:t>
      </w:r>
    </w:p>
    <w:p w:rsidR="007C4016" w:rsidRPr="00F44994" w:rsidRDefault="007C4016" w:rsidP="007C4016">
      <w:pPr>
        <w:pStyle w:val="Citaift0"/>
        <w:spacing w:before="240" w:after="0"/>
        <w:rPr>
          <w:color w:val="auto"/>
        </w:rPr>
      </w:pPr>
      <w:r w:rsidRPr="00F44994">
        <w:rPr>
          <w:color w:val="auto"/>
        </w:rPr>
        <w:t xml:space="preserve">La sección de seguimiento y control de las solicitudes se encontrará habilitada en el SEG y hará visible la siguiente información: </w:t>
      </w:r>
    </w:p>
    <w:p w:rsidR="007C4016" w:rsidRPr="00F44994" w:rsidRDefault="007C4016" w:rsidP="007C4016">
      <w:pPr>
        <w:pStyle w:val="Citaift0"/>
        <w:spacing w:before="240" w:after="0"/>
        <w:rPr>
          <w:color w:val="auto"/>
        </w:rPr>
      </w:pPr>
      <w:r w:rsidRPr="00F44994">
        <w:rPr>
          <w:color w:val="auto"/>
        </w:rPr>
        <w:t>Concesionarios adscritos al Convenio de Prestación de Servicios de Compartición de Infraestructura.</w:t>
      </w:r>
    </w:p>
    <w:p w:rsidR="007C4016" w:rsidRPr="00F44994" w:rsidRDefault="007C4016" w:rsidP="007C4016">
      <w:pPr>
        <w:pStyle w:val="Citaift0"/>
        <w:spacing w:before="240" w:after="0"/>
        <w:rPr>
          <w:color w:val="auto"/>
        </w:rPr>
      </w:pPr>
      <w:r w:rsidRPr="00F44994">
        <w:rPr>
          <w:color w:val="auto"/>
        </w:rPr>
        <w:t>Solicitudes ingresadas por CS incluyendo:</w:t>
      </w:r>
    </w:p>
    <w:p w:rsidR="007C4016" w:rsidRPr="00F44994" w:rsidRDefault="007C4016" w:rsidP="007C4016">
      <w:pPr>
        <w:pStyle w:val="Citaift0"/>
        <w:spacing w:before="240" w:after="0"/>
        <w:rPr>
          <w:color w:val="auto"/>
        </w:rPr>
      </w:pPr>
      <w:r w:rsidRPr="00F44994">
        <w:rPr>
          <w:color w:val="auto"/>
        </w:rPr>
        <w:t>Total de solicitudes clasificadas por servicio requerido y ordenadas por NIS.</w:t>
      </w:r>
    </w:p>
    <w:p w:rsidR="007C4016" w:rsidRPr="00F44994" w:rsidRDefault="007C4016" w:rsidP="007C4016">
      <w:pPr>
        <w:pStyle w:val="Citaift0"/>
        <w:spacing w:before="240" w:after="0"/>
        <w:rPr>
          <w:color w:val="auto"/>
        </w:rPr>
      </w:pPr>
      <w:r w:rsidRPr="00F44994">
        <w:rPr>
          <w:color w:val="auto"/>
        </w:rPr>
        <w:t>Estado de las solicitudes.</w:t>
      </w:r>
    </w:p>
    <w:p w:rsidR="007C4016" w:rsidRPr="00F44994" w:rsidRDefault="007C4016" w:rsidP="007C4016">
      <w:pPr>
        <w:pStyle w:val="Citaift0"/>
        <w:spacing w:before="240" w:after="0"/>
        <w:rPr>
          <w:color w:val="auto"/>
        </w:rPr>
      </w:pPr>
      <w:r w:rsidRPr="00F44994">
        <w:rPr>
          <w:color w:val="auto"/>
        </w:rPr>
        <w:t>Fechas de modificación.</w:t>
      </w:r>
    </w:p>
    <w:p w:rsidR="007C4016" w:rsidRDefault="007C4016" w:rsidP="007C4016">
      <w:pPr>
        <w:pStyle w:val="Citaift0"/>
        <w:spacing w:before="240" w:after="0"/>
        <w:rPr>
          <w:color w:val="auto"/>
        </w:rPr>
      </w:pPr>
      <w:r w:rsidRPr="00F44994">
        <w:rPr>
          <w:color w:val="auto"/>
        </w:rPr>
        <w:t>Cada CS contará con usuario administrador y contraseña que le permitirá obtener únicamente la información asociada a su razón social; asimismo, el Instituto para efectos de monitoreo, tendrá acceso para visualizar la información de todos los concesionarios solicit</w:t>
      </w:r>
      <w:r>
        <w:rPr>
          <w:color w:val="auto"/>
        </w:rPr>
        <w:t>antes y de Telnor</w:t>
      </w:r>
      <w:r w:rsidRPr="00F44994">
        <w:rPr>
          <w:color w:val="auto"/>
        </w:rPr>
        <w:t>.</w:t>
      </w:r>
      <w:r>
        <w:rPr>
          <w:color w:val="auto"/>
        </w:rPr>
        <w:t>”</w:t>
      </w:r>
    </w:p>
    <w:p w:rsidR="007C4016" w:rsidRDefault="007C4016" w:rsidP="007C4016">
      <w:pPr>
        <w:pStyle w:val="IFTnormal"/>
        <w:spacing w:before="240" w:after="0"/>
        <w:rPr>
          <w:lang w:val="es-ES"/>
        </w:rPr>
      </w:pPr>
      <w:r w:rsidRPr="00F44994">
        <w:rPr>
          <w:lang w:val="es-ES"/>
        </w:rPr>
        <w:t xml:space="preserve">El Instituto considera que el texto propuesto en la sección de “Seguimiento y control de las Solicitudes” </w:t>
      </w:r>
      <w:r>
        <w:rPr>
          <w:lang w:val="es-ES"/>
        </w:rPr>
        <w:t xml:space="preserve">no </w:t>
      </w:r>
      <w:r w:rsidRPr="00F44994">
        <w:rPr>
          <w:lang w:val="es-ES"/>
        </w:rPr>
        <w:t xml:space="preserve">se apega a la </w:t>
      </w:r>
      <w:r>
        <w:rPr>
          <w:lang w:val="es-ES"/>
        </w:rPr>
        <w:t>M</w:t>
      </w:r>
      <w:r w:rsidRPr="00F44994">
        <w:rPr>
          <w:lang w:val="es-ES"/>
        </w:rPr>
        <w:t>edida</w:t>
      </w:r>
      <w:r>
        <w:rPr>
          <w:lang w:val="es-ES"/>
        </w:rPr>
        <w:t xml:space="preserve"> CUADRAGÉSIMA PRIMERA como a continuación</w:t>
      </w:r>
      <w:r w:rsidRPr="00F44994">
        <w:rPr>
          <w:lang w:val="es-ES"/>
        </w:rPr>
        <w:t xml:space="preserve"> se </w:t>
      </w:r>
      <w:r>
        <w:rPr>
          <w:lang w:val="es-ES"/>
        </w:rPr>
        <w:t>señala:</w:t>
      </w:r>
    </w:p>
    <w:p w:rsidR="007C4016" w:rsidRDefault="007C4016" w:rsidP="007C4016">
      <w:pPr>
        <w:pStyle w:val="Citaift0"/>
        <w:spacing w:before="240" w:after="0"/>
      </w:pPr>
      <w:r>
        <w:t>“[…]</w:t>
      </w:r>
    </w:p>
    <w:p w:rsidR="007C4016" w:rsidRPr="001B4AAB" w:rsidRDefault="007C4016" w:rsidP="007C4016">
      <w:pPr>
        <w:pStyle w:val="Citaift0"/>
        <w:spacing w:before="240" w:after="0"/>
      </w:pPr>
      <w:r w:rsidRPr="001B4AAB">
        <w:t xml:space="preserve">CUADRAGÉSIMA PRIMERA.- El Agente Económico Preponderante deberá presentar para aprobación del Instituto, en el mes de julio del año que corresponda, una propuesta </w:t>
      </w:r>
      <w:r>
        <w:t>[…]</w:t>
      </w:r>
    </w:p>
    <w:p w:rsidR="007C4016" w:rsidRPr="005E3EF6" w:rsidRDefault="007C4016" w:rsidP="007C4016">
      <w:pPr>
        <w:pStyle w:val="Citaift0"/>
        <w:spacing w:before="240" w:after="0"/>
        <w:rPr>
          <w:b/>
          <w:u w:val="single"/>
        </w:rPr>
      </w:pPr>
      <w:r w:rsidRPr="005E3EF6">
        <w:rPr>
          <w:b/>
          <w:u w:val="single"/>
        </w:rPr>
        <w:lastRenderedPageBreak/>
        <w:t>La propuesta que presente el Agente Económico Preponderante deberá reflejar, al menos, condiciones equivalentes a las de la Oferta de Referencia vigente.</w:t>
      </w:r>
    </w:p>
    <w:p w:rsidR="007C4016" w:rsidRPr="00486059" w:rsidRDefault="007C4016" w:rsidP="007C4016">
      <w:pPr>
        <w:pStyle w:val="Citaift0"/>
        <w:spacing w:before="240" w:after="0"/>
      </w:pPr>
      <w:r>
        <w:t>{…]</w:t>
      </w:r>
    </w:p>
    <w:p w:rsidR="007C4016" w:rsidRDefault="007C4016" w:rsidP="007C4016">
      <w:pPr>
        <w:pStyle w:val="Citaift0"/>
        <w:spacing w:before="240" w:after="0"/>
      </w:pPr>
      <w:bookmarkStart w:id="22" w:name="_Toc435555527"/>
      <w:bookmarkStart w:id="23" w:name="_Toc436229681"/>
      <w:bookmarkStart w:id="24" w:name="_Toc436230596"/>
      <w:bookmarkStart w:id="25" w:name="_Toc488945211"/>
      <w:r>
        <w:t>El Agente Económico Preponderante no podrá establecer condiciones que inhiban la competencia en la prestación de los servicios objeto de las Ofertas de Referencia, cualquier requisito que no sea necesario para la eficiente prestación del servicio, ni:</w:t>
      </w:r>
    </w:p>
    <w:p w:rsidR="007C4016" w:rsidRDefault="007C4016" w:rsidP="007C4016">
      <w:pPr>
        <w:pStyle w:val="Citaift0"/>
        <w:spacing w:before="240" w:after="0"/>
      </w:pPr>
      <w:r>
        <w:t>[…]</w:t>
      </w:r>
    </w:p>
    <w:p w:rsidR="007C4016" w:rsidRDefault="007C4016" w:rsidP="007C4016">
      <w:pPr>
        <w:pStyle w:val="Citaift0"/>
        <w:spacing w:before="240" w:after="0"/>
        <w:ind w:left="1134" w:hanging="283"/>
        <w:rPr>
          <w:b/>
          <w:color w:val="auto"/>
          <w:u w:val="single"/>
        </w:rPr>
      </w:pPr>
      <w:r>
        <w:t>•</w:t>
      </w:r>
      <w:r>
        <w:tab/>
      </w:r>
      <w:r w:rsidRPr="005E3EF6">
        <w:rPr>
          <w:b/>
          <w:color w:val="auto"/>
          <w:u w:val="single"/>
        </w:rPr>
        <w:t>Aplicar términos y condiciones a sus propias operaciones, subsidiarias o filiales, o empresas que pertenezcan al mismo grupo de interés económico distintos a los establecidos en las Ofertas de Referencia.</w:t>
      </w:r>
      <w:r>
        <w:rPr>
          <w:b/>
          <w:color w:val="auto"/>
          <w:u w:val="single"/>
        </w:rPr>
        <w:t>”</w:t>
      </w:r>
    </w:p>
    <w:p w:rsidR="007C4016" w:rsidRPr="005E3EF6" w:rsidRDefault="007C4016" w:rsidP="007C4016">
      <w:pPr>
        <w:pStyle w:val="Citaift0"/>
        <w:spacing w:before="240" w:after="0"/>
        <w:ind w:left="1134" w:hanging="283"/>
        <w:jc w:val="right"/>
        <w:rPr>
          <w:b/>
          <w:color w:val="auto"/>
          <w:u w:val="single"/>
        </w:rPr>
      </w:pPr>
      <w:r>
        <w:t>(Énfasis añadido)</w:t>
      </w:r>
    </w:p>
    <w:p w:rsidR="007C4016" w:rsidRDefault="007C4016" w:rsidP="007C4016">
      <w:pPr>
        <w:pStyle w:val="IFTnormal"/>
        <w:spacing w:before="240" w:after="0"/>
      </w:pPr>
      <w:r w:rsidRPr="009006A3">
        <w:t>Respecto a lo anterior, se debe eliminar</w:t>
      </w:r>
      <w:r w:rsidRPr="009006A3" w:rsidDel="009006A3">
        <w:t xml:space="preserve"> </w:t>
      </w:r>
      <w:r>
        <w:t>cualquier</w:t>
      </w:r>
      <w:r w:rsidRPr="009006A3">
        <w:t xml:space="preserve"> referencia al Sistema de Captura, ya que todas las gestiones se realiza</w:t>
      </w:r>
      <w:r>
        <w:t>rá</w:t>
      </w:r>
      <w:r w:rsidRPr="009006A3">
        <w:t>n a través del SEG</w:t>
      </w:r>
      <w:r>
        <w:t>, tal como está previsto en las Medidas Fijas</w:t>
      </w:r>
      <w:r w:rsidRPr="009006A3">
        <w:t>. Adicionalmente, en este apartado el AEP elimina la posibilidad de que se visualice la información de sus afiliadas, filiales, subsidiarias o empresas que pertenezcan al mismo grupo de interés económico</w:t>
      </w:r>
    </w:p>
    <w:p w:rsidR="007C4016" w:rsidRPr="00F44994" w:rsidRDefault="007C4016" w:rsidP="007C4016">
      <w:pPr>
        <w:pStyle w:val="IFTnormal"/>
        <w:spacing w:before="240" w:after="0"/>
        <w:rPr>
          <w:b/>
        </w:rPr>
      </w:pPr>
      <w:r>
        <w:rPr>
          <w:b/>
        </w:rPr>
        <w:t>Redacción Definitiva</w:t>
      </w:r>
    </w:p>
    <w:p w:rsidR="007C4016" w:rsidRDefault="007C4016" w:rsidP="007C4016">
      <w:pPr>
        <w:pStyle w:val="IFTnormal"/>
        <w:spacing w:before="240" w:after="0"/>
      </w:pPr>
      <w:r w:rsidRPr="00F44994">
        <w:t>Derivado del análisis realizado, el Instituto resuelve que la sección “</w:t>
      </w:r>
      <w:r w:rsidRPr="00F44994">
        <w:rPr>
          <w:i/>
        </w:rPr>
        <w:t>II.1 Seguimiento y Control de las Solicitudes”,</w:t>
      </w:r>
      <w:r w:rsidRPr="00F44994">
        <w:t xml:space="preserve"> </w:t>
      </w:r>
      <w:r>
        <w:t>se modifica para quedar de la siguiente manera:</w:t>
      </w:r>
    </w:p>
    <w:p w:rsidR="007C4016" w:rsidRPr="00B27312" w:rsidRDefault="007C4016" w:rsidP="007C4016">
      <w:pPr>
        <w:pStyle w:val="CondicionesFinales"/>
        <w:spacing w:before="240" w:after="0"/>
        <w:rPr>
          <w:b/>
          <w:color w:val="auto"/>
        </w:rPr>
      </w:pPr>
      <w:r w:rsidRPr="00B27312">
        <w:rPr>
          <w:b/>
          <w:color w:val="auto"/>
        </w:rPr>
        <w:t>II.1 Seguimiento y Control de las Solicitudes</w:t>
      </w:r>
      <w:bookmarkEnd w:id="22"/>
      <w:bookmarkEnd w:id="23"/>
      <w:bookmarkEnd w:id="24"/>
      <w:bookmarkEnd w:id="25"/>
    </w:p>
    <w:p w:rsidR="007C4016" w:rsidRPr="00F44994" w:rsidRDefault="007C4016" w:rsidP="007C4016">
      <w:pPr>
        <w:pStyle w:val="CondicionesFinales"/>
        <w:spacing w:before="240" w:after="0"/>
        <w:rPr>
          <w:color w:val="auto"/>
        </w:rPr>
      </w:pPr>
      <w:r w:rsidRPr="00F44994">
        <w:rPr>
          <w:color w:val="auto"/>
        </w:rPr>
        <w:t>El seguimiento y control de las solicitudes se refiere al conjunto de actividades y herramientas que per</w:t>
      </w:r>
      <w:r>
        <w:rPr>
          <w:color w:val="auto"/>
        </w:rPr>
        <w:t>miten a Telnor</w:t>
      </w:r>
      <w:r w:rsidRPr="00F44994">
        <w:rPr>
          <w:color w:val="auto"/>
        </w:rPr>
        <w:t xml:space="preserve"> recibir, procesar y dar respuesta a las solicitudes relacionadas con los Servicios de Compartición de Infraestructura provenientes de cualqui</w:t>
      </w:r>
      <w:r>
        <w:rPr>
          <w:color w:val="auto"/>
        </w:rPr>
        <w:t>er CS así como del propio Telnor</w:t>
      </w:r>
      <w:r w:rsidRPr="00F44994">
        <w:rPr>
          <w:color w:val="auto"/>
        </w:rPr>
        <w:t xml:space="preserve"> incluyendo sus afiliadas, filiales, subsidiarias o empresas que pertenezcan al mismo grupo de interés económico.</w:t>
      </w:r>
    </w:p>
    <w:p w:rsidR="007C4016" w:rsidRPr="00F44994" w:rsidRDefault="007C4016" w:rsidP="007C4016">
      <w:pPr>
        <w:pStyle w:val="CondicionesFinales"/>
        <w:spacing w:before="240" w:after="0"/>
        <w:rPr>
          <w:color w:val="auto"/>
        </w:rPr>
      </w:pPr>
      <w:r w:rsidRPr="00F44994">
        <w:rPr>
          <w:color w:val="auto"/>
        </w:rPr>
        <w:t xml:space="preserve">La sección de seguimiento y control de las solicitudes se encontrará habilitada en el SEG y hará visible la siguiente información: </w:t>
      </w:r>
    </w:p>
    <w:p w:rsidR="007C4016" w:rsidRPr="00F44994" w:rsidRDefault="007C4016" w:rsidP="007C4016">
      <w:pPr>
        <w:pStyle w:val="CondicionesFinales"/>
        <w:numPr>
          <w:ilvl w:val="0"/>
          <w:numId w:val="161"/>
        </w:numPr>
        <w:spacing w:before="240" w:after="0"/>
        <w:rPr>
          <w:color w:val="auto"/>
        </w:rPr>
      </w:pPr>
      <w:r w:rsidRPr="00F44994">
        <w:rPr>
          <w:color w:val="auto"/>
        </w:rPr>
        <w:t>Concesionarios adscritos al Convenio de Prestación de Servicios de Compartición de Infraestructura.</w:t>
      </w:r>
    </w:p>
    <w:p w:rsidR="007C4016" w:rsidRPr="00F44994" w:rsidRDefault="007C4016" w:rsidP="007C4016">
      <w:pPr>
        <w:pStyle w:val="CondicionesFinales"/>
        <w:numPr>
          <w:ilvl w:val="0"/>
          <w:numId w:val="161"/>
        </w:numPr>
        <w:spacing w:before="240" w:after="0"/>
        <w:rPr>
          <w:color w:val="auto"/>
        </w:rPr>
      </w:pPr>
      <w:r w:rsidRPr="00F44994">
        <w:rPr>
          <w:color w:val="auto"/>
        </w:rPr>
        <w:lastRenderedPageBreak/>
        <w:t>Solicitudes ingresadas por CS incluyendo:</w:t>
      </w:r>
    </w:p>
    <w:p w:rsidR="007C4016" w:rsidRPr="00F44994" w:rsidRDefault="007C4016" w:rsidP="007C4016">
      <w:pPr>
        <w:pStyle w:val="CondicionesFinales"/>
        <w:numPr>
          <w:ilvl w:val="4"/>
          <w:numId w:val="162"/>
        </w:numPr>
        <w:spacing w:before="240" w:after="0"/>
        <w:rPr>
          <w:color w:val="auto"/>
        </w:rPr>
      </w:pPr>
      <w:r w:rsidRPr="00F44994">
        <w:rPr>
          <w:color w:val="auto"/>
        </w:rPr>
        <w:t>Total de solicitudes clasificadas por servicio requerido y ordenadas por NIS.</w:t>
      </w:r>
    </w:p>
    <w:p w:rsidR="007C4016" w:rsidRPr="00F44994" w:rsidRDefault="007C4016" w:rsidP="007C4016">
      <w:pPr>
        <w:pStyle w:val="CondicionesFinales"/>
        <w:numPr>
          <w:ilvl w:val="4"/>
          <w:numId w:val="162"/>
        </w:numPr>
        <w:spacing w:after="0"/>
        <w:rPr>
          <w:color w:val="auto"/>
        </w:rPr>
      </w:pPr>
      <w:r w:rsidRPr="00F44994">
        <w:rPr>
          <w:color w:val="auto"/>
        </w:rPr>
        <w:t>Estado de las solicitudes.</w:t>
      </w:r>
    </w:p>
    <w:p w:rsidR="007C4016" w:rsidRPr="00F44994" w:rsidRDefault="007C4016" w:rsidP="007C4016">
      <w:pPr>
        <w:pStyle w:val="CondicionesFinales"/>
        <w:numPr>
          <w:ilvl w:val="4"/>
          <w:numId w:val="162"/>
        </w:numPr>
        <w:spacing w:after="0"/>
        <w:rPr>
          <w:color w:val="auto"/>
        </w:rPr>
      </w:pPr>
      <w:r w:rsidRPr="00F44994">
        <w:rPr>
          <w:color w:val="auto"/>
        </w:rPr>
        <w:t>Fechas de modificación.</w:t>
      </w:r>
    </w:p>
    <w:p w:rsidR="007C4016" w:rsidRPr="00F44994" w:rsidRDefault="007C4016" w:rsidP="007C4016">
      <w:pPr>
        <w:pStyle w:val="CondicionesFinales"/>
        <w:spacing w:before="240" w:after="0"/>
        <w:rPr>
          <w:color w:val="auto"/>
        </w:rPr>
      </w:pPr>
      <w:r w:rsidRPr="00F44994">
        <w:rPr>
          <w:color w:val="auto"/>
        </w:rPr>
        <w:t>Cada CS contará con usuario administrador y contraseña que le permitirá obtener únicamente la información asociada a su razón social; asimismo, el Instituto para efectos de monitoreo, tendrá acceso para visualizar la información de todos los con</w:t>
      </w:r>
      <w:r>
        <w:rPr>
          <w:color w:val="auto"/>
        </w:rPr>
        <w:t>cesionarios solicitantes, Telnor</w:t>
      </w:r>
      <w:r w:rsidRPr="00F44994">
        <w:rPr>
          <w:color w:val="auto"/>
        </w:rPr>
        <w:t xml:space="preserve"> y sus afiliadas, filiales, subsidiarias o empresas que pertenezcan al mismo grupo de interés económico.</w:t>
      </w:r>
    </w:p>
    <w:p w:rsidR="007C4016" w:rsidRPr="006A7AA7" w:rsidRDefault="007C4016" w:rsidP="006A7AA7">
      <w:pPr>
        <w:spacing w:before="240"/>
        <w:rPr>
          <w:rFonts w:ascii="ITC Avant Garde" w:hAnsi="ITC Avant Garde"/>
          <w:b/>
          <w:sz w:val="22"/>
          <w:szCs w:val="22"/>
        </w:rPr>
      </w:pPr>
      <w:r w:rsidRPr="006A7AA7">
        <w:rPr>
          <w:rFonts w:ascii="ITC Avant Garde" w:hAnsi="ITC Avant Garde"/>
          <w:b/>
          <w:sz w:val="22"/>
          <w:szCs w:val="22"/>
        </w:rPr>
        <w:t>III.</w:t>
      </w:r>
      <w:r w:rsidRPr="006A7AA7">
        <w:rPr>
          <w:rFonts w:ascii="ITC Avant Garde" w:hAnsi="ITC Avant Garde"/>
          <w:b/>
          <w:sz w:val="22"/>
          <w:szCs w:val="22"/>
        </w:rPr>
        <w:tab/>
        <w:t xml:space="preserve"> INFORMACIÓN RELACIONADA CON LOS SERVICIOS.</w:t>
      </w:r>
    </w:p>
    <w:p w:rsidR="007C4016" w:rsidRPr="00F44994" w:rsidRDefault="007C4016" w:rsidP="007C4016">
      <w:pPr>
        <w:pStyle w:val="IFTnormal"/>
        <w:spacing w:before="240" w:after="0"/>
        <w:rPr>
          <w:b/>
        </w:rPr>
      </w:pPr>
      <w:r w:rsidRPr="00F44994">
        <w:rPr>
          <w:b/>
        </w:rPr>
        <w:t>Consideraciones del Instituto</w:t>
      </w:r>
    </w:p>
    <w:p w:rsidR="007C4016" w:rsidRPr="002802DB"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Pr="00F44994" w:rsidRDefault="007C4016" w:rsidP="007C4016">
      <w:pPr>
        <w:pStyle w:val="IFTnormal"/>
        <w:spacing w:before="240" w:after="0"/>
      </w:pPr>
      <w:r w:rsidRPr="00F44994">
        <w:t xml:space="preserve">Relativo a la Tercera Sección denominada </w:t>
      </w:r>
      <w:r w:rsidRPr="00DC477C">
        <w:rPr>
          <w:b/>
        </w:rPr>
        <w:t>“III. INFORMACIÓN RELACIONADA CON LOS SERVICIOS”</w:t>
      </w:r>
      <w:r w:rsidRPr="00F44994">
        <w:t xml:space="preserve">, el AEP en </w:t>
      </w:r>
      <w:r>
        <w:t>la</w:t>
      </w:r>
      <w:r w:rsidRPr="00F44994">
        <w:t xml:space="preserve"> </w:t>
      </w:r>
      <w:r>
        <w:t>P</w:t>
      </w:r>
      <w:r w:rsidRPr="00F44994">
        <w:t xml:space="preserve">ropuesta de </w:t>
      </w:r>
      <w:r>
        <w:t>Oferta de Referencia</w:t>
      </w:r>
      <w:r w:rsidRPr="00F44994">
        <w:t xml:space="preserve"> establece lo siguiente:</w:t>
      </w:r>
    </w:p>
    <w:p w:rsidR="007C4016" w:rsidRDefault="007C4016" w:rsidP="007C4016">
      <w:pPr>
        <w:pStyle w:val="CitaIFT"/>
        <w:spacing w:before="240" w:after="0"/>
        <w:rPr>
          <w:b/>
          <w:color w:val="auto"/>
        </w:rPr>
      </w:pPr>
      <w:r w:rsidRPr="00427D02">
        <w:rPr>
          <w:b/>
          <w:color w:val="auto"/>
        </w:rPr>
        <w:t>“III. Información relacionada con los servicios.</w:t>
      </w:r>
    </w:p>
    <w:p w:rsidR="007C4016" w:rsidRDefault="007C4016" w:rsidP="007C4016">
      <w:pPr>
        <w:pStyle w:val="CitaIFT"/>
        <w:spacing w:before="240" w:after="0"/>
        <w:rPr>
          <w:color w:val="auto"/>
        </w:rPr>
      </w:pPr>
      <w:r w:rsidRPr="00F44994">
        <w:rPr>
          <w:color w:val="auto"/>
        </w:rPr>
        <w:t>La info</w:t>
      </w:r>
      <w:r>
        <w:rPr>
          <w:color w:val="auto"/>
        </w:rPr>
        <w:t>rmación con la que cuenta Telnor</w:t>
      </w:r>
      <w:r w:rsidRPr="00F44994">
        <w:rPr>
          <w:color w:val="auto"/>
        </w:rPr>
        <w:t xml:space="preserve"> se pondrá a disposición de los Concesionarios Solicitantes a través del SEG, o de un medio alterno en caso de falla de éste.</w:t>
      </w:r>
    </w:p>
    <w:p w:rsidR="007C4016" w:rsidRDefault="007C4016" w:rsidP="007C4016">
      <w:pPr>
        <w:pStyle w:val="CitaIFT"/>
        <w:spacing w:before="240" w:after="0"/>
        <w:rPr>
          <w:color w:val="auto"/>
        </w:rPr>
      </w:pPr>
      <w:r w:rsidRPr="00F44994">
        <w:rPr>
          <w:color w:val="auto"/>
        </w:rPr>
        <w:t>Dicha información corresponderá a aquella de infraest</w:t>
      </w:r>
      <w:r>
        <w:rPr>
          <w:color w:val="auto"/>
        </w:rPr>
        <w:t>ructura pasiva con la que Telnor</w:t>
      </w:r>
      <w:r w:rsidRPr="00F44994">
        <w:rPr>
          <w:color w:val="auto"/>
        </w:rPr>
        <w:t xml:space="preserve"> cuenta para su propia operación tanto en términos cuantitativos como cualitativos, en el entendido de que la información sufre continuos cambios derivado de la operación diaria y está sujeta a la variabilidad propia del levantamiento de información, por lo que se actualizará a la brevedad posible en periodos mensuales.</w:t>
      </w:r>
    </w:p>
    <w:p w:rsidR="007C4016" w:rsidRDefault="007C4016" w:rsidP="007C4016">
      <w:pPr>
        <w:pStyle w:val="CitaIFT"/>
        <w:spacing w:before="240" w:after="0"/>
        <w:contextualSpacing w:val="0"/>
        <w:rPr>
          <w:color w:val="auto"/>
        </w:rPr>
      </w:pPr>
      <w:r w:rsidRPr="00F44994">
        <w:rPr>
          <w:color w:val="auto"/>
        </w:rPr>
        <w:t>La inform</w:t>
      </w:r>
      <w:r>
        <w:rPr>
          <w:color w:val="auto"/>
        </w:rPr>
        <w:t>ación mínima que Telnor</w:t>
      </w:r>
      <w:r w:rsidRPr="00F44994">
        <w:rPr>
          <w:color w:val="auto"/>
        </w:rPr>
        <w:t xml:space="preserve"> proporcionará sobre su infraestructura Pasiva se describe a continuación:</w:t>
      </w:r>
    </w:p>
    <w:p w:rsidR="007C4016" w:rsidRPr="00F44994" w:rsidRDefault="007C4016" w:rsidP="007C4016">
      <w:pPr>
        <w:pStyle w:val="CitaIFT"/>
        <w:spacing w:before="240" w:after="0"/>
        <w:contextualSpacing w:val="0"/>
        <w:jc w:val="center"/>
        <w:rPr>
          <w:color w:val="auto"/>
        </w:rPr>
      </w:pPr>
      <w:r w:rsidRPr="00F44994">
        <w:rPr>
          <w:b/>
          <w:color w:val="auto"/>
        </w:rPr>
        <w:t>Servicio de Acceso y Uso Compartido de Obra Civil</w:t>
      </w:r>
    </w:p>
    <w:tbl>
      <w:tblPr>
        <w:tblStyle w:val="Tablaconcuadrcula"/>
        <w:tblW w:w="4117" w:type="pct"/>
        <w:tblInd w:w="846" w:type="dxa"/>
        <w:tblLook w:val="04A0" w:firstRow="1" w:lastRow="0" w:firstColumn="1" w:lastColumn="0" w:noHBand="0" w:noVBand="1"/>
        <w:tblCaption w:val="Tabla"/>
        <w:tblDescription w:val="Servicio de Acceso y Uso Compartido de Obra Civil"/>
      </w:tblPr>
      <w:tblGrid>
        <w:gridCol w:w="2836"/>
        <w:gridCol w:w="4435"/>
      </w:tblGrid>
      <w:tr w:rsidR="007C4016" w:rsidRPr="0050107E" w:rsidTr="005C782A">
        <w:trPr>
          <w:tblHeader/>
        </w:trPr>
        <w:tc>
          <w:tcPr>
            <w:tcW w:w="1950" w:type="pct"/>
            <w:shd w:val="clear" w:color="auto" w:fill="BFBFBF" w:themeFill="background1" w:themeFillShade="BF"/>
          </w:tcPr>
          <w:p w:rsidR="007C4016" w:rsidRPr="00F44994" w:rsidRDefault="007C4016" w:rsidP="005C782A">
            <w:pPr>
              <w:pStyle w:val="CitaIFT"/>
              <w:spacing w:after="0"/>
              <w:rPr>
                <w:b/>
                <w:color w:val="auto"/>
                <w:sz w:val="22"/>
                <w:szCs w:val="22"/>
              </w:rPr>
            </w:pPr>
            <w:r w:rsidRPr="00F44994">
              <w:rPr>
                <w:b/>
                <w:color w:val="auto"/>
                <w:sz w:val="22"/>
                <w:szCs w:val="22"/>
              </w:rPr>
              <w:t>Elemento</w:t>
            </w:r>
          </w:p>
        </w:tc>
        <w:tc>
          <w:tcPr>
            <w:tcW w:w="3050" w:type="pct"/>
            <w:shd w:val="clear" w:color="auto" w:fill="BFBFBF" w:themeFill="background1" w:themeFillShade="BF"/>
          </w:tcPr>
          <w:p w:rsidR="007C4016" w:rsidRPr="00F44994" w:rsidRDefault="007C4016" w:rsidP="005C782A">
            <w:pPr>
              <w:pStyle w:val="CitaIFT"/>
              <w:spacing w:after="0"/>
              <w:rPr>
                <w:b/>
                <w:color w:val="auto"/>
                <w:sz w:val="22"/>
                <w:szCs w:val="22"/>
              </w:rPr>
            </w:pPr>
            <w:r w:rsidRPr="00F44994">
              <w:rPr>
                <w:b/>
                <w:color w:val="auto"/>
                <w:sz w:val="22"/>
                <w:szCs w:val="22"/>
              </w:rPr>
              <w:t>Información</w:t>
            </w:r>
          </w:p>
        </w:tc>
      </w:tr>
      <w:tr w:rsidR="007C4016" w:rsidRPr="0050107E" w:rsidTr="005C782A">
        <w:tc>
          <w:tcPr>
            <w:tcW w:w="1950" w:type="pct"/>
            <w:vAlign w:val="center"/>
          </w:tcPr>
          <w:p w:rsidR="007C4016" w:rsidRPr="00F44994" w:rsidRDefault="007C4016" w:rsidP="005C782A">
            <w:pPr>
              <w:pStyle w:val="CitaIFT"/>
              <w:spacing w:after="0"/>
              <w:ind w:left="288"/>
              <w:rPr>
                <w:color w:val="auto"/>
                <w:sz w:val="22"/>
                <w:szCs w:val="22"/>
              </w:rPr>
            </w:pPr>
            <w:r w:rsidRPr="00F44994">
              <w:rPr>
                <w:color w:val="auto"/>
                <w:sz w:val="22"/>
                <w:szCs w:val="22"/>
              </w:rPr>
              <w:t>Ductos</w:t>
            </w:r>
          </w:p>
        </w:tc>
        <w:tc>
          <w:tcPr>
            <w:tcW w:w="3050" w:type="pct"/>
          </w:tcPr>
          <w:p w:rsidR="007C4016" w:rsidRPr="00F44994" w:rsidRDefault="007C4016" w:rsidP="005C782A">
            <w:pPr>
              <w:pStyle w:val="CitaIFT"/>
              <w:spacing w:after="0"/>
              <w:ind w:left="288"/>
              <w:rPr>
                <w:color w:val="auto"/>
                <w:sz w:val="22"/>
                <w:szCs w:val="22"/>
              </w:rPr>
            </w:pPr>
            <w:r w:rsidRPr="00F44994">
              <w:rPr>
                <w:color w:val="auto"/>
                <w:sz w:val="22"/>
                <w:szCs w:val="22"/>
              </w:rPr>
              <w:t>Tipo de ducto.</w:t>
            </w:r>
          </w:p>
          <w:p w:rsidR="007C4016" w:rsidRPr="00F44994" w:rsidRDefault="007C4016" w:rsidP="005C782A">
            <w:pPr>
              <w:pStyle w:val="CitaIFT"/>
              <w:spacing w:after="0"/>
              <w:ind w:left="288"/>
              <w:rPr>
                <w:color w:val="auto"/>
                <w:sz w:val="22"/>
                <w:szCs w:val="22"/>
              </w:rPr>
            </w:pPr>
            <w:r w:rsidRPr="00F44994">
              <w:rPr>
                <w:color w:val="auto"/>
                <w:sz w:val="22"/>
                <w:szCs w:val="22"/>
              </w:rPr>
              <w:lastRenderedPageBreak/>
              <w:t>Ruta y ubicación.</w:t>
            </w:r>
          </w:p>
          <w:p w:rsidR="007C4016" w:rsidRPr="00F44994" w:rsidRDefault="007C4016" w:rsidP="005C782A">
            <w:pPr>
              <w:pStyle w:val="CitaIFT"/>
              <w:spacing w:after="0"/>
              <w:ind w:left="288"/>
              <w:rPr>
                <w:color w:val="auto"/>
                <w:sz w:val="22"/>
                <w:szCs w:val="22"/>
              </w:rPr>
            </w:pPr>
            <w:r w:rsidRPr="00F44994">
              <w:rPr>
                <w:color w:val="auto"/>
                <w:sz w:val="22"/>
                <w:szCs w:val="22"/>
              </w:rPr>
              <w:t>Diámetro.</w:t>
            </w:r>
          </w:p>
          <w:p w:rsidR="007C4016" w:rsidRPr="00F44994" w:rsidRDefault="007C4016" w:rsidP="005C782A">
            <w:pPr>
              <w:pStyle w:val="CitaIFT"/>
              <w:spacing w:after="0"/>
              <w:ind w:left="288"/>
              <w:rPr>
                <w:color w:val="auto"/>
                <w:sz w:val="22"/>
                <w:szCs w:val="22"/>
              </w:rPr>
            </w:pPr>
            <w:r w:rsidRPr="00F44994">
              <w:rPr>
                <w:color w:val="auto"/>
                <w:sz w:val="22"/>
                <w:szCs w:val="22"/>
              </w:rPr>
              <w:t>Capacidad excedente.</w:t>
            </w:r>
          </w:p>
        </w:tc>
      </w:tr>
      <w:tr w:rsidR="007C4016" w:rsidRPr="0050107E" w:rsidTr="005C782A">
        <w:tc>
          <w:tcPr>
            <w:tcW w:w="1950" w:type="pct"/>
            <w:vAlign w:val="center"/>
          </w:tcPr>
          <w:p w:rsidR="007C4016" w:rsidRPr="00F44994" w:rsidRDefault="007C4016" w:rsidP="005C782A">
            <w:pPr>
              <w:pStyle w:val="CitaIFT"/>
              <w:spacing w:after="0"/>
              <w:ind w:left="288"/>
              <w:rPr>
                <w:color w:val="auto"/>
                <w:sz w:val="22"/>
                <w:szCs w:val="22"/>
              </w:rPr>
            </w:pPr>
            <w:r w:rsidRPr="00F44994">
              <w:rPr>
                <w:color w:val="auto"/>
                <w:sz w:val="22"/>
                <w:szCs w:val="22"/>
              </w:rPr>
              <w:lastRenderedPageBreak/>
              <w:t>Postes</w:t>
            </w:r>
          </w:p>
        </w:tc>
        <w:tc>
          <w:tcPr>
            <w:tcW w:w="3050" w:type="pct"/>
          </w:tcPr>
          <w:p w:rsidR="007C4016" w:rsidRPr="00F44994" w:rsidRDefault="007C4016" w:rsidP="005C782A">
            <w:pPr>
              <w:pStyle w:val="CitaIFT"/>
              <w:spacing w:after="0"/>
              <w:ind w:left="288"/>
              <w:rPr>
                <w:color w:val="auto"/>
                <w:sz w:val="22"/>
                <w:szCs w:val="22"/>
              </w:rPr>
            </w:pPr>
            <w:r w:rsidRPr="00F44994">
              <w:rPr>
                <w:color w:val="auto"/>
                <w:sz w:val="22"/>
                <w:szCs w:val="22"/>
              </w:rPr>
              <w:t>Tipo de poste.</w:t>
            </w:r>
          </w:p>
          <w:p w:rsidR="007C4016" w:rsidRPr="00F44994" w:rsidRDefault="007C4016" w:rsidP="005C782A">
            <w:pPr>
              <w:pStyle w:val="CitaIFT"/>
              <w:spacing w:after="0"/>
              <w:ind w:left="288"/>
              <w:rPr>
                <w:color w:val="auto"/>
                <w:sz w:val="22"/>
                <w:szCs w:val="22"/>
              </w:rPr>
            </w:pPr>
            <w:r w:rsidRPr="00F44994">
              <w:rPr>
                <w:color w:val="auto"/>
                <w:sz w:val="22"/>
                <w:szCs w:val="22"/>
              </w:rPr>
              <w:t>Altura.</w:t>
            </w:r>
          </w:p>
          <w:p w:rsidR="007C4016" w:rsidRPr="00F44994" w:rsidRDefault="007C4016" w:rsidP="005C782A">
            <w:pPr>
              <w:pStyle w:val="CitaIFT"/>
              <w:spacing w:after="0"/>
              <w:ind w:left="288"/>
              <w:rPr>
                <w:color w:val="auto"/>
                <w:sz w:val="22"/>
                <w:szCs w:val="22"/>
              </w:rPr>
            </w:pPr>
            <w:r w:rsidRPr="00F44994">
              <w:rPr>
                <w:color w:val="auto"/>
                <w:sz w:val="22"/>
                <w:szCs w:val="22"/>
              </w:rPr>
              <w:t>Cargas mecánicas.</w:t>
            </w:r>
          </w:p>
        </w:tc>
      </w:tr>
      <w:tr w:rsidR="007C4016" w:rsidRPr="0050107E" w:rsidTr="005C782A">
        <w:tc>
          <w:tcPr>
            <w:tcW w:w="1950" w:type="pct"/>
            <w:vAlign w:val="center"/>
          </w:tcPr>
          <w:p w:rsidR="007C4016" w:rsidRPr="00F44994" w:rsidRDefault="007C4016" w:rsidP="005C782A">
            <w:pPr>
              <w:pStyle w:val="CitaIFT"/>
              <w:spacing w:after="0"/>
              <w:ind w:left="288"/>
              <w:rPr>
                <w:color w:val="auto"/>
                <w:sz w:val="22"/>
                <w:szCs w:val="22"/>
              </w:rPr>
            </w:pPr>
            <w:r w:rsidRPr="00F44994">
              <w:rPr>
                <w:color w:val="auto"/>
                <w:sz w:val="22"/>
                <w:szCs w:val="22"/>
              </w:rPr>
              <w:t>Pozos</w:t>
            </w:r>
          </w:p>
        </w:tc>
        <w:tc>
          <w:tcPr>
            <w:tcW w:w="3050" w:type="pct"/>
          </w:tcPr>
          <w:p w:rsidR="007C4016" w:rsidRPr="00F44994" w:rsidRDefault="007C4016" w:rsidP="005C782A">
            <w:pPr>
              <w:pStyle w:val="CitaIFT"/>
              <w:spacing w:after="0"/>
              <w:ind w:left="288"/>
              <w:rPr>
                <w:color w:val="auto"/>
                <w:sz w:val="22"/>
                <w:szCs w:val="22"/>
              </w:rPr>
            </w:pPr>
            <w:r w:rsidRPr="00F44994">
              <w:rPr>
                <w:color w:val="auto"/>
                <w:sz w:val="22"/>
                <w:szCs w:val="22"/>
              </w:rPr>
              <w:t>Tipo de pozo.</w:t>
            </w:r>
          </w:p>
          <w:p w:rsidR="007C4016" w:rsidRPr="00F44994" w:rsidRDefault="007C4016" w:rsidP="005C782A">
            <w:pPr>
              <w:pStyle w:val="CitaIFT"/>
              <w:spacing w:after="0"/>
              <w:ind w:left="288"/>
              <w:rPr>
                <w:color w:val="auto"/>
                <w:sz w:val="22"/>
                <w:szCs w:val="22"/>
              </w:rPr>
            </w:pPr>
            <w:r w:rsidRPr="00F44994">
              <w:rPr>
                <w:color w:val="auto"/>
                <w:sz w:val="22"/>
                <w:szCs w:val="22"/>
              </w:rPr>
              <w:t>Ubicación.</w:t>
            </w:r>
          </w:p>
          <w:p w:rsidR="007C4016" w:rsidRPr="00F44994" w:rsidRDefault="007C4016" w:rsidP="005C782A">
            <w:pPr>
              <w:pStyle w:val="CitaIFT"/>
              <w:spacing w:after="0"/>
              <w:ind w:left="288"/>
              <w:rPr>
                <w:color w:val="auto"/>
                <w:sz w:val="22"/>
                <w:szCs w:val="22"/>
              </w:rPr>
            </w:pPr>
            <w:r w:rsidRPr="00F44994">
              <w:rPr>
                <w:color w:val="auto"/>
                <w:sz w:val="22"/>
                <w:szCs w:val="22"/>
              </w:rPr>
              <w:t>Capacidad excedente.</w:t>
            </w:r>
          </w:p>
          <w:p w:rsidR="007C4016" w:rsidRPr="00F44994" w:rsidRDefault="007C4016" w:rsidP="005C782A">
            <w:pPr>
              <w:pStyle w:val="CitaIFT"/>
              <w:spacing w:after="0"/>
              <w:ind w:left="288"/>
              <w:rPr>
                <w:color w:val="auto"/>
                <w:sz w:val="22"/>
                <w:szCs w:val="22"/>
              </w:rPr>
            </w:pPr>
            <w:r w:rsidRPr="00F44994">
              <w:rPr>
                <w:color w:val="auto"/>
                <w:sz w:val="22"/>
                <w:szCs w:val="22"/>
              </w:rPr>
              <w:t>Plano del pozo.</w:t>
            </w:r>
          </w:p>
        </w:tc>
      </w:tr>
    </w:tbl>
    <w:p w:rsidR="007C4016" w:rsidRPr="00F44994" w:rsidRDefault="007C4016" w:rsidP="007C4016">
      <w:pPr>
        <w:pStyle w:val="CitaIFT"/>
        <w:spacing w:before="240" w:after="0"/>
        <w:rPr>
          <w:color w:val="auto"/>
        </w:rPr>
      </w:pPr>
    </w:p>
    <w:p w:rsidR="007C4016" w:rsidRPr="00F44994" w:rsidRDefault="007C4016" w:rsidP="007C4016">
      <w:pPr>
        <w:pStyle w:val="CitaIFT"/>
        <w:spacing w:before="240" w:after="0"/>
        <w:jc w:val="center"/>
        <w:rPr>
          <w:color w:val="auto"/>
        </w:rPr>
      </w:pPr>
      <w:r w:rsidRPr="00F44994">
        <w:rPr>
          <w:b/>
          <w:color w:val="auto"/>
        </w:rPr>
        <w:t>Servicio de Acceso y Uso Compartido de Torres</w:t>
      </w:r>
    </w:p>
    <w:tbl>
      <w:tblPr>
        <w:tblStyle w:val="Tablaconcuadrcula"/>
        <w:tblW w:w="4117" w:type="pct"/>
        <w:tblInd w:w="846" w:type="dxa"/>
        <w:tblLook w:val="04A0" w:firstRow="1" w:lastRow="0" w:firstColumn="1" w:lastColumn="0" w:noHBand="0" w:noVBand="1"/>
        <w:tblCaption w:val="Tabla"/>
        <w:tblDescription w:val="Servicio de Acceso y Uso Compartido de Torres"/>
      </w:tblPr>
      <w:tblGrid>
        <w:gridCol w:w="2836"/>
        <w:gridCol w:w="4435"/>
      </w:tblGrid>
      <w:tr w:rsidR="007C4016" w:rsidRPr="000A4292" w:rsidTr="005C782A">
        <w:trPr>
          <w:tblHeader/>
        </w:trPr>
        <w:tc>
          <w:tcPr>
            <w:tcW w:w="1950" w:type="pct"/>
            <w:shd w:val="clear" w:color="auto" w:fill="BFBFBF" w:themeFill="background1" w:themeFillShade="BF"/>
          </w:tcPr>
          <w:p w:rsidR="007C4016" w:rsidRPr="00F44994" w:rsidRDefault="007C4016" w:rsidP="005C782A">
            <w:pPr>
              <w:pStyle w:val="CitaIFT"/>
              <w:spacing w:after="0"/>
              <w:rPr>
                <w:b/>
                <w:color w:val="auto"/>
                <w:sz w:val="22"/>
                <w:szCs w:val="22"/>
              </w:rPr>
            </w:pPr>
            <w:r w:rsidRPr="00F44994">
              <w:rPr>
                <w:b/>
                <w:color w:val="auto"/>
                <w:sz w:val="22"/>
                <w:szCs w:val="22"/>
              </w:rPr>
              <w:t>Elemento</w:t>
            </w:r>
          </w:p>
        </w:tc>
        <w:tc>
          <w:tcPr>
            <w:tcW w:w="3050" w:type="pct"/>
            <w:shd w:val="clear" w:color="auto" w:fill="BFBFBF" w:themeFill="background1" w:themeFillShade="BF"/>
          </w:tcPr>
          <w:p w:rsidR="007C4016" w:rsidRPr="00F44994" w:rsidRDefault="007C4016" w:rsidP="005C782A">
            <w:pPr>
              <w:pStyle w:val="CitaIFT"/>
              <w:spacing w:after="0"/>
              <w:rPr>
                <w:b/>
                <w:color w:val="auto"/>
                <w:sz w:val="22"/>
                <w:szCs w:val="22"/>
              </w:rPr>
            </w:pPr>
            <w:r w:rsidRPr="00F44994">
              <w:rPr>
                <w:b/>
                <w:color w:val="auto"/>
                <w:sz w:val="22"/>
                <w:szCs w:val="22"/>
              </w:rPr>
              <w:t>Información</w:t>
            </w:r>
          </w:p>
        </w:tc>
      </w:tr>
      <w:tr w:rsidR="007C4016" w:rsidRPr="0050107E" w:rsidTr="005C782A">
        <w:tc>
          <w:tcPr>
            <w:tcW w:w="1950" w:type="pct"/>
            <w:vAlign w:val="center"/>
          </w:tcPr>
          <w:p w:rsidR="007C4016" w:rsidRPr="00F44994" w:rsidRDefault="007C4016" w:rsidP="005C782A">
            <w:pPr>
              <w:pStyle w:val="CitaIFT"/>
              <w:spacing w:after="0"/>
              <w:ind w:left="288"/>
              <w:rPr>
                <w:color w:val="auto"/>
                <w:sz w:val="22"/>
                <w:szCs w:val="22"/>
              </w:rPr>
            </w:pPr>
            <w:r w:rsidRPr="00F44994">
              <w:rPr>
                <w:color w:val="auto"/>
                <w:sz w:val="22"/>
                <w:szCs w:val="22"/>
              </w:rPr>
              <w:t>Torres</w:t>
            </w:r>
          </w:p>
        </w:tc>
        <w:tc>
          <w:tcPr>
            <w:tcW w:w="3050" w:type="pct"/>
          </w:tcPr>
          <w:p w:rsidR="007C4016" w:rsidRPr="00F44994" w:rsidRDefault="007C4016" w:rsidP="005C782A">
            <w:pPr>
              <w:pStyle w:val="CitaIFT"/>
              <w:spacing w:after="0"/>
              <w:ind w:left="288"/>
              <w:jc w:val="left"/>
              <w:rPr>
                <w:color w:val="auto"/>
                <w:sz w:val="22"/>
                <w:szCs w:val="22"/>
              </w:rPr>
            </w:pPr>
            <w:r w:rsidRPr="00F44994">
              <w:rPr>
                <w:color w:val="auto"/>
                <w:sz w:val="22"/>
                <w:szCs w:val="22"/>
              </w:rPr>
              <w:t>Identificación del sitio con detalles sobre la propiedad de las torres.</w:t>
            </w:r>
          </w:p>
          <w:p w:rsidR="007C4016" w:rsidRPr="00F44994" w:rsidRDefault="007C4016" w:rsidP="005C782A">
            <w:pPr>
              <w:pStyle w:val="CitaIFT"/>
              <w:spacing w:after="0"/>
              <w:ind w:left="288"/>
              <w:jc w:val="left"/>
              <w:rPr>
                <w:color w:val="auto"/>
                <w:sz w:val="22"/>
                <w:szCs w:val="22"/>
              </w:rPr>
            </w:pPr>
            <w:r w:rsidRPr="00F44994">
              <w:rPr>
                <w:color w:val="auto"/>
                <w:sz w:val="22"/>
                <w:szCs w:val="22"/>
              </w:rPr>
              <w:t xml:space="preserve">Localización exacta en coordenadas geográficas decimales basadas en la definición WGS84. </w:t>
            </w:r>
          </w:p>
          <w:p w:rsidR="007C4016" w:rsidRPr="00F44994" w:rsidRDefault="007C4016" w:rsidP="005C782A">
            <w:pPr>
              <w:pStyle w:val="CitaIFT"/>
              <w:spacing w:after="0"/>
              <w:ind w:left="288"/>
              <w:jc w:val="left"/>
              <w:rPr>
                <w:color w:val="auto"/>
                <w:sz w:val="22"/>
                <w:szCs w:val="22"/>
              </w:rPr>
            </w:pPr>
            <w:r w:rsidRPr="00F44994">
              <w:rPr>
                <w:color w:val="auto"/>
                <w:sz w:val="22"/>
                <w:szCs w:val="22"/>
              </w:rPr>
              <w:t xml:space="preserve">Tipo de torre. </w:t>
            </w:r>
          </w:p>
          <w:p w:rsidR="007C4016" w:rsidRPr="00F44994" w:rsidRDefault="007C4016" w:rsidP="005C782A">
            <w:pPr>
              <w:pStyle w:val="CitaIFT"/>
              <w:spacing w:after="0"/>
              <w:ind w:left="288"/>
              <w:jc w:val="left"/>
              <w:rPr>
                <w:color w:val="auto"/>
                <w:sz w:val="22"/>
                <w:szCs w:val="22"/>
              </w:rPr>
            </w:pPr>
            <w:r w:rsidRPr="00F44994">
              <w:rPr>
                <w:color w:val="auto"/>
                <w:sz w:val="22"/>
                <w:szCs w:val="22"/>
              </w:rPr>
              <w:t>Tipo de sitio.</w:t>
            </w:r>
          </w:p>
          <w:p w:rsidR="007C4016" w:rsidRPr="00F44994" w:rsidRDefault="007C4016" w:rsidP="005C782A">
            <w:pPr>
              <w:pStyle w:val="CitaIFT"/>
              <w:spacing w:after="0"/>
              <w:ind w:left="288"/>
              <w:jc w:val="left"/>
              <w:rPr>
                <w:color w:val="auto"/>
                <w:sz w:val="22"/>
                <w:szCs w:val="22"/>
              </w:rPr>
            </w:pPr>
            <w:r w:rsidRPr="00F44994">
              <w:rPr>
                <w:color w:val="auto"/>
                <w:sz w:val="22"/>
                <w:szCs w:val="22"/>
              </w:rPr>
              <w:t xml:space="preserve">Altura de Torre y altura de centro de radiación conocidos. </w:t>
            </w:r>
          </w:p>
          <w:p w:rsidR="007C4016" w:rsidRPr="00F44994" w:rsidRDefault="007C4016" w:rsidP="005C782A">
            <w:pPr>
              <w:pStyle w:val="CitaIFT"/>
              <w:spacing w:after="0"/>
              <w:ind w:left="288"/>
              <w:jc w:val="left"/>
              <w:rPr>
                <w:color w:val="auto"/>
                <w:sz w:val="22"/>
                <w:szCs w:val="22"/>
              </w:rPr>
            </w:pPr>
            <w:r w:rsidRPr="00F44994">
              <w:rPr>
                <w:color w:val="auto"/>
                <w:sz w:val="22"/>
                <w:szCs w:val="22"/>
              </w:rPr>
              <w:t>Clasificación del sitio.</w:t>
            </w:r>
          </w:p>
          <w:p w:rsidR="007C4016" w:rsidRPr="00F44994" w:rsidRDefault="007C4016" w:rsidP="005C782A">
            <w:pPr>
              <w:pStyle w:val="CitaIFT"/>
              <w:spacing w:after="0"/>
              <w:ind w:left="288"/>
              <w:jc w:val="left"/>
              <w:rPr>
                <w:color w:val="auto"/>
                <w:sz w:val="22"/>
                <w:szCs w:val="22"/>
              </w:rPr>
            </w:pPr>
            <w:r w:rsidRPr="00F44994">
              <w:rPr>
                <w:color w:val="auto"/>
                <w:sz w:val="22"/>
                <w:szCs w:val="22"/>
              </w:rPr>
              <w:t>Memoria de cálculo y planos del sitio.</w:t>
            </w:r>
          </w:p>
        </w:tc>
      </w:tr>
    </w:tbl>
    <w:p w:rsidR="007C4016" w:rsidRPr="00F44994" w:rsidRDefault="007C4016" w:rsidP="007C4016">
      <w:pPr>
        <w:pStyle w:val="CitaIFT"/>
        <w:spacing w:before="240" w:after="0"/>
        <w:jc w:val="center"/>
        <w:rPr>
          <w:color w:val="auto"/>
        </w:rPr>
      </w:pPr>
      <w:r w:rsidRPr="00F44994">
        <w:rPr>
          <w:b/>
          <w:color w:val="auto"/>
        </w:rPr>
        <w:t>Servicio de Acceso y Uso Compartido de Sitios, Predios y Espacios Físicos</w:t>
      </w:r>
    </w:p>
    <w:tbl>
      <w:tblPr>
        <w:tblStyle w:val="Tablaconcuadrcula"/>
        <w:tblW w:w="4117" w:type="pct"/>
        <w:tblInd w:w="846" w:type="dxa"/>
        <w:tblLook w:val="04A0" w:firstRow="1" w:lastRow="0" w:firstColumn="1" w:lastColumn="0" w:noHBand="0" w:noVBand="1"/>
        <w:tblCaption w:val="Tabla"/>
        <w:tblDescription w:val="Servicio de Acceso y Uso Compartido de Sitios, Predios y Espacios Físicos"/>
      </w:tblPr>
      <w:tblGrid>
        <w:gridCol w:w="2836"/>
        <w:gridCol w:w="4435"/>
      </w:tblGrid>
      <w:tr w:rsidR="007C4016" w:rsidRPr="000A4292" w:rsidTr="005C782A">
        <w:trPr>
          <w:tblHeader/>
        </w:trPr>
        <w:tc>
          <w:tcPr>
            <w:tcW w:w="1950" w:type="pct"/>
            <w:shd w:val="clear" w:color="auto" w:fill="BFBFBF" w:themeFill="background1" w:themeFillShade="BF"/>
          </w:tcPr>
          <w:p w:rsidR="007C4016" w:rsidRPr="00F44994" w:rsidRDefault="007C4016" w:rsidP="005C782A">
            <w:pPr>
              <w:pStyle w:val="CitaIFT"/>
              <w:spacing w:after="0"/>
              <w:rPr>
                <w:b/>
                <w:color w:val="auto"/>
                <w:sz w:val="22"/>
                <w:szCs w:val="22"/>
              </w:rPr>
            </w:pPr>
            <w:r w:rsidRPr="00F44994">
              <w:rPr>
                <w:b/>
                <w:color w:val="auto"/>
                <w:sz w:val="22"/>
                <w:szCs w:val="22"/>
              </w:rPr>
              <w:t>Elemento</w:t>
            </w:r>
          </w:p>
        </w:tc>
        <w:tc>
          <w:tcPr>
            <w:tcW w:w="3050" w:type="pct"/>
            <w:shd w:val="clear" w:color="auto" w:fill="BFBFBF" w:themeFill="background1" w:themeFillShade="BF"/>
          </w:tcPr>
          <w:p w:rsidR="007C4016" w:rsidRPr="00F44994" w:rsidRDefault="007C4016" w:rsidP="005C782A">
            <w:pPr>
              <w:pStyle w:val="CitaIFT"/>
              <w:spacing w:after="0"/>
              <w:rPr>
                <w:b/>
                <w:color w:val="auto"/>
                <w:sz w:val="22"/>
                <w:szCs w:val="22"/>
              </w:rPr>
            </w:pPr>
            <w:r w:rsidRPr="00F44994">
              <w:rPr>
                <w:b/>
                <w:color w:val="auto"/>
                <w:sz w:val="22"/>
                <w:szCs w:val="22"/>
              </w:rPr>
              <w:t>Información</w:t>
            </w:r>
          </w:p>
        </w:tc>
      </w:tr>
      <w:tr w:rsidR="007C4016" w:rsidRPr="0050107E" w:rsidTr="005C782A">
        <w:tc>
          <w:tcPr>
            <w:tcW w:w="1950" w:type="pct"/>
            <w:vAlign w:val="center"/>
          </w:tcPr>
          <w:p w:rsidR="007C4016" w:rsidRPr="00F44994" w:rsidRDefault="007C4016" w:rsidP="005C782A">
            <w:pPr>
              <w:pStyle w:val="CitaIFT"/>
              <w:spacing w:after="0"/>
              <w:ind w:left="288"/>
              <w:rPr>
                <w:color w:val="auto"/>
                <w:sz w:val="22"/>
                <w:szCs w:val="22"/>
              </w:rPr>
            </w:pPr>
            <w:r w:rsidRPr="00F44994">
              <w:rPr>
                <w:color w:val="auto"/>
                <w:sz w:val="22"/>
                <w:szCs w:val="22"/>
              </w:rPr>
              <w:t>Sitios</w:t>
            </w:r>
          </w:p>
        </w:tc>
        <w:tc>
          <w:tcPr>
            <w:tcW w:w="3050" w:type="pct"/>
          </w:tcPr>
          <w:p w:rsidR="007C4016" w:rsidRPr="00F44994" w:rsidRDefault="007C4016" w:rsidP="005C782A">
            <w:pPr>
              <w:pStyle w:val="CitaIFT"/>
              <w:spacing w:after="0"/>
              <w:ind w:left="288"/>
              <w:rPr>
                <w:color w:val="auto"/>
                <w:sz w:val="22"/>
                <w:szCs w:val="22"/>
              </w:rPr>
            </w:pPr>
            <w:r w:rsidRPr="00F44994">
              <w:rPr>
                <w:color w:val="auto"/>
                <w:sz w:val="22"/>
                <w:szCs w:val="22"/>
              </w:rPr>
              <w:t xml:space="preserve">Ubicación. </w:t>
            </w:r>
          </w:p>
          <w:p w:rsidR="007C4016" w:rsidRPr="00F44994" w:rsidRDefault="007C4016" w:rsidP="005C782A">
            <w:pPr>
              <w:pStyle w:val="CitaIFT"/>
              <w:spacing w:after="0"/>
              <w:ind w:left="288"/>
              <w:rPr>
                <w:color w:val="auto"/>
                <w:sz w:val="22"/>
                <w:szCs w:val="22"/>
              </w:rPr>
            </w:pPr>
            <w:r w:rsidRPr="00F44994">
              <w:rPr>
                <w:color w:val="auto"/>
                <w:sz w:val="22"/>
                <w:szCs w:val="22"/>
              </w:rPr>
              <w:t xml:space="preserve">Descripción del sitio. </w:t>
            </w:r>
          </w:p>
          <w:p w:rsidR="007C4016" w:rsidRPr="00F44994" w:rsidRDefault="007C4016" w:rsidP="005C782A">
            <w:pPr>
              <w:pStyle w:val="CitaIFT"/>
              <w:spacing w:after="0"/>
              <w:ind w:left="288"/>
              <w:rPr>
                <w:color w:val="auto"/>
                <w:sz w:val="22"/>
                <w:szCs w:val="22"/>
              </w:rPr>
            </w:pPr>
            <w:r w:rsidRPr="00F44994">
              <w:rPr>
                <w:color w:val="auto"/>
                <w:sz w:val="22"/>
                <w:szCs w:val="22"/>
              </w:rPr>
              <w:t>Planos del predio, sitio o espacio físicos identificand</w:t>
            </w:r>
            <w:r>
              <w:rPr>
                <w:color w:val="auto"/>
                <w:sz w:val="22"/>
                <w:szCs w:val="22"/>
              </w:rPr>
              <w:t>o espacios utilizados por Telnor</w:t>
            </w:r>
            <w:r w:rsidRPr="00F44994">
              <w:rPr>
                <w:color w:val="auto"/>
                <w:sz w:val="22"/>
                <w:szCs w:val="22"/>
              </w:rPr>
              <w:t xml:space="preserve"> y por otros CS.</w:t>
            </w:r>
          </w:p>
        </w:tc>
      </w:tr>
    </w:tbl>
    <w:p w:rsidR="007C4016" w:rsidRPr="00F44994" w:rsidRDefault="007C4016" w:rsidP="007C4016">
      <w:pPr>
        <w:pStyle w:val="CitaIFT"/>
        <w:spacing w:before="240" w:after="0"/>
        <w:rPr>
          <w:color w:val="auto"/>
        </w:rPr>
      </w:pPr>
    </w:p>
    <w:p w:rsidR="007C4016" w:rsidRDefault="007C4016" w:rsidP="007C4016">
      <w:pPr>
        <w:pStyle w:val="CitaIFT"/>
        <w:spacing w:before="240" w:after="0"/>
        <w:contextualSpacing w:val="0"/>
        <w:rPr>
          <w:color w:val="auto"/>
        </w:rPr>
      </w:pPr>
      <w:r w:rsidRPr="00F44994">
        <w:rPr>
          <w:color w:val="auto"/>
        </w:rPr>
        <w:t>La información relacionada con los servicios se pondrá a disposición del CS una vez firmado el Convenio de Compartición de Infraestructura Pasiva, para lo que se asignará un usuario y contraseña para cada CS.”</w:t>
      </w:r>
    </w:p>
    <w:p w:rsidR="007C4016" w:rsidRDefault="007C4016" w:rsidP="007C4016">
      <w:pPr>
        <w:pStyle w:val="IFTnormal"/>
        <w:spacing w:before="240" w:after="0"/>
        <w:rPr>
          <w:lang w:val="es-ES"/>
        </w:rPr>
      </w:pPr>
      <w:r w:rsidRPr="00F44994">
        <w:rPr>
          <w:lang w:val="es-ES"/>
        </w:rPr>
        <w:t xml:space="preserve">El Instituto considera </w:t>
      </w:r>
      <w:r>
        <w:rPr>
          <w:lang w:val="es-ES"/>
        </w:rPr>
        <w:t xml:space="preserve">esta </w:t>
      </w:r>
      <w:r w:rsidRPr="00F44994">
        <w:rPr>
          <w:lang w:val="es-ES"/>
        </w:rPr>
        <w:t xml:space="preserve">sección no se apega a las </w:t>
      </w:r>
      <w:r>
        <w:rPr>
          <w:lang w:val="es-ES"/>
        </w:rPr>
        <w:t>Medida CUADRAGÉSIMA PRIMERA que establece:</w:t>
      </w:r>
    </w:p>
    <w:p w:rsidR="007C4016" w:rsidRPr="00103953" w:rsidRDefault="007C4016" w:rsidP="007C4016">
      <w:pPr>
        <w:pStyle w:val="Citaift0"/>
        <w:spacing w:before="240" w:after="0"/>
        <w:rPr>
          <w:lang w:val="es-ES"/>
        </w:rPr>
      </w:pPr>
      <w:r>
        <w:rPr>
          <w:lang w:val="es-ES"/>
        </w:rPr>
        <w:t>“</w:t>
      </w:r>
      <w:r w:rsidRPr="00103953">
        <w:rPr>
          <w:lang w:val="es-ES"/>
        </w:rPr>
        <w:t xml:space="preserve">CUADRAGÉSIMA PRIMERA.- </w:t>
      </w:r>
    </w:p>
    <w:p w:rsidR="007C4016" w:rsidRDefault="007C4016" w:rsidP="007C4016">
      <w:pPr>
        <w:pStyle w:val="Citaift0"/>
        <w:spacing w:before="240" w:after="0"/>
        <w:rPr>
          <w:lang w:val="es-ES"/>
        </w:rPr>
      </w:pPr>
      <w:r>
        <w:rPr>
          <w:lang w:val="es-ES"/>
        </w:rPr>
        <w:t>[…]</w:t>
      </w:r>
    </w:p>
    <w:p w:rsidR="007C4016" w:rsidRPr="00103953" w:rsidRDefault="007C4016" w:rsidP="007C4016">
      <w:pPr>
        <w:pStyle w:val="Citaift0"/>
        <w:spacing w:before="240" w:after="0"/>
        <w:rPr>
          <w:b/>
          <w:u w:val="single"/>
          <w:lang w:val="es-ES"/>
        </w:rPr>
      </w:pPr>
      <w:r w:rsidRPr="00103953">
        <w:rPr>
          <w:b/>
          <w:u w:val="single"/>
          <w:lang w:val="es-ES"/>
        </w:rPr>
        <w:t>La propuesta que presente el Agente Económico Preponderante deberá reflejar, al menos, condiciones equivalentes a las de la Oferta de Referencia vigente.</w:t>
      </w:r>
    </w:p>
    <w:p w:rsidR="007C4016" w:rsidRDefault="007C4016" w:rsidP="007C4016">
      <w:pPr>
        <w:pStyle w:val="Citaift0"/>
        <w:spacing w:before="240" w:after="0"/>
        <w:rPr>
          <w:lang w:val="es-ES"/>
        </w:rPr>
      </w:pPr>
      <w:r>
        <w:rPr>
          <w:lang w:val="es-ES"/>
        </w:rPr>
        <w:t>[…]”</w:t>
      </w:r>
    </w:p>
    <w:p w:rsidR="007C4016" w:rsidRPr="00857B07" w:rsidRDefault="007C4016" w:rsidP="007C4016">
      <w:pPr>
        <w:pStyle w:val="IFTnormal"/>
        <w:spacing w:before="240" w:after="0"/>
        <w:rPr>
          <w:lang w:val="es-ES"/>
        </w:rPr>
      </w:pPr>
      <w:r>
        <w:rPr>
          <w:lang w:val="es-ES"/>
        </w:rPr>
        <w:t>Adicionalmente, la información que Telnor debe proporcionar no contempla la ubicación de los postes, por lo que el AEP deberá atender lo que se establece en la Medida</w:t>
      </w:r>
      <w:r w:rsidRPr="000F4811">
        <w:rPr>
          <w:lang w:val="es-ES"/>
        </w:rPr>
        <w:t xml:space="preserve"> </w:t>
      </w:r>
      <w:r>
        <w:rPr>
          <w:lang w:val="es-ES"/>
        </w:rPr>
        <w:t>VIGÉSIMA SEXTA de las Medidas Fijas,</w:t>
      </w:r>
      <w:r w:rsidRPr="00857B07">
        <w:rPr>
          <w:lang w:val="es-ES"/>
        </w:rPr>
        <w:t xml:space="preserve"> que </w:t>
      </w:r>
      <w:r>
        <w:rPr>
          <w:lang w:val="es-ES"/>
        </w:rPr>
        <w:t>a la letra establece lo siguiente:</w:t>
      </w:r>
    </w:p>
    <w:p w:rsidR="007C4016" w:rsidRPr="0069502C" w:rsidRDefault="007C4016" w:rsidP="007C4016">
      <w:pPr>
        <w:pStyle w:val="IFTcita"/>
        <w:spacing w:before="240" w:after="0"/>
        <w:rPr>
          <w:b w:val="0"/>
        </w:rPr>
      </w:pPr>
      <w:r w:rsidRPr="00857B07">
        <w:rPr>
          <w:b w:val="0"/>
        </w:rPr>
        <w:t>“</w:t>
      </w:r>
      <w:r w:rsidRPr="0069502C">
        <w:rPr>
          <w:b w:val="0"/>
        </w:rPr>
        <w:t>VIGÉSIMA SEXTA.- El Agente Económico Preponderante deberá poner a disposición del Instituto y de los Concesionarios Solicitantes, a través del Sistema Electrónico de Gestión, información relativa a sus instalaciones, misma que deberá mantenerse actualizada mensualmente. Dicha información deberá contener, al menos, lo siguiente:</w:t>
      </w:r>
    </w:p>
    <w:p w:rsidR="007C4016" w:rsidRPr="0069502C" w:rsidRDefault="007C4016" w:rsidP="007C4016">
      <w:pPr>
        <w:pStyle w:val="IFTcita"/>
        <w:numPr>
          <w:ilvl w:val="0"/>
          <w:numId w:val="173"/>
        </w:numPr>
        <w:spacing w:before="240" w:after="0"/>
        <w:ind w:left="1276"/>
        <w:rPr>
          <w:u w:val="single"/>
        </w:rPr>
      </w:pPr>
      <w:r w:rsidRPr="0069502C">
        <w:rPr>
          <w:u w:val="single"/>
        </w:rPr>
        <w:t>Información georreferenciada de la infraestructura correspondiente a estaciones, radiobases, sitios de transmisión, postes, pozos, registros, centrales y los demás que sean necesarios para la eficiente prestación de los servicios de telecomunicaciones.</w:t>
      </w:r>
    </w:p>
    <w:p w:rsidR="007C4016" w:rsidRDefault="007C4016" w:rsidP="007C4016">
      <w:pPr>
        <w:pStyle w:val="IFTcita"/>
        <w:spacing w:before="240" w:after="0"/>
        <w:ind w:left="1276"/>
        <w:rPr>
          <w:b w:val="0"/>
        </w:rPr>
      </w:pPr>
      <w:r>
        <w:rPr>
          <w:b w:val="0"/>
        </w:rPr>
        <w:t>[…]”</w:t>
      </w:r>
    </w:p>
    <w:p w:rsidR="007C4016" w:rsidRPr="00857B07" w:rsidRDefault="007C4016" w:rsidP="007C4016">
      <w:pPr>
        <w:pStyle w:val="IFTcita"/>
        <w:spacing w:before="240" w:after="0"/>
        <w:jc w:val="right"/>
        <w:rPr>
          <w:b w:val="0"/>
        </w:rPr>
      </w:pPr>
      <w:r>
        <w:rPr>
          <w:b w:val="0"/>
        </w:rPr>
        <w:t>(Énfasis añadido)</w:t>
      </w:r>
    </w:p>
    <w:p w:rsidR="007C4016" w:rsidRDefault="007C4016" w:rsidP="007C4016">
      <w:pPr>
        <w:pStyle w:val="IFTnormal"/>
        <w:spacing w:before="240" w:after="0"/>
        <w:ind w:left="-76"/>
      </w:pPr>
      <w:r>
        <w:rPr>
          <w:lang w:val="es-ES"/>
        </w:rPr>
        <w:t>El Instituto considera también importante, homologar la forma en que se pondrá a disposición la información de la Oferta de Referencia Vigente en las mismas condiciones que se establecen en la Oferta de Referencia para la Desagregación del Bucle Local,</w:t>
      </w:r>
      <w:r w:rsidRPr="004B3318">
        <w:t xml:space="preserve"> con el objetivo de proporcionar la información necesaria que otorgue las condiciones óptimas para solicitar servicios de </w:t>
      </w:r>
      <w:r>
        <w:t>Compartición de Infraestructura Pasiva</w:t>
      </w:r>
      <w:r w:rsidRPr="004B3318">
        <w:t xml:space="preserve"> y con ello no se generen requisitos innecesarios para la </w:t>
      </w:r>
      <w:r w:rsidRPr="004B3318">
        <w:lastRenderedPageBreak/>
        <w:t xml:space="preserve">prestación de servicios como lo indica la Medida QUINTA </w:t>
      </w:r>
      <w:r>
        <w:t>de las Medidas Fijas que a la letra señala:</w:t>
      </w:r>
    </w:p>
    <w:p w:rsidR="007C4016" w:rsidRDefault="007C4016" w:rsidP="007C4016">
      <w:pPr>
        <w:pStyle w:val="Citaift0"/>
        <w:spacing w:before="240" w:after="0"/>
      </w:pPr>
      <w:r>
        <w:t>“</w:t>
      </w:r>
      <w:r w:rsidRPr="009B500A">
        <w:t>QUINTA.- El Agente Económico Preponderante deberá señalar y poner a disposición de los Concesionarios Solicitantes todos los Puntos de Interconexión, asegurando que por medio de cada uno de ellos se pueda acceder a todos los Usuarios finales.</w:t>
      </w:r>
      <w:r>
        <w:t>”</w:t>
      </w:r>
    </w:p>
    <w:p w:rsidR="007C4016" w:rsidRDefault="007C4016" w:rsidP="007C4016">
      <w:pPr>
        <w:pStyle w:val="IFTnormal"/>
        <w:spacing w:before="240" w:after="0"/>
      </w:pPr>
      <w:r>
        <w:rPr>
          <w:lang w:val="es-ES"/>
        </w:rPr>
        <w:t xml:space="preserve">Por otro lado, dentro de los comentarios a la consulta pública se centran en la </w:t>
      </w:r>
      <w:r w:rsidRPr="00F44994">
        <w:t>insuficiencia de inventarios en los sistemas para conocer el nivel de disponibilidad que tiene la infraestru</w:t>
      </w:r>
      <w:r>
        <w:t>ctura pasiva de Telnor</w:t>
      </w:r>
      <w:r w:rsidRPr="00F44994">
        <w:t>.</w:t>
      </w:r>
    </w:p>
    <w:p w:rsidR="007C4016" w:rsidRPr="00F44994" w:rsidRDefault="007C4016" w:rsidP="007C4016">
      <w:pPr>
        <w:pStyle w:val="IFTnormal"/>
        <w:spacing w:before="240" w:after="0"/>
      </w:pPr>
      <w:r w:rsidRPr="00F44994">
        <w:t xml:space="preserve">Derivado del análisis realizado, el Instituto resuelve </w:t>
      </w:r>
      <w:r>
        <w:t>realizar las modificaciones para que la sección</w:t>
      </w:r>
      <w:r w:rsidRPr="00F44994">
        <w:t xml:space="preserve"> </w:t>
      </w:r>
      <w:r w:rsidRPr="00F44994">
        <w:rPr>
          <w:i/>
        </w:rPr>
        <w:t>“III.</w:t>
      </w:r>
      <w:r w:rsidRPr="00F44994">
        <w:rPr>
          <w:i/>
        </w:rPr>
        <w:tab/>
      </w:r>
      <w:r>
        <w:rPr>
          <w:i/>
        </w:rPr>
        <w:t xml:space="preserve"> </w:t>
      </w:r>
      <w:r w:rsidRPr="00F44994">
        <w:rPr>
          <w:i/>
        </w:rPr>
        <w:t>Información Relacionada con los Servicios</w:t>
      </w:r>
      <w:r w:rsidRPr="00F44994">
        <w:t xml:space="preserve">”, </w:t>
      </w:r>
      <w:r>
        <w:t>quede de la siguiente manera:</w:t>
      </w:r>
    </w:p>
    <w:p w:rsidR="007C4016" w:rsidRPr="00F44994" w:rsidRDefault="007C4016" w:rsidP="007C4016">
      <w:pPr>
        <w:pStyle w:val="IFTnormal"/>
        <w:spacing w:before="240" w:after="0"/>
        <w:rPr>
          <w:b/>
          <w:lang w:val="es-ES"/>
        </w:rPr>
      </w:pPr>
      <w:r w:rsidRPr="00F44994">
        <w:rPr>
          <w:b/>
          <w:lang w:val="es-ES"/>
        </w:rPr>
        <w:t>Redacción Definitiva</w:t>
      </w:r>
    </w:p>
    <w:p w:rsidR="007C4016" w:rsidRPr="00F44994" w:rsidRDefault="007C4016" w:rsidP="007C4016">
      <w:pPr>
        <w:pStyle w:val="CondicionesFinales"/>
        <w:numPr>
          <w:ilvl w:val="0"/>
          <w:numId w:val="169"/>
        </w:numPr>
        <w:spacing w:before="240" w:after="0"/>
        <w:ind w:left="1418" w:hanging="349"/>
        <w:rPr>
          <w:b/>
          <w:color w:val="auto"/>
        </w:rPr>
      </w:pPr>
      <w:r w:rsidRPr="00F44994">
        <w:rPr>
          <w:b/>
          <w:color w:val="auto"/>
        </w:rPr>
        <w:t>Información relacionada con los servicios.</w:t>
      </w:r>
    </w:p>
    <w:p w:rsidR="007C4016" w:rsidRDefault="007C4016" w:rsidP="007C4016">
      <w:pPr>
        <w:pStyle w:val="CondicionesFinales"/>
        <w:spacing w:before="240" w:after="0"/>
        <w:rPr>
          <w:color w:val="auto"/>
        </w:rPr>
      </w:pPr>
      <w:r>
        <w:rPr>
          <w:color w:val="auto"/>
        </w:rPr>
        <w:t>Telnor</w:t>
      </w:r>
      <w:r w:rsidRPr="00F44994" w:rsidDel="009741A7">
        <w:rPr>
          <w:color w:val="auto"/>
        </w:rPr>
        <w:t xml:space="preserve"> pone a disposición de los Concesionarios Solicitantes a través de</w:t>
      </w:r>
      <w:r w:rsidDel="009741A7">
        <w:rPr>
          <w:color w:val="auto"/>
        </w:rPr>
        <w:t>l SEG o mediante un medio alterno, la siguiente información sobre su infraestructura pasiva</w:t>
      </w:r>
      <w:r w:rsidRPr="00F44994" w:rsidDel="009741A7">
        <w:rPr>
          <w:color w:val="auto"/>
        </w:rPr>
        <w:t>:</w:t>
      </w:r>
    </w:p>
    <w:p w:rsidR="007C4016" w:rsidRPr="00A94CB4" w:rsidRDefault="007C4016" w:rsidP="007C4016">
      <w:pPr>
        <w:pStyle w:val="CondicionesFinales"/>
        <w:spacing w:before="240" w:after="0"/>
        <w:jc w:val="center"/>
        <w:rPr>
          <w:b/>
          <w:color w:val="auto"/>
        </w:rPr>
      </w:pPr>
      <w:r w:rsidRPr="00A94CB4">
        <w:rPr>
          <w:b/>
          <w:color w:val="auto"/>
        </w:rPr>
        <w:t>Servicio de Acceso y Uso Compartido de Obra Civil</w:t>
      </w:r>
    </w:p>
    <w:tbl>
      <w:tblPr>
        <w:tblStyle w:val="Tablaconcuadrcula"/>
        <w:tblW w:w="4117" w:type="pct"/>
        <w:tblInd w:w="846" w:type="dxa"/>
        <w:tblLook w:val="04A0" w:firstRow="1" w:lastRow="0" w:firstColumn="1" w:lastColumn="0" w:noHBand="0" w:noVBand="1"/>
        <w:tblCaption w:val="Tabla"/>
        <w:tblDescription w:val="Servicio de Acceso y Uso Compartido de Obra Civil"/>
      </w:tblPr>
      <w:tblGrid>
        <w:gridCol w:w="2836"/>
        <w:gridCol w:w="4435"/>
      </w:tblGrid>
      <w:tr w:rsidR="007C4016" w:rsidRPr="002076B2" w:rsidTr="005C782A">
        <w:trPr>
          <w:tblHeader/>
        </w:trPr>
        <w:tc>
          <w:tcPr>
            <w:tcW w:w="1950" w:type="pct"/>
            <w:shd w:val="clear" w:color="auto" w:fill="BFBFBF" w:themeFill="background1" w:themeFillShade="BF"/>
          </w:tcPr>
          <w:p w:rsidR="007C4016" w:rsidRPr="00F44994" w:rsidRDefault="007C4016" w:rsidP="005C782A">
            <w:pPr>
              <w:pStyle w:val="CondicionesFinales"/>
              <w:spacing w:after="0"/>
              <w:rPr>
                <w:color w:val="auto"/>
              </w:rPr>
            </w:pPr>
            <w:r w:rsidRPr="00F44994">
              <w:rPr>
                <w:color w:val="auto"/>
              </w:rPr>
              <w:t>Elemento</w:t>
            </w:r>
          </w:p>
        </w:tc>
        <w:tc>
          <w:tcPr>
            <w:tcW w:w="3050" w:type="pct"/>
            <w:shd w:val="clear" w:color="auto" w:fill="BFBFBF" w:themeFill="background1" w:themeFillShade="BF"/>
          </w:tcPr>
          <w:p w:rsidR="007C4016" w:rsidRPr="00F44994" w:rsidRDefault="007C4016" w:rsidP="005C782A">
            <w:pPr>
              <w:pStyle w:val="CondicionesFinales"/>
              <w:spacing w:after="0"/>
              <w:rPr>
                <w:color w:val="auto"/>
              </w:rPr>
            </w:pPr>
            <w:r w:rsidRPr="00F44994">
              <w:rPr>
                <w:color w:val="auto"/>
              </w:rPr>
              <w:t>Información</w:t>
            </w:r>
          </w:p>
        </w:tc>
      </w:tr>
      <w:tr w:rsidR="007C4016" w:rsidRPr="002076B2" w:rsidTr="005C782A">
        <w:tc>
          <w:tcPr>
            <w:tcW w:w="1950" w:type="pct"/>
            <w:vAlign w:val="center"/>
          </w:tcPr>
          <w:p w:rsidR="007C4016" w:rsidRPr="00F44994" w:rsidRDefault="007C4016" w:rsidP="005C782A">
            <w:pPr>
              <w:pStyle w:val="CondicionesFinales"/>
              <w:spacing w:after="0"/>
              <w:ind w:left="147"/>
              <w:rPr>
                <w:color w:val="auto"/>
              </w:rPr>
            </w:pPr>
            <w:r w:rsidRPr="00F44994">
              <w:rPr>
                <w:color w:val="auto"/>
              </w:rPr>
              <w:t>Ductos</w:t>
            </w:r>
          </w:p>
        </w:tc>
        <w:tc>
          <w:tcPr>
            <w:tcW w:w="3050" w:type="pct"/>
          </w:tcPr>
          <w:p w:rsidR="007C4016" w:rsidRPr="00F44994" w:rsidRDefault="007C4016" w:rsidP="005C782A">
            <w:pPr>
              <w:pStyle w:val="CondicionesFinales"/>
              <w:spacing w:after="0"/>
              <w:ind w:left="147"/>
              <w:rPr>
                <w:color w:val="auto"/>
              </w:rPr>
            </w:pPr>
            <w:r w:rsidRPr="00F44994">
              <w:rPr>
                <w:color w:val="auto"/>
              </w:rPr>
              <w:t>Tipo de ducto.</w:t>
            </w:r>
          </w:p>
          <w:p w:rsidR="007C4016" w:rsidRPr="00F44994" w:rsidRDefault="007C4016" w:rsidP="005C782A">
            <w:pPr>
              <w:pStyle w:val="CondicionesFinales"/>
              <w:spacing w:after="0"/>
              <w:ind w:left="147"/>
              <w:rPr>
                <w:color w:val="auto"/>
              </w:rPr>
            </w:pPr>
            <w:r w:rsidRPr="00F44994">
              <w:rPr>
                <w:color w:val="auto"/>
              </w:rPr>
              <w:t>Ruta y ubicación.</w:t>
            </w:r>
          </w:p>
          <w:p w:rsidR="007C4016" w:rsidRPr="00F44994" w:rsidRDefault="007C4016" w:rsidP="005C782A">
            <w:pPr>
              <w:pStyle w:val="CondicionesFinales"/>
              <w:spacing w:after="0"/>
              <w:ind w:left="147"/>
              <w:rPr>
                <w:color w:val="auto"/>
              </w:rPr>
            </w:pPr>
            <w:r w:rsidRPr="00F44994">
              <w:rPr>
                <w:color w:val="auto"/>
              </w:rPr>
              <w:t>Diámetro.</w:t>
            </w:r>
          </w:p>
          <w:p w:rsidR="007C4016" w:rsidRPr="00F44994" w:rsidRDefault="007C4016" w:rsidP="005C782A">
            <w:pPr>
              <w:pStyle w:val="CondicionesFinales"/>
              <w:spacing w:after="0"/>
              <w:ind w:left="147"/>
              <w:rPr>
                <w:color w:val="auto"/>
              </w:rPr>
            </w:pPr>
            <w:r w:rsidRPr="00F44994">
              <w:rPr>
                <w:color w:val="auto"/>
              </w:rPr>
              <w:t>Capacidad excedente.</w:t>
            </w:r>
          </w:p>
        </w:tc>
      </w:tr>
      <w:tr w:rsidR="007C4016" w:rsidRPr="002076B2" w:rsidTr="005C782A">
        <w:tc>
          <w:tcPr>
            <w:tcW w:w="1950" w:type="pct"/>
            <w:vAlign w:val="center"/>
          </w:tcPr>
          <w:p w:rsidR="007C4016" w:rsidRPr="00F44994" w:rsidRDefault="007C4016" w:rsidP="005C782A">
            <w:pPr>
              <w:pStyle w:val="CondicionesFinales"/>
              <w:spacing w:after="0"/>
              <w:ind w:left="147"/>
              <w:rPr>
                <w:color w:val="auto"/>
              </w:rPr>
            </w:pPr>
            <w:r w:rsidRPr="00F44994">
              <w:rPr>
                <w:color w:val="auto"/>
              </w:rPr>
              <w:t>Postes</w:t>
            </w:r>
          </w:p>
        </w:tc>
        <w:tc>
          <w:tcPr>
            <w:tcW w:w="3050" w:type="pct"/>
          </w:tcPr>
          <w:p w:rsidR="007C4016" w:rsidRPr="00F44994" w:rsidRDefault="007C4016" w:rsidP="005C782A">
            <w:pPr>
              <w:pStyle w:val="CondicionesFinales"/>
              <w:spacing w:after="0"/>
              <w:ind w:left="147"/>
              <w:rPr>
                <w:color w:val="auto"/>
              </w:rPr>
            </w:pPr>
            <w:r w:rsidRPr="00F44994">
              <w:rPr>
                <w:color w:val="auto"/>
              </w:rPr>
              <w:t>Tipo de poste.</w:t>
            </w:r>
          </w:p>
          <w:p w:rsidR="007C4016" w:rsidRPr="00F44994" w:rsidRDefault="007C4016" w:rsidP="005C782A">
            <w:pPr>
              <w:pStyle w:val="CondicionesFinales"/>
              <w:spacing w:after="0"/>
              <w:ind w:left="147"/>
              <w:rPr>
                <w:color w:val="auto"/>
              </w:rPr>
            </w:pPr>
            <w:r>
              <w:rPr>
                <w:color w:val="auto"/>
              </w:rPr>
              <w:t>U</w:t>
            </w:r>
            <w:r w:rsidRPr="00F44994">
              <w:rPr>
                <w:color w:val="auto"/>
              </w:rPr>
              <w:t>bicación</w:t>
            </w:r>
            <w:r>
              <w:rPr>
                <w:color w:val="auto"/>
              </w:rPr>
              <w:t xml:space="preserve"> </w:t>
            </w:r>
            <w:r w:rsidRPr="00F44994">
              <w:rPr>
                <w:color w:val="auto"/>
              </w:rPr>
              <w:t>en coordenadas geográficas decimales basadas en la definición WGS84.</w:t>
            </w:r>
          </w:p>
          <w:p w:rsidR="007C4016" w:rsidRPr="00F44994" w:rsidRDefault="007C4016" w:rsidP="005C782A">
            <w:pPr>
              <w:pStyle w:val="CondicionesFinales"/>
              <w:spacing w:after="0"/>
              <w:ind w:left="147"/>
              <w:rPr>
                <w:color w:val="auto"/>
              </w:rPr>
            </w:pPr>
            <w:r w:rsidRPr="00F44994">
              <w:rPr>
                <w:color w:val="auto"/>
              </w:rPr>
              <w:t>Altura.</w:t>
            </w:r>
          </w:p>
          <w:p w:rsidR="007C4016" w:rsidRPr="00F44994" w:rsidRDefault="007C4016" w:rsidP="005C782A">
            <w:pPr>
              <w:pStyle w:val="CondicionesFinales"/>
              <w:spacing w:after="0"/>
              <w:ind w:left="147"/>
              <w:rPr>
                <w:color w:val="auto"/>
              </w:rPr>
            </w:pPr>
            <w:r w:rsidRPr="00F44994">
              <w:rPr>
                <w:color w:val="auto"/>
              </w:rPr>
              <w:t>Cargas mecánicas.</w:t>
            </w:r>
          </w:p>
        </w:tc>
      </w:tr>
      <w:tr w:rsidR="007C4016" w:rsidRPr="002076B2" w:rsidTr="005C782A">
        <w:tc>
          <w:tcPr>
            <w:tcW w:w="1950" w:type="pct"/>
            <w:vAlign w:val="center"/>
          </w:tcPr>
          <w:p w:rsidR="007C4016" w:rsidRPr="00F44994" w:rsidRDefault="007C4016" w:rsidP="005C782A">
            <w:pPr>
              <w:pStyle w:val="CondicionesFinales"/>
              <w:spacing w:after="0"/>
              <w:ind w:left="147"/>
              <w:rPr>
                <w:color w:val="auto"/>
              </w:rPr>
            </w:pPr>
            <w:r w:rsidRPr="00F44994">
              <w:rPr>
                <w:color w:val="auto"/>
              </w:rPr>
              <w:t>Pozos</w:t>
            </w:r>
          </w:p>
        </w:tc>
        <w:tc>
          <w:tcPr>
            <w:tcW w:w="3050" w:type="pct"/>
          </w:tcPr>
          <w:p w:rsidR="007C4016" w:rsidRPr="00F44994" w:rsidRDefault="007C4016" w:rsidP="005C782A">
            <w:pPr>
              <w:pStyle w:val="CondicionesFinales"/>
              <w:spacing w:after="0"/>
              <w:ind w:left="147"/>
              <w:rPr>
                <w:color w:val="auto"/>
              </w:rPr>
            </w:pPr>
            <w:r w:rsidRPr="00F44994">
              <w:rPr>
                <w:color w:val="auto"/>
              </w:rPr>
              <w:t>Tipo de pozo.</w:t>
            </w:r>
          </w:p>
          <w:p w:rsidR="007C4016" w:rsidRPr="00F44994" w:rsidRDefault="007C4016" w:rsidP="005C782A">
            <w:pPr>
              <w:pStyle w:val="CondicionesFinales"/>
              <w:spacing w:after="0"/>
              <w:ind w:left="147"/>
              <w:rPr>
                <w:color w:val="auto"/>
              </w:rPr>
            </w:pPr>
            <w:r w:rsidRPr="00F44994">
              <w:rPr>
                <w:color w:val="auto"/>
              </w:rPr>
              <w:t>Ubicación</w:t>
            </w:r>
            <w:r>
              <w:rPr>
                <w:color w:val="auto"/>
              </w:rPr>
              <w:t xml:space="preserve"> </w:t>
            </w:r>
            <w:r w:rsidRPr="00F44994">
              <w:rPr>
                <w:color w:val="auto"/>
              </w:rPr>
              <w:t xml:space="preserve">en coordenadas geográficas decimales </w:t>
            </w:r>
            <w:r w:rsidRPr="00F44994">
              <w:rPr>
                <w:color w:val="auto"/>
              </w:rPr>
              <w:lastRenderedPageBreak/>
              <w:t>basadas en la definición WGS84.</w:t>
            </w:r>
          </w:p>
          <w:p w:rsidR="007C4016" w:rsidRPr="00F44994" w:rsidRDefault="007C4016" w:rsidP="005C782A">
            <w:pPr>
              <w:pStyle w:val="CondicionesFinales"/>
              <w:spacing w:after="0"/>
              <w:ind w:left="147"/>
              <w:rPr>
                <w:color w:val="auto"/>
              </w:rPr>
            </w:pPr>
            <w:r w:rsidRPr="00F44994">
              <w:rPr>
                <w:color w:val="auto"/>
              </w:rPr>
              <w:t>Capacidad excedente.</w:t>
            </w:r>
          </w:p>
          <w:p w:rsidR="007C4016" w:rsidRPr="00F44994" w:rsidRDefault="007C4016" w:rsidP="005C782A">
            <w:pPr>
              <w:pStyle w:val="CondicionesFinales"/>
              <w:spacing w:after="0"/>
              <w:ind w:left="147"/>
              <w:rPr>
                <w:color w:val="auto"/>
              </w:rPr>
            </w:pPr>
            <w:r w:rsidRPr="00F44994">
              <w:rPr>
                <w:color w:val="auto"/>
              </w:rPr>
              <w:t>Plano del pozo.</w:t>
            </w:r>
          </w:p>
        </w:tc>
      </w:tr>
    </w:tbl>
    <w:p w:rsidR="007C4016" w:rsidRDefault="007C4016" w:rsidP="007C4016">
      <w:pPr>
        <w:pStyle w:val="CondicionesFinales"/>
        <w:spacing w:before="240" w:after="0"/>
        <w:rPr>
          <w:color w:val="auto"/>
        </w:rPr>
      </w:pPr>
    </w:p>
    <w:p w:rsidR="007C4016" w:rsidRPr="00A94CB4" w:rsidRDefault="007C4016" w:rsidP="007C4016">
      <w:pPr>
        <w:pStyle w:val="CondicionesFinales"/>
        <w:spacing w:before="240" w:after="0"/>
        <w:jc w:val="center"/>
        <w:rPr>
          <w:b/>
          <w:color w:val="auto"/>
        </w:rPr>
      </w:pPr>
      <w:r w:rsidRPr="00A94CB4">
        <w:rPr>
          <w:b/>
          <w:color w:val="auto"/>
        </w:rPr>
        <w:t>Servicio de Acceso y Uso Compartido de Torres</w:t>
      </w:r>
    </w:p>
    <w:tbl>
      <w:tblPr>
        <w:tblStyle w:val="Tablaconcuadrcula"/>
        <w:tblW w:w="4117" w:type="pct"/>
        <w:tblInd w:w="846" w:type="dxa"/>
        <w:tblLook w:val="04A0" w:firstRow="1" w:lastRow="0" w:firstColumn="1" w:lastColumn="0" w:noHBand="0" w:noVBand="1"/>
        <w:tblCaption w:val="Tabla"/>
        <w:tblDescription w:val="Servicio de Acceso y Uso Compartido de Torres"/>
      </w:tblPr>
      <w:tblGrid>
        <w:gridCol w:w="2836"/>
        <w:gridCol w:w="4435"/>
      </w:tblGrid>
      <w:tr w:rsidR="007C4016" w:rsidRPr="002076B2" w:rsidTr="005C782A">
        <w:trPr>
          <w:tblHeader/>
        </w:trPr>
        <w:tc>
          <w:tcPr>
            <w:tcW w:w="1950" w:type="pct"/>
            <w:shd w:val="clear" w:color="auto" w:fill="BFBFBF" w:themeFill="background1" w:themeFillShade="BF"/>
          </w:tcPr>
          <w:p w:rsidR="007C4016" w:rsidRPr="00F44994" w:rsidRDefault="007C4016" w:rsidP="005C782A">
            <w:pPr>
              <w:pStyle w:val="CondicionesFinales"/>
              <w:spacing w:after="0"/>
              <w:rPr>
                <w:color w:val="auto"/>
              </w:rPr>
            </w:pPr>
            <w:r w:rsidRPr="00F44994">
              <w:rPr>
                <w:color w:val="auto"/>
              </w:rPr>
              <w:t>Elemento</w:t>
            </w:r>
          </w:p>
        </w:tc>
        <w:tc>
          <w:tcPr>
            <w:tcW w:w="3050" w:type="pct"/>
            <w:shd w:val="clear" w:color="auto" w:fill="BFBFBF" w:themeFill="background1" w:themeFillShade="BF"/>
          </w:tcPr>
          <w:p w:rsidR="007C4016" w:rsidRPr="00F44994" w:rsidRDefault="007C4016" w:rsidP="005C782A">
            <w:pPr>
              <w:pStyle w:val="CondicionesFinales"/>
              <w:spacing w:after="0"/>
              <w:rPr>
                <w:color w:val="auto"/>
              </w:rPr>
            </w:pPr>
            <w:r w:rsidRPr="00F44994">
              <w:rPr>
                <w:color w:val="auto"/>
              </w:rPr>
              <w:t>Información</w:t>
            </w:r>
          </w:p>
        </w:tc>
      </w:tr>
      <w:tr w:rsidR="007C4016" w:rsidRPr="002076B2" w:rsidTr="005C782A">
        <w:tc>
          <w:tcPr>
            <w:tcW w:w="1950" w:type="pct"/>
            <w:vAlign w:val="center"/>
          </w:tcPr>
          <w:p w:rsidR="007C4016" w:rsidRPr="00F44994" w:rsidRDefault="007C4016" w:rsidP="005C782A">
            <w:pPr>
              <w:pStyle w:val="CondicionesFinales"/>
              <w:spacing w:after="0"/>
              <w:ind w:left="147"/>
              <w:rPr>
                <w:color w:val="auto"/>
              </w:rPr>
            </w:pPr>
            <w:r w:rsidRPr="00F44994">
              <w:rPr>
                <w:color w:val="auto"/>
              </w:rPr>
              <w:t>Torres</w:t>
            </w:r>
          </w:p>
        </w:tc>
        <w:tc>
          <w:tcPr>
            <w:tcW w:w="3050" w:type="pct"/>
          </w:tcPr>
          <w:p w:rsidR="007C4016" w:rsidRPr="00F44994" w:rsidRDefault="007C4016" w:rsidP="005C782A">
            <w:pPr>
              <w:pStyle w:val="CondicionesFinales"/>
              <w:spacing w:after="0"/>
              <w:ind w:left="147"/>
              <w:rPr>
                <w:color w:val="auto"/>
              </w:rPr>
            </w:pPr>
            <w:r w:rsidRPr="00F44994">
              <w:rPr>
                <w:color w:val="auto"/>
              </w:rPr>
              <w:t>Identificación del sitio con detalles sobre la propiedad de las torres.</w:t>
            </w:r>
          </w:p>
          <w:p w:rsidR="007C4016" w:rsidRPr="00F44994" w:rsidRDefault="007C4016" w:rsidP="005C782A">
            <w:pPr>
              <w:pStyle w:val="CondicionesFinales"/>
              <w:spacing w:after="0"/>
              <w:ind w:left="147"/>
              <w:rPr>
                <w:color w:val="auto"/>
              </w:rPr>
            </w:pPr>
            <w:r w:rsidRPr="00F44994">
              <w:rPr>
                <w:color w:val="auto"/>
              </w:rPr>
              <w:t xml:space="preserve">Localización exacta en coordenadas geográficas decimales basadas en la definición WGS84. </w:t>
            </w:r>
          </w:p>
          <w:p w:rsidR="007C4016" w:rsidRPr="00F44994" w:rsidRDefault="007C4016" w:rsidP="005C782A">
            <w:pPr>
              <w:pStyle w:val="CondicionesFinales"/>
              <w:spacing w:after="0"/>
              <w:ind w:left="147"/>
              <w:rPr>
                <w:color w:val="auto"/>
              </w:rPr>
            </w:pPr>
            <w:r w:rsidRPr="00F44994">
              <w:rPr>
                <w:color w:val="auto"/>
              </w:rPr>
              <w:t xml:space="preserve">Tipo de torre. </w:t>
            </w:r>
          </w:p>
          <w:p w:rsidR="007C4016" w:rsidRPr="00F44994" w:rsidRDefault="007C4016" w:rsidP="005C782A">
            <w:pPr>
              <w:pStyle w:val="CondicionesFinales"/>
              <w:spacing w:after="0"/>
              <w:ind w:left="147"/>
              <w:rPr>
                <w:color w:val="auto"/>
              </w:rPr>
            </w:pPr>
            <w:r w:rsidRPr="00F44994">
              <w:rPr>
                <w:color w:val="auto"/>
              </w:rPr>
              <w:t>Tipo de sitio.</w:t>
            </w:r>
          </w:p>
          <w:p w:rsidR="007C4016" w:rsidRPr="00F44994" w:rsidRDefault="007C4016" w:rsidP="005C782A">
            <w:pPr>
              <w:pStyle w:val="CondicionesFinales"/>
              <w:spacing w:after="0"/>
              <w:ind w:left="147"/>
              <w:rPr>
                <w:color w:val="auto"/>
              </w:rPr>
            </w:pPr>
            <w:r w:rsidRPr="00F44994">
              <w:rPr>
                <w:color w:val="auto"/>
              </w:rPr>
              <w:t xml:space="preserve">Altura de Torre y altura de centro de radiación conocidos. </w:t>
            </w:r>
          </w:p>
          <w:p w:rsidR="007C4016" w:rsidRPr="00F44994" w:rsidRDefault="007C4016" w:rsidP="005C782A">
            <w:pPr>
              <w:pStyle w:val="CondicionesFinales"/>
              <w:spacing w:after="0"/>
              <w:ind w:left="147"/>
              <w:rPr>
                <w:color w:val="auto"/>
              </w:rPr>
            </w:pPr>
            <w:r w:rsidRPr="00F44994">
              <w:rPr>
                <w:color w:val="auto"/>
              </w:rPr>
              <w:t>Clasificación del sitio.</w:t>
            </w:r>
          </w:p>
          <w:p w:rsidR="007C4016" w:rsidRPr="00F44994" w:rsidRDefault="007C4016" w:rsidP="005C782A">
            <w:pPr>
              <w:pStyle w:val="CondicionesFinales"/>
              <w:spacing w:after="0"/>
              <w:ind w:left="147"/>
              <w:rPr>
                <w:color w:val="auto"/>
              </w:rPr>
            </w:pPr>
            <w:r w:rsidRPr="00F44994">
              <w:rPr>
                <w:color w:val="auto"/>
              </w:rPr>
              <w:t>Normas de seguridad para el acceso adicionales a las indicadas al efecto en la Normativa Técnica.</w:t>
            </w:r>
          </w:p>
          <w:p w:rsidR="007C4016" w:rsidRPr="00F44994" w:rsidRDefault="007C4016" w:rsidP="005C782A">
            <w:pPr>
              <w:pStyle w:val="CondicionesFinales"/>
              <w:spacing w:after="0"/>
              <w:ind w:left="147"/>
              <w:rPr>
                <w:color w:val="auto"/>
              </w:rPr>
            </w:pPr>
            <w:r w:rsidRPr="00F44994">
              <w:rPr>
                <w:color w:val="auto"/>
              </w:rPr>
              <w:t>Memoria de cálculo y planos del sitio.</w:t>
            </w:r>
          </w:p>
        </w:tc>
      </w:tr>
    </w:tbl>
    <w:p w:rsidR="007C4016" w:rsidRPr="00D30DB2" w:rsidRDefault="007C4016" w:rsidP="007C4016">
      <w:pPr>
        <w:pStyle w:val="CondicionesFinales"/>
        <w:spacing w:before="240" w:after="0"/>
        <w:jc w:val="center"/>
        <w:rPr>
          <w:b/>
          <w:color w:val="auto"/>
        </w:rPr>
      </w:pPr>
      <w:r w:rsidRPr="00D30DB2">
        <w:rPr>
          <w:b/>
          <w:color w:val="auto"/>
        </w:rPr>
        <w:t>Servicio de Acceso y Uso Compartido de Sitios, Predios y Espacios Físicos</w:t>
      </w:r>
    </w:p>
    <w:tbl>
      <w:tblPr>
        <w:tblStyle w:val="Tablaconcuadrcula"/>
        <w:tblW w:w="4117" w:type="pct"/>
        <w:tblInd w:w="846" w:type="dxa"/>
        <w:tblLook w:val="04A0" w:firstRow="1" w:lastRow="0" w:firstColumn="1" w:lastColumn="0" w:noHBand="0" w:noVBand="1"/>
        <w:tblCaption w:val="Tabla"/>
        <w:tblDescription w:val="Servicio de Acceso y Uso Compartido de Sitios, Predios y Espacios Físicos"/>
      </w:tblPr>
      <w:tblGrid>
        <w:gridCol w:w="2836"/>
        <w:gridCol w:w="4435"/>
      </w:tblGrid>
      <w:tr w:rsidR="007C4016" w:rsidRPr="002076B2" w:rsidTr="005C782A">
        <w:trPr>
          <w:tblHeader/>
        </w:trPr>
        <w:tc>
          <w:tcPr>
            <w:tcW w:w="1950" w:type="pct"/>
            <w:shd w:val="clear" w:color="auto" w:fill="BFBFBF" w:themeFill="background1" w:themeFillShade="BF"/>
          </w:tcPr>
          <w:p w:rsidR="007C4016" w:rsidRPr="00F44994" w:rsidRDefault="007C4016" w:rsidP="005C782A">
            <w:pPr>
              <w:pStyle w:val="CondicionesFinales"/>
              <w:spacing w:after="0"/>
              <w:rPr>
                <w:color w:val="auto"/>
              </w:rPr>
            </w:pPr>
            <w:r w:rsidRPr="00F44994">
              <w:rPr>
                <w:color w:val="auto"/>
              </w:rPr>
              <w:t>Elemento</w:t>
            </w:r>
          </w:p>
        </w:tc>
        <w:tc>
          <w:tcPr>
            <w:tcW w:w="3050" w:type="pct"/>
            <w:shd w:val="clear" w:color="auto" w:fill="BFBFBF" w:themeFill="background1" w:themeFillShade="BF"/>
          </w:tcPr>
          <w:p w:rsidR="007C4016" w:rsidRPr="00F44994" w:rsidRDefault="007C4016" w:rsidP="005C782A">
            <w:pPr>
              <w:pStyle w:val="CondicionesFinales"/>
              <w:spacing w:after="0"/>
              <w:rPr>
                <w:color w:val="auto"/>
              </w:rPr>
            </w:pPr>
            <w:r w:rsidRPr="00F44994">
              <w:rPr>
                <w:color w:val="auto"/>
              </w:rPr>
              <w:t>Información</w:t>
            </w:r>
          </w:p>
        </w:tc>
      </w:tr>
      <w:tr w:rsidR="007C4016" w:rsidRPr="002076B2" w:rsidTr="005C782A">
        <w:tc>
          <w:tcPr>
            <w:tcW w:w="1950" w:type="pct"/>
            <w:vAlign w:val="center"/>
          </w:tcPr>
          <w:p w:rsidR="007C4016" w:rsidRPr="00F44994" w:rsidRDefault="007C4016" w:rsidP="005C782A">
            <w:pPr>
              <w:pStyle w:val="CondicionesFinales"/>
              <w:spacing w:after="0"/>
              <w:ind w:left="147"/>
              <w:rPr>
                <w:color w:val="auto"/>
              </w:rPr>
            </w:pPr>
            <w:r w:rsidRPr="00F44994">
              <w:rPr>
                <w:color w:val="auto"/>
              </w:rPr>
              <w:t>Sitios</w:t>
            </w:r>
          </w:p>
        </w:tc>
        <w:tc>
          <w:tcPr>
            <w:tcW w:w="3050" w:type="pct"/>
          </w:tcPr>
          <w:p w:rsidR="007C4016" w:rsidRPr="00F44994" w:rsidRDefault="007C4016" w:rsidP="005C782A">
            <w:pPr>
              <w:pStyle w:val="CondicionesFinales"/>
              <w:spacing w:after="0"/>
              <w:ind w:left="147"/>
              <w:rPr>
                <w:color w:val="auto"/>
              </w:rPr>
            </w:pPr>
            <w:r w:rsidRPr="00F44994">
              <w:rPr>
                <w:color w:val="auto"/>
              </w:rPr>
              <w:t xml:space="preserve">Ubicación. </w:t>
            </w:r>
          </w:p>
          <w:p w:rsidR="007C4016" w:rsidRPr="00F44994" w:rsidRDefault="007C4016" w:rsidP="005C782A">
            <w:pPr>
              <w:pStyle w:val="CondicionesFinales"/>
              <w:spacing w:after="0"/>
              <w:ind w:left="147"/>
              <w:rPr>
                <w:color w:val="auto"/>
              </w:rPr>
            </w:pPr>
            <w:r w:rsidRPr="00F44994">
              <w:rPr>
                <w:color w:val="auto"/>
              </w:rPr>
              <w:t xml:space="preserve">Descripción del sitio. </w:t>
            </w:r>
          </w:p>
          <w:p w:rsidR="007C4016" w:rsidRPr="00F44994" w:rsidRDefault="007C4016" w:rsidP="005C782A">
            <w:pPr>
              <w:pStyle w:val="CondicionesFinales"/>
              <w:spacing w:after="0"/>
              <w:ind w:left="147"/>
              <w:rPr>
                <w:color w:val="auto"/>
              </w:rPr>
            </w:pPr>
            <w:r w:rsidRPr="00F44994">
              <w:rPr>
                <w:color w:val="auto"/>
              </w:rPr>
              <w:t>Planos del predio, sitio o espacio físicos identificand</w:t>
            </w:r>
            <w:r>
              <w:rPr>
                <w:color w:val="auto"/>
              </w:rPr>
              <w:t xml:space="preserve">o </w:t>
            </w:r>
            <w:r>
              <w:rPr>
                <w:color w:val="auto"/>
              </w:rPr>
              <w:lastRenderedPageBreak/>
              <w:t>espacios utilizados por Telnor</w:t>
            </w:r>
            <w:r w:rsidRPr="00F44994">
              <w:rPr>
                <w:color w:val="auto"/>
              </w:rPr>
              <w:t xml:space="preserve"> y por otros CS.</w:t>
            </w:r>
          </w:p>
        </w:tc>
      </w:tr>
    </w:tbl>
    <w:p w:rsidR="007C4016" w:rsidRPr="00F44994" w:rsidRDefault="007C4016" w:rsidP="007C4016">
      <w:pPr>
        <w:pStyle w:val="CondicionesFinales"/>
        <w:spacing w:before="240" w:after="0"/>
        <w:rPr>
          <w:color w:val="auto"/>
        </w:rPr>
      </w:pPr>
    </w:p>
    <w:p w:rsidR="007C4016" w:rsidRPr="00F44994" w:rsidRDefault="007C4016" w:rsidP="007C4016">
      <w:pPr>
        <w:pStyle w:val="CondicionesFinales"/>
        <w:spacing w:before="240" w:after="0"/>
        <w:rPr>
          <w:color w:val="auto"/>
        </w:rPr>
      </w:pPr>
      <w:r w:rsidRPr="00F44994">
        <w:rPr>
          <w:color w:val="auto"/>
        </w:rPr>
        <w:t xml:space="preserve">La información </w:t>
      </w:r>
      <w:r>
        <w:rPr>
          <w:color w:val="auto"/>
        </w:rPr>
        <w:t xml:space="preserve">antes señalada </w:t>
      </w:r>
      <w:r w:rsidRPr="00F44994">
        <w:rPr>
          <w:color w:val="auto"/>
        </w:rPr>
        <w:t xml:space="preserve">se pondrá a disposición de los Concesionarios Solicitantes una vez firmado el </w:t>
      </w:r>
      <w:r>
        <w:rPr>
          <w:color w:val="auto"/>
        </w:rPr>
        <w:t>acuerdo</w:t>
      </w:r>
      <w:r w:rsidRPr="00F44994">
        <w:rPr>
          <w:color w:val="auto"/>
        </w:rPr>
        <w:t xml:space="preserve"> de </w:t>
      </w:r>
      <w:r>
        <w:rPr>
          <w:color w:val="auto"/>
        </w:rPr>
        <w:t>confidencialidad correspondiente</w:t>
      </w:r>
      <w:r w:rsidRPr="00F44994">
        <w:rPr>
          <w:color w:val="auto"/>
        </w:rPr>
        <w:t>.</w:t>
      </w:r>
    </w:p>
    <w:p w:rsidR="007C4016" w:rsidRPr="006A7AA7" w:rsidRDefault="007C4016" w:rsidP="006A7AA7">
      <w:pPr>
        <w:spacing w:before="240"/>
        <w:rPr>
          <w:rFonts w:ascii="ITC Avant Garde" w:hAnsi="ITC Avant Garde"/>
          <w:b/>
          <w:sz w:val="22"/>
          <w:szCs w:val="22"/>
        </w:rPr>
      </w:pPr>
      <w:r w:rsidRPr="006A7AA7">
        <w:rPr>
          <w:rFonts w:ascii="ITC Avant Garde" w:hAnsi="ITC Avant Garde"/>
          <w:b/>
          <w:sz w:val="22"/>
          <w:szCs w:val="22"/>
        </w:rPr>
        <w:t>III.1 CONSULTA DE INFORMACIÓN CONTENIDA EN EL SEG</w:t>
      </w:r>
    </w:p>
    <w:p w:rsidR="007C4016" w:rsidRPr="001635CF" w:rsidRDefault="007C4016" w:rsidP="007C4016">
      <w:pPr>
        <w:pStyle w:val="IFTnormal"/>
        <w:spacing w:before="240" w:after="0"/>
        <w:rPr>
          <w:b/>
        </w:rPr>
      </w:pPr>
      <w:r w:rsidRPr="009006A3">
        <w:rPr>
          <w:b/>
        </w:rPr>
        <w:t>Consideraciones del Instituto</w:t>
      </w:r>
    </w:p>
    <w:p w:rsidR="007C4016" w:rsidRDefault="007C4016" w:rsidP="007C4016">
      <w:pPr>
        <w:pStyle w:val="IFTnormal"/>
        <w:spacing w:before="240" w:after="0"/>
      </w:pPr>
      <w:r w:rsidRPr="005F6B34">
        <w:rPr>
          <w:b/>
          <w:lang w:val="es-ES"/>
        </w:rPr>
        <w:t xml:space="preserve">CASO 2. Cambios que </w:t>
      </w:r>
      <w:r w:rsidRPr="005F6B34">
        <w:rPr>
          <w:b/>
        </w:rPr>
        <w:t>modifican la redacción de la Propuesta de Oferta de Referencia.</w:t>
      </w:r>
    </w:p>
    <w:p w:rsidR="007C4016" w:rsidRPr="00F44994" w:rsidRDefault="007C4016" w:rsidP="007C4016">
      <w:pPr>
        <w:pStyle w:val="IFTnormal"/>
        <w:spacing w:before="240" w:after="0"/>
      </w:pPr>
      <w:r w:rsidRPr="00F44994">
        <w:t xml:space="preserve">Relativo a la Sección denominada </w:t>
      </w:r>
      <w:r w:rsidRPr="00DC477C">
        <w:rPr>
          <w:b/>
        </w:rPr>
        <w:t>“III.</w:t>
      </w:r>
      <w:r>
        <w:rPr>
          <w:b/>
        </w:rPr>
        <w:t>1</w:t>
      </w:r>
      <w:r w:rsidRPr="00DC477C">
        <w:rPr>
          <w:b/>
        </w:rPr>
        <w:t xml:space="preserve"> </w:t>
      </w:r>
      <w:r>
        <w:rPr>
          <w:b/>
        </w:rPr>
        <w:t xml:space="preserve">CONSULTA DE </w:t>
      </w:r>
      <w:r w:rsidRPr="00DC477C">
        <w:rPr>
          <w:b/>
        </w:rPr>
        <w:t xml:space="preserve">INFORMACIÓN </w:t>
      </w:r>
      <w:r>
        <w:rPr>
          <w:b/>
        </w:rPr>
        <w:t>CONTENIDA EN EL SEG</w:t>
      </w:r>
      <w:r w:rsidRPr="00DC477C">
        <w:rPr>
          <w:b/>
        </w:rPr>
        <w:t>”</w:t>
      </w:r>
      <w:r w:rsidRPr="00F44994">
        <w:t xml:space="preserve">, el AEP en </w:t>
      </w:r>
      <w:r>
        <w:t>la</w:t>
      </w:r>
      <w:r w:rsidRPr="00F44994">
        <w:t xml:space="preserve"> </w:t>
      </w:r>
      <w:r>
        <w:t>P</w:t>
      </w:r>
      <w:r w:rsidRPr="00F44994">
        <w:t xml:space="preserve">ropuesta de </w:t>
      </w:r>
      <w:r>
        <w:t>Oferta de Referencia</w:t>
      </w:r>
      <w:r w:rsidRPr="00F44994">
        <w:t xml:space="preserve"> establece lo siguiente:</w:t>
      </w:r>
    </w:p>
    <w:p w:rsidR="007C4016" w:rsidRDefault="007C4016" w:rsidP="007C4016">
      <w:pPr>
        <w:pStyle w:val="CitaIFT"/>
        <w:spacing w:before="240" w:after="0"/>
      </w:pPr>
      <w:r>
        <w:t>“</w:t>
      </w:r>
      <w:r w:rsidRPr="007C6034">
        <w:t>III.1 Consulta de información contenida en el SEG</w:t>
      </w:r>
    </w:p>
    <w:p w:rsidR="007C4016" w:rsidRDefault="007C4016" w:rsidP="007C4016">
      <w:pPr>
        <w:pStyle w:val="CitaIFT"/>
        <w:spacing w:before="240" w:after="0"/>
      </w:pPr>
      <w:r w:rsidRPr="007C6034">
        <w:t>El acceso al SEG se realiza a través de credenciales (Usuario y Contraseña) y protocolos de comunicación seguros, para lo cual el CS deberá seguir el procedimiento de obtención de credenciales correspondiente.</w:t>
      </w:r>
    </w:p>
    <w:p w:rsidR="007C4016" w:rsidRDefault="007C4016" w:rsidP="007C4016">
      <w:pPr>
        <w:pStyle w:val="CitaIFT"/>
        <w:spacing w:before="240" w:after="0"/>
        <w:rPr>
          <w:b/>
          <w:u w:val="single"/>
        </w:rPr>
      </w:pPr>
      <w:r w:rsidRPr="007C6034">
        <w:rPr>
          <w:b/>
          <w:u w:val="single"/>
        </w:rPr>
        <w:t xml:space="preserve">Procedimiento para acceder al Sistema Electrónico de Gestión: </w:t>
      </w:r>
    </w:p>
    <w:p w:rsidR="007C4016" w:rsidRDefault="007C4016" w:rsidP="007C4016">
      <w:pPr>
        <w:pStyle w:val="CitaIFT"/>
        <w:numPr>
          <w:ilvl w:val="1"/>
          <w:numId w:val="57"/>
        </w:numPr>
        <w:spacing w:before="240" w:after="0"/>
        <w:ind w:left="1418"/>
      </w:pPr>
      <w:r>
        <w:t>El CS deberá solicitar a Telnor</w:t>
      </w:r>
      <w:r w:rsidRPr="007C6034">
        <w:t xml:space="preserve"> el establecimiento de una VPN a través del formato que se adjunta a la presente Oferta dentro del Anexo 1: “SOLICITUD_VPN-IPSec SEG_v2_r0 (2017)”, el cual deberá ser enviado debidamente llenado al correo: hresendi@telmexomsasi.com, en el que  el CS proporcionará información para las configuraciones necesarias y una vez enviada dicha información considerará un tiempo de 10 días hábiles para levantar la conexión.</w:t>
      </w:r>
    </w:p>
    <w:p w:rsidR="007C4016" w:rsidRDefault="007C4016" w:rsidP="007C4016">
      <w:pPr>
        <w:pStyle w:val="CitaIFT"/>
        <w:numPr>
          <w:ilvl w:val="1"/>
          <w:numId w:val="57"/>
        </w:numPr>
        <w:spacing w:before="240" w:after="0"/>
        <w:ind w:left="1418"/>
      </w:pPr>
      <w:r w:rsidRPr="007C6034">
        <w:t>Posterior a la conexión de la VPN el CS solicitará el usuario administrador a través del formato correspondiente del Anexo 1, denominado “FORMATO_ABC_CS” el cual se deberá enviar al correo: hresendi@telmexomsasi.com, y una vez enviada dicha información considerará un tiempo de 3 días hábiles para recibir el usuario y la contraseña. Es importante mencionar que el usuario administrador servirá para dar de alta los usuarios de operación.</w:t>
      </w:r>
    </w:p>
    <w:p w:rsidR="007C4016" w:rsidRDefault="007C4016" w:rsidP="007C4016">
      <w:pPr>
        <w:pStyle w:val="CitaIFT"/>
        <w:spacing w:before="240" w:after="0"/>
        <w:rPr>
          <w:b/>
          <w:u w:val="single"/>
        </w:rPr>
      </w:pPr>
      <w:r w:rsidRPr="007C6034">
        <w:rPr>
          <w:b/>
          <w:u w:val="single"/>
        </w:rPr>
        <w:t>Procedimiento para acceder a la información contenida en el SEG:</w:t>
      </w:r>
    </w:p>
    <w:p w:rsidR="007C4016" w:rsidRPr="007C6034" w:rsidRDefault="007C4016" w:rsidP="007C4016">
      <w:pPr>
        <w:pStyle w:val="CitaIFT"/>
        <w:spacing w:before="240" w:after="0"/>
      </w:pPr>
      <w:r w:rsidRPr="007C6034">
        <w:t>1)</w:t>
      </w:r>
      <w:r w:rsidRPr="007C6034">
        <w:tab/>
      </w:r>
      <w:r>
        <w:t xml:space="preserve"> </w:t>
      </w:r>
      <w:r w:rsidRPr="007C6034">
        <w:t>El CS deberá ingresar al SEG, con su usuario y contrase</w:t>
      </w:r>
      <w:r>
        <w:t>ña asignados por parte de Telnor</w:t>
      </w:r>
      <w:r w:rsidRPr="007C6034">
        <w:t>.</w:t>
      </w:r>
    </w:p>
    <w:p w:rsidR="007C4016" w:rsidRPr="007C6034" w:rsidRDefault="007C4016" w:rsidP="007C4016">
      <w:pPr>
        <w:pStyle w:val="CitaIFT"/>
        <w:spacing w:before="240" w:after="0"/>
      </w:pPr>
      <w:r w:rsidRPr="007C6034">
        <w:t>2)</w:t>
      </w:r>
      <w:r>
        <w:t xml:space="preserve"> </w:t>
      </w:r>
      <w:r w:rsidRPr="007C6034">
        <w:tab/>
        <w:t>Para consultar información el CS deberá ingresar al módulo de consulta de información.</w:t>
      </w:r>
    </w:p>
    <w:p w:rsidR="007C4016" w:rsidRPr="007C6034" w:rsidRDefault="007C4016" w:rsidP="007C4016">
      <w:pPr>
        <w:pStyle w:val="CitaIFT"/>
        <w:spacing w:before="240" w:after="0"/>
      </w:pPr>
      <w:r w:rsidRPr="007C6034">
        <w:lastRenderedPageBreak/>
        <w:t>3)</w:t>
      </w:r>
      <w:r w:rsidRPr="007C6034">
        <w:tab/>
      </w:r>
      <w:r>
        <w:t xml:space="preserve"> </w:t>
      </w:r>
      <w:r w:rsidRPr="007C6034">
        <w:t>En el módulo de consulta de información se desplegarán las distintas categorías de información disponibles.</w:t>
      </w:r>
    </w:p>
    <w:p w:rsidR="007C4016" w:rsidRPr="007C6034" w:rsidRDefault="007C4016" w:rsidP="007C4016">
      <w:pPr>
        <w:pStyle w:val="CitaIFT"/>
        <w:spacing w:before="240" w:after="0"/>
      </w:pPr>
      <w:r w:rsidRPr="007C6034">
        <w:t>4)</w:t>
      </w:r>
      <w:r>
        <w:t xml:space="preserve"> </w:t>
      </w:r>
      <w:r w:rsidRPr="007C6034">
        <w:tab/>
        <w:t>El CS seleccionará la categoría de interés.</w:t>
      </w:r>
    </w:p>
    <w:p w:rsidR="007C4016" w:rsidRDefault="007C4016" w:rsidP="007C4016">
      <w:pPr>
        <w:pStyle w:val="CitaIFT"/>
        <w:spacing w:before="240" w:after="0"/>
      </w:pPr>
      <w:r w:rsidRPr="007C6034">
        <w:t>5)</w:t>
      </w:r>
      <w:r w:rsidRPr="007C6034">
        <w:tab/>
      </w:r>
      <w:r>
        <w:t xml:space="preserve"> </w:t>
      </w:r>
      <w:r w:rsidRPr="007C6034">
        <w:t>El sistema desplegará la información solicitada por el CS.</w:t>
      </w:r>
      <w:r>
        <w:t>”</w:t>
      </w:r>
    </w:p>
    <w:p w:rsidR="007C4016" w:rsidRPr="00F44994" w:rsidRDefault="007C4016" w:rsidP="007C4016">
      <w:pPr>
        <w:pStyle w:val="IFTnormal"/>
        <w:spacing w:before="240" w:after="0"/>
      </w:pPr>
      <w:r>
        <w:t>El Instituto considera que los procedimientos descritos en esta sección para el establecimiento de la conexión para tener acceso al SEG se definen dentro de la “</w:t>
      </w:r>
      <w:r w:rsidRPr="00BA0937">
        <w:rPr>
          <w:b/>
          <w:i/>
        </w:rPr>
        <w:t xml:space="preserve">RESOLUCIÓN MEDIANTE LA CUAL EL PLENO DEL </w:t>
      </w:r>
      <w:r w:rsidRPr="00BA0937">
        <w:rPr>
          <w:b/>
          <w:i/>
          <w:color w:val="111111"/>
        </w:rPr>
        <w:t xml:space="preserve">INSTITUTO </w:t>
      </w:r>
      <w:r w:rsidRPr="00BA0937">
        <w:rPr>
          <w:b/>
          <w:i/>
        </w:rPr>
        <w:t xml:space="preserve">FEDERAL DE TELECOMUNICACIONES FORMALIZA Y RESUELVE LAS CONDICIONES MEDIANTE LAS CUALES SE </w:t>
      </w:r>
      <w:r w:rsidRPr="00BA0937">
        <w:rPr>
          <w:b/>
          <w:i/>
          <w:color w:val="111111"/>
        </w:rPr>
        <w:t xml:space="preserve">IMPLEMENTARÁ </w:t>
      </w:r>
      <w:r w:rsidRPr="00BA0937">
        <w:rPr>
          <w:b/>
          <w:i/>
        </w:rPr>
        <w:t>EL DOCUMENTO DE DISEÑO FUNCIONAL Y TÉCNICO DEL SISTEMA ELECTRÓNICO DE GESTIÓN DE SERVICIOS DE</w:t>
      </w:r>
      <w:r w:rsidRPr="00BA0937">
        <w:rPr>
          <w:b/>
          <w:i/>
          <w:color w:val="424242"/>
        </w:rPr>
        <w:t xml:space="preserve"> </w:t>
      </w:r>
      <w:r w:rsidRPr="00BA0937">
        <w:rPr>
          <w:b/>
          <w:i/>
        </w:rPr>
        <w:t>TELECOMUNICACIONES FIJOS DEL AGENTE ECONÓMICO PREPONDERANTE</w:t>
      </w:r>
      <w:r>
        <w:rPr>
          <w:b/>
          <w:i/>
        </w:rPr>
        <w:t>”</w:t>
      </w:r>
      <w:r>
        <w:t>. Por lo que el Instituto resuelve en razón de evitar duplicidad y posibles confusiones en el contenido de la oferta, eliminar los procedimientos previos al acceso a la información, al no ser materia de esta Oferta de Referencia, para quedar de la siguiente manera:</w:t>
      </w:r>
    </w:p>
    <w:p w:rsidR="007C4016" w:rsidRPr="00F44994" w:rsidRDefault="007C4016" w:rsidP="007C4016">
      <w:pPr>
        <w:pStyle w:val="IFTnormal"/>
        <w:spacing w:before="240" w:after="0"/>
        <w:rPr>
          <w:b/>
          <w:lang w:val="es-ES"/>
        </w:rPr>
      </w:pPr>
      <w:r w:rsidRPr="00F44994">
        <w:rPr>
          <w:b/>
          <w:lang w:val="es-ES"/>
        </w:rPr>
        <w:t>Redacción Definitiva</w:t>
      </w:r>
    </w:p>
    <w:p w:rsidR="007C4016" w:rsidRDefault="007C4016" w:rsidP="007C4016">
      <w:pPr>
        <w:pStyle w:val="CondicionesFinales"/>
        <w:spacing w:before="240" w:after="0"/>
        <w:rPr>
          <w:b/>
        </w:rPr>
      </w:pPr>
      <w:r w:rsidRPr="00626BE0">
        <w:rPr>
          <w:b/>
        </w:rPr>
        <w:t>III.1 Consulta de información contenida en el SEG</w:t>
      </w:r>
    </w:p>
    <w:p w:rsidR="007C4016" w:rsidRDefault="007C4016" w:rsidP="007C4016">
      <w:pPr>
        <w:pStyle w:val="CondicionesFinales"/>
        <w:spacing w:before="240" w:after="0"/>
        <w:rPr>
          <w:b/>
          <w:u w:val="single"/>
        </w:rPr>
      </w:pPr>
      <w:r w:rsidRPr="000C1BE9">
        <w:rPr>
          <w:b/>
          <w:u w:val="single"/>
        </w:rPr>
        <w:t>Procedimiento para acceder a la información contenida en el SEG:</w:t>
      </w:r>
    </w:p>
    <w:p w:rsidR="007C4016" w:rsidRDefault="007C4016" w:rsidP="007C4016">
      <w:pPr>
        <w:pStyle w:val="CondicionesFinales"/>
        <w:numPr>
          <w:ilvl w:val="1"/>
          <w:numId w:val="161"/>
        </w:numPr>
        <w:spacing w:before="240" w:after="0"/>
        <w:ind w:left="1560" w:hanging="425"/>
      </w:pPr>
      <w:r>
        <w:t>El CS deberá ingresar al SEG, con su usuario y contraseña asignados por parte de Telnor.</w:t>
      </w:r>
    </w:p>
    <w:p w:rsidR="007C4016" w:rsidRDefault="007C4016" w:rsidP="007C4016">
      <w:pPr>
        <w:pStyle w:val="CondicionesFinales"/>
        <w:numPr>
          <w:ilvl w:val="1"/>
          <w:numId w:val="161"/>
        </w:numPr>
        <w:spacing w:after="0"/>
        <w:ind w:left="1560" w:hanging="425"/>
      </w:pPr>
      <w:r>
        <w:t>Para consultar información el CS deberá ingresar al módulo de consulta de información.</w:t>
      </w:r>
    </w:p>
    <w:p w:rsidR="007C4016" w:rsidRDefault="007C4016" w:rsidP="007C4016">
      <w:pPr>
        <w:pStyle w:val="CondicionesFinales"/>
        <w:numPr>
          <w:ilvl w:val="1"/>
          <w:numId w:val="161"/>
        </w:numPr>
        <w:spacing w:after="0"/>
        <w:ind w:left="1560" w:hanging="425"/>
      </w:pPr>
      <w:r>
        <w:t>En el módulo de consulta de información se desplegarán las distintas categorías de información disponibles.</w:t>
      </w:r>
    </w:p>
    <w:p w:rsidR="007C4016" w:rsidRDefault="007C4016" w:rsidP="007C4016">
      <w:pPr>
        <w:pStyle w:val="CondicionesFinales"/>
        <w:numPr>
          <w:ilvl w:val="1"/>
          <w:numId w:val="161"/>
        </w:numPr>
        <w:spacing w:after="0"/>
        <w:ind w:left="1560" w:hanging="425"/>
      </w:pPr>
      <w:r>
        <w:t>El CS seleccionará la categoría de interés.</w:t>
      </w:r>
    </w:p>
    <w:p w:rsidR="007C4016" w:rsidRDefault="007C4016" w:rsidP="007C4016">
      <w:pPr>
        <w:pStyle w:val="CondicionesFinales"/>
        <w:numPr>
          <w:ilvl w:val="1"/>
          <w:numId w:val="161"/>
        </w:numPr>
        <w:spacing w:after="0"/>
        <w:ind w:left="1560" w:hanging="425"/>
      </w:pPr>
      <w:r>
        <w:t>El sistema desplegará la información solicitada por el CS.</w:t>
      </w:r>
    </w:p>
    <w:p w:rsidR="007C4016" w:rsidRPr="006A7AA7" w:rsidRDefault="007C4016" w:rsidP="006A7AA7">
      <w:pPr>
        <w:spacing w:before="240"/>
        <w:rPr>
          <w:rFonts w:ascii="ITC Avant Garde" w:hAnsi="ITC Avant Garde"/>
          <w:b/>
          <w:sz w:val="22"/>
          <w:szCs w:val="22"/>
        </w:rPr>
      </w:pPr>
      <w:r w:rsidRPr="006A7AA7">
        <w:rPr>
          <w:rFonts w:ascii="ITC Avant Garde" w:hAnsi="ITC Avant Garde"/>
          <w:b/>
          <w:sz w:val="22"/>
          <w:szCs w:val="22"/>
        </w:rPr>
        <w:t>1.</w:t>
      </w:r>
      <w:r w:rsidRPr="006A7AA7">
        <w:rPr>
          <w:rFonts w:ascii="ITC Avant Garde" w:hAnsi="ITC Avant Garde"/>
          <w:b/>
          <w:sz w:val="22"/>
          <w:szCs w:val="22"/>
        </w:rPr>
        <w:tab/>
        <w:t>SERVICIO DE ACCESO Y USO COMPARTIDO DE OBRA CIVIL</w:t>
      </w:r>
    </w:p>
    <w:p w:rsidR="007C4016" w:rsidRPr="00BF4959" w:rsidRDefault="007C4016" w:rsidP="007C4016">
      <w:pPr>
        <w:pStyle w:val="IFTnormal"/>
        <w:spacing w:before="240" w:after="0"/>
        <w:rPr>
          <w:b/>
        </w:rPr>
      </w:pPr>
      <w:r w:rsidRPr="00BF4959">
        <w:rPr>
          <w:b/>
        </w:rPr>
        <w:t>Consideraciones del Instituto</w:t>
      </w:r>
    </w:p>
    <w:p w:rsidR="007C4016" w:rsidRDefault="007C4016" w:rsidP="007C4016">
      <w:pPr>
        <w:pStyle w:val="IFTnormal"/>
        <w:spacing w:before="240" w:after="0"/>
        <w:rPr>
          <w:b/>
          <w:lang w:val="es-ES"/>
        </w:rPr>
      </w:pPr>
      <w:r w:rsidRPr="002802DB">
        <w:rPr>
          <w:b/>
          <w:lang w:val="es-ES"/>
        </w:rPr>
        <w:t xml:space="preserve">CASO 1. </w:t>
      </w:r>
      <w:r w:rsidRPr="002802DB">
        <w:rPr>
          <w:b/>
        </w:rPr>
        <w:t>Cambios que recuperan la redacción de la Oferta de Referencia Vigente</w:t>
      </w:r>
      <w:r w:rsidRPr="002802DB">
        <w:rPr>
          <w:b/>
          <w:lang w:val="es-ES"/>
        </w:rPr>
        <w:t>.</w:t>
      </w:r>
    </w:p>
    <w:p w:rsidR="007C4016" w:rsidRDefault="007C4016" w:rsidP="007C4016">
      <w:pPr>
        <w:pStyle w:val="IFTnormal"/>
        <w:spacing w:before="240" w:after="0"/>
        <w:rPr>
          <w:lang w:val="es-ES"/>
        </w:rPr>
      </w:pPr>
      <w:r>
        <w:rPr>
          <w:lang w:val="es-ES"/>
        </w:rPr>
        <w:t>El Instituto considera que los cambios presentados por el AEP en el numeral “</w:t>
      </w:r>
      <w:r w:rsidRPr="00C25D42">
        <w:rPr>
          <w:i/>
          <w:lang w:val="es-ES"/>
        </w:rPr>
        <w:t>1.</w:t>
      </w:r>
      <w:r w:rsidRPr="00C25D42">
        <w:rPr>
          <w:i/>
          <w:lang w:val="es-ES"/>
        </w:rPr>
        <w:tab/>
        <w:t>SERVICIO DE ACCESO Y USO COMPARTIDO DE OBRA CIVIL</w:t>
      </w:r>
      <w:r>
        <w:rPr>
          <w:lang w:val="es-ES"/>
        </w:rPr>
        <w:t>” no son aceptables, ya que elimina de la obra c</w:t>
      </w:r>
      <w:r w:rsidRPr="00591D13">
        <w:rPr>
          <w:lang w:val="es-ES"/>
        </w:rPr>
        <w:t>ivil existente a la cual puede acceder el CS</w:t>
      </w:r>
      <w:r>
        <w:rPr>
          <w:lang w:val="es-ES"/>
        </w:rPr>
        <w:t xml:space="preserve">, la canalización y derechos de vía, lo cual no se apega a la Medida TERCERA de las Medidas Fijas, </w:t>
      </w:r>
      <w:r>
        <w:rPr>
          <w:lang w:val="es-ES"/>
        </w:rPr>
        <w:lastRenderedPageBreak/>
        <w:t>que indica que se entenderá como Acceso y Uso Compartido de Infraestructura Pasiva el uso por dos o más redes públicas de telecomunicaciones de la Infraestructura Pasiva. Entendiéndose por Infraestructura Pasiva, como se encuentra previsto en el artículo 3 de la Ley Federal de Telecomunicaciones y Radiodifusión, lo siguiente:</w:t>
      </w:r>
    </w:p>
    <w:p w:rsidR="007C4016" w:rsidRDefault="007C4016" w:rsidP="007C4016">
      <w:pPr>
        <w:pStyle w:val="Citaift0"/>
        <w:spacing w:before="240" w:after="0"/>
        <w:rPr>
          <w:lang w:val="es-ES"/>
        </w:rPr>
      </w:pPr>
      <w:r>
        <w:rPr>
          <w:lang w:val="es-ES"/>
        </w:rPr>
        <w:t>“</w:t>
      </w:r>
      <w:r w:rsidRPr="009A058A">
        <w:rPr>
          <w:b/>
          <w:lang w:val="es-ES"/>
        </w:rPr>
        <w:t>Artículo 3</w:t>
      </w:r>
      <w:r w:rsidRPr="009A058A">
        <w:rPr>
          <w:lang w:val="es-ES"/>
        </w:rPr>
        <w:t>. Para los efectos de esta Ley se entenderá por:</w:t>
      </w:r>
    </w:p>
    <w:p w:rsidR="007C4016" w:rsidRDefault="007C4016" w:rsidP="007C4016">
      <w:pPr>
        <w:pStyle w:val="Citaift0"/>
        <w:spacing w:before="240" w:after="0"/>
        <w:rPr>
          <w:lang w:val="es-ES"/>
        </w:rPr>
      </w:pPr>
      <w:r>
        <w:rPr>
          <w:lang w:val="es-ES"/>
        </w:rPr>
        <w:t>(…)</w:t>
      </w:r>
    </w:p>
    <w:p w:rsidR="007C4016" w:rsidRDefault="007C4016" w:rsidP="007C4016">
      <w:pPr>
        <w:pStyle w:val="Citaift0"/>
        <w:spacing w:before="240" w:after="0"/>
        <w:rPr>
          <w:lang w:val="es-ES"/>
        </w:rPr>
      </w:pPr>
      <w:r w:rsidRPr="009A058A">
        <w:rPr>
          <w:b/>
          <w:lang w:val="es-ES"/>
        </w:rPr>
        <w:t>XXVII.</w:t>
      </w:r>
      <w:r w:rsidRPr="009A058A">
        <w:rPr>
          <w:lang w:val="es-ES"/>
        </w:rPr>
        <w:t xml:space="preserve"> </w:t>
      </w:r>
      <w:r w:rsidRPr="00CF0CEE">
        <w:rPr>
          <w:b/>
          <w:lang w:val="es-ES"/>
        </w:rPr>
        <w:t>Infraestructura pasiva:</w:t>
      </w:r>
      <w:r w:rsidRPr="009A058A">
        <w:rPr>
          <w:lang w:val="es-ES"/>
        </w:rPr>
        <w:t xml:space="preserve"> Elementos accesorios que proporcionan soporte a la infraestructura</w:t>
      </w:r>
      <w:r>
        <w:rPr>
          <w:lang w:val="es-ES"/>
        </w:rPr>
        <w:t xml:space="preserve"> </w:t>
      </w:r>
      <w:r w:rsidRPr="009A058A">
        <w:rPr>
          <w:lang w:val="es-ES"/>
        </w:rPr>
        <w:t>activa, entre otros, bastidores, cableado subterráneo y aéreo, canalizaciones, construcciones,</w:t>
      </w:r>
      <w:r>
        <w:rPr>
          <w:lang w:val="es-ES"/>
        </w:rPr>
        <w:t xml:space="preserve"> </w:t>
      </w:r>
      <w:r w:rsidRPr="009A058A">
        <w:rPr>
          <w:lang w:val="es-ES"/>
        </w:rPr>
        <w:t>ductos, obras, postes, sistemas de suministro y respaldo de energía eléctrica, sistemas de</w:t>
      </w:r>
      <w:r>
        <w:rPr>
          <w:lang w:val="es-ES"/>
        </w:rPr>
        <w:t xml:space="preserve"> </w:t>
      </w:r>
      <w:r w:rsidRPr="009A058A">
        <w:rPr>
          <w:lang w:val="es-ES"/>
        </w:rPr>
        <w:t>climatización, sitios, torres y demás aditamentos, incluyendo derechos de vía, que sean</w:t>
      </w:r>
      <w:r>
        <w:rPr>
          <w:lang w:val="es-ES"/>
        </w:rPr>
        <w:t xml:space="preserve"> </w:t>
      </w:r>
      <w:r w:rsidRPr="009A058A">
        <w:rPr>
          <w:lang w:val="es-ES"/>
        </w:rPr>
        <w:t>necesarios para la instalación y operación</w:t>
      </w:r>
      <w:r>
        <w:rPr>
          <w:lang w:val="es-ES"/>
        </w:rPr>
        <w:t xml:space="preserve"> </w:t>
      </w:r>
      <w:r w:rsidRPr="009A058A">
        <w:rPr>
          <w:lang w:val="es-ES"/>
        </w:rPr>
        <w:t>de las redes, así como para la prestación de servicios</w:t>
      </w:r>
      <w:r>
        <w:rPr>
          <w:lang w:val="es-ES"/>
        </w:rPr>
        <w:t xml:space="preserve"> </w:t>
      </w:r>
      <w:r w:rsidRPr="009A058A">
        <w:rPr>
          <w:lang w:val="es-ES"/>
        </w:rPr>
        <w:t>de telecomunicaciones y radiodifusión;</w:t>
      </w:r>
    </w:p>
    <w:p w:rsidR="007C4016" w:rsidRDefault="007C4016" w:rsidP="007C4016">
      <w:pPr>
        <w:pStyle w:val="Citaift0"/>
        <w:spacing w:before="240" w:after="0"/>
        <w:rPr>
          <w:lang w:val="es-ES"/>
        </w:rPr>
      </w:pPr>
      <w:r w:rsidRPr="009A058A">
        <w:rPr>
          <w:lang w:val="es-ES"/>
        </w:rPr>
        <w:t>(…)</w:t>
      </w:r>
      <w:r>
        <w:rPr>
          <w:lang w:val="es-ES"/>
        </w:rPr>
        <w:t>”</w:t>
      </w:r>
    </w:p>
    <w:p w:rsidR="007C4016" w:rsidRDefault="007C4016" w:rsidP="007C4016">
      <w:pPr>
        <w:pStyle w:val="IFTnormal"/>
        <w:spacing w:before="240" w:after="0"/>
      </w:pPr>
      <w:r>
        <w:rPr>
          <w:lang w:val="es-ES"/>
        </w:rPr>
        <w:t>De lo cual es claro que se debe considerar, entre otros elementos, la canalización y el derecho de vía.</w:t>
      </w:r>
      <w:r>
        <w:t xml:space="preserve"> </w:t>
      </w:r>
    </w:p>
    <w:p w:rsidR="007C4016" w:rsidRPr="002802DB"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pPr>
      <w:r>
        <w:t>El Instituto considera que la redacción propuesta</w:t>
      </w:r>
      <w:r w:rsidRPr="00DB0F30">
        <w:t xml:space="preserve"> </w:t>
      </w:r>
      <w:r>
        <w:t xml:space="preserve">en </w:t>
      </w:r>
      <w:r w:rsidRPr="00DB0F30">
        <w:t xml:space="preserve">el </w:t>
      </w:r>
      <w:r>
        <w:t>Numeral “</w:t>
      </w:r>
      <w:r w:rsidRPr="00A66A6A">
        <w:rPr>
          <w:i/>
        </w:rPr>
        <w:t>1.</w:t>
      </w:r>
      <w:r w:rsidRPr="00A66A6A">
        <w:rPr>
          <w:i/>
        </w:rPr>
        <w:tab/>
      </w:r>
      <w:r>
        <w:rPr>
          <w:i/>
        </w:rPr>
        <w:t xml:space="preserve"> Servicio de Acceso y Uso Compartido de O</w:t>
      </w:r>
      <w:r w:rsidRPr="00531E60">
        <w:rPr>
          <w:i/>
        </w:rPr>
        <w:t xml:space="preserve">bra </w:t>
      </w:r>
      <w:r>
        <w:rPr>
          <w:i/>
        </w:rPr>
        <w:t>C</w:t>
      </w:r>
      <w:r w:rsidRPr="00531E60">
        <w:rPr>
          <w:i/>
        </w:rPr>
        <w:t>ivil</w:t>
      </w:r>
      <w:r>
        <w:t xml:space="preserve">” de </w:t>
      </w:r>
      <w:r w:rsidRPr="00DB0F30">
        <w:t>la Propuesta de Oferta de Referencia del AEP</w:t>
      </w:r>
      <w:r>
        <w:t xml:space="preserve">, carece del establecimiento de los servicios de manera específica y condiciones que aplican a cada servicio, como lo indica la Medida </w:t>
      </w:r>
      <w:r w:rsidRPr="00723EE5">
        <w:t>CUADRAGÉSIMA PRIMERA</w:t>
      </w:r>
      <w:r>
        <w:t xml:space="preserve"> de las Medidas Fijas que a la letra dice lo siguiente:</w:t>
      </w:r>
    </w:p>
    <w:p w:rsidR="007C4016" w:rsidRDefault="007C4016" w:rsidP="007C4016">
      <w:pPr>
        <w:pStyle w:val="Citaift0"/>
        <w:spacing w:before="240" w:after="0"/>
      </w:pPr>
      <w:r>
        <w:t>“</w:t>
      </w:r>
      <w:r w:rsidRPr="00723EE5">
        <w:rPr>
          <w:b/>
        </w:rPr>
        <w:t>CUADRAGÉSIMA PRIMERA</w:t>
      </w:r>
      <w:r>
        <w:t xml:space="preserve">.- </w:t>
      </w:r>
    </w:p>
    <w:p w:rsidR="007C4016" w:rsidRDefault="007C4016" w:rsidP="007C4016">
      <w:pPr>
        <w:pStyle w:val="Citaift0"/>
        <w:spacing w:before="240" w:after="0"/>
      </w:pPr>
      <w:r>
        <w:t>(…)</w:t>
      </w:r>
    </w:p>
    <w:p w:rsidR="007C4016" w:rsidRDefault="007C4016" w:rsidP="007C4016">
      <w:pPr>
        <w:pStyle w:val="Citaift0"/>
        <w:spacing w:before="240" w:after="0"/>
      </w:pPr>
      <w:r>
        <w:t>Cada oferta deberá contener cuando menos lo siguiente:</w:t>
      </w:r>
    </w:p>
    <w:p w:rsidR="007C4016" w:rsidRDefault="007C4016" w:rsidP="007C4016">
      <w:pPr>
        <w:pStyle w:val="Citaift0"/>
        <w:spacing w:before="240" w:after="0"/>
      </w:pPr>
      <w:r>
        <w:t>a)</w:t>
      </w:r>
      <w:r>
        <w:tab/>
        <w:t>Servicios establecidos de manera específica y condiciones aplicables a los mismos;</w:t>
      </w:r>
    </w:p>
    <w:p w:rsidR="007C4016" w:rsidRDefault="007C4016" w:rsidP="007C4016">
      <w:pPr>
        <w:pStyle w:val="Citaift0"/>
        <w:spacing w:before="240" w:after="0"/>
      </w:pPr>
      <w:r>
        <w:t>b)</w:t>
      </w:r>
      <w:r>
        <w:tab/>
        <w:t>Características de los servicios incluidos, así como de los servicios auxiliares en caso de ser necesarios;</w:t>
      </w:r>
    </w:p>
    <w:p w:rsidR="007C4016" w:rsidRDefault="007C4016" w:rsidP="007C4016">
      <w:pPr>
        <w:pStyle w:val="Citaift0"/>
        <w:spacing w:before="240" w:after="0"/>
      </w:pPr>
      <w:r>
        <w:lastRenderedPageBreak/>
        <w:t>(…)”</w:t>
      </w:r>
    </w:p>
    <w:p w:rsidR="007C4016" w:rsidRDefault="007C4016" w:rsidP="007C4016">
      <w:pPr>
        <w:pStyle w:val="IFTnormal"/>
        <w:spacing w:before="240" w:after="0"/>
      </w:pPr>
      <w:r>
        <w:t>Al respecto el Instituto observa que la propuesta del ANEXO 2 “</w:t>
      </w:r>
      <w:r w:rsidRPr="00B1442B">
        <w:rPr>
          <w:i/>
        </w:rPr>
        <w:t>NORMATIVA TÉCNICA</w:t>
      </w:r>
      <w:r>
        <w:t>” contiene elementos ajenos o no directamente vinculados con la normativa técnica, sino más bien relacionados con aspectos administrativos y operativos, lo cual no otorga claridad a la Oferta de Referencia haciéndola confusa, ni da certeza a los CS sobre los alcances del servicio. Lo anterior podría derivar en el establecimiento de condiciones que inhiban la competencia en la prestación de los servicios objeto de la Oferta de Referencia o requisitos que no sean necesarios para la eficiente prestación de los mismos. Esto último conforme lo indicado en la Medida CUADRAGÉSIMA PRIMERA de las Medidas Fijas, y que a la letra dice lo siguiente:</w:t>
      </w:r>
    </w:p>
    <w:p w:rsidR="007C4016" w:rsidRDefault="007C4016" w:rsidP="007C4016">
      <w:pPr>
        <w:pStyle w:val="Citaift0"/>
        <w:spacing w:before="240" w:after="0"/>
      </w:pPr>
      <w:r>
        <w:t>“</w:t>
      </w:r>
      <w:r w:rsidRPr="00417AE1">
        <w:rPr>
          <w:b/>
        </w:rPr>
        <w:t>CUADRAGÉSIMA PRIMERA.-</w:t>
      </w:r>
    </w:p>
    <w:p w:rsidR="007C4016" w:rsidRDefault="007C4016" w:rsidP="007C4016">
      <w:pPr>
        <w:pStyle w:val="Citaift0"/>
        <w:spacing w:before="240" w:after="0"/>
      </w:pPr>
      <w:r>
        <w:t>(…)</w:t>
      </w:r>
    </w:p>
    <w:p w:rsidR="007C4016" w:rsidRDefault="007C4016" w:rsidP="007C4016">
      <w:pPr>
        <w:pStyle w:val="Citaift0"/>
        <w:spacing w:before="240" w:after="0"/>
      </w:pPr>
      <w:r w:rsidRPr="00417AE1">
        <w:t>El Agente Económico Preponderante no podrá establecer condiciones que inhiban la competencia en la prestación de los servicios objeto de las Ofertas de Referencia, cualquier requisito que no sea necesario para la eficiente prestación del servicio, ni:</w:t>
      </w:r>
    </w:p>
    <w:p w:rsidR="007C4016" w:rsidRDefault="007C4016" w:rsidP="007C4016">
      <w:pPr>
        <w:pStyle w:val="Citaift0"/>
        <w:spacing w:before="240" w:after="0"/>
      </w:pPr>
      <w:r>
        <w:t>(…)”</w:t>
      </w:r>
    </w:p>
    <w:p w:rsidR="007C4016" w:rsidRDefault="007C4016" w:rsidP="007C4016">
      <w:pPr>
        <w:pStyle w:val="IFTnormal"/>
        <w:spacing w:before="240" w:after="0"/>
      </w:pPr>
      <w:r>
        <w:t xml:space="preserve">Por lo anterior, el Instituto considera que elementos </w:t>
      </w:r>
      <w:r w:rsidRPr="00AD26C1">
        <w:t xml:space="preserve">no relacionado con </w:t>
      </w:r>
      <w:r>
        <w:t>Normativa Técnica establecidos en el ANEXO 2 “</w:t>
      </w:r>
      <w:r w:rsidRPr="00B1442B">
        <w:rPr>
          <w:i/>
        </w:rPr>
        <w:t>NORMATIVA TÉCNICA</w:t>
      </w:r>
      <w:r>
        <w:t xml:space="preserve">” deberán estar contenidos en </w:t>
      </w:r>
      <w:r w:rsidRPr="00AD26C1">
        <w:t>la descripción</w:t>
      </w:r>
      <w:r>
        <w:t>,</w:t>
      </w:r>
      <w:r w:rsidRPr="00AD26C1">
        <w:t xml:space="preserve"> alcance y procedimiento para </w:t>
      </w:r>
      <w:r>
        <w:t>la prestación</w:t>
      </w:r>
      <w:r w:rsidRPr="00AD26C1">
        <w:t xml:space="preserve"> </w:t>
      </w:r>
      <w:r>
        <w:t>d</w:t>
      </w:r>
      <w:r w:rsidRPr="00AD26C1">
        <w:t xml:space="preserve">el </w:t>
      </w:r>
      <w:r>
        <w:t xml:space="preserve">Servicio de Acceso y Uso Compartido de Obra Civil o en las secciones correspondientes dentro de la Oferta de Referencia, ya que por su naturaleza y alcance pertenecen a la parte descriptiva de los servicios, otorgando con ello mayor claridad y precisión a los CS. </w:t>
      </w:r>
      <w:r w:rsidRPr="00AD26C1">
        <w:t xml:space="preserve">En ese sentido y con la finalidad de brindar mayor certeza a los CS sobre lo </w:t>
      </w:r>
      <w:r>
        <w:t>descrito</w:t>
      </w:r>
      <w:r w:rsidRPr="00AD26C1">
        <w:t xml:space="preserve"> en el ANEXO 2</w:t>
      </w:r>
      <w:r>
        <w:t xml:space="preserve"> “</w:t>
      </w:r>
      <w:r w:rsidRPr="00B1442B">
        <w:rPr>
          <w:i/>
        </w:rPr>
        <w:t>NORMATIVA TÉCNICA</w:t>
      </w:r>
      <w:r>
        <w:t>”</w:t>
      </w:r>
      <w:r w:rsidRPr="00AD26C1">
        <w:t>, es necesario modificarlo para que queden solo cuestiones de cri</w:t>
      </w:r>
      <w:r>
        <w:t>terios técnicos y su normativa.</w:t>
      </w:r>
    </w:p>
    <w:p w:rsidR="007C4016" w:rsidRDefault="007C4016" w:rsidP="007C4016">
      <w:pPr>
        <w:pStyle w:val="IFTnormal"/>
        <w:spacing w:before="240" w:after="0"/>
      </w:pPr>
      <w:r>
        <w:t>Por lo que el Instituto considera conveniente estructurar los servicios ofrecidos con el establecimiento específico de cada uno y sus condiciones aplicables así como sus características, con el objetivo de dotar de claridad la Oferta de Referencia y dar mayor certeza a los CS en la prestación de los servicios.</w:t>
      </w:r>
    </w:p>
    <w:p w:rsidR="007C4016" w:rsidRDefault="007C4016" w:rsidP="007C4016">
      <w:pPr>
        <w:pStyle w:val="IFTnormal"/>
        <w:spacing w:before="240" w:after="0"/>
      </w:pPr>
      <w:r>
        <w:lastRenderedPageBreak/>
        <w:t>Por otro lado, el AEP establece en el numeral “</w:t>
      </w:r>
      <w:r w:rsidRPr="00531E60">
        <w:rPr>
          <w:i/>
        </w:rPr>
        <w:t>1.</w:t>
      </w:r>
      <w:r w:rsidRPr="00531E60">
        <w:rPr>
          <w:i/>
        </w:rPr>
        <w:tab/>
      </w:r>
      <w:r>
        <w:rPr>
          <w:i/>
        </w:rPr>
        <w:t xml:space="preserve"> Servicio de Acceso y Uso Compartido de O</w:t>
      </w:r>
      <w:r w:rsidRPr="00531E60">
        <w:rPr>
          <w:i/>
        </w:rPr>
        <w:t xml:space="preserve">bra </w:t>
      </w:r>
      <w:r>
        <w:rPr>
          <w:i/>
        </w:rPr>
        <w:t>C</w:t>
      </w:r>
      <w:r w:rsidRPr="00531E60">
        <w:rPr>
          <w:i/>
        </w:rPr>
        <w:t>ivil</w:t>
      </w:r>
      <w:r>
        <w:t>” de su</w:t>
      </w:r>
      <w:r w:rsidRPr="00DB0F30">
        <w:t xml:space="preserve"> Propuesta de Oferta de Referencia </w:t>
      </w:r>
      <w:r>
        <w:t>lo siguiente:</w:t>
      </w:r>
    </w:p>
    <w:p w:rsidR="007C4016" w:rsidRPr="00B65784" w:rsidRDefault="007C4016" w:rsidP="007C4016">
      <w:pPr>
        <w:pStyle w:val="Citaift0"/>
        <w:spacing w:before="240" w:after="0"/>
        <w:rPr>
          <w:b/>
        </w:rPr>
      </w:pPr>
      <w:r>
        <w:t>“</w:t>
      </w:r>
      <w:r w:rsidRPr="00B65784">
        <w:rPr>
          <w:b/>
        </w:rPr>
        <w:t>1.</w:t>
      </w:r>
      <w:r w:rsidRPr="00B65784">
        <w:rPr>
          <w:b/>
        </w:rPr>
        <w:tab/>
        <w:t>Servicio de Acceso y Uso compartido de Obra Civil</w:t>
      </w:r>
    </w:p>
    <w:p w:rsidR="007C4016" w:rsidRDefault="007C4016" w:rsidP="007C4016">
      <w:pPr>
        <w:pStyle w:val="Citaift0"/>
        <w:spacing w:before="240" w:after="0"/>
      </w:pPr>
      <w:r>
        <w:t>(…)</w:t>
      </w:r>
    </w:p>
    <w:p w:rsidR="007C4016" w:rsidRDefault="007C4016" w:rsidP="007C4016">
      <w:pPr>
        <w:pStyle w:val="Citaift0"/>
        <w:spacing w:before="240" w:after="0"/>
      </w:pPr>
      <w:r w:rsidRPr="00B65784">
        <w:t xml:space="preserve">En las canalizaciones se podrán solicitar los ductos </w:t>
      </w:r>
      <w:r w:rsidRPr="004671BD">
        <w:rPr>
          <w:b/>
          <w:u w:val="single"/>
        </w:rPr>
        <w:t>vacantes</w:t>
      </w:r>
      <w:r w:rsidRPr="00B65784">
        <w:rPr>
          <w:b/>
        </w:rPr>
        <w:t xml:space="preserve"> </w:t>
      </w:r>
      <w:r w:rsidRPr="00B65784">
        <w:t>en una ruta específica para desplegar cableado para la provisión de servicios de telecomunicaciones, ofreciéndose ductos de 35.5, 45 y 60, 80 y 100 mm</w:t>
      </w:r>
      <w:r>
        <w:t xml:space="preserve">. Los ductos de 80 o de 100 mm </w:t>
      </w:r>
      <w:r w:rsidRPr="00B65784">
        <w:t>podrán ser subdivididos en 2 o 3 ductos de 35.5 mm de acuerdo a la normatividad técnica (Anexo 2), con el objetivo de que más de un CS pueda compartir el ducto referido.</w:t>
      </w:r>
    </w:p>
    <w:p w:rsidR="007C4016" w:rsidRDefault="007C4016" w:rsidP="007C4016">
      <w:pPr>
        <w:pStyle w:val="Citaift0"/>
        <w:spacing w:before="240" w:after="0"/>
      </w:pPr>
      <w:r>
        <w:t>(…)”</w:t>
      </w:r>
    </w:p>
    <w:p w:rsidR="007C4016" w:rsidRDefault="007C4016" w:rsidP="007C4016">
      <w:pPr>
        <w:pStyle w:val="Citaift0"/>
        <w:spacing w:before="240" w:after="0"/>
      </w:pPr>
      <w:r w:rsidRPr="00A13CA4">
        <w:rPr>
          <w:b/>
          <w:u w:val="single"/>
        </w:rPr>
        <w:t>Los ductos o subductos de mantenimiento de una canalización no serán objeto de us</w:t>
      </w:r>
      <w:r w:rsidRPr="00840F69">
        <w:rPr>
          <w:b/>
          <w:u w:val="single"/>
        </w:rPr>
        <w:t>o compartido</w:t>
      </w:r>
      <w:r w:rsidRPr="009006A3">
        <w:t>, ya que estos se planearon para atender el m</w:t>
      </w:r>
      <w:r>
        <w:t>antenimiento de la Red de Telnor</w:t>
      </w:r>
      <w:r w:rsidRPr="009006A3">
        <w:t xml:space="preserve"> o bien para sustitución en caso</w:t>
      </w:r>
      <w:r w:rsidRPr="005F6B34">
        <w:t xml:space="preserve"> de falla de alguno de los ductos de la canalización”</w:t>
      </w:r>
    </w:p>
    <w:p w:rsidR="007C4016" w:rsidRDefault="007C4016" w:rsidP="007C4016">
      <w:pPr>
        <w:pStyle w:val="Citaift0"/>
        <w:spacing w:before="240" w:after="0"/>
        <w:jc w:val="right"/>
      </w:pPr>
      <w:r>
        <w:t>(Énfasis añadido)</w:t>
      </w:r>
    </w:p>
    <w:p w:rsidR="007C4016" w:rsidRDefault="007C4016" w:rsidP="007C4016">
      <w:pPr>
        <w:pStyle w:val="IFTnormal"/>
        <w:spacing w:before="240" w:after="0"/>
        <w:rPr>
          <w:lang w:val="es-ES"/>
        </w:rPr>
      </w:pPr>
      <w:r>
        <w:rPr>
          <w:lang w:val="es-ES"/>
        </w:rPr>
        <w:t>De lo anterior el Instituto da cuenta de que el AEP condiciona los ductos y subductos que pondrá a disposición de los CS son solo los “vacantes”, y no hace disponibles los asignados a mantenimiento</w:t>
      </w:r>
      <w:r w:rsidDel="00244F7A">
        <w:rPr>
          <w:lang w:val="es-ES"/>
        </w:rPr>
        <w:t>.</w:t>
      </w:r>
      <w:r>
        <w:rPr>
          <w:lang w:val="es-ES"/>
        </w:rPr>
        <w:t xml:space="preserve"> </w:t>
      </w:r>
    </w:p>
    <w:p w:rsidR="007C4016" w:rsidRDefault="007C4016" w:rsidP="007C4016">
      <w:pPr>
        <w:pStyle w:val="IFTnormal"/>
        <w:spacing w:before="240" w:after="0"/>
        <w:rPr>
          <w:lang w:val="es-ES"/>
        </w:rPr>
      </w:pPr>
      <w:r>
        <w:rPr>
          <w:lang w:val="es-ES"/>
        </w:rPr>
        <w:t xml:space="preserve">Es de recordar que la Medida </w:t>
      </w:r>
      <w:r w:rsidRPr="0097025A">
        <w:t>TERCERA</w:t>
      </w:r>
      <w:r>
        <w:t xml:space="preserve"> de las Medidas Fijas define la Capacidad Excedente de Infraestructura Pasiva de la manera siguiente:</w:t>
      </w:r>
    </w:p>
    <w:p w:rsidR="007C4016" w:rsidRPr="00B65784" w:rsidRDefault="007C4016" w:rsidP="007C4016">
      <w:pPr>
        <w:pStyle w:val="Citaift0"/>
        <w:spacing w:before="240" w:after="0"/>
        <w:rPr>
          <w:b/>
        </w:rPr>
      </w:pPr>
      <w:r>
        <w:rPr>
          <w:b/>
        </w:rPr>
        <w:t>“</w:t>
      </w:r>
      <w:r w:rsidRPr="00B65784">
        <w:rPr>
          <w:b/>
        </w:rPr>
        <w:t>TERCERA.-</w:t>
      </w:r>
    </w:p>
    <w:p w:rsidR="007C4016" w:rsidRPr="00B65784" w:rsidRDefault="007C4016" w:rsidP="007C4016">
      <w:pPr>
        <w:pStyle w:val="Citaift0"/>
        <w:spacing w:before="240" w:after="0"/>
      </w:pPr>
      <w:r w:rsidRPr="00B65784">
        <w:t>(…)</w:t>
      </w:r>
    </w:p>
    <w:p w:rsidR="007C4016" w:rsidRDefault="007C4016" w:rsidP="007C4016">
      <w:pPr>
        <w:pStyle w:val="Citaift0"/>
        <w:spacing w:before="240" w:after="0"/>
      </w:pPr>
      <w:r w:rsidRPr="00B65784">
        <w:t>4)</w:t>
      </w:r>
      <w:r w:rsidRPr="00B65784">
        <w:tab/>
      </w:r>
      <w:r w:rsidRPr="0097025A">
        <w:rPr>
          <w:b/>
        </w:rPr>
        <w:t>Capacidad Excedente de Infraestructura Pasiva:</w:t>
      </w:r>
      <w:r w:rsidRPr="00B65784">
        <w:t xml:space="preserve"> Infraestructura no utilizada del Agente Económico Preponderante, disponible para el Acceso y Uso Compartido de Infraestructura Pasiva;</w:t>
      </w:r>
    </w:p>
    <w:p w:rsidR="007C4016" w:rsidRDefault="007C4016" w:rsidP="007C4016">
      <w:pPr>
        <w:pStyle w:val="Citaift0"/>
        <w:spacing w:before="240" w:after="0"/>
      </w:pPr>
      <w:r>
        <w:t>(…)"</w:t>
      </w:r>
    </w:p>
    <w:p w:rsidR="007C4016" w:rsidRPr="00AF5242" w:rsidRDefault="007C4016" w:rsidP="007C4016">
      <w:pPr>
        <w:pStyle w:val="IFTnormal"/>
        <w:spacing w:before="240" w:after="0"/>
        <w:rPr>
          <w:lang w:val="es-ES"/>
        </w:rPr>
      </w:pPr>
      <w:r>
        <w:rPr>
          <w:lang w:val="es-ES"/>
        </w:rPr>
        <w:t>Si bien se interpreta que los ductos “vacantes” puestos a disposición por el AEP cuentan con capacidad excedente, los ductos con alguna “ocupación” también podrían tener capacidad excedente susceptible de su utilización por un CS</w:t>
      </w:r>
      <w:r w:rsidRPr="00AF5242">
        <w:t>.</w:t>
      </w:r>
      <w:r>
        <w:t xml:space="preserve"> Es decir, la propuesta de oferta del AEP no contribuye a precisar el alcance de los servicios y podría generar confusión respecto a su interpretación.</w:t>
      </w:r>
    </w:p>
    <w:p w:rsidR="007C4016" w:rsidRDefault="007C4016" w:rsidP="007C4016">
      <w:pPr>
        <w:pStyle w:val="IFTnormal"/>
        <w:spacing w:before="240" w:after="0"/>
      </w:pPr>
      <w:r>
        <w:lastRenderedPageBreak/>
        <w:t xml:space="preserve">Por otro lado, el AEP en la NORMA 2 del ANEXO 2 de su Propuesta de Oferta de </w:t>
      </w:r>
      <w:r w:rsidRPr="001635CF">
        <w:t>Referencia establece lo siguiente:</w:t>
      </w:r>
    </w:p>
    <w:p w:rsidR="007C4016" w:rsidRPr="00E059C5" w:rsidRDefault="007C4016" w:rsidP="007C4016">
      <w:pPr>
        <w:pStyle w:val="Citaift0"/>
        <w:spacing w:before="240" w:after="0"/>
        <w:rPr>
          <w:b/>
        </w:rPr>
      </w:pPr>
      <w:r>
        <w:rPr>
          <w:b/>
        </w:rPr>
        <w:t>“</w:t>
      </w:r>
      <w:r w:rsidRPr="00E059C5">
        <w:rPr>
          <w:b/>
        </w:rPr>
        <w:t>Criterios técnicos para la evaluación de las canalizaciones susceptibles de compartición</w:t>
      </w:r>
    </w:p>
    <w:p w:rsidR="007C4016" w:rsidRPr="00120A7F" w:rsidRDefault="007C4016" w:rsidP="007C4016">
      <w:pPr>
        <w:pStyle w:val="Citaift0"/>
        <w:spacing w:before="240" w:after="0"/>
      </w:pPr>
      <w:r>
        <w:t>(…)</w:t>
      </w:r>
    </w:p>
    <w:p w:rsidR="007C4016" w:rsidRDefault="007C4016" w:rsidP="007C4016">
      <w:pPr>
        <w:pStyle w:val="Citaift0"/>
        <w:numPr>
          <w:ilvl w:val="0"/>
          <w:numId w:val="229"/>
        </w:numPr>
        <w:spacing w:before="240" w:after="0"/>
      </w:pPr>
      <w:r w:rsidRPr="00120A7F">
        <w:t>La suma de las secciones de todos los cables o subductos instalados no podrá ser superior al 40% de la sección útil del ducto.</w:t>
      </w:r>
    </w:p>
    <w:p w:rsidR="007C4016" w:rsidRPr="00120A7F" w:rsidRDefault="007C4016" w:rsidP="007C4016">
      <w:pPr>
        <w:pStyle w:val="Citaift0"/>
        <w:spacing w:before="240" w:after="0"/>
      </w:pPr>
      <w:r>
        <w:t>(…)”</w:t>
      </w:r>
    </w:p>
    <w:p w:rsidR="007C4016" w:rsidRPr="00982DA0" w:rsidRDefault="007C4016" w:rsidP="007C4016">
      <w:pPr>
        <w:pStyle w:val="IFTnormal"/>
        <w:spacing w:before="240" w:after="0"/>
      </w:pPr>
      <w:r w:rsidRPr="001635CF">
        <w:t>Sin embargo, el AEP en su Respuesta al Oficio de Requerimiento inciso b) “</w:t>
      </w:r>
      <w:r w:rsidRPr="001635CF">
        <w:rPr>
          <w:i/>
        </w:rPr>
        <w:t xml:space="preserve">límite superior, en porcentaje del área </w:t>
      </w:r>
      <w:r>
        <w:rPr>
          <w:i/>
        </w:rPr>
        <w:t>interior de los ductos de Telnor</w:t>
      </w:r>
      <w:r w:rsidRPr="001635CF">
        <w:rPr>
          <w:i/>
        </w:rPr>
        <w:t>, al que se deja de hacer uso de un ducto (especificar para cada diámetro de ducto),</w:t>
      </w:r>
      <w:r w:rsidRPr="001635CF">
        <w:t>” de la pregunta cincuenta y uno (51) “</w:t>
      </w:r>
      <w:r w:rsidRPr="001635CF">
        <w:rPr>
          <w:i/>
        </w:rPr>
        <w:t>Relativo al concepto de 'ductos’, asociado al ‘Servicio de Acceso y Uso Compartido de Infraestructura Pasiva’ de la ORCI, proporcionarlos siguientes datos:</w:t>
      </w:r>
      <w:r w:rsidRPr="001635CF">
        <w:t>”, indica lo siguiente:</w:t>
      </w:r>
    </w:p>
    <w:p w:rsidR="007C4016" w:rsidRPr="00601C45" w:rsidRDefault="007C4016" w:rsidP="007C4016">
      <w:pPr>
        <w:pStyle w:val="Citaift0"/>
        <w:spacing w:before="240" w:after="0"/>
      </w:pPr>
      <w:r>
        <w:t>“</w:t>
      </w:r>
      <w:r w:rsidRPr="00982DA0">
        <w:t>b) El porcentaje del límite superior de ocupación para dejar de hacer uso de un ducto es 80%.</w:t>
      </w:r>
      <w:r>
        <w:t>”</w:t>
      </w:r>
    </w:p>
    <w:p w:rsidR="007C4016" w:rsidRDefault="007C4016" w:rsidP="007C4016">
      <w:pPr>
        <w:pStyle w:val="IFTnormal"/>
        <w:spacing w:before="240" w:after="0"/>
      </w:pPr>
      <w:r>
        <w:t>Como puede observarse el AEP considera que los ductos cuentan con una capacidad de ocupación mayor al 40% de lo señalado en su propuesta, por lo que aquellos que no se encuentren en este límite superior de ocupación pudieran ser considerados como i</w:t>
      </w:r>
      <w:r w:rsidRPr="00D64E60">
        <w:t xml:space="preserve">nfraestructura no utilizada </w:t>
      </w:r>
      <w:r>
        <w:t xml:space="preserve">por el AEP y hacerse </w:t>
      </w:r>
      <w:r w:rsidRPr="00D64E60">
        <w:t>disponible</w:t>
      </w:r>
      <w:r>
        <w:t>s</w:t>
      </w:r>
      <w:r w:rsidRPr="00D64E60">
        <w:t xml:space="preserve"> </w:t>
      </w:r>
      <w:r>
        <w:t xml:space="preserve">a los CS </w:t>
      </w:r>
      <w:r w:rsidRPr="00D64E60">
        <w:t>para el Acceso y Uso Compartido de Infraestructura Pasiva</w:t>
      </w:r>
      <w:r>
        <w:t xml:space="preserve">. </w:t>
      </w:r>
    </w:p>
    <w:p w:rsidR="007C4016" w:rsidRDefault="007C4016" w:rsidP="007C4016">
      <w:pPr>
        <w:pStyle w:val="IFTnormal"/>
        <w:spacing w:before="240" w:after="0"/>
      </w:pPr>
      <w:r w:rsidRPr="00C939FE">
        <w:t xml:space="preserve">Es de recordar que de conformidad con la Medida CUADRAGÉSIMA PRIMERA, el AEP no podrá establecer condiciones discriminatorias, ni diferentes a las que utiliza para sus propias operaciones. Por lo tanto, este Instituto considera conveniente establecer que en consistencia con sus propias operaciones, el AEP deberá permitir a los CS el uso del ducto mientras no se llegue al límite superior de 80% </w:t>
      </w:r>
    </w:p>
    <w:p w:rsidR="007C4016" w:rsidRDefault="007C4016" w:rsidP="007C4016">
      <w:pPr>
        <w:pStyle w:val="IFTnormal"/>
        <w:spacing w:before="240" w:after="0"/>
      </w:pPr>
      <w:r>
        <w:t xml:space="preserve">Aunado a lo anterior, Telnor condiciona que los </w:t>
      </w:r>
      <w:r w:rsidRPr="00875CA6">
        <w:t>ductos de 80 o de 100 mm podrán ser subdivididos en 2 o 3 ductos de 35.5 mm</w:t>
      </w:r>
      <w:r>
        <w:t>, y los ductos de menores dimensiones ofrecidos (</w:t>
      </w:r>
      <w:r w:rsidRPr="00B65784">
        <w:t>35.5, 45 y 60</w:t>
      </w:r>
      <w:r>
        <w:t xml:space="preserve"> mm) no podrán ser subdivididos. Esta condicionante deja fuera posibles prácticas de subductaje que dan soluciones con materiales flexibles o microductos que pudieran usarse en ductos de menores dimensiones a las de 80 mm, siempre y cuando se </w:t>
      </w:r>
      <w:r w:rsidRPr="006B34D4">
        <w:t>resguarde la integridad de la infraestructura</w:t>
      </w:r>
      <w:r>
        <w:t xml:space="preserve">. </w:t>
      </w:r>
    </w:p>
    <w:p w:rsidR="007C4016" w:rsidRDefault="007C4016" w:rsidP="007C4016">
      <w:pPr>
        <w:pStyle w:val="IFTnormal"/>
        <w:spacing w:before="240" w:after="0"/>
      </w:pPr>
      <w:r>
        <w:lastRenderedPageBreak/>
        <w:t>El Instituto considera que el uso de soluciones como son</w:t>
      </w:r>
      <w:r w:rsidRPr="001A2C59">
        <w:t xml:space="preserve"> ductos flexibles</w:t>
      </w:r>
      <w:r>
        <w:t>, que pueden ser de tela</w:t>
      </w:r>
      <w:r w:rsidRPr="001A2C59">
        <w:t xml:space="preserve"> o microductos</w:t>
      </w:r>
      <w:r>
        <w:t xml:space="preserve">, podría aportar una mejora en la compartición de </w:t>
      </w:r>
      <w:r w:rsidRPr="001A2C59">
        <w:t>infraestructura,</w:t>
      </w:r>
      <w:r>
        <w:t xml:space="preserve"> dotando de</w:t>
      </w:r>
      <w:r w:rsidRPr="001A2C59">
        <w:t xml:space="preserve"> </w:t>
      </w:r>
      <w:r>
        <w:t xml:space="preserve">mayor certidumbre al CS y al AEP respecto a salvaguardar la integridad de la infraestructura por ambas partes, conforme a lo indicado en la Medida VIGÉSIMO QUINTA de las Medidas Fijas. Con ello se haría </w:t>
      </w:r>
      <w:r w:rsidRPr="001A2C59">
        <w:t>un uso</w:t>
      </w:r>
      <w:r>
        <w:t xml:space="preserve"> más eficiente de los ductos promoviendo mejores condiciones para </w:t>
      </w:r>
      <w:r w:rsidRPr="005F7397">
        <w:t>la competencia</w:t>
      </w:r>
      <w:r>
        <w:t>.</w:t>
      </w:r>
    </w:p>
    <w:p w:rsidR="007C4016" w:rsidRDefault="007C4016" w:rsidP="007C4016">
      <w:pPr>
        <w:pStyle w:val="IFTnormal"/>
        <w:spacing w:before="240" w:after="0"/>
      </w:pPr>
      <w:r>
        <w:t>Por otra parte, con relación a la estructura de cobro por el uso de los ductos, a través del apartado en comento el AEP propone lo siguiente:</w:t>
      </w:r>
    </w:p>
    <w:p w:rsidR="007C4016" w:rsidRDefault="007C4016" w:rsidP="007C4016">
      <w:pPr>
        <w:pStyle w:val="Citaift0"/>
        <w:spacing w:before="240" w:after="0"/>
        <w:rPr>
          <w:b/>
        </w:rPr>
      </w:pPr>
      <w:r>
        <w:rPr>
          <w:b/>
        </w:rPr>
        <w:t>“</w:t>
      </w:r>
      <w:r w:rsidRPr="008D266A">
        <w:rPr>
          <w:b/>
        </w:rPr>
        <w:t xml:space="preserve">1. </w:t>
      </w:r>
      <w:r>
        <w:rPr>
          <w:b/>
        </w:rPr>
        <w:t xml:space="preserve"> </w:t>
      </w:r>
      <w:r w:rsidRPr="008D266A">
        <w:rPr>
          <w:b/>
        </w:rPr>
        <w:t xml:space="preserve">Servicio de Acceso y Uso compartido de Obra Civil </w:t>
      </w:r>
    </w:p>
    <w:p w:rsidR="007C4016" w:rsidRPr="008D266A" w:rsidRDefault="007C4016" w:rsidP="007C4016">
      <w:pPr>
        <w:pStyle w:val="Citaift0"/>
        <w:spacing w:before="240" w:after="0"/>
      </w:pPr>
      <w:r w:rsidRPr="008D266A">
        <w:t>(…)</w:t>
      </w:r>
    </w:p>
    <w:p w:rsidR="007C4016" w:rsidRPr="008D266A" w:rsidRDefault="007C4016" w:rsidP="007C4016">
      <w:pPr>
        <w:pStyle w:val="Citaift0"/>
        <w:spacing w:before="240" w:after="0"/>
        <w:rPr>
          <w:b/>
        </w:rPr>
      </w:pPr>
      <w:r w:rsidRPr="008D266A">
        <w:rPr>
          <w:b/>
        </w:rPr>
        <w:t xml:space="preserve">Para determinar la contraprestación por el uso de </w:t>
      </w:r>
      <w:r>
        <w:rPr>
          <w:b/>
        </w:rPr>
        <w:t xml:space="preserve">ductos </w:t>
      </w:r>
      <w:r w:rsidRPr="008D266A">
        <w:rPr>
          <w:b/>
        </w:rPr>
        <w:t>se tomará en cuenta:</w:t>
      </w:r>
    </w:p>
    <w:p w:rsidR="007C4016" w:rsidRPr="008D266A" w:rsidRDefault="007C4016" w:rsidP="007C4016">
      <w:pPr>
        <w:pStyle w:val="Citaift0"/>
        <w:numPr>
          <w:ilvl w:val="0"/>
          <w:numId w:val="202"/>
        </w:numPr>
        <w:spacing w:before="240" w:after="0"/>
      </w:pPr>
      <w:r>
        <w:t>Por metro lineal de cable</w:t>
      </w:r>
      <w:r w:rsidRPr="008D266A">
        <w:t>.</w:t>
      </w:r>
    </w:p>
    <w:p w:rsidR="007C4016" w:rsidRDefault="007C4016" w:rsidP="007C4016">
      <w:pPr>
        <w:pStyle w:val="Citaift0"/>
        <w:numPr>
          <w:ilvl w:val="0"/>
          <w:numId w:val="202"/>
        </w:numPr>
        <w:spacing w:before="240" w:after="0"/>
      </w:pPr>
      <w:r w:rsidRPr="00DA6079">
        <w:t>Diámetros de los ductos utilizados: 35.5, 45, 60, 80 y 100 mm</w:t>
      </w:r>
      <w:r w:rsidRPr="008D266A">
        <w:t>.</w:t>
      </w:r>
    </w:p>
    <w:p w:rsidR="007C4016" w:rsidRPr="008D266A" w:rsidRDefault="007C4016" w:rsidP="007C4016">
      <w:pPr>
        <w:pStyle w:val="Citaift0"/>
        <w:spacing w:before="240" w:after="0"/>
      </w:pPr>
      <w:r>
        <w:t>(…)”</w:t>
      </w:r>
    </w:p>
    <w:p w:rsidR="007C4016" w:rsidRDefault="007C4016" w:rsidP="007C4016">
      <w:pPr>
        <w:pStyle w:val="IFTnormal"/>
        <w:spacing w:before="240" w:after="0"/>
      </w:pPr>
      <w:r>
        <w:t>Al respecto, el Instituto considera que si bien es adecuado que a través del texto en comento se especifique que el cobro se realizará tomando como referencia la longitud del ducto en el cual desea colocarse el cable, es necesario establecer un</w:t>
      </w:r>
      <w:r w:rsidDel="00012DD9">
        <w:t xml:space="preserve"> </w:t>
      </w:r>
      <w:r>
        <w:t xml:space="preserve">criterio que permita dar certidumbre a las partes involucrados respecto al nivel tarifario aplicable en términos de las características de ocupación del cable a utilizar. Lo anterior, en el entendido de que considerar una tarifa fija respecto al tipo de cables que pueden involucrarse, y en particular que no tome en consideración el espacio ocupado por cables con diferentes diámetros podría estar generando incentivos contrarios al uso eficiente de espacio e inducir condiciones desfavorables a la competencia. </w:t>
      </w:r>
    </w:p>
    <w:p w:rsidR="007C4016" w:rsidRDefault="007C4016" w:rsidP="007C4016">
      <w:pPr>
        <w:pStyle w:val="IFTnormal"/>
        <w:spacing w:before="240" w:after="0"/>
        <w:rPr>
          <w:lang w:val="es-ES"/>
        </w:rPr>
      </w:pPr>
      <w:r>
        <w:t>En mérito de lo anterior, así como a efecto de 1)</w:t>
      </w:r>
      <w:r w:rsidRPr="0001747E">
        <w:t xml:space="preserve"> evitar condiciones que pudieran inhibir la competencia y 2) fomentar un uso eficiente de la infraestructura disponible</w:t>
      </w:r>
      <w:r>
        <w:t>,</w:t>
      </w:r>
      <w:r w:rsidDel="00D443C4">
        <w:t xml:space="preserve"> </w:t>
      </w:r>
      <w:r>
        <w:t xml:space="preserve">el Instituto estima pertinente modificar el contenido de </w:t>
      </w:r>
      <w:r>
        <w:rPr>
          <w:lang w:val="es-ES"/>
        </w:rPr>
        <w:t>la propuesta de Oferta de Referencia para precisar que:</w:t>
      </w:r>
    </w:p>
    <w:p w:rsidR="007C4016" w:rsidRDefault="007C4016" w:rsidP="007C4016">
      <w:pPr>
        <w:pStyle w:val="IFTnormal"/>
        <w:numPr>
          <w:ilvl w:val="2"/>
          <w:numId w:val="174"/>
        </w:numPr>
        <w:spacing w:before="240" w:after="0"/>
        <w:rPr>
          <w:lang w:val="es-ES"/>
        </w:rPr>
      </w:pPr>
      <w:r>
        <w:rPr>
          <w:lang w:val="es-ES"/>
        </w:rPr>
        <w:t xml:space="preserve">El cobro por </w:t>
      </w:r>
      <w:r>
        <w:t xml:space="preserve">el uso de los ductos deberá realizarse considerando el espacio ocupado por el cable a instalarse en el ducto, a través del área </w:t>
      </w:r>
      <w:r>
        <w:lastRenderedPageBreak/>
        <w:t>transversal de dicho cable (misma que se encuentra asociada a su diámetro)</w:t>
      </w:r>
    </w:p>
    <w:p w:rsidR="007C4016" w:rsidRPr="00FA41EC" w:rsidRDefault="007C4016" w:rsidP="007C4016">
      <w:pPr>
        <w:pStyle w:val="IFTnormal"/>
        <w:numPr>
          <w:ilvl w:val="2"/>
          <w:numId w:val="174"/>
        </w:numPr>
        <w:spacing w:before="240" w:after="0"/>
        <w:rPr>
          <w:lang w:val="es-ES"/>
        </w:rPr>
      </w:pPr>
      <w:r>
        <w:rPr>
          <w:lang w:val="es-ES"/>
        </w:rPr>
        <w:t>Considerando los escenarios previstos en la Oferta de Referencia Vigente, e</w:t>
      </w:r>
      <w:r w:rsidRPr="00FA41EC">
        <w:rPr>
          <w:lang w:val="es-ES"/>
        </w:rPr>
        <w:t xml:space="preserve">l nivel tarifario correspondiente deberá </w:t>
      </w:r>
      <w:r>
        <w:rPr>
          <w:lang w:val="es-ES"/>
        </w:rPr>
        <w:t xml:space="preserve">contemplar </w:t>
      </w:r>
      <w:r w:rsidRPr="00FA41EC">
        <w:rPr>
          <w:lang w:val="es-ES"/>
        </w:rPr>
        <w:t>si el ducto involucrado se ubica en “banqueta” o “arroyo”.</w:t>
      </w:r>
    </w:p>
    <w:p w:rsidR="007C4016" w:rsidRDefault="007C4016" w:rsidP="007C4016">
      <w:pPr>
        <w:pStyle w:val="IFTnormal"/>
        <w:spacing w:before="240" w:after="0"/>
      </w:pPr>
      <w:bookmarkStart w:id="26" w:name="_Toc488945215"/>
      <w:r w:rsidRPr="00B307ED">
        <w:t>A efecto de ilustrar c</w:t>
      </w:r>
      <w:r>
        <w:t>ó</w:t>
      </w:r>
      <w:r w:rsidRPr="00B307ED">
        <w:t xml:space="preserve">mo se desarrollaría en la práctica el cálculo </w:t>
      </w:r>
      <w:r>
        <w:t>del cobro aludido</w:t>
      </w:r>
      <w:r w:rsidRPr="00B307ED">
        <w:t>,</w:t>
      </w:r>
      <w:r w:rsidRPr="00B307ED" w:rsidDel="00B716BD">
        <w:t xml:space="preserve"> </w:t>
      </w:r>
      <w:r w:rsidRPr="00B307ED">
        <w:t xml:space="preserve">a continuación se presenta un ejemplo </w:t>
      </w:r>
      <w:r>
        <w:t xml:space="preserve">para determinar </w:t>
      </w:r>
      <w:r w:rsidRPr="00B307ED">
        <w:t xml:space="preserve">la contraprestación por uso de </w:t>
      </w:r>
      <w:r>
        <w:t>ducto</w:t>
      </w:r>
      <w:r w:rsidRPr="00B307ED">
        <w:t xml:space="preserve">, de conformidad con el nivel tarifario </w:t>
      </w:r>
      <w:r>
        <w:t xml:space="preserve">estimado </w:t>
      </w:r>
      <w:r w:rsidRPr="00B307ED">
        <w:t xml:space="preserve">por el Instituto </w:t>
      </w:r>
      <w:r>
        <w:t xml:space="preserve">y presentado </w:t>
      </w:r>
      <w:r w:rsidRPr="00B307ED">
        <w:t xml:space="preserve">en </w:t>
      </w:r>
      <w:r>
        <w:t xml:space="preserve">el </w:t>
      </w:r>
      <w:r w:rsidRPr="00B307ED">
        <w:t>“ANEXO A DEL CONVENIO. TARIFAS”</w:t>
      </w:r>
    </w:p>
    <w:p w:rsidR="007C4016" w:rsidRPr="00B41CF4" w:rsidRDefault="007C4016" w:rsidP="007C4016">
      <w:pPr>
        <w:pStyle w:val="IFTnormal"/>
        <w:spacing w:before="240" w:after="0"/>
        <w:rPr>
          <w:b/>
        </w:rPr>
      </w:pPr>
      <w:r w:rsidRPr="00B41CF4">
        <w:rPr>
          <w:b/>
        </w:rPr>
        <w:t>Ejemplo de cálculo de la tarifa de uso de ductos</w:t>
      </w:r>
    </w:p>
    <w:p w:rsidR="007C4016" w:rsidRDefault="007C4016" w:rsidP="007C4016">
      <w:pPr>
        <w:pStyle w:val="IFTnormal"/>
        <w:spacing w:before="240" w:after="0"/>
      </w:pPr>
      <w:r>
        <w:t>Para el cálculo de la contraprestación de uso de un metro lineal de ducto, suponiendo que se pretende instalar un cable con diámetro nominal de 11.7 milímetros en un ducto ubicado en “arroyo”, se presenta lo siguiente:</w:t>
      </w:r>
    </w:p>
    <w:tbl>
      <w:tblPr>
        <w:tblStyle w:val="Tablaconcuadrcula"/>
        <w:tblW w:w="5000" w:type="pct"/>
        <w:jc w:val="center"/>
        <w:tblLook w:val="04A0" w:firstRow="1" w:lastRow="0" w:firstColumn="1" w:lastColumn="0" w:noHBand="0" w:noVBand="1"/>
        <w:tblCaption w:val="Tabla"/>
        <w:tblDescription w:val="Ejemplo de cálculo de la tarifa de uso de ductos"/>
      </w:tblPr>
      <w:tblGrid>
        <w:gridCol w:w="3823"/>
        <w:gridCol w:w="5007"/>
      </w:tblGrid>
      <w:tr w:rsidR="007C4016" w:rsidTr="005C782A">
        <w:trPr>
          <w:tblHeader/>
          <w:jc w:val="center"/>
        </w:trPr>
        <w:tc>
          <w:tcPr>
            <w:tcW w:w="2165" w:type="pct"/>
            <w:shd w:val="clear" w:color="auto" w:fill="D9D9D9" w:themeFill="background1" w:themeFillShade="D9"/>
          </w:tcPr>
          <w:p w:rsidR="007C4016" w:rsidRPr="00B41CF4" w:rsidRDefault="007C4016" w:rsidP="005C782A">
            <w:pPr>
              <w:pStyle w:val="CondicionesFinales"/>
              <w:spacing w:after="0"/>
              <w:ind w:left="0" w:right="0"/>
              <w:jc w:val="center"/>
              <w:rPr>
                <w:b/>
              </w:rPr>
            </w:pPr>
            <w:r w:rsidRPr="00B41CF4">
              <w:rPr>
                <w:b/>
              </w:rPr>
              <w:t>Características a identificar</w:t>
            </w:r>
          </w:p>
        </w:tc>
        <w:tc>
          <w:tcPr>
            <w:tcW w:w="2835" w:type="pct"/>
            <w:shd w:val="clear" w:color="auto" w:fill="D9D9D9" w:themeFill="background1" w:themeFillShade="D9"/>
          </w:tcPr>
          <w:p w:rsidR="007C4016" w:rsidRPr="00B41CF4" w:rsidRDefault="007C4016" w:rsidP="005C782A">
            <w:pPr>
              <w:pStyle w:val="CondicionesFinales"/>
              <w:spacing w:after="0"/>
              <w:ind w:left="0"/>
              <w:jc w:val="center"/>
              <w:rPr>
                <w:b/>
              </w:rPr>
            </w:pPr>
            <w:r w:rsidRPr="00B41CF4">
              <w:rPr>
                <w:b/>
              </w:rPr>
              <w:t>Ejemplo</w:t>
            </w:r>
          </w:p>
        </w:tc>
      </w:tr>
      <w:tr w:rsidR="007C4016" w:rsidTr="005C782A">
        <w:trPr>
          <w:jc w:val="center"/>
        </w:trPr>
        <w:tc>
          <w:tcPr>
            <w:tcW w:w="2165" w:type="pct"/>
          </w:tcPr>
          <w:p w:rsidR="007C4016" w:rsidRPr="008223DC" w:rsidRDefault="007C4016" w:rsidP="005C782A">
            <w:pPr>
              <w:pStyle w:val="CondicionesFinales"/>
              <w:spacing w:after="0"/>
              <w:ind w:left="0" w:right="39"/>
            </w:pPr>
            <w:r>
              <w:t>Contraprestación por tipo de canalización en el que está desplegado el ducto</w:t>
            </w:r>
          </w:p>
        </w:tc>
        <w:tc>
          <w:tcPr>
            <w:tcW w:w="2835" w:type="pct"/>
            <w:vAlign w:val="center"/>
          </w:tcPr>
          <w:p w:rsidR="007C4016" w:rsidRPr="009922CC" w:rsidRDefault="007C4016" w:rsidP="005C782A">
            <w:pPr>
              <w:pStyle w:val="CondicionesFinales"/>
              <w:spacing w:after="0"/>
              <w:ind w:left="0" w:right="-72"/>
              <w:jc w:val="center"/>
            </w:pPr>
            <w:r>
              <w:t>Arroyo: $0.0386/</w:t>
            </w:r>
            <w:r>
              <w:rPr>
                <w:lang w:val="es-MX"/>
              </w:rPr>
              <w:t xml:space="preserve"> </w:t>
            </w:r>
            <w:r>
              <w:t>m</w:t>
            </w:r>
            <w:r>
              <w:rPr>
                <w:lang w:val="es-MX"/>
              </w:rPr>
              <w:t xml:space="preserve">etro </w:t>
            </w:r>
            <w:r>
              <w:t>l</w:t>
            </w:r>
            <w:r>
              <w:rPr>
                <w:lang w:val="es-MX"/>
              </w:rPr>
              <w:t>ineal</w:t>
            </w:r>
            <w:r>
              <w:t>/mm</w:t>
            </w:r>
            <w:r w:rsidRPr="00B41CF4">
              <w:rPr>
                <w:vertAlign w:val="superscript"/>
              </w:rPr>
              <w:t>2</w:t>
            </w:r>
            <w:r>
              <w:t xml:space="preserve"> anual</w:t>
            </w:r>
          </w:p>
        </w:tc>
      </w:tr>
      <w:tr w:rsidR="007C4016" w:rsidTr="005C782A">
        <w:trPr>
          <w:jc w:val="center"/>
        </w:trPr>
        <w:tc>
          <w:tcPr>
            <w:tcW w:w="2165" w:type="pct"/>
          </w:tcPr>
          <w:p w:rsidR="007C4016" w:rsidRPr="009922CC" w:rsidRDefault="007C4016" w:rsidP="005C782A">
            <w:pPr>
              <w:pStyle w:val="CondicionesFinales"/>
              <w:spacing w:after="0"/>
              <w:ind w:left="0" w:right="39"/>
            </w:pPr>
            <w:r>
              <w:t>Diámetro nominal del cable a instalar en milímetros</w:t>
            </w:r>
          </w:p>
        </w:tc>
        <w:tc>
          <w:tcPr>
            <w:tcW w:w="2835" w:type="pct"/>
            <w:vAlign w:val="center"/>
          </w:tcPr>
          <w:p w:rsidR="007C4016" w:rsidRPr="009922CC" w:rsidRDefault="007C4016" w:rsidP="005C782A">
            <w:pPr>
              <w:pStyle w:val="CondicionesFinales"/>
              <w:spacing w:after="0"/>
              <w:ind w:left="0" w:right="-72"/>
              <w:jc w:val="center"/>
            </w:pPr>
            <w:r>
              <w:t>11.7 mm</w:t>
            </w:r>
          </w:p>
        </w:tc>
      </w:tr>
      <w:tr w:rsidR="007C4016" w:rsidTr="005C782A">
        <w:trPr>
          <w:jc w:val="center"/>
        </w:trPr>
        <w:tc>
          <w:tcPr>
            <w:tcW w:w="2165" w:type="pct"/>
          </w:tcPr>
          <w:p w:rsidR="007C4016" w:rsidRDefault="007C4016" w:rsidP="005C782A">
            <w:pPr>
              <w:pStyle w:val="CondicionesFinales"/>
              <w:spacing w:after="0"/>
              <w:ind w:left="0" w:right="39"/>
            </w:pPr>
            <w:r>
              <w:t>Área calculada del cable a instalar según su diámetro en milímetros cuadrados</w:t>
            </w:r>
          </w:p>
          <w:p w:rsidR="007C4016" w:rsidRPr="009922CC" w:rsidRDefault="007C4016" w:rsidP="005C782A">
            <w:pPr>
              <w:pStyle w:val="CondicionesFinales"/>
              <w:spacing w:after="0"/>
              <w:ind w:left="0" w:right="39"/>
              <w:rPr>
                <w:rFonts w:ascii="Arial" w:hAnsi="Arial"/>
              </w:rPr>
            </w:pPr>
            <m:oMathPara>
              <m:oMath>
                <m:r>
                  <m:rPr>
                    <m:nor/>
                  </m:rPr>
                  <m:t>A=π</m:t>
                </m:r>
                <m:sSup>
                  <m:sSupPr>
                    <m:ctrlPr>
                      <w:rPr>
                        <w:rFonts w:ascii="Cambria Math" w:hAnsi="Cambria Math"/>
                        <w:i/>
                      </w:rPr>
                    </m:ctrlPr>
                  </m:sSupPr>
                  <m:e>
                    <m:r>
                      <m:rPr>
                        <m:nor/>
                      </m:rPr>
                      <m:t>(</m:t>
                    </m:r>
                    <m:f>
                      <m:fPr>
                        <m:ctrlPr>
                          <w:rPr>
                            <w:rFonts w:ascii="Cambria Math" w:hAnsi="Cambria Math"/>
                            <w:i/>
                          </w:rPr>
                        </m:ctrlPr>
                      </m:fPr>
                      <m:num>
                        <m:r>
                          <m:rPr>
                            <m:nor/>
                          </m:rPr>
                          <m:t>diámetro</m:t>
                        </m:r>
                      </m:num>
                      <m:den>
                        <m:r>
                          <m:rPr>
                            <m:nor/>
                          </m:rPr>
                          <m:t>2</m:t>
                        </m:r>
                      </m:den>
                    </m:f>
                    <m:r>
                      <m:rPr>
                        <m:nor/>
                      </m:rPr>
                      <m:t>)</m:t>
                    </m:r>
                  </m:e>
                  <m:sup>
                    <m:r>
                      <m:rPr>
                        <m:nor/>
                      </m:rPr>
                      <m:t>2</m:t>
                    </m:r>
                  </m:sup>
                </m:sSup>
              </m:oMath>
            </m:oMathPara>
          </w:p>
        </w:tc>
        <w:tc>
          <w:tcPr>
            <w:tcW w:w="2835" w:type="pct"/>
            <w:vAlign w:val="center"/>
          </w:tcPr>
          <w:p w:rsidR="007C4016" w:rsidRPr="009922CC" w:rsidRDefault="007C4016" w:rsidP="005C782A">
            <w:pPr>
              <w:pStyle w:val="CondicionesFinales"/>
              <w:spacing w:after="0"/>
              <w:ind w:left="0" w:right="-72"/>
              <w:jc w:val="center"/>
            </w:pPr>
            <w:r>
              <w:t>A = 107.5132 mm</w:t>
            </w:r>
            <w:r w:rsidRPr="00B41CF4">
              <w:rPr>
                <w:vertAlign w:val="superscript"/>
              </w:rPr>
              <w:t>2</w:t>
            </w:r>
          </w:p>
        </w:tc>
      </w:tr>
      <w:tr w:rsidR="007C4016" w:rsidTr="005C782A">
        <w:trPr>
          <w:jc w:val="center"/>
        </w:trPr>
        <w:tc>
          <w:tcPr>
            <w:tcW w:w="2165" w:type="pct"/>
          </w:tcPr>
          <w:p w:rsidR="007C4016" w:rsidRPr="009922CC" w:rsidRDefault="007C4016" w:rsidP="005C782A">
            <w:pPr>
              <w:pStyle w:val="CondicionesFinales"/>
              <w:spacing w:after="0"/>
              <w:ind w:left="0" w:right="39"/>
            </w:pPr>
            <w:r>
              <w:t xml:space="preserve">Contraprestación </w:t>
            </w:r>
          </w:p>
        </w:tc>
        <w:tc>
          <w:tcPr>
            <w:tcW w:w="2835" w:type="pct"/>
          </w:tcPr>
          <w:p w:rsidR="007C4016" w:rsidRDefault="007C4016" w:rsidP="005C782A">
            <w:pPr>
              <w:pStyle w:val="CondicionesFinales"/>
              <w:spacing w:after="0"/>
              <w:ind w:left="0" w:right="-72"/>
            </w:pPr>
            <w:r>
              <w:t>Tarifa cobrada = ($0.0386)(107.5132) =$4.1523 anuales por metro lineal de ducto en el que se instala un cable con diámetro de 11.7 mm</w:t>
            </w:r>
          </w:p>
        </w:tc>
      </w:tr>
    </w:tbl>
    <w:p w:rsidR="007C4016" w:rsidRPr="00370465" w:rsidRDefault="007C4016" w:rsidP="007C4016">
      <w:pPr>
        <w:pStyle w:val="CondicionesFinales"/>
        <w:spacing w:before="240" w:after="0"/>
        <w:ind w:left="0"/>
      </w:pPr>
    </w:p>
    <w:p w:rsidR="007C4016" w:rsidRDefault="007C4016" w:rsidP="007C4016">
      <w:pPr>
        <w:pStyle w:val="IFTnormal"/>
        <w:spacing w:before="240" w:after="0"/>
        <w:rPr>
          <w:lang w:val="es-ES"/>
        </w:rPr>
      </w:pPr>
      <w:r>
        <w:t>En complemento a lo anterior tratándose del uso de pozos, e</w:t>
      </w:r>
      <w:r>
        <w:rPr>
          <w:lang w:val="es-ES"/>
        </w:rPr>
        <w:t>l numeral “</w:t>
      </w:r>
      <w:r w:rsidRPr="00777ACD">
        <w:rPr>
          <w:i/>
          <w:lang w:val="es-ES"/>
        </w:rPr>
        <w:t>1</w:t>
      </w:r>
      <w:r w:rsidRPr="00531E60">
        <w:rPr>
          <w:i/>
        </w:rPr>
        <w:t>.</w:t>
      </w:r>
      <w:r w:rsidRPr="00531E60">
        <w:rPr>
          <w:i/>
        </w:rPr>
        <w:tab/>
      </w:r>
      <w:r>
        <w:rPr>
          <w:i/>
        </w:rPr>
        <w:t xml:space="preserve"> Servicio de Acceso y Uso Compartido de O</w:t>
      </w:r>
      <w:r w:rsidRPr="00531E60">
        <w:rPr>
          <w:i/>
        </w:rPr>
        <w:t xml:space="preserve">bra </w:t>
      </w:r>
      <w:r>
        <w:rPr>
          <w:i/>
        </w:rPr>
        <w:t>C</w:t>
      </w:r>
      <w:r w:rsidRPr="00531E60">
        <w:rPr>
          <w:i/>
        </w:rPr>
        <w:t>ivil</w:t>
      </w:r>
      <w:r>
        <w:rPr>
          <w:lang w:val="es-ES"/>
        </w:rPr>
        <w:t>” de la propuesta de Oferta de Referencia establece lo siguiente:</w:t>
      </w:r>
    </w:p>
    <w:p w:rsidR="007C4016" w:rsidRDefault="007C4016" w:rsidP="007C4016">
      <w:pPr>
        <w:pStyle w:val="Citaift0"/>
        <w:spacing w:before="240" w:after="0"/>
        <w:rPr>
          <w:b/>
        </w:rPr>
      </w:pPr>
      <w:r w:rsidRPr="001A57D5">
        <w:t>“</w:t>
      </w:r>
      <w:r w:rsidRPr="008D266A">
        <w:rPr>
          <w:b/>
        </w:rPr>
        <w:t xml:space="preserve">1. </w:t>
      </w:r>
      <w:r>
        <w:rPr>
          <w:b/>
        </w:rPr>
        <w:t xml:space="preserve"> </w:t>
      </w:r>
      <w:r w:rsidRPr="008D266A">
        <w:rPr>
          <w:b/>
        </w:rPr>
        <w:t xml:space="preserve">Servicio de Acceso y Uso compartido de Obra Civil </w:t>
      </w:r>
    </w:p>
    <w:p w:rsidR="007C4016" w:rsidRDefault="007C4016" w:rsidP="007C4016">
      <w:pPr>
        <w:pStyle w:val="Citaift0"/>
        <w:spacing w:before="240" w:after="0"/>
      </w:pPr>
      <w:r w:rsidRPr="008D266A">
        <w:lastRenderedPageBreak/>
        <w:t>(…)</w:t>
      </w:r>
    </w:p>
    <w:p w:rsidR="007C4016" w:rsidRPr="00165A89" w:rsidRDefault="007C4016" w:rsidP="007C4016">
      <w:pPr>
        <w:pStyle w:val="Citaift0"/>
        <w:spacing w:before="240" w:after="0"/>
      </w:pPr>
      <w:r w:rsidRPr="00165A89">
        <w:t xml:space="preserve">Para determinar </w:t>
      </w:r>
      <w:r w:rsidRPr="00165A89">
        <w:rPr>
          <w:b/>
          <w:u w:val="single"/>
        </w:rPr>
        <w:t>la contraprestación por el uso de pozos se cuantificará con base en:</w:t>
      </w:r>
    </w:p>
    <w:p w:rsidR="007C4016" w:rsidRPr="00165A89" w:rsidRDefault="007C4016" w:rsidP="007C4016">
      <w:pPr>
        <w:pStyle w:val="Citaift0"/>
        <w:numPr>
          <w:ilvl w:val="0"/>
          <w:numId w:val="239"/>
        </w:numPr>
        <w:spacing w:before="240" w:after="0"/>
        <w:rPr>
          <w:b/>
          <w:u w:val="single"/>
        </w:rPr>
      </w:pPr>
      <w:r w:rsidRPr="00165A89">
        <w:rPr>
          <w:b/>
          <w:u w:val="single"/>
        </w:rPr>
        <w:t>Uso de vía por tamaño de pozo.</w:t>
      </w:r>
    </w:p>
    <w:p w:rsidR="007C4016" w:rsidRPr="00165A89" w:rsidRDefault="007C4016" w:rsidP="007C4016">
      <w:pPr>
        <w:pStyle w:val="Citaift0"/>
        <w:numPr>
          <w:ilvl w:val="0"/>
          <w:numId w:val="239"/>
        </w:numPr>
        <w:spacing w:before="240" w:after="0"/>
        <w:rPr>
          <w:b/>
          <w:u w:val="single"/>
        </w:rPr>
      </w:pPr>
      <w:r w:rsidRPr="00165A89">
        <w:rPr>
          <w:b/>
          <w:u w:val="single"/>
        </w:rPr>
        <w:t>Cierre del empalme de cable de fibra óptica.</w:t>
      </w:r>
    </w:p>
    <w:p w:rsidR="007C4016" w:rsidRPr="00165A89" w:rsidRDefault="007C4016" w:rsidP="007C4016">
      <w:pPr>
        <w:pStyle w:val="Citaift0"/>
        <w:numPr>
          <w:ilvl w:val="0"/>
          <w:numId w:val="239"/>
        </w:numPr>
        <w:spacing w:before="240" w:after="0"/>
        <w:rPr>
          <w:b/>
          <w:u w:val="single"/>
        </w:rPr>
      </w:pPr>
      <w:r w:rsidRPr="00165A89">
        <w:rPr>
          <w:b/>
          <w:u w:val="single"/>
        </w:rPr>
        <w:t>Gaza que instale en el pozo.</w:t>
      </w:r>
    </w:p>
    <w:p w:rsidR="007C4016" w:rsidRPr="008D266A" w:rsidRDefault="007C4016" w:rsidP="007C4016">
      <w:pPr>
        <w:pStyle w:val="Citaift0"/>
        <w:spacing w:before="240" w:after="0"/>
      </w:pPr>
      <w:r w:rsidDel="00165A89">
        <w:rPr>
          <w:rFonts w:ascii="Helvetica" w:hAnsi="Helvetica" w:cs="Helvetica"/>
          <w:lang w:eastAsia="en-US"/>
        </w:rPr>
        <w:t xml:space="preserve"> </w:t>
      </w:r>
      <w:r>
        <w:t>(…)”</w:t>
      </w:r>
    </w:p>
    <w:p w:rsidR="007C4016" w:rsidRPr="008D266A" w:rsidRDefault="007C4016" w:rsidP="007C4016">
      <w:pPr>
        <w:pStyle w:val="Citaift0"/>
        <w:spacing w:before="240" w:after="0"/>
        <w:jc w:val="right"/>
      </w:pPr>
      <w:r>
        <w:t>[Énfasis añadido]</w:t>
      </w:r>
    </w:p>
    <w:p w:rsidR="007C4016" w:rsidRPr="002001A3" w:rsidRDefault="007C4016" w:rsidP="007C4016">
      <w:pPr>
        <w:pStyle w:val="IFTnormal"/>
        <w:spacing w:before="240" w:after="0"/>
      </w:pPr>
      <w:r>
        <w:t xml:space="preserve">Al respecto, el Instituto estima pertinente, como se indica en la cita anterior, que la contraprestación por el uso de pozos se cuantifique tomando en cuenta el uso de las vías por el tamaño del pozo. Sin embargo, para ello es necesario replantear en el nivel tarifario correspondiente al uso del pozo, el espacio que pueda ocuparse dentro de dicho pozo por el alojamiento tanto de cierres de empalme de cable de fibra óptica como las gazas que se instalen en éste. Lo anterior en el entendido de que al encontrarse estos elementos dentro de un pozo, el </w:t>
      </w:r>
      <w:r w:rsidRPr="002001A3">
        <w:t>espacio en que efectivamente podrían ubicarse otros activos dentro del contexto de la compartición de infraestructura pasiva del AEP se vería afectado.</w:t>
      </w:r>
    </w:p>
    <w:p w:rsidR="007C4016" w:rsidRPr="002001A3" w:rsidRDefault="007C4016" w:rsidP="007C4016">
      <w:pPr>
        <w:pStyle w:val="IFTnormal"/>
        <w:spacing w:before="240" w:after="0"/>
      </w:pPr>
      <w:r w:rsidRPr="002001A3">
        <w:t>Es por ello, que el Instituto considera que</w:t>
      </w:r>
      <w:r>
        <w:t xml:space="preserve"> para la determinación del nivel tarifario</w:t>
      </w:r>
      <w:r w:rsidRPr="002001A3">
        <w:t xml:space="preserve"> lo más adecuado es </w:t>
      </w:r>
      <w:r>
        <w:t xml:space="preserve">tomar en cuenta </w:t>
      </w:r>
      <w:r w:rsidRPr="002001A3">
        <w:t xml:space="preserve">el tamaño que corresponde a los pozos en cuestión para la determinación del nivel tarifario correspondiente e incorporar en su determinación el espacio que podría ocuparse por el alojamiento tanto de cierres de empalme de cable de fibra óptica como las gazas que se instalen en éste. </w:t>
      </w:r>
    </w:p>
    <w:p w:rsidR="007C4016" w:rsidRDefault="007C4016" w:rsidP="007C4016">
      <w:pPr>
        <w:pStyle w:val="IFTnormal"/>
        <w:spacing w:before="240" w:after="0"/>
      </w:pPr>
      <w:r w:rsidRPr="002001A3">
        <w:t xml:space="preserve">En este sentido, el Instituto estima pertinente modificar el contenido de </w:t>
      </w:r>
      <w:r w:rsidRPr="002001A3">
        <w:rPr>
          <w:lang w:val="es-ES"/>
        </w:rPr>
        <w:t xml:space="preserve">la propuesta de Oferta de Referencia para precisar </w:t>
      </w:r>
      <w:r>
        <w:t>el</w:t>
      </w:r>
      <w:r w:rsidDel="00454742">
        <w:t xml:space="preserve"> </w:t>
      </w:r>
      <w:r w:rsidRPr="002001A3">
        <w:rPr>
          <w:lang w:val="es-ES"/>
        </w:rPr>
        <w:t xml:space="preserve">nivel tarifario </w:t>
      </w:r>
      <w:r>
        <w:t>el cual reflejará</w:t>
      </w:r>
      <w:r w:rsidRPr="002001A3" w:rsidDel="00454742">
        <w:rPr>
          <w:lang w:val="es-ES"/>
        </w:rPr>
        <w:t xml:space="preserve"> </w:t>
      </w:r>
      <w:r w:rsidRPr="002001A3">
        <w:rPr>
          <w:lang w:val="es-ES"/>
        </w:rPr>
        <w:t>la cantidad de vías con las que cuenta un pozo</w:t>
      </w:r>
      <w:r>
        <w:t xml:space="preserve"> </w:t>
      </w:r>
      <w:r w:rsidRPr="002001A3">
        <w:rPr>
          <w:lang w:val="es-ES"/>
        </w:rPr>
        <w:t xml:space="preserve">en función de su tamaño y el espacio que pueda ocuparse según las dimensiones de las gazas y cierres de empalme dentro del pozo, de acuerdo a las estimaciones </w:t>
      </w:r>
      <w:r>
        <w:t>determinadas</w:t>
      </w:r>
      <w:r w:rsidRPr="002001A3">
        <w:rPr>
          <w:lang w:val="es-ES"/>
        </w:rPr>
        <w:t xml:space="preserve"> </w:t>
      </w:r>
      <w:r w:rsidRPr="002001A3">
        <w:t xml:space="preserve">en </w:t>
      </w:r>
      <w:r w:rsidRPr="002001A3">
        <w:rPr>
          <w:lang w:val="es-ES"/>
        </w:rPr>
        <w:t>la normativa técnica de la Oferta de Referencia</w:t>
      </w:r>
      <w:r>
        <w:t>, además se deberá precisar que los conceptos cobrados asociados a la gaza y el empalme se refieren al alojamiento de las mismas en el pozo eliminando posible incertidumbre en la interpretación de los conceptos presentados por el AEP.</w:t>
      </w:r>
    </w:p>
    <w:p w:rsidR="007C4016" w:rsidRDefault="007C4016" w:rsidP="007C4016">
      <w:pPr>
        <w:pStyle w:val="IFTnormal"/>
        <w:spacing w:before="240" w:after="0"/>
      </w:pPr>
      <w:r>
        <w:lastRenderedPageBreak/>
        <w:t>Por otra parte, tratándose del uso de postes, e</w:t>
      </w:r>
      <w:r>
        <w:rPr>
          <w:lang w:val="es-ES"/>
        </w:rPr>
        <w:t>l numeral “</w:t>
      </w:r>
      <w:r w:rsidRPr="00777ACD">
        <w:rPr>
          <w:i/>
          <w:lang w:val="es-ES"/>
        </w:rPr>
        <w:t>1</w:t>
      </w:r>
      <w:r w:rsidRPr="00531E60">
        <w:rPr>
          <w:i/>
        </w:rPr>
        <w:t>.</w:t>
      </w:r>
      <w:r w:rsidRPr="00531E60">
        <w:rPr>
          <w:i/>
        </w:rPr>
        <w:tab/>
      </w:r>
      <w:r>
        <w:rPr>
          <w:i/>
        </w:rPr>
        <w:t xml:space="preserve"> Servicio de Acceso y Uso Compartido de O</w:t>
      </w:r>
      <w:r w:rsidRPr="00531E60">
        <w:rPr>
          <w:i/>
        </w:rPr>
        <w:t xml:space="preserve">bra </w:t>
      </w:r>
      <w:r>
        <w:rPr>
          <w:i/>
        </w:rPr>
        <w:t>C</w:t>
      </w:r>
      <w:r w:rsidRPr="00531E60">
        <w:rPr>
          <w:i/>
        </w:rPr>
        <w:t>ivil</w:t>
      </w:r>
      <w:r>
        <w:rPr>
          <w:lang w:val="es-ES"/>
        </w:rPr>
        <w:t>” de la propuesta de Oferta de Referencia lo siguiente:</w:t>
      </w:r>
    </w:p>
    <w:p w:rsidR="007C4016" w:rsidRDefault="007C4016" w:rsidP="007C4016">
      <w:pPr>
        <w:pStyle w:val="Citaift0"/>
        <w:spacing w:before="240" w:after="0"/>
        <w:rPr>
          <w:b/>
        </w:rPr>
      </w:pPr>
      <w:r>
        <w:rPr>
          <w:b/>
        </w:rPr>
        <w:t>“</w:t>
      </w:r>
      <w:r w:rsidRPr="008D266A">
        <w:rPr>
          <w:b/>
        </w:rPr>
        <w:t>1. Servicio de Acceso y Uso compartido de Obra Civil</w:t>
      </w:r>
      <w:bookmarkEnd w:id="26"/>
      <w:r w:rsidRPr="008D266A">
        <w:rPr>
          <w:b/>
        </w:rPr>
        <w:t xml:space="preserve"> </w:t>
      </w:r>
    </w:p>
    <w:p w:rsidR="007C4016" w:rsidRPr="008D266A" w:rsidRDefault="007C4016" w:rsidP="007C4016">
      <w:pPr>
        <w:pStyle w:val="Citaift0"/>
        <w:spacing w:before="240" w:after="0"/>
      </w:pPr>
      <w:r w:rsidRPr="008D266A">
        <w:t>(…)</w:t>
      </w:r>
    </w:p>
    <w:p w:rsidR="007C4016" w:rsidRPr="008D266A" w:rsidRDefault="007C4016" w:rsidP="007C4016">
      <w:pPr>
        <w:pStyle w:val="Citaift0"/>
        <w:spacing w:before="240" w:after="0"/>
        <w:rPr>
          <w:b/>
        </w:rPr>
      </w:pPr>
      <w:r w:rsidRPr="008D266A">
        <w:rPr>
          <w:b/>
        </w:rPr>
        <w:t>Para determinar la contraprestación por el uso de los postes se tomará en cuenta:</w:t>
      </w:r>
    </w:p>
    <w:p w:rsidR="007C4016" w:rsidRPr="008D266A" w:rsidRDefault="007C4016" w:rsidP="007C4016">
      <w:pPr>
        <w:pStyle w:val="Citaift0"/>
        <w:numPr>
          <w:ilvl w:val="0"/>
          <w:numId w:val="202"/>
        </w:numPr>
        <w:spacing w:before="240" w:after="0"/>
      </w:pPr>
      <w:r w:rsidRPr="008D266A">
        <w:t>Cantidad de Cables Instalados por Poste (hasta cierto peso de acuerdo a la norma). Si el cable y sus extensiones exceden dicho peso, se cobrará un cable adicional.</w:t>
      </w:r>
    </w:p>
    <w:p w:rsidR="007C4016" w:rsidRDefault="007C4016" w:rsidP="007C4016">
      <w:pPr>
        <w:pStyle w:val="Citaift0"/>
        <w:numPr>
          <w:ilvl w:val="0"/>
          <w:numId w:val="202"/>
        </w:numPr>
        <w:spacing w:before="240" w:after="0"/>
      </w:pPr>
      <w:r w:rsidRPr="008D266A">
        <w:t>Peso por Kg adicional instalado en el cable del CS.</w:t>
      </w:r>
    </w:p>
    <w:p w:rsidR="007C4016" w:rsidRPr="008D266A" w:rsidRDefault="007C4016" w:rsidP="007C4016">
      <w:pPr>
        <w:pStyle w:val="Citaift0"/>
        <w:spacing w:before="240" w:after="0"/>
      </w:pPr>
      <w:r>
        <w:t>(…)”</w:t>
      </w:r>
    </w:p>
    <w:p w:rsidR="007C4016" w:rsidRDefault="007C4016" w:rsidP="007C4016">
      <w:pPr>
        <w:pStyle w:val="IFTnormal"/>
        <w:spacing w:before="240" w:after="0"/>
      </w:pPr>
      <w:r>
        <w:t xml:space="preserve">Al respecto, se destaca que el AEP en </w:t>
      </w:r>
      <w:r w:rsidRPr="00563111">
        <w:t>Respuesta al Oficio de Requerimiento</w:t>
      </w:r>
      <w:r>
        <w:t>, en la pregunta trece (13), describe los criterios para determinar para su propia operación el número máximo de cables que pueden instalarse en un poste. La respuesta del AEP se cita a continuación:</w:t>
      </w:r>
    </w:p>
    <w:p w:rsidR="007C4016" w:rsidRDefault="007C4016" w:rsidP="007C4016">
      <w:pPr>
        <w:pStyle w:val="CitaIFT"/>
        <w:spacing w:before="240" w:after="0"/>
      </w:pPr>
      <w:r>
        <w:t>“Respuesta:</w:t>
      </w:r>
    </w:p>
    <w:p w:rsidR="007C4016" w:rsidRDefault="007C4016" w:rsidP="007C4016">
      <w:pPr>
        <w:pStyle w:val="CitaIFT"/>
        <w:spacing w:before="240" w:after="0"/>
      </w:pPr>
      <w:r>
        <w:t>El área de ingeniería Corporativa realiza,</w:t>
      </w:r>
    </w:p>
    <w:p w:rsidR="007C4016" w:rsidRDefault="007C4016" w:rsidP="007C4016">
      <w:pPr>
        <w:pStyle w:val="CitaIFT"/>
        <w:numPr>
          <w:ilvl w:val="0"/>
          <w:numId w:val="194"/>
        </w:numPr>
        <w:spacing w:before="240" w:after="0"/>
      </w:pPr>
      <w:r>
        <w:t>Modelar los criterios preliminares</w:t>
      </w:r>
    </w:p>
    <w:p w:rsidR="007C4016" w:rsidRDefault="007C4016" w:rsidP="007C4016">
      <w:pPr>
        <w:pStyle w:val="CitaIFT"/>
        <w:numPr>
          <w:ilvl w:val="0"/>
          <w:numId w:val="194"/>
        </w:numPr>
        <w:spacing w:before="240" w:after="0"/>
      </w:pPr>
      <w:r>
        <w:t>Recopilar información de normas o recomendaciones nacionales e internacionales</w:t>
      </w:r>
    </w:p>
    <w:p w:rsidR="007C4016" w:rsidRDefault="007C4016" w:rsidP="007C4016">
      <w:pPr>
        <w:pStyle w:val="CitaIFT"/>
        <w:numPr>
          <w:ilvl w:val="0"/>
          <w:numId w:val="194"/>
        </w:numPr>
        <w:spacing w:before="240" w:after="0"/>
      </w:pPr>
      <w:r>
        <w:t>Recopilar especificaciones técnicas del poste que se pretende utilizar (madera, concreto, plásticos, acero, etc.)</w:t>
      </w:r>
    </w:p>
    <w:p w:rsidR="007C4016" w:rsidRDefault="007C4016" w:rsidP="007C4016">
      <w:pPr>
        <w:pStyle w:val="CitaIFT"/>
        <w:numPr>
          <w:ilvl w:val="0"/>
          <w:numId w:val="194"/>
        </w:numPr>
        <w:spacing w:before="240" w:after="0"/>
      </w:pPr>
      <w:r>
        <w:t>Recopilar variables climatologías que afecten la operación (Viento, corrosión, nieve, hielo, etc.)</w:t>
      </w:r>
    </w:p>
    <w:p w:rsidR="007C4016" w:rsidRDefault="007C4016" w:rsidP="007C4016">
      <w:pPr>
        <w:pStyle w:val="CitaIFT"/>
        <w:numPr>
          <w:ilvl w:val="0"/>
          <w:numId w:val="195"/>
        </w:numPr>
        <w:spacing w:before="240" w:after="0"/>
      </w:pPr>
      <w:r>
        <w:t>Verificar la tensión de falla del poste de acuerdo a las variables de empotramiento, altura de sujeción de cables y tamaño de poste</w:t>
      </w:r>
    </w:p>
    <w:p w:rsidR="007C4016" w:rsidRDefault="007C4016" w:rsidP="007C4016">
      <w:pPr>
        <w:pStyle w:val="CitaIFT"/>
        <w:numPr>
          <w:ilvl w:val="0"/>
          <w:numId w:val="195"/>
        </w:numPr>
        <w:spacing w:before="240" w:after="0"/>
      </w:pPr>
      <w:r>
        <w:t>Recopilar tiempos de reparación por capacidad de los cables en caso de falla</w:t>
      </w:r>
    </w:p>
    <w:p w:rsidR="007C4016" w:rsidRDefault="007C4016" w:rsidP="007C4016">
      <w:pPr>
        <w:pStyle w:val="CitaIFT"/>
        <w:numPr>
          <w:ilvl w:val="0"/>
          <w:numId w:val="195"/>
        </w:numPr>
        <w:spacing w:before="240" w:after="0"/>
      </w:pPr>
      <w:r>
        <w:t>Análisis de in</w:t>
      </w:r>
      <w:r w:rsidRPr="00E16BC7">
        <w:t>form</w:t>
      </w:r>
      <w:r>
        <w:t xml:space="preserve">ación y determinación del número máximo de cables que asegure la correcta operación del poste y servicios: </w:t>
      </w:r>
    </w:p>
    <w:p w:rsidR="007C4016" w:rsidRDefault="007C4016" w:rsidP="007C4016">
      <w:pPr>
        <w:pStyle w:val="CitaIFT"/>
        <w:numPr>
          <w:ilvl w:val="1"/>
          <w:numId w:val="195"/>
        </w:numPr>
        <w:spacing w:before="240" w:after="0"/>
        <w:ind w:left="1843"/>
      </w:pPr>
      <w:r>
        <w:t>No exponga a las personas y daños a terceros, en caso de falla</w:t>
      </w:r>
    </w:p>
    <w:p w:rsidR="007C4016" w:rsidRDefault="007C4016" w:rsidP="007C4016">
      <w:pPr>
        <w:pStyle w:val="CitaIFT"/>
        <w:numPr>
          <w:ilvl w:val="0"/>
          <w:numId w:val="196"/>
        </w:numPr>
        <w:spacing w:before="240" w:after="0"/>
        <w:ind w:left="1843"/>
      </w:pPr>
      <w:r>
        <w:t>Que no exponga una alta cantidad de servicios</w:t>
      </w:r>
    </w:p>
    <w:p w:rsidR="007C4016" w:rsidRDefault="007C4016" w:rsidP="007C4016">
      <w:pPr>
        <w:pStyle w:val="CitaIFT"/>
        <w:numPr>
          <w:ilvl w:val="0"/>
          <w:numId w:val="196"/>
        </w:numPr>
        <w:spacing w:before="240" w:after="0"/>
        <w:ind w:left="1843"/>
      </w:pPr>
      <w:r>
        <w:t>En caso de falla del poste, los servicios deberá poder recuperarse en tiempos de acuerdo a normas o recomendaciones nacionales e internacionales</w:t>
      </w:r>
    </w:p>
    <w:p w:rsidR="007C4016" w:rsidRDefault="007C4016" w:rsidP="007C4016">
      <w:pPr>
        <w:pStyle w:val="CitaIFT"/>
        <w:numPr>
          <w:ilvl w:val="0"/>
          <w:numId w:val="196"/>
        </w:numPr>
        <w:spacing w:before="240" w:after="0"/>
        <w:ind w:left="1843"/>
      </w:pPr>
      <w:r>
        <w:t>Establecer un factor de seguridad aplicado a la resistencia de falla medida en el poste, para definir la resistencia de operación</w:t>
      </w:r>
    </w:p>
    <w:p w:rsidR="007C4016" w:rsidRDefault="007C4016" w:rsidP="007C4016">
      <w:pPr>
        <w:pStyle w:val="CitaIFT"/>
        <w:numPr>
          <w:ilvl w:val="0"/>
          <w:numId w:val="196"/>
        </w:numPr>
        <w:spacing w:before="240" w:after="0"/>
        <w:ind w:left="1843"/>
      </w:pPr>
      <w:r>
        <w:lastRenderedPageBreak/>
        <w:t>Emisión a las áreas operativas del número máximo de cables aéreos, y se determina que existe capacidad disponible si la cantidad de cables existentes más los proyectados es menor al número máximo de cables</w:t>
      </w:r>
    </w:p>
    <w:p w:rsidR="007C4016" w:rsidRDefault="007C4016" w:rsidP="007C4016">
      <w:pPr>
        <w:pStyle w:val="CitaIFT"/>
        <w:numPr>
          <w:ilvl w:val="0"/>
          <w:numId w:val="197"/>
        </w:numPr>
        <w:spacing w:before="240" w:after="0"/>
      </w:pPr>
      <w:r>
        <w:t>Las áreas de proyecto operativas de Telnor aplican el criterio de número máximo, y en casos de excepción revisa la capacidad del poste con la formula indicada en la Norma 2 del Anexo 5 de la ORCI cuando:</w:t>
      </w:r>
    </w:p>
    <w:p w:rsidR="007C4016" w:rsidRDefault="007C4016" w:rsidP="007C4016">
      <w:pPr>
        <w:pStyle w:val="CitaIFT"/>
        <w:numPr>
          <w:ilvl w:val="0"/>
          <w:numId w:val="198"/>
        </w:numPr>
        <w:spacing w:before="240" w:after="0"/>
        <w:ind w:left="1843"/>
      </w:pPr>
      <w:r>
        <w:t>Se pretende instalar un cable más al número máximo</w:t>
      </w:r>
    </w:p>
    <w:p w:rsidR="007C4016" w:rsidRDefault="007C4016" w:rsidP="007C4016">
      <w:pPr>
        <w:pStyle w:val="CitaIFT"/>
        <w:numPr>
          <w:ilvl w:val="0"/>
          <w:numId w:val="198"/>
        </w:numPr>
        <w:spacing w:before="240" w:after="0"/>
        <w:ind w:left="1843"/>
      </w:pPr>
      <w:r>
        <w:t>No fue posible realizar ductos para bajar la red”</w:t>
      </w:r>
    </w:p>
    <w:p w:rsidR="007C4016" w:rsidRDefault="007C4016" w:rsidP="007C4016">
      <w:pPr>
        <w:pStyle w:val="IFTnormal"/>
        <w:spacing w:before="240" w:after="0"/>
      </w:pPr>
      <w:r>
        <w:t>En complemento a lo anterior, en la propuesta de Telnor del Anexo 2 denominada “</w:t>
      </w:r>
      <w:r w:rsidRPr="00DD38F2">
        <w:t xml:space="preserve">NORMA: </w:t>
      </w:r>
      <w:r>
        <w:t>COMPARTICIÓN DE POSTES DE TELNOR</w:t>
      </w:r>
      <w:r w:rsidRPr="00DD38F2">
        <w:t xml:space="preserve"> PARA NUEVOS CONCESIONARIOS</w:t>
      </w:r>
      <w:r>
        <w:t>”, establece diversos lineamientos técnicos asociados a la compartición de sus postes. De manera particular, se destacan los siguientes elementos que Telnor propone sean utilizados para determinar la factibilidad de compartición:</w:t>
      </w:r>
    </w:p>
    <w:p w:rsidR="007C4016" w:rsidRPr="00FF38A6" w:rsidRDefault="007C4016" w:rsidP="007C4016">
      <w:pPr>
        <w:pStyle w:val="IFTcita"/>
        <w:spacing w:before="240" w:after="0"/>
      </w:pPr>
      <w:r>
        <w:t xml:space="preserve">“6.1.2. </w:t>
      </w:r>
      <w:r w:rsidRPr="00FF38A6">
        <w:t xml:space="preserve">Ingeniería y construcción de </w:t>
      </w:r>
      <w:r>
        <w:t>compartición de Postes de TELNOR</w:t>
      </w:r>
      <w:r w:rsidRPr="00FF38A6">
        <w:t>.</w:t>
      </w:r>
    </w:p>
    <w:p w:rsidR="007C4016" w:rsidRDefault="007C4016" w:rsidP="007C4016">
      <w:pPr>
        <w:pStyle w:val="Citaift0"/>
        <w:spacing w:before="240" w:after="0"/>
      </w:pPr>
      <w:r>
        <w:t>[…]</w:t>
      </w:r>
    </w:p>
    <w:p w:rsidR="007C4016" w:rsidRPr="00FF38A6" w:rsidRDefault="007C4016" w:rsidP="007C4016">
      <w:pPr>
        <w:pStyle w:val="Citaift0"/>
        <w:numPr>
          <w:ilvl w:val="0"/>
          <w:numId w:val="197"/>
        </w:numPr>
        <w:spacing w:before="240" w:after="0"/>
      </w:pPr>
      <w:r w:rsidRPr="00FF38A6">
        <w:t>Para el cálculo de la Tensión Total (FT) de cada uno de los cables, se deben respetar las zonas de viento dominantes de acuerdo a cada ciudad definido en el Atlas eólico de la República Mexicana y aplicando la siguiente fórmula:</w:t>
      </w:r>
    </w:p>
    <w:p w:rsidR="007C4016" w:rsidRPr="00FF38A6" w:rsidRDefault="007C4016" w:rsidP="007C4016">
      <w:pPr>
        <w:pStyle w:val="Citaift0"/>
        <w:spacing w:before="240" w:after="0"/>
      </w:pPr>
      <w:r w:rsidRPr="00FF38A6">
        <w:rPr>
          <w:b/>
        </w:rPr>
        <w:t>F</w:t>
      </w:r>
      <w:r w:rsidRPr="00FF38A6">
        <w:rPr>
          <w:b/>
          <w:vertAlign w:val="subscript"/>
        </w:rPr>
        <w:t>T</w:t>
      </w:r>
      <w:r w:rsidRPr="00FF38A6">
        <w:t xml:space="preserve"> = </w:t>
      </w:r>
      <w:r w:rsidRPr="00FF38A6">
        <w:rPr>
          <w:b/>
        </w:rPr>
        <w:t>L</w:t>
      </w:r>
      <w:r w:rsidRPr="00FF38A6">
        <w:t xml:space="preserve"> (</w:t>
      </w:r>
      <w:r w:rsidRPr="00FF38A6">
        <w:rPr>
          <w:b/>
        </w:rPr>
        <w:t>w</w:t>
      </w:r>
      <w:r w:rsidRPr="00FF38A6">
        <w:t xml:space="preserve"> </w:t>
      </w:r>
      <w:r w:rsidRPr="00FF38A6">
        <w:rPr>
          <w:vertAlign w:val="superscript"/>
        </w:rPr>
        <w:t>2</w:t>
      </w:r>
      <w:r w:rsidRPr="00FF38A6">
        <w:t xml:space="preserve"> + </w:t>
      </w:r>
      <w:r w:rsidRPr="00FF38A6">
        <w:rPr>
          <w:b/>
        </w:rPr>
        <w:t>F</w:t>
      </w:r>
      <w:r w:rsidRPr="00FF38A6">
        <w:rPr>
          <w:b/>
          <w:vertAlign w:val="subscript"/>
        </w:rPr>
        <w:t>V</w:t>
      </w:r>
      <w:r w:rsidRPr="00FF38A6">
        <w:t xml:space="preserve"> </w:t>
      </w:r>
      <w:r w:rsidRPr="00FF38A6">
        <w:rPr>
          <w:vertAlign w:val="superscript"/>
        </w:rPr>
        <w:t>2</w:t>
      </w:r>
      <w:r w:rsidRPr="00FF38A6">
        <w:t>)½</w:t>
      </w:r>
    </w:p>
    <w:p w:rsidR="007C4016" w:rsidRPr="00FF38A6" w:rsidRDefault="007C4016" w:rsidP="007C4016">
      <w:pPr>
        <w:pStyle w:val="Citaift0"/>
        <w:spacing w:before="240" w:after="0"/>
      </w:pPr>
      <w:r w:rsidRPr="00FF38A6">
        <w:t>Donde:</w:t>
      </w:r>
    </w:p>
    <w:p w:rsidR="007C4016" w:rsidRPr="00FF38A6" w:rsidRDefault="007C4016" w:rsidP="007C4016">
      <w:pPr>
        <w:pStyle w:val="Citaift0"/>
        <w:spacing w:before="240" w:after="0"/>
      </w:pPr>
      <w:r w:rsidRPr="00FF38A6">
        <w:rPr>
          <w:b/>
        </w:rPr>
        <w:t>FT</w:t>
      </w:r>
      <w:r w:rsidRPr="00FF38A6">
        <w:t xml:space="preserve"> = Fuerza Total (Kg).</w:t>
      </w:r>
      <w:r>
        <w:t xml:space="preserve"> </w:t>
      </w:r>
      <w:r w:rsidRPr="00FF38A6">
        <w:rPr>
          <w:b/>
        </w:rPr>
        <w:t>w</w:t>
      </w:r>
      <w:r w:rsidRPr="00FF38A6">
        <w:t xml:space="preserve"> = Peso del cable (Kg/m).</w:t>
      </w:r>
    </w:p>
    <w:p w:rsidR="007C4016" w:rsidRPr="00FF38A6" w:rsidRDefault="007C4016" w:rsidP="007C4016">
      <w:pPr>
        <w:pStyle w:val="Citaift0"/>
        <w:spacing w:before="240" w:after="0"/>
      </w:pPr>
      <w:r w:rsidRPr="00FF38A6">
        <w:rPr>
          <w:b/>
        </w:rPr>
        <w:t>FV</w:t>
      </w:r>
      <w:r w:rsidRPr="00FF38A6">
        <w:t xml:space="preserve"> = Fuerza del viento (Kg/m, véase Tabla 1).</w:t>
      </w:r>
      <w:r w:rsidRPr="00FF38A6">
        <w:tab/>
      </w:r>
      <w:r w:rsidRPr="00FF38A6">
        <w:rPr>
          <w:b/>
        </w:rPr>
        <w:t>L</w:t>
      </w:r>
      <w:r w:rsidRPr="00FF38A6">
        <w:t xml:space="preserve"> = Distancia Interpostal (m).</w:t>
      </w:r>
    </w:p>
    <w:p w:rsidR="007C4016" w:rsidRPr="00FF38A6" w:rsidRDefault="007C4016" w:rsidP="007C4016">
      <w:pPr>
        <w:pStyle w:val="Citaift0"/>
        <w:spacing w:before="240" w:after="0"/>
        <w:jc w:val="center"/>
      </w:pPr>
      <w:r w:rsidRPr="00FF38A6">
        <w:t>Tabla 1. Fuerza de Viento de acuerdo a zonas.</w:t>
      </w:r>
    </w:p>
    <w:p w:rsidR="007C4016" w:rsidRPr="00FF38A6" w:rsidRDefault="007C4016" w:rsidP="007C4016">
      <w:pPr>
        <w:pStyle w:val="Texto1"/>
        <w:spacing w:before="240" w:after="0"/>
        <w:jc w:val="center"/>
      </w:pPr>
      <w:r w:rsidRPr="00FF38A6">
        <w:rPr>
          <w:noProof/>
          <w:lang w:eastAsia="es-MX"/>
        </w:rPr>
        <w:drawing>
          <wp:inline distT="0" distB="0" distL="0" distR="0" wp14:anchorId="4D679FD4" wp14:editId="1B6B76D6">
            <wp:extent cx="4754880" cy="567334"/>
            <wp:effectExtent l="0" t="0" r="0" b="4445"/>
            <wp:docPr id="4" name="Imagen 4" descr="Tabla 1. Fuerza de Viento de acuerdo a zonas." title="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srcRect/>
                    <a:stretch>
                      <a:fillRect/>
                    </a:stretch>
                  </pic:blipFill>
                  <pic:spPr bwMode="auto">
                    <a:xfrm>
                      <a:off x="0" y="0"/>
                      <a:ext cx="4763198" cy="568326"/>
                    </a:xfrm>
                    <a:prstGeom prst="rect">
                      <a:avLst/>
                    </a:prstGeom>
                    <a:noFill/>
                    <a:ln w="9525">
                      <a:noFill/>
                      <a:miter lim="800000"/>
                      <a:headEnd/>
                      <a:tailEnd/>
                    </a:ln>
                  </pic:spPr>
                </pic:pic>
              </a:graphicData>
            </a:graphic>
          </wp:inline>
        </w:drawing>
      </w:r>
    </w:p>
    <w:p w:rsidR="007C4016" w:rsidRPr="00FF38A6" w:rsidRDefault="007C4016" w:rsidP="007C4016">
      <w:pPr>
        <w:pStyle w:val="Citaift0"/>
        <w:spacing w:before="240" w:after="0"/>
      </w:pPr>
      <w:r w:rsidRPr="00FF38A6">
        <w:rPr>
          <w:b/>
        </w:rPr>
        <w:t>Nota</w:t>
      </w:r>
      <w:r w:rsidRPr="00FF38A6">
        <w:t>: El valor de la Tensión Total (FT) calculada, debe ser igual o menor a la Tensión Máxima de Operación (To) indicada en la tabla 2 que es la tensión máxima permitida en el poste de madera.</w:t>
      </w:r>
    </w:p>
    <w:p w:rsidR="007C4016" w:rsidRPr="00FF38A6" w:rsidRDefault="007C4016" w:rsidP="007C4016">
      <w:pPr>
        <w:pStyle w:val="Citaift0"/>
        <w:numPr>
          <w:ilvl w:val="0"/>
          <w:numId w:val="206"/>
        </w:numPr>
        <w:spacing w:before="240" w:after="0"/>
      </w:pPr>
      <w:r w:rsidRPr="00FF38A6">
        <w:lastRenderedPageBreak/>
        <w:t>La Tabla 2 indica los Tamaños y la resistenci</w:t>
      </w:r>
      <w:r>
        <w:t>a máxima de los postes de TELNOR</w:t>
      </w:r>
      <w:r w:rsidRPr="00FF38A6">
        <w:t>, la resistencia máxima debe ser mayor o igual a la Tensión Total (FT) calculada.</w:t>
      </w:r>
    </w:p>
    <w:p w:rsidR="007C4016" w:rsidRPr="00FF38A6" w:rsidRDefault="007C4016" w:rsidP="007C4016">
      <w:pPr>
        <w:pStyle w:val="Citaift0"/>
        <w:spacing w:before="240" w:after="0"/>
        <w:jc w:val="center"/>
      </w:pPr>
      <w:r w:rsidRPr="00FF38A6">
        <w:t>Tabla 2. Característic</w:t>
      </w:r>
      <w:r>
        <w:t>as de Postes de Madera de TELNOR</w:t>
      </w:r>
      <w:r w:rsidRPr="00FF38A6">
        <w:t>.</w:t>
      </w:r>
    </w:p>
    <w:p w:rsidR="007C4016" w:rsidRPr="00FF38A6" w:rsidRDefault="007C4016" w:rsidP="007C4016">
      <w:pPr>
        <w:pStyle w:val="Texto1"/>
        <w:spacing w:before="240" w:after="0"/>
        <w:ind w:left="340"/>
        <w:jc w:val="center"/>
      </w:pPr>
      <w:r w:rsidRPr="00FF38A6">
        <w:rPr>
          <w:noProof/>
          <w:lang w:eastAsia="es-MX"/>
        </w:rPr>
        <w:drawing>
          <wp:inline distT="0" distB="0" distL="0" distR="0" wp14:anchorId="04BABC06" wp14:editId="0ACBE236">
            <wp:extent cx="3116276" cy="1134572"/>
            <wp:effectExtent l="0" t="0" r="0" b="0"/>
            <wp:docPr id="5" name="Imagen 5" descr="Tabla 2. Características de Postes de Madera de TELN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srcRect/>
                    <a:stretch>
                      <a:fillRect/>
                    </a:stretch>
                  </pic:blipFill>
                  <pic:spPr bwMode="auto">
                    <a:xfrm>
                      <a:off x="0" y="0"/>
                      <a:ext cx="3118298" cy="1135308"/>
                    </a:xfrm>
                    <a:prstGeom prst="rect">
                      <a:avLst/>
                    </a:prstGeom>
                    <a:noFill/>
                    <a:ln w="9525">
                      <a:noFill/>
                      <a:miter lim="800000"/>
                      <a:headEnd/>
                      <a:tailEnd/>
                    </a:ln>
                  </pic:spPr>
                </pic:pic>
              </a:graphicData>
            </a:graphic>
          </wp:inline>
        </w:drawing>
      </w:r>
    </w:p>
    <w:p w:rsidR="007C4016" w:rsidRPr="00FF38A6" w:rsidRDefault="007C4016" w:rsidP="007C4016">
      <w:pPr>
        <w:pStyle w:val="Citaift0"/>
        <w:spacing w:before="240" w:after="0"/>
      </w:pPr>
      <w:r w:rsidRPr="00FF38A6">
        <w:rPr>
          <w:b/>
        </w:rPr>
        <w:t>Nota</w:t>
      </w:r>
      <w:r>
        <w:t>. En la Red Aérea de TELNOR</w:t>
      </w:r>
      <w:r w:rsidRPr="00FF38A6">
        <w:t>, los postes comúnmente más utilizados son:</w:t>
      </w:r>
    </w:p>
    <w:p w:rsidR="007C4016" w:rsidRPr="00FF38A6" w:rsidRDefault="007C4016" w:rsidP="007C4016">
      <w:pPr>
        <w:pStyle w:val="Citaift0"/>
        <w:numPr>
          <w:ilvl w:val="0"/>
          <w:numId w:val="207"/>
        </w:numPr>
        <w:spacing w:before="240" w:after="0"/>
      </w:pPr>
      <w:r w:rsidRPr="00FF38A6">
        <w:t>7.6 m (25’).</w:t>
      </w:r>
    </w:p>
    <w:p w:rsidR="007C4016" w:rsidRDefault="007C4016" w:rsidP="007C4016">
      <w:pPr>
        <w:pStyle w:val="Citaift0"/>
        <w:numPr>
          <w:ilvl w:val="0"/>
          <w:numId w:val="207"/>
        </w:numPr>
        <w:spacing w:after="0"/>
      </w:pPr>
      <w:r w:rsidRPr="00FF38A6">
        <w:t>9.2 m (30’).</w:t>
      </w:r>
    </w:p>
    <w:p w:rsidR="007C4016" w:rsidRDefault="007C4016" w:rsidP="007C4016">
      <w:pPr>
        <w:pStyle w:val="Citaift0"/>
        <w:spacing w:before="240" w:after="0"/>
      </w:pPr>
      <w:r>
        <w:t>[…]”</w:t>
      </w:r>
    </w:p>
    <w:p w:rsidR="007C4016" w:rsidRDefault="007C4016" w:rsidP="007C4016">
      <w:pPr>
        <w:pStyle w:val="IFTnormal"/>
        <w:spacing w:before="240" w:after="0"/>
      </w:pPr>
      <w:r>
        <w:t xml:space="preserve">Es decir, de la propuesta de Telnor se desprende que se debe realizar un análisis técnico y cálculos para determinar cuál sería el número máximo de cables </w:t>
      </w:r>
      <w:r w:rsidRPr="00DD46D1">
        <w:t xml:space="preserve">que </w:t>
      </w:r>
      <w:r>
        <w:t xml:space="preserve">pueden instalarse en los postes, para asegurar </w:t>
      </w:r>
      <w:r w:rsidRPr="00DD46D1">
        <w:t>la correcta operación de</w:t>
      </w:r>
      <w:r>
        <w:t xml:space="preserve"> los mismos. </w:t>
      </w:r>
    </w:p>
    <w:p w:rsidR="007C4016" w:rsidRDefault="007C4016" w:rsidP="007C4016">
      <w:pPr>
        <w:pStyle w:val="IFTnormal"/>
        <w:spacing w:before="240" w:after="0"/>
      </w:pPr>
      <w:r>
        <w:t>Sin embargo, aun cuando Telnor propone que para determinar la contraprestación por el uso de los postes se tomará en cuenta la “cantidad de cables instalados por poste (hasta cierto peso de acuerdo a la norma)”, no especifica de manera precisa el cálculo de la tarifa correspondiente. Más aun, en el Anexo A “TARIFAS” de la propuesta de Oferta de Referencia, el AEP indica un concepto de cobro “Por cable apoyado en el poste”.</w:t>
      </w:r>
    </w:p>
    <w:p w:rsidR="007C4016" w:rsidRDefault="007C4016" w:rsidP="007C4016">
      <w:pPr>
        <w:pStyle w:val="IFTnormal"/>
        <w:spacing w:before="240" w:after="0"/>
      </w:pPr>
      <w:r>
        <w:t xml:space="preserve">Al respecto, el Instituto considera que establecer una tarifa única “por cable apoyado en el poste” podría no resultar el mecanismo más eficiente para incentivar el uso óptimo de la infraestructura de Telnor, ya que los CS estarían pagando un mismo cargo con independencia de las características del cable y de la fuerza ejercida por el mismo sobre la infraestructura, en el entendido de que en la práctica tales factores inciden sobre la posibilidad de hacer uso de un poste particular para la colocación de un cable. Es por ello, que el Instituto considera que lo más adecuado es aplicar de manera clara y objetiva los parámetros propuestos por Telnor, así como la fórmula presentada para calcular la tensión total de los cables y en función </w:t>
      </w:r>
      <w:r w:rsidDel="005C3BD5">
        <w:t xml:space="preserve">de </w:t>
      </w:r>
      <w:r>
        <w:t xml:space="preserve">dicha aplicación determinar la tarifa específica para cada </w:t>
      </w:r>
      <w:r>
        <w:lastRenderedPageBreak/>
        <w:t>caso. De esta forma, pagará más quien instale un cable de mayor peso, generando incentivos al uso eficiente de la infraestructura y con ello promoviendo mejores condiciones para la competencia.</w:t>
      </w:r>
    </w:p>
    <w:p w:rsidR="007C4016" w:rsidRPr="004A3C87" w:rsidRDefault="007C4016" w:rsidP="007C4016">
      <w:pPr>
        <w:pStyle w:val="IFTnormal"/>
        <w:spacing w:before="240" w:after="0"/>
        <w:rPr>
          <w:lang w:val="es-ES"/>
        </w:rPr>
      </w:pPr>
      <w:r w:rsidRPr="004A3C87">
        <w:t xml:space="preserve">En este sentido, el Instituto estima pertinente modificar el contenido de </w:t>
      </w:r>
      <w:r w:rsidRPr="004A3C87">
        <w:rPr>
          <w:lang w:val="es-ES"/>
        </w:rPr>
        <w:t>la propuesta de Oferta de Referencia para precisar que</w:t>
      </w:r>
      <w:r>
        <w:rPr>
          <w:lang w:val="es-ES"/>
        </w:rPr>
        <w:t xml:space="preserve"> e</w:t>
      </w:r>
      <w:r w:rsidRPr="004A3C87">
        <w:rPr>
          <w:lang w:val="es-ES"/>
        </w:rPr>
        <w:t xml:space="preserve">l nivel tarifario correspondiente deberá ajustarse para reflejar que el cobro se realizará con base en la tensión total ejercida por el cable en el poste, de acuerdo a las estimaciones </w:t>
      </w:r>
      <w:r>
        <w:rPr>
          <w:lang w:val="es-ES"/>
        </w:rPr>
        <w:t xml:space="preserve">previstas </w:t>
      </w:r>
      <w:r>
        <w:t xml:space="preserve">en </w:t>
      </w:r>
      <w:r w:rsidRPr="004A3C87">
        <w:rPr>
          <w:lang w:val="es-ES"/>
        </w:rPr>
        <w:t>la normativa técnica de la Oferta de Referencia.</w:t>
      </w:r>
    </w:p>
    <w:p w:rsidR="007C4016" w:rsidRDefault="007C4016" w:rsidP="007C4016">
      <w:pPr>
        <w:pStyle w:val="IFTnormal"/>
        <w:spacing w:before="240" w:after="0"/>
      </w:pPr>
      <w:r>
        <w:t>En complemento a lo anterior, el Instituto considera sustancial mencionar que en lo referente al cálculo de la tensión total que un cable realiza sobre un poste en particular, se involucran diferentes elementos tal y como se verifica con la fórmula presentada por el AEP en la “</w:t>
      </w:r>
      <w:r w:rsidRPr="00DD38F2">
        <w:t xml:space="preserve">NORMA: </w:t>
      </w:r>
      <w:r>
        <w:t>COMPARTICIÓN DE POSTES DE TELNOR</w:t>
      </w:r>
      <w:r w:rsidRPr="00DD38F2">
        <w:t xml:space="preserve"> PARA NUEVOS CONCESIONARIOS</w:t>
      </w:r>
      <w:r>
        <w:t>”:</w:t>
      </w:r>
    </w:p>
    <w:p w:rsidR="007C4016" w:rsidRPr="00604B20" w:rsidRDefault="007C4016" w:rsidP="007C4016">
      <w:pPr>
        <w:pStyle w:val="Texto1"/>
        <w:spacing w:before="240" w:after="0"/>
        <w:jc w:val="center"/>
        <w:rPr>
          <w:rFonts w:ascii="ITC Avant Garde" w:hAnsi="ITC Avant Garde"/>
        </w:rPr>
      </w:pPr>
      <w:r w:rsidRPr="00604B20">
        <w:rPr>
          <w:rFonts w:ascii="ITC Avant Garde" w:hAnsi="ITC Avant Garde"/>
        </w:rPr>
        <w:t>F</w:t>
      </w:r>
      <w:r w:rsidRPr="00604B20">
        <w:rPr>
          <w:rFonts w:ascii="ITC Avant Garde" w:hAnsi="ITC Avant Garde"/>
          <w:vertAlign w:val="subscript"/>
        </w:rPr>
        <w:t>T</w:t>
      </w:r>
      <w:r w:rsidRPr="00604B20">
        <w:rPr>
          <w:rFonts w:ascii="ITC Avant Garde" w:hAnsi="ITC Avant Garde"/>
        </w:rPr>
        <w:t xml:space="preserve"> = L (w </w:t>
      </w:r>
      <w:r w:rsidRPr="00604B20">
        <w:rPr>
          <w:rFonts w:ascii="ITC Avant Garde" w:hAnsi="ITC Avant Garde"/>
          <w:vertAlign w:val="superscript"/>
        </w:rPr>
        <w:t>2</w:t>
      </w:r>
      <w:r w:rsidRPr="00604B20">
        <w:rPr>
          <w:rFonts w:ascii="ITC Avant Garde" w:hAnsi="ITC Avant Garde"/>
        </w:rPr>
        <w:t xml:space="preserve"> + F</w:t>
      </w:r>
      <w:r w:rsidRPr="00604B20">
        <w:rPr>
          <w:rFonts w:ascii="ITC Avant Garde" w:hAnsi="ITC Avant Garde"/>
          <w:vertAlign w:val="subscript"/>
        </w:rPr>
        <w:t>V</w:t>
      </w:r>
      <w:r w:rsidRPr="00604B20">
        <w:rPr>
          <w:rFonts w:ascii="ITC Avant Garde" w:hAnsi="ITC Avant Garde"/>
        </w:rPr>
        <w:t xml:space="preserve"> </w:t>
      </w:r>
      <w:r w:rsidRPr="00604B20">
        <w:rPr>
          <w:rFonts w:ascii="ITC Avant Garde" w:hAnsi="ITC Avant Garde"/>
          <w:vertAlign w:val="superscript"/>
        </w:rPr>
        <w:t>2</w:t>
      </w:r>
      <w:r w:rsidRPr="00604B20">
        <w:rPr>
          <w:rFonts w:ascii="ITC Avant Garde" w:hAnsi="ITC Avant Garde"/>
        </w:rPr>
        <w:t>)½</w:t>
      </w:r>
    </w:p>
    <w:p w:rsidR="007C4016" w:rsidRDefault="007C4016" w:rsidP="007C4016">
      <w:pPr>
        <w:pStyle w:val="IFTnormal"/>
        <w:spacing w:before="240" w:after="0"/>
        <w:ind w:left="851" w:right="760"/>
      </w:pPr>
      <w:r>
        <w:t>Donde:</w:t>
      </w:r>
    </w:p>
    <w:p w:rsidR="007C4016" w:rsidRDefault="007C4016" w:rsidP="007C4016">
      <w:pPr>
        <w:pStyle w:val="IFTnormal"/>
        <w:spacing w:before="240" w:after="0"/>
        <w:ind w:left="851" w:right="760"/>
      </w:pPr>
      <w:r>
        <w:t>F</w:t>
      </w:r>
      <w:r w:rsidRPr="00D87815">
        <w:rPr>
          <w:vertAlign w:val="subscript"/>
        </w:rPr>
        <w:t>T</w:t>
      </w:r>
      <w:r>
        <w:t xml:space="preserve"> = Fuerza Total (Kg).</w:t>
      </w:r>
    </w:p>
    <w:p w:rsidR="007C4016" w:rsidRDefault="007C4016" w:rsidP="007C4016">
      <w:pPr>
        <w:pStyle w:val="IFTnormal"/>
        <w:spacing w:after="0"/>
        <w:ind w:left="851" w:right="760"/>
      </w:pPr>
      <w:r>
        <w:t>w = Peso del cable (Kg/m).</w:t>
      </w:r>
    </w:p>
    <w:p w:rsidR="007C4016" w:rsidRDefault="007C4016" w:rsidP="007C4016">
      <w:pPr>
        <w:pStyle w:val="IFTnormal"/>
        <w:spacing w:after="0"/>
        <w:ind w:left="851" w:right="760"/>
      </w:pPr>
      <w:r>
        <w:t>F</w:t>
      </w:r>
      <w:r w:rsidRPr="00D87815">
        <w:rPr>
          <w:vertAlign w:val="subscript"/>
        </w:rPr>
        <w:t>V</w:t>
      </w:r>
      <w:r>
        <w:t xml:space="preserve"> = Fuerza del viento (Kg/m).</w:t>
      </w:r>
    </w:p>
    <w:p w:rsidR="007C4016" w:rsidRDefault="007C4016" w:rsidP="007C4016">
      <w:pPr>
        <w:pStyle w:val="IFTnormal"/>
        <w:spacing w:after="0"/>
        <w:ind w:left="851" w:right="760"/>
      </w:pPr>
      <w:r>
        <w:tab/>
        <w:t>L = Distancia Interpostal (m).</w:t>
      </w:r>
    </w:p>
    <w:p w:rsidR="007C4016" w:rsidRDefault="007C4016" w:rsidP="007C4016">
      <w:pPr>
        <w:pStyle w:val="IFTnormal"/>
        <w:spacing w:before="240" w:after="0"/>
      </w:pPr>
      <w:r>
        <w:t xml:space="preserve">Donde destaca que para calcular la fuerza del viento es necesario el diámetro del cable, así como la velocidad del viento. A través de la </w:t>
      </w:r>
      <w:r w:rsidRPr="00563111">
        <w:t>Respuesta al Oficio de Requerimiento</w:t>
      </w:r>
      <w:r>
        <w:t xml:space="preserve">, en la pregunta trece (13) </w:t>
      </w:r>
      <w:r w:rsidRPr="00C14FC3">
        <w:t>“</w:t>
      </w:r>
      <w:r w:rsidRPr="00C14FC3">
        <w:rPr>
          <w:i/>
        </w:rPr>
        <w:t>Proporcionar el documento y la Bibliografía del</w:t>
      </w:r>
      <w:r>
        <w:rPr>
          <w:i/>
        </w:rPr>
        <w:t xml:space="preserve"> </w:t>
      </w:r>
      <w:r w:rsidRPr="00C14FC3">
        <w:rPr>
          <w:i/>
        </w:rPr>
        <w:t>Atlas eólico de la República Mexicana</w:t>
      </w:r>
      <w:r>
        <w:t>”, el AEP indica que no utiliza un “</w:t>
      </w:r>
      <w:r w:rsidRPr="00B6389A">
        <w:t>Atlas eólico de la República Mexicana</w:t>
      </w:r>
      <w:r>
        <w:t>” tal y como lo había manifestado en su “</w:t>
      </w:r>
      <w:r w:rsidRPr="00DD38F2">
        <w:t xml:space="preserve">NORMA: </w:t>
      </w:r>
      <w:r>
        <w:t>COMPARTICIÓN DE POSTES DE TELNOR</w:t>
      </w:r>
      <w:r w:rsidRPr="00DD38F2">
        <w:t xml:space="preserve"> PARA NUEVOS CONCESIONARIOS</w:t>
      </w:r>
      <w:r>
        <w:t>” y que emplea para los parámetros de diseño de viento el documento “NOM-001-SEDE-2012” o aquel que esté vigente. En este sentido, el Instituto infiere que el documento al que hace referencia el AEP es la “</w:t>
      </w:r>
      <w:r w:rsidRPr="0030096A">
        <w:rPr>
          <w:rFonts w:cs="Times New Roman"/>
          <w:i/>
        </w:rPr>
        <w:t>NORMA Oficial Mexicana NOM-001-SEDE-2012, Instalaciones Eléctricas (utilización)</w:t>
      </w:r>
      <w:r>
        <w:rPr>
          <w:rFonts w:cs="Times New Roman"/>
        </w:rPr>
        <w:t>” (en adelante “</w:t>
      </w:r>
      <w:r>
        <w:t xml:space="preserve">NOM-001-SEDE-2012”). </w:t>
      </w:r>
    </w:p>
    <w:p w:rsidR="007C4016" w:rsidRDefault="007C4016" w:rsidP="007C4016">
      <w:pPr>
        <w:pStyle w:val="IFTnormal"/>
        <w:spacing w:before="240" w:after="0"/>
      </w:pPr>
      <w:r>
        <w:t>Al respecto, el apartado “</w:t>
      </w:r>
      <w:r w:rsidRPr="000E78CF">
        <w:rPr>
          <w:i/>
        </w:rPr>
        <w:t>922-82. Zonas de cargas mecánicas</w:t>
      </w:r>
      <w:r>
        <w:t>” de la NOM-001-SEDE-2012</w:t>
      </w:r>
      <w:r w:rsidDel="00CD08D7">
        <w:t xml:space="preserve"> </w:t>
      </w:r>
      <w:r>
        <w:t xml:space="preserve">expone una clasificación de velocidades de viento de diseño por </w:t>
      </w:r>
      <w:r>
        <w:lastRenderedPageBreak/>
        <w:t>regiones de México y se establece la metodología para el cálculo de la presión del viento sobre líneas aéreas, según la s</w:t>
      </w:r>
      <w:r w:rsidRPr="00224F6E">
        <w:t xml:space="preserve">uperficie de </w:t>
      </w:r>
      <w:r>
        <w:t>que se trate</w:t>
      </w:r>
      <w:r w:rsidRPr="00224F6E">
        <w:t xml:space="preserve"> </w:t>
      </w:r>
      <w:r>
        <w:t xml:space="preserve">(en particular para </w:t>
      </w:r>
      <w:r w:rsidRPr="00224F6E">
        <w:t>alambres y cables</w:t>
      </w:r>
      <w:r>
        <w:t>).</w:t>
      </w:r>
      <w:r w:rsidRPr="00224F6E">
        <w:t xml:space="preserve"> </w:t>
      </w:r>
      <w:r>
        <w:t>En concreto, la NOM-001-SEDE-2012 indica:</w:t>
      </w:r>
    </w:p>
    <w:p w:rsidR="007C4016" w:rsidRDefault="007C4016" w:rsidP="007C4016">
      <w:pPr>
        <w:pStyle w:val="CitaIFT"/>
        <w:spacing w:before="240" w:after="0"/>
        <w:jc w:val="center"/>
        <w:rPr>
          <w:b/>
        </w:rPr>
      </w:pPr>
      <w:r w:rsidRPr="002D6EBB">
        <w:rPr>
          <w:b/>
        </w:rPr>
        <w:t>“H. Cargas mecánicas en líneas aéreas</w:t>
      </w:r>
    </w:p>
    <w:p w:rsidR="007C4016" w:rsidRPr="00A76D6D" w:rsidRDefault="007C4016" w:rsidP="007C4016">
      <w:pPr>
        <w:pStyle w:val="CitaIFT"/>
        <w:spacing w:before="240" w:after="0"/>
      </w:pPr>
      <w:r>
        <w:t>[…]</w:t>
      </w:r>
    </w:p>
    <w:p w:rsidR="007C4016" w:rsidRPr="00A76D6D" w:rsidRDefault="007C4016" w:rsidP="007C4016">
      <w:pPr>
        <w:pStyle w:val="CitaIFT"/>
        <w:spacing w:before="240" w:after="0"/>
      </w:pPr>
      <w:r w:rsidRPr="00A76D6D">
        <w:rPr>
          <w:b/>
        </w:rPr>
        <w:t xml:space="preserve">922-82. Zonas de cargas mecánicas. </w:t>
      </w:r>
      <w:r w:rsidRPr="00A76D6D">
        <w:t>Con el propósito de establecer las cargas mínimas que deben considerarse para el cálculo mecánico de líneas aéreas, el país se ha dividido en seis zonas de carga que se indican en el mapa de la Figura 922-82 y se describen a continuación:</w:t>
      </w:r>
    </w:p>
    <w:p w:rsidR="007C4016" w:rsidRPr="00A76D6D" w:rsidRDefault="007C4016" w:rsidP="007C4016">
      <w:pPr>
        <w:pStyle w:val="CitaIFT"/>
        <w:spacing w:before="240" w:after="0"/>
        <w:ind w:left="1573"/>
      </w:pPr>
      <w:r w:rsidRPr="00A76D6D">
        <w:rPr>
          <w:b/>
        </w:rPr>
        <w:t xml:space="preserve">Zona I. </w:t>
      </w:r>
      <w:r w:rsidRPr="00A76D6D">
        <w:t>Región Norte: Baja California, Chihuahua, Coahuila, Nuevo León y parte de Sonora y Durango.</w:t>
      </w:r>
    </w:p>
    <w:p w:rsidR="007C4016" w:rsidRPr="00A76D6D" w:rsidRDefault="007C4016" w:rsidP="007C4016">
      <w:pPr>
        <w:pStyle w:val="CitaIFT"/>
        <w:spacing w:before="240" w:after="0"/>
        <w:ind w:left="1573"/>
      </w:pPr>
      <w:r w:rsidRPr="00A76D6D">
        <w:rPr>
          <w:b/>
        </w:rPr>
        <w:t xml:space="preserve">Zona II. </w:t>
      </w:r>
      <w:r w:rsidRPr="00A76D6D">
        <w:t>Región Centro Norte: Aguascalientes y parte de Zacatecas, Durango y San Luis Potosí.</w:t>
      </w:r>
    </w:p>
    <w:p w:rsidR="007C4016" w:rsidRPr="00A76D6D" w:rsidRDefault="007C4016" w:rsidP="007C4016">
      <w:pPr>
        <w:pStyle w:val="CitaIFT"/>
        <w:spacing w:before="240" w:after="0"/>
        <w:ind w:left="1573"/>
      </w:pPr>
      <w:r w:rsidRPr="00A76D6D">
        <w:rPr>
          <w:b/>
        </w:rPr>
        <w:t xml:space="preserve">Zona III. </w:t>
      </w:r>
      <w:r w:rsidRPr="00A76D6D">
        <w:t>Región Centro Sur: parte de Oaxaca y Chiapas.</w:t>
      </w:r>
    </w:p>
    <w:p w:rsidR="007C4016" w:rsidRPr="00A76D6D" w:rsidRDefault="007C4016" w:rsidP="007C4016">
      <w:pPr>
        <w:pStyle w:val="CitaIFT"/>
        <w:spacing w:before="240" w:after="0"/>
        <w:ind w:left="1573"/>
      </w:pPr>
      <w:r w:rsidRPr="00A76D6D">
        <w:rPr>
          <w:b/>
        </w:rPr>
        <w:t xml:space="preserve">Zona IV </w:t>
      </w:r>
      <w:r w:rsidRPr="00A76D6D">
        <w:t>Región Central: Guanajuato, Querétaro, Estado de México, Distrito Federal, Tlaxcala, Morelos y parte de Zacatecas, San Luis Potosí, Jalisco, Michoacán, Hidalgo, Puebla, Veracruz y Guerrero.</w:t>
      </w:r>
    </w:p>
    <w:p w:rsidR="007C4016" w:rsidRPr="00A76D6D" w:rsidRDefault="007C4016" w:rsidP="007C4016">
      <w:pPr>
        <w:pStyle w:val="CitaIFT"/>
        <w:spacing w:before="240" w:after="0"/>
        <w:ind w:left="1573"/>
      </w:pPr>
      <w:r w:rsidRPr="00A76D6D">
        <w:rPr>
          <w:b/>
        </w:rPr>
        <w:t xml:space="preserve">Zona V </w:t>
      </w:r>
      <w:r w:rsidRPr="00A76D6D">
        <w:t>Región Costera: Baja California Sur, Sinaloa, Nayarit, Colima, Tamaulipas, Tabasco, Campeche, Yucatán y parte de Quintana Roo, Sonora, Jalisco, Michoacán, Guerrero, Oaxaca, Chiapas y Veracruz.</w:t>
      </w:r>
    </w:p>
    <w:p w:rsidR="007C4016" w:rsidRPr="00A76D6D" w:rsidRDefault="007C4016" w:rsidP="007C4016">
      <w:pPr>
        <w:pStyle w:val="CitaIFT"/>
        <w:spacing w:before="240" w:after="0"/>
        <w:ind w:left="1573"/>
      </w:pPr>
      <w:r w:rsidRPr="00A76D6D">
        <w:rPr>
          <w:b/>
        </w:rPr>
        <w:t xml:space="preserve">Zona VI. </w:t>
      </w:r>
      <w:r w:rsidRPr="00A76D6D">
        <w:t>Región Especial: parte de Oaxaca, Tamaulipas, Veracruz y Quintana Roo.</w:t>
      </w:r>
    </w:p>
    <w:p w:rsidR="007C4016" w:rsidRPr="00A76D6D" w:rsidRDefault="007C4016" w:rsidP="007C4016">
      <w:pPr>
        <w:pStyle w:val="CitaIFT"/>
        <w:spacing w:before="240" w:after="0"/>
        <w:ind w:left="1573"/>
      </w:pPr>
      <w:r w:rsidRPr="00A76D6D">
        <w:t>Si una línea aérea cruza dos o más zonas de carga, debe soportar las cargas correspondientes a dichas zonas.</w:t>
      </w:r>
    </w:p>
    <w:p w:rsidR="007C4016" w:rsidRDefault="007C4016" w:rsidP="007C4016">
      <w:pPr>
        <w:pStyle w:val="Texto"/>
        <w:spacing w:before="240" w:after="0" w:line="240" w:lineRule="auto"/>
        <w:ind w:firstLine="0"/>
        <w:jc w:val="center"/>
        <w:rPr>
          <w:b/>
          <w:szCs w:val="18"/>
        </w:rPr>
      </w:pPr>
      <w:r w:rsidRPr="003E3722">
        <w:rPr>
          <w:b/>
          <w:noProof/>
          <w:szCs w:val="18"/>
          <w:lang w:val="es-MX" w:eastAsia="es-MX"/>
        </w:rPr>
        <w:drawing>
          <wp:inline distT="0" distB="0" distL="0" distR="0" wp14:anchorId="4AB1F5A7" wp14:editId="2829DED0">
            <wp:extent cx="4118457" cy="3029530"/>
            <wp:effectExtent l="0" t="0" r="0" b="0"/>
            <wp:docPr id="9" name="Imagen 9" descr="Cálculo de cargas mecánic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4376" cy="3041240"/>
                    </a:xfrm>
                    <a:prstGeom prst="rect">
                      <a:avLst/>
                    </a:prstGeom>
                    <a:noFill/>
                    <a:ln>
                      <a:noFill/>
                    </a:ln>
                  </pic:spPr>
                </pic:pic>
              </a:graphicData>
            </a:graphic>
          </wp:inline>
        </w:drawing>
      </w:r>
    </w:p>
    <w:p w:rsidR="007C4016" w:rsidRDefault="007C4016" w:rsidP="007C4016">
      <w:pPr>
        <w:pStyle w:val="CitaIFT"/>
        <w:spacing w:before="240" w:after="0"/>
      </w:pPr>
      <w:r w:rsidRPr="002D6EBB">
        <w:lastRenderedPageBreak/>
        <w:t>[…]</w:t>
      </w:r>
    </w:p>
    <w:p w:rsidR="007C4016" w:rsidRPr="00A76D6D" w:rsidRDefault="007C4016" w:rsidP="007C4016">
      <w:pPr>
        <w:pStyle w:val="CitaIFT"/>
        <w:spacing w:before="240" w:after="0"/>
      </w:pPr>
      <w:r w:rsidRPr="00A76D6D">
        <w:rPr>
          <w:b/>
        </w:rPr>
        <w:t xml:space="preserve">922-84. Presión de viento. </w:t>
      </w:r>
      <w:r w:rsidRPr="00A76D6D">
        <w:t>La presión del viento sobre las líneas aéreas se debe calcular, según la superficie de que se trate, por medio de las siguientes ecuaciones:</w:t>
      </w:r>
    </w:p>
    <w:p w:rsidR="007C4016" w:rsidRDefault="007C4016" w:rsidP="007C4016">
      <w:pPr>
        <w:pStyle w:val="CitaIFT"/>
        <w:spacing w:before="240" w:after="0"/>
        <w:ind w:left="852" w:firstLine="1"/>
        <w:rPr>
          <w:sz w:val="14"/>
        </w:rPr>
      </w:pPr>
      <w:r w:rsidRPr="00A76D6D">
        <w:rPr>
          <w:b/>
        </w:rPr>
        <w:t xml:space="preserve">a) Sobre conductores. </w:t>
      </w:r>
      <w:r w:rsidRPr="00A76D6D">
        <w:t>Superficies de alambres y cables P = 0.00482 V</w:t>
      </w:r>
      <w:r w:rsidRPr="002D6EBB">
        <w:rPr>
          <w:vertAlign w:val="superscript"/>
        </w:rPr>
        <w:t>2</w:t>
      </w:r>
    </w:p>
    <w:p w:rsidR="007C4016" w:rsidRDefault="007C4016" w:rsidP="007C4016">
      <w:pPr>
        <w:pStyle w:val="CitaIFT"/>
        <w:spacing w:before="240" w:after="0"/>
        <w:ind w:left="852" w:firstLine="1"/>
      </w:pPr>
      <w:r>
        <w:t>[…]”</w:t>
      </w:r>
    </w:p>
    <w:p w:rsidR="007C4016" w:rsidRPr="00F92443" w:rsidRDefault="007C4016" w:rsidP="007C4016">
      <w:pPr>
        <w:pStyle w:val="IFTnormal"/>
        <w:spacing w:before="240" w:after="0"/>
      </w:pPr>
      <w:r>
        <w:t>En mérito de lo anterior, el Instituto considera conveniente modificar el contenido de la Propuesta de Oferta de Referencia a efecto de que los datos de “</w:t>
      </w:r>
      <w:r w:rsidRPr="00DE00AF">
        <w:rPr>
          <w:i/>
        </w:rPr>
        <w:t>Fuerza de Viento de acuerdo a zonas</w:t>
      </w:r>
      <w:r>
        <w:t>” aplicables a los cables que se colocan en los postes consideren la metodología de cálculo de la NOM-001-SEDE-2012, de manera que se otorgue mayor claridad y objetividad a las partes involucradas sobre la fórmula para calcular la tensión total de los cables en los postes</w:t>
      </w:r>
      <w:r w:rsidDel="0010165C">
        <w:t>.</w:t>
      </w:r>
      <w:r>
        <w:t xml:space="preserve"> Por lo que</w:t>
      </w:r>
      <w:r w:rsidRPr="00F92443">
        <w:t xml:space="preserve"> la fuerza del viento</w:t>
      </w:r>
      <w:r>
        <w:t xml:space="preserve"> (Fv) </w:t>
      </w:r>
      <w:r w:rsidRPr="00F92443">
        <w:t>se debe</w:t>
      </w:r>
      <w:r>
        <w:t>rá</w:t>
      </w:r>
      <w:r w:rsidRPr="00F92443">
        <w:t xml:space="preserve"> determinar empleado la siguiente fórmula:</w:t>
      </w:r>
    </w:p>
    <w:p w:rsidR="007C4016" w:rsidRPr="00F92443" w:rsidRDefault="002C04D7" w:rsidP="007C4016">
      <w:pPr>
        <w:pStyle w:val="IFTnormal"/>
        <w:spacing w:before="240" w:after="0"/>
        <w:ind w:left="709"/>
      </w:pPr>
      <m:oMathPara>
        <m:oMath>
          <m:sSub>
            <m:sSubPr>
              <m:ctrlPr>
                <w:rPr>
                  <w:rFonts w:ascii="Cambria Math" w:hAnsi="Cambria Math"/>
                </w:rPr>
              </m:ctrlPr>
            </m:sSubPr>
            <m:e>
              <m:r>
                <m:rPr>
                  <m:nor/>
                </m:rPr>
                <m:t>F</m:t>
              </m:r>
            </m:e>
            <m:sub>
              <m:r>
                <m:rPr>
                  <m:nor/>
                </m:rPr>
                <m:t>V</m:t>
              </m:r>
            </m:sub>
          </m:sSub>
          <m:r>
            <m:rPr>
              <m:nor/>
            </m:rPr>
            <m:t xml:space="preserve"> = 0.00482 ×</m:t>
          </m:r>
          <m:r>
            <m:rPr>
              <m:sty m:val="p"/>
            </m:rPr>
            <w:rPr>
              <w:rFonts w:ascii="Cambria Math" w:hAnsi="Cambria Math"/>
            </w:rPr>
            <m:t xml:space="preserve"> </m:t>
          </m:r>
          <m:sSup>
            <m:sSupPr>
              <m:ctrlPr>
                <w:rPr>
                  <w:rFonts w:ascii="Cambria Math" w:hAnsi="Cambria Math"/>
                </w:rPr>
              </m:ctrlPr>
            </m:sSupPr>
            <m:e>
              <m:r>
                <m:rPr>
                  <m:nor/>
                </m:rPr>
                <m:t>v</m:t>
              </m:r>
            </m:e>
            <m:sup>
              <m:r>
                <m:rPr>
                  <m:nor/>
                </m:rPr>
                <m:t>2</m:t>
              </m:r>
            </m:sup>
          </m:sSup>
          <m:r>
            <m:rPr>
              <m:nor/>
            </m:rPr>
            <m:t xml:space="preserve"> ×</m:t>
          </m:r>
          <m:sSub>
            <m:sSubPr>
              <m:ctrlPr>
                <w:rPr>
                  <w:rFonts w:ascii="Cambria Math" w:hAnsi="Cambria Math"/>
                </w:rPr>
              </m:ctrlPr>
            </m:sSubPr>
            <m:e>
              <m:r>
                <m:rPr>
                  <m:nor/>
                </m:rPr>
                <m:t>D</m:t>
              </m:r>
            </m:e>
            <m:sub>
              <m:r>
                <m:rPr>
                  <m:nor/>
                </m:rPr>
                <m:t>C</m:t>
              </m:r>
            </m:sub>
          </m:sSub>
          <m:r>
            <m:rPr>
              <m:nor/>
            </m:rPr>
            <m:t xml:space="preserve"> </m:t>
          </m:r>
        </m:oMath>
      </m:oMathPara>
    </w:p>
    <w:p w:rsidR="007C4016" w:rsidRPr="00F92443" w:rsidRDefault="007C4016" w:rsidP="007C4016">
      <w:pPr>
        <w:pStyle w:val="IFTnormal"/>
        <w:spacing w:before="240" w:after="0"/>
        <w:ind w:left="851"/>
      </w:pPr>
      <w:r w:rsidRPr="00F92443">
        <w:t xml:space="preserve">En donde: </w:t>
      </w:r>
    </w:p>
    <w:p w:rsidR="007C4016" w:rsidRDefault="002C04D7" w:rsidP="007C4016">
      <w:pPr>
        <w:pStyle w:val="IFTnormal"/>
        <w:numPr>
          <w:ilvl w:val="0"/>
          <w:numId w:val="227"/>
        </w:numPr>
        <w:spacing w:before="240" w:after="0"/>
        <w:ind w:left="1276"/>
      </w:pPr>
      <m:oMath>
        <m:sSub>
          <m:sSubPr>
            <m:ctrlPr>
              <w:rPr>
                <w:rFonts w:ascii="Cambria Math" w:hAnsi="Cambria Math"/>
              </w:rPr>
            </m:ctrlPr>
          </m:sSubPr>
          <m:e>
            <m:r>
              <m:rPr>
                <m:nor/>
              </m:rPr>
              <m:t>F</m:t>
            </m:r>
          </m:e>
          <m:sub>
            <m:r>
              <m:rPr>
                <m:nor/>
              </m:rPr>
              <m:t>v</m:t>
            </m:r>
          </m:sub>
        </m:sSub>
      </m:oMath>
      <w:r w:rsidR="007C4016">
        <w:t xml:space="preserve">: </w:t>
      </w:r>
      <w:r w:rsidR="007C4016" w:rsidRPr="00F92443">
        <w:t>Fuerza del viento (Kg/m).</w:t>
      </w:r>
    </w:p>
    <w:p w:rsidR="007C4016" w:rsidRDefault="007C4016" w:rsidP="007C4016">
      <w:pPr>
        <w:pStyle w:val="IFTnormal"/>
        <w:numPr>
          <w:ilvl w:val="0"/>
          <w:numId w:val="227"/>
        </w:numPr>
        <w:spacing w:after="0"/>
        <w:ind w:left="1276"/>
      </w:pPr>
      <m:oMath>
        <m:r>
          <m:rPr>
            <m:nor/>
          </m:rPr>
          <m:t>v:</m:t>
        </m:r>
      </m:oMath>
      <w:r>
        <w:t xml:space="preserve"> </w:t>
      </w:r>
      <w:r w:rsidRPr="00F92443">
        <w:t>velocidad de viento de diseño</w:t>
      </w:r>
      <w:r w:rsidRPr="00F92443">
        <w:rPr>
          <w:vertAlign w:val="superscript"/>
        </w:rPr>
        <w:footnoteReference w:id="3"/>
      </w:r>
      <w:r w:rsidRPr="00F92443">
        <w:t>.</w:t>
      </w:r>
    </w:p>
    <w:p w:rsidR="007C4016" w:rsidRDefault="002C04D7" w:rsidP="007C4016">
      <w:pPr>
        <w:pStyle w:val="IFTnormal"/>
        <w:numPr>
          <w:ilvl w:val="0"/>
          <w:numId w:val="227"/>
        </w:numPr>
        <w:spacing w:after="0"/>
        <w:ind w:left="1276"/>
      </w:pPr>
      <m:oMath>
        <m:sSub>
          <m:sSubPr>
            <m:ctrlPr>
              <w:rPr>
                <w:rFonts w:ascii="Cambria Math" w:hAnsi="Cambria Math"/>
              </w:rPr>
            </m:ctrlPr>
          </m:sSubPr>
          <m:e>
            <m:r>
              <m:rPr>
                <m:nor/>
              </m:rPr>
              <m:t>D</m:t>
            </m:r>
          </m:e>
          <m:sub>
            <m:r>
              <m:rPr>
                <m:nor/>
              </m:rPr>
              <m:t>C</m:t>
            </m:r>
          </m:sub>
        </m:sSub>
      </m:oMath>
      <w:r w:rsidR="007C4016">
        <w:t xml:space="preserve">: </w:t>
      </w:r>
      <w:r w:rsidR="007C4016" w:rsidRPr="00F92443">
        <w:t>Diámetro del cable</w:t>
      </w:r>
      <w:r w:rsidR="007C4016" w:rsidRPr="0066605F">
        <w:rPr>
          <w:vertAlign w:val="superscript"/>
        </w:rPr>
        <w:footnoteReference w:id="4"/>
      </w:r>
      <w:r w:rsidR="007C4016">
        <w:t xml:space="preserve"> (m).</w:t>
      </w:r>
    </w:p>
    <w:p w:rsidR="007C4016" w:rsidRDefault="007C4016" w:rsidP="007C4016">
      <w:pPr>
        <w:pStyle w:val="IFTnormal"/>
        <w:spacing w:before="240" w:after="0"/>
        <w:rPr>
          <w:b/>
        </w:rPr>
      </w:pPr>
      <w:r w:rsidRPr="00B307ED">
        <w:t xml:space="preserve">A efecto de ilustrar como se desarrollaría en la práctica el cálculo de la tensión total </w:t>
      </w:r>
      <w:r>
        <w:t>que ejerce un</w:t>
      </w:r>
      <w:r w:rsidRPr="00B307ED">
        <w:t xml:space="preserve"> cable </w:t>
      </w:r>
      <w:r>
        <w:t xml:space="preserve">sobre un poste </w:t>
      </w:r>
      <w:r w:rsidRPr="00B307ED">
        <w:t>a partir de la metodología señalada, a continuación se presenta un ejemplo</w:t>
      </w:r>
      <w:r w:rsidRPr="00EF4F8C">
        <w:rPr>
          <w:b/>
        </w:rPr>
        <w:t>:</w:t>
      </w:r>
      <w:r>
        <w:rPr>
          <w:b/>
        </w:rPr>
        <w:t xml:space="preserve"> </w:t>
      </w:r>
    </w:p>
    <w:p w:rsidR="007C4016" w:rsidRDefault="007C4016" w:rsidP="007C4016">
      <w:pPr>
        <w:pStyle w:val="IFTnormal"/>
        <w:spacing w:before="240" w:after="0"/>
      </w:pPr>
      <w:r>
        <w:t>Para fines de este ejercicio, se</w:t>
      </w:r>
      <w:r w:rsidRPr="00F92443">
        <w:t xml:space="preserve"> realizaran las estimaciones para dos cables con 24 y 144 fibras ópticas en su interior, con diámetro de 30.40 milímetros y 40.33 milímetros respectivamente. Adicionalmente, se supondrá que el primer cable tiene un peso de 250 Kg/Km y el segundo tiene un peso de 340 Kg/Km. Por otra parte, el ejercicio de cálculo se realizará bajo el supuesto de que ambos cables se instalarán en la Ciudad de México.</w:t>
      </w:r>
    </w:p>
    <w:p w:rsidR="007C4016" w:rsidRPr="00EF4F8C" w:rsidRDefault="007C4016" w:rsidP="007C4016">
      <w:pPr>
        <w:pStyle w:val="IFTnormal"/>
        <w:spacing w:before="240" w:after="0"/>
      </w:pPr>
      <w:r>
        <w:lastRenderedPageBreak/>
        <w:t>Ahora bien, p</w:t>
      </w:r>
      <w:r w:rsidRPr="00EF4F8C">
        <w:t>ara el cálculo de la contraprestación por uso de poste, se deberá estima</w:t>
      </w:r>
      <w:r>
        <w:t>r</w:t>
      </w:r>
      <w:r w:rsidRPr="00EF4F8C">
        <w:t xml:space="preserve"> la </w:t>
      </w:r>
      <w:r>
        <w:t>f</w:t>
      </w:r>
      <w:r w:rsidRPr="00EF4F8C">
        <w:t xml:space="preserve">uerza total (tensión total) </w:t>
      </w:r>
      <w:r>
        <w:t xml:space="preserve">ejercida </w:t>
      </w:r>
      <w:r w:rsidRPr="00EF4F8C">
        <w:t>por</w:t>
      </w:r>
      <w:r>
        <w:t xml:space="preserve"> el</w:t>
      </w:r>
      <w:r w:rsidRPr="00EF4F8C">
        <w:t xml:space="preserve"> cable </w:t>
      </w:r>
      <w:r>
        <w:t xml:space="preserve">(denotada por </w:t>
      </w:r>
      <m:oMath>
        <m:sSub>
          <m:sSubPr>
            <m:ctrlPr>
              <w:rPr>
                <w:rFonts w:ascii="Cambria Math" w:hAnsi="Cambria Math"/>
              </w:rPr>
            </m:ctrlPr>
          </m:sSubPr>
          <m:e>
            <m:r>
              <m:rPr>
                <m:nor/>
              </m:rPr>
              <m:t>F</m:t>
            </m:r>
          </m:e>
          <m:sub>
            <m:r>
              <m:rPr>
                <m:nor/>
              </m:rPr>
              <m:t>T</m:t>
            </m:r>
          </m:sub>
        </m:sSub>
      </m:oMath>
      <w:r w:rsidRPr="00EF4F8C">
        <w:t>)</w:t>
      </w:r>
      <w:r>
        <w:t xml:space="preserve"> </w:t>
      </w:r>
      <w:r w:rsidRPr="00EF4F8C">
        <w:t>y multiplicar el valor resultante según la tarifa por kilogramo de fuerza ejercida en poste, de acuerdo a la siguiente fórmula</w:t>
      </w:r>
    </w:p>
    <w:p w:rsidR="007C4016" w:rsidRPr="00F92443" w:rsidRDefault="007C4016" w:rsidP="007C4016">
      <w:pPr>
        <w:pStyle w:val="IFTnormal"/>
        <w:spacing w:before="240" w:after="0"/>
        <w:ind w:left="851" w:right="760"/>
      </w:pPr>
      <m:oMathPara>
        <m:oMath>
          <m:r>
            <m:rPr>
              <m:nor/>
            </m:rPr>
            <w:rPr>
              <w:b/>
            </w:rPr>
            <m:t>Tarifa anual por uso de poste</m:t>
          </m:r>
          <m:r>
            <m:rPr>
              <m:nor/>
            </m:rPr>
            <m:t xml:space="preserve"> = $0.57 M.N.</m:t>
          </m:r>
          <m:r>
            <m:rPr>
              <m:sty m:val="p"/>
            </m:rPr>
            <w:rPr>
              <w:rFonts w:ascii="Cambria Math" w:hAnsi="Cambria Math"/>
            </w:rPr>
            <m:t xml:space="preserve"> </m:t>
          </m:r>
          <m:sSub>
            <m:sSubPr>
              <m:ctrlPr>
                <w:rPr>
                  <w:rFonts w:ascii="Cambria Math" w:hAnsi="Cambria Math"/>
                </w:rPr>
              </m:ctrlPr>
            </m:sSubPr>
            <m:e>
              <m:r>
                <m:rPr>
                  <m:nor/>
                </m:rPr>
                <m:t>/ Kg × F</m:t>
              </m:r>
            </m:e>
            <m:sub>
              <m:r>
                <m:rPr>
                  <m:nor/>
                </m:rPr>
                <m:t>T</m:t>
              </m:r>
            </m:sub>
          </m:sSub>
        </m:oMath>
      </m:oMathPara>
    </w:p>
    <w:p w:rsidR="007C4016" w:rsidRPr="00733606" w:rsidRDefault="007C4016" w:rsidP="007C4016">
      <w:pPr>
        <w:pStyle w:val="IFTnormal"/>
        <w:spacing w:before="240" w:after="0"/>
      </w:pPr>
      <w:r>
        <w:t xml:space="preserve">Donde   </w:t>
      </w:r>
      <w:r w:rsidRPr="004A16A5">
        <w:t>F</w:t>
      </w:r>
      <w:r w:rsidRPr="004A16A5">
        <w:rPr>
          <w:vertAlign w:val="subscript"/>
        </w:rPr>
        <w:t>T</w:t>
      </w:r>
      <w:r w:rsidRPr="004A16A5">
        <w:t xml:space="preserve"> = L </w:t>
      </w:r>
      <w:r>
        <w:rPr>
          <w:lang w:val="es-419"/>
        </w:rPr>
        <w:t xml:space="preserve">x </w:t>
      </w:r>
      <w:r w:rsidRPr="004A16A5">
        <w:t xml:space="preserve">(w </w:t>
      </w:r>
      <w:r w:rsidRPr="004A16A5">
        <w:rPr>
          <w:vertAlign w:val="superscript"/>
        </w:rPr>
        <w:t>2</w:t>
      </w:r>
      <w:r w:rsidRPr="004A16A5">
        <w:t xml:space="preserve"> + F</w:t>
      </w:r>
      <w:r w:rsidRPr="004A16A5">
        <w:rPr>
          <w:vertAlign w:val="subscript"/>
        </w:rPr>
        <w:t>V</w:t>
      </w:r>
      <w:r w:rsidRPr="004A16A5">
        <w:t xml:space="preserve"> </w:t>
      </w:r>
      <w:r w:rsidRPr="004A16A5">
        <w:rPr>
          <w:vertAlign w:val="superscript"/>
        </w:rPr>
        <w:t>2</w:t>
      </w:r>
      <w:r w:rsidRPr="004A16A5">
        <w:t>)½</w:t>
      </w:r>
      <w:r>
        <w:t xml:space="preserve"> es la fórmula aplicable al cálculo de la fuerza total ejercida y </w:t>
      </w:r>
      <m:oMath>
        <m:sSub>
          <m:sSubPr>
            <m:ctrlPr>
              <w:rPr>
                <w:rFonts w:ascii="Cambria Math" w:hAnsi="Cambria Math"/>
              </w:rPr>
            </m:ctrlPr>
          </m:sSubPr>
          <m:e>
            <m:r>
              <m:rPr>
                <m:nor/>
              </m:rPr>
              <m:t>F</m:t>
            </m:r>
          </m:e>
          <m:sub>
            <m:r>
              <m:rPr>
                <m:nor/>
              </m:rPr>
              <m:t>V</m:t>
            </m:r>
          </m:sub>
        </m:sSub>
        <m:r>
          <m:rPr>
            <m:nor/>
          </m:rPr>
          <m:t xml:space="preserve"> = 0.00482 ×</m:t>
        </m:r>
        <m:r>
          <m:rPr>
            <m:sty m:val="p"/>
          </m:rPr>
          <w:rPr>
            <w:rFonts w:ascii="Cambria Math" w:hAnsi="Cambria Math"/>
          </w:rPr>
          <m:t xml:space="preserve"> </m:t>
        </m:r>
        <m:sSup>
          <m:sSupPr>
            <m:ctrlPr>
              <w:rPr>
                <w:rFonts w:ascii="Cambria Math" w:hAnsi="Cambria Math"/>
              </w:rPr>
            </m:ctrlPr>
          </m:sSupPr>
          <m:e>
            <m:r>
              <m:rPr>
                <m:nor/>
              </m:rPr>
              <m:t>v</m:t>
            </m:r>
          </m:e>
          <m:sup>
            <m:r>
              <m:rPr>
                <m:nor/>
              </m:rPr>
              <m:t>2</m:t>
            </m:r>
          </m:sup>
        </m:sSup>
        <m:r>
          <m:rPr>
            <m:nor/>
          </m:rPr>
          <m:t xml:space="preserve"> ×</m:t>
        </m:r>
        <m:sSub>
          <m:sSubPr>
            <m:ctrlPr>
              <w:rPr>
                <w:rFonts w:ascii="Cambria Math" w:hAnsi="Cambria Math"/>
              </w:rPr>
            </m:ctrlPr>
          </m:sSubPr>
          <m:e>
            <m:r>
              <m:rPr>
                <m:nor/>
              </m:rPr>
              <m:t>D</m:t>
            </m:r>
          </m:e>
          <m:sub>
            <m:r>
              <m:rPr>
                <m:nor/>
              </m:rPr>
              <m:t>C</m:t>
            </m:r>
          </m:sub>
        </m:sSub>
      </m:oMath>
      <w:r>
        <w:t xml:space="preserve"> representa la fórmula para calcular la fuerza del </w:t>
      </w:r>
      <w:r w:rsidRPr="007A36AD">
        <w:t>viento:</w:t>
      </w:r>
    </w:p>
    <w:p w:rsidR="007C4016" w:rsidRPr="007A36AD" w:rsidRDefault="007C4016" w:rsidP="007C4016">
      <w:pPr>
        <w:pStyle w:val="IFTnormal"/>
        <w:numPr>
          <w:ilvl w:val="0"/>
          <w:numId w:val="238"/>
        </w:numPr>
        <w:spacing w:before="240" w:after="0"/>
      </w:pPr>
      <w:r w:rsidRPr="007A36AD">
        <w:t>F</w:t>
      </w:r>
      <w:r w:rsidRPr="004A16A5">
        <w:rPr>
          <w:vertAlign w:val="subscript"/>
        </w:rPr>
        <w:t>T</w:t>
      </w:r>
      <w:r w:rsidRPr="007A36AD">
        <w:t xml:space="preserve"> = Fuerza Total (Kg).</w:t>
      </w:r>
    </w:p>
    <w:p w:rsidR="007C4016" w:rsidRPr="00733606" w:rsidRDefault="007C4016" w:rsidP="007C4016">
      <w:pPr>
        <w:pStyle w:val="IFTnormal"/>
        <w:numPr>
          <w:ilvl w:val="0"/>
          <w:numId w:val="238"/>
        </w:numPr>
        <w:spacing w:after="0"/>
      </w:pPr>
      <w:r w:rsidRPr="00733606">
        <w:t>w = Peso del cable (Kg/m).</w:t>
      </w:r>
    </w:p>
    <w:p w:rsidR="007C4016" w:rsidRPr="007A36AD" w:rsidRDefault="002C04D7" w:rsidP="007C4016">
      <w:pPr>
        <w:pStyle w:val="IFTnormal"/>
        <w:numPr>
          <w:ilvl w:val="0"/>
          <w:numId w:val="238"/>
        </w:numPr>
        <w:spacing w:after="0"/>
      </w:pPr>
      <m:oMath>
        <m:sSub>
          <m:sSubPr>
            <m:ctrlPr>
              <w:rPr>
                <w:rFonts w:ascii="Cambria Math" w:hAnsi="Cambria Math"/>
              </w:rPr>
            </m:ctrlPr>
          </m:sSubPr>
          <m:e>
            <m:r>
              <m:rPr>
                <m:nor/>
              </m:rPr>
              <m:t>F</m:t>
            </m:r>
          </m:e>
          <m:sub>
            <m:r>
              <m:rPr>
                <m:nor/>
              </m:rPr>
              <m:t>v</m:t>
            </m:r>
          </m:sub>
        </m:sSub>
      </m:oMath>
      <w:r w:rsidR="007C4016" w:rsidRPr="007A36AD">
        <w:t>: Fuerza del viento (Kg/m).</w:t>
      </w:r>
    </w:p>
    <w:p w:rsidR="007C4016" w:rsidRPr="007A36AD" w:rsidRDefault="007C4016" w:rsidP="007C4016">
      <w:pPr>
        <w:pStyle w:val="IFTnormal"/>
        <w:numPr>
          <w:ilvl w:val="0"/>
          <w:numId w:val="238"/>
        </w:numPr>
        <w:spacing w:after="0"/>
      </w:pPr>
      <w:r w:rsidRPr="00733606">
        <w:t xml:space="preserve">L = </w:t>
      </w:r>
      <w:r>
        <w:t xml:space="preserve">50 = </w:t>
      </w:r>
      <w:r w:rsidRPr="007A36AD">
        <w:t>Distancia Interpostal (m).</w:t>
      </w:r>
    </w:p>
    <w:p w:rsidR="007C4016" w:rsidRPr="007A36AD" w:rsidRDefault="007C4016" w:rsidP="007C4016">
      <w:pPr>
        <w:pStyle w:val="IFTnormal"/>
        <w:numPr>
          <w:ilvl w:val="0"/>
          <w:numId w:val="238"/>
        </w:numPr>
        <w:spacing w:after="0"/>
      </w:pPr>
      <m:oMath>
        <m:r>
          <m:rPr>
            <m:nor/>
          </m:rPr>
          <m:t>v:</m:t>
        </m:r>
      </m:oMath>
      <w:r w:rsidRPr="007A36AD">
        <w:t xml:space="preserve"> Velocidad de viento de diseño</w:t>
      </w:r>
    </w:p>
    <w:p w:rsidR="007C4016" w:rsidRDefault="002C04D7" w:rsidP="007C4016">
      <w:pPr>
        <w:pStyle w:val="IFTnormal"/>
        <w:numPr>
          <w:ilvl w:val="0"/>
          <w:numId w:val="238"/>
        </w:numPr>
        <w:spacing w:after="0"/>
      </w:pPr>
      <m:oMath>
        <m:sSub>
          <m:sSubPr>
            <m:ctrlPr>
              <w:rPr>
                <w:rFonts w:ascii="Cambria Math" w:hAnsi="Cambria Math"/>
              </w:rPr>
            </m:ctrlPr>
          </m:sSubPr>
          <m:e>
            <m:r>
              <m:rPr>
                <m:nor/>
              </m:rPr>
              <m:t>D</m:t>
            </m:r>
          </m:e>
          <m:sub>
            <m:r>
              <m:rPr>
                <m:nor/>
              </m:rPr>
              <m:t>C</m:t>
            </m:r>
          </m:sub>
        </m:sSub>
      </m:oMath>
      <w:r w:rsidR="007C4016" w:rsidRPr="007A36AD">
        <w:t>: Diámetro del cable (m).</w:t>
      </w:r>
    </w:p>
    <w:p w:rsidR="007C4016" w:rsidRPr="00F92443" w:rsidRDefault="007C4016" w:rsidP="007C4016">
      <w:pPr>
        <w:pStyle w:val="IFTnormal"/>
        <w:spacing w:before="240" w:after="0"/>
      </w:pPr>
      <w:r w:rsidRPr="00F92443">
        <w:t>A este respecto, se debe convertir el valor de diámetro de los cables (de milímetros a metros), dividiendo los valores reportados entre 1,000</w:t>
      </w:r>
      <w:r>
        <w:t xml:space="preserve">, por lo </w:t>
      </w:r>
      <w:r w:rsidRPr="00F92443">
        <w:t xml:space="preserve">que el valor del diámetro del cable de 24 fibras </w:t>
      </w:r>
      <w:r>
        <w:t xml:space="preserve">sería </w:t>
      </w:r>
      <w:r w:rsidRPr="00F92443">
        <w:t>de 0.0304 metros, mientras que el cable de 114 fibras corresponde a 0.04</w:t>
      </w:r>
      <w:r>
        <w:t>0</w:t>
      </w:r>
      <w:r w:rsidRPr="00F92443">
        <w:t>3 metros.</w:t>
      </w:r>
    </w:p>
    <w:p w:rsidR="007C4016" w:rsidRPr="00F92443" w:rsidRDefault="007C4016" w:rsidP="007C4016">
      <w:pPr>
        <w:pStyle w:val="IFTnormal"/>
        <w:spacing w:before="240" w:after="0"/>
      </w:pPr>
      <w:r w:rsidRPr="00F92443">
        <w:t>En complemento, también se debe convertir el peso de los cables (de Kg/Km a Kg/m), realizando la división de los valores reportados entre 1,000. Con ello, se obtiene que el cable de 24 fibras pesa 0.25 Kg/m y el cable de 114 fibras 0.34 Kg/m.</w:t>
      </w:r>
    </w:p>
    <w:p w:rsidR="007C4016" w:rsidRPr="00F92443" w:rsidRDefault="007C4016" w:rsidP="007C4016">
      <w:pPr>
        <w:pStyle w:val="IFTnormal"/>
        <w:spacing w:before="240" w:after="0"/>
      </w:pPr>
      <w:r w:rsidRPr="00F92443">
        <w:t>Cabe destacar que de acuerdo al mapa de zonas de cargas mecánicas de</w:t>
      </w:r>
      <w:r>
        <w:t xml:space="preserve"> la</w:t>
      </w:r>
      <w:r w:rsidRPr="00F92443">
        <w:t xml:space="preserve"> </w:t>
      </w:r>
      <w:r>
        <w:t>NOM-001-SEDE-2012</w:t>
      </w:r>
      <w:r w:rsidRPr="00F92443">
        <w:t xml:space="preserve">, </w:t>
      </w:r>
      <w:r>
        <w:t xml:space="preserve">la </w:t>
      </w:r>
      <w:r w:rsidRPr="00F92443">
        <w:t>velocidad de viento de diseño correspondiente a la Ciudad de México (zona IV) es de 70 Km/h.</w:t>
      </w:r>
    </w:p>
    <w:p w:rsidR="007C4016" w:rsidRPr="00F92443" w:rsidRDefault="007C4016" w:rsidP="007C4016">
      <w:pPr>
        <w:pStyle w:val="IFTnormal"/>
        <w:spacing w:before="240" w:after="0"/>
      </w:pPr>
      <w:r w:rsidRPr="00F92443">
        <w:t xml:space="preserve">Empleando los valores anteriores, el cálculo de la fuerza del viento </w:t>
      </w:r>
      <m:oMath>
        <m:sSub>
          <m:sSubPr>
            <m:ctrlPr>
              <w:rPr>
                <w:rFonts w:ascii="Cambria Math" w:hAnsi="Cambria Math"/>
              </w:rPr>
            </m:ctrlPr>
          </m:sSubPr>
          <m:e>
            <m:r>
              <m:rPr>
                <m:nor/>
              </m:rPr>
              <m:t>(F</m:t>
            </m:r>
          </m:e>
          <m:sub>
            <m:r>
              <m:rPr>
                <m:nor/>
              </m:rPr>
              <m:t>v</m:t>
            </m:r>
          </m:sub>
        </m:sSub>
      </m:oMath>
      <w:r w:rsidRPr="00F92443">
        <w:t>)</w:t>
      </w:r>
      <w:r>
        <w:t>,</w:t>
      </w:r>
      <w:r w:rsidRPr="00F92443">
        <w:t xml:space="preserve"> correspondiente a los cables en comento se resume a continuación:</w:t>
      </w:r>
    </w:p>
    <w:tbl>
      <w:tblPr>
        <w:tblStyle w:val="Tablaconcuadrcula"/>
        <w:tblW w:w="5000" w:type="pct"/>
        <w:jc w:val="center"/>
        <w:tblLook w:val="04A0" w:firstRow="1" w:lastRow="0" w:firstColumn="1" w:lastColumn="0" w:noHBand="0" w:noVBand="1"/>
        <w:tblCaption w:val="Tabla"/>
        <w:tblDescription w:val="Capacidad de cable"/>
      </w:tblPr>
      <w:tblGrid>
        <w:gridCol w:w="1725"/>
        <w:gridCol w:w="1961"/>
        <w:gridCol w:w="1967"/>
        <w:gridCol w:w="3177"/>
      </w:tblGrid>
      <w:tr w:rsidR="007C4016" w:rsidRPr="00464C9B" w:rsidTr="005C782A">
        <w:trPr>
          <w:trHeight w:val="630"/>
          <w:tblHeader/>
          <w:jc w:val="center"/>
        </w:trPr>
        <w:tc>
          <w:tcPr>
            <w:tcW w:w="976" w:type="pct"/>
            <w:shd w:val="clear" w:color="auto" w:fill="D9D9D9" w:themeFill="background1" w:themeFillShade="D9"/>
          </w:tcPr>
          <w:p w:rsidR="007C4016" w:rsidRPr="00D34609" w:rsidRDefault="007C4016" w:rsidP="005C782A">
            <w:pPr>
              <w:pStyle w:val="TxtListado"/>
              <w:spacing w:after="0"/>
              <w:jc w:val="center"/>
              <w:rPr>
                <w:rFonts w:eastAsia="MS Mincho" w:cs="Calibri"/>
                <w:b/>
                <w:sz w:val="18"/>
                <w:szCs w:val="22"/>
                <w:lang w:eastAsia="en-US"/>
              </w:rPr>
            </w:pPr>
            <w:r w:rsidRPr="00D34609">
              <w:rPr>
                <w:rFonts w:eastAsia="MS Mincho" w:cs="Calibri"/>
                <w:b/>
                <w:sz w:val="18"/>
                <w:szCs w:val="22"/>
                <w:lang w:eastAsia="en-US"/>
              </w:rPr>
              <w:lastRenderedPageBreak/>
              <w:t>Capacidad de cable</w:t>
            </w:r>
          </w:p>
        </w:tc>
        <w:tc>
          <w:tcPr>
            <w:tcW w:w="1110" w:type="pct"/>
            <w:shd w:val="clear" w:color="auto" w:fill="D9D9D9" w:themeFill="background1" w:themeFillShade="D9"/>
          </w:tcPr>
          <w:p w:rsidR="007C4016" w:rsidRPr="00D34609" w:rsidRDefault="007C4016" w:rsidP="005C782A">
            <w:pPr>
              <w:pStyle w:val="TxtListado"/>
              <w:spacing w:after="0"/>
              <w:jc w:val="center"/>
              <w:rPr>
                <w:rFonts w:eastAsia="MS Mincho" w:cs="Calibri"/>
                <w:b/>
                <w:sz w:val="18"/>
                <w:szCs w:val="22"/>
                <w:lang w:eastAsia="en-US"/>
              </w:rPr>
            </w:pPr>
            <w:r w:rsidRPr="00D34609">
              <w:rPr>
                <w:rFonts w:eastAsia="MS Mincho" w:cs="Calibri"/>
                <w:b/>
                <w:sz w:val="18"/>
                <w:szCs w:val="22"/>
                <w:lang w:eastAsia="en-US"/>
              </w:rPr>
              <w:t>Diámetro de cable</w:t>
            </w:r>
            <w:r>
              <w:rPr>
                <w:rFonts w:eastAsia="MS Mincho" w:cs="Calibri"/>
                <w:b/>
                <w:bCs/>
                <w:sz w:val="18"/>
                <w:szCs w:val="22"/>
                <w:lang w:eastAsia="en-US"/>
              </w:rPr>
              <w:t xml:space="preserve"> </w:t>
            </w:r>
            <m:oMath>
              <m:sSub>
                <m:sSubPr>
                  <m:ctrlPr>
                    <w:rPr>
                      <w:rFonts w:ascii="Cambria Math" w:eastAsia="MS Mincho" w:hAnsi="Cambria Math" w:cs="Calibri"/>
                      <w:b/>
                      <w:bCs/>
                      <w:sz w:val="18"/>
                      <w:szCs w:val="22"/>
                      <w:lang w:eastAsia="en-US"/>
                    </w:rPr>
                  </m:ctrlPr>
                </m:sSubPr>
                <m:e>
                  <m:r>
                    <m:rPr>
                      <m:nor/>
                    </m:rPr>
                    <w:rPr>
                      <w:rFonts w:ascii="Cambria Math" w:eastAsia="MS Mincho" w:cs="Calibri"/>
                      <w:b/>
                      <w:bCs/>
                      <w:sz w:val="18"/>
                      <w:szCs w:val="22"/>
                      <w:lang w:eastAsia="en-US"/>
                    </w:rPr>
                    <m:t>(</m:t>
                  </m:r>
                  <m:r>
                    <m:rPr>
                      <m:nor/>
                    </m:rPr>
                    <w:rPr>
                      <w:rFonts w:eastAsia="MS Mincho" w:cs="Calibri"/>
                      <w:b/>
                      <w:bCs/>
                      <w:sz w:val="18"/>
                      <w:szCs w:val="22"/>
                      <w:lang w:eastAsia="en-US"/>
                    </w:rPr>
                    <m:t>D</m:t>
                  </m:r>
                </m:e>
                <m:sub>
                  <m:r>
                    <m:rPr>
                      <m:nor/>
                    </m:rPr>
                    <w:rPr>
                      <w:rFonts w:eastAsia="MS Mincho" w:cs="Calibri"/>
                      <w:b/>
                      <w:bCs/>
                      <w:sz w:val="18"/>
                      <w:szCs w:val="22"/>
                      <w:lang w:eastAsia="en-US"/>
                    </w:rPr>
                    <m:t>C</m:t>
                  </m:r>
                </m:sub>
              </m:sSub>
              <m:r>
                <m:rPr>
                  <m:sty m:val="bi"/>
                </m:rPr>
                <w:rPr>
                  <w:rFonts w:ascii="Cambria Math" w:eastAsia="MS Mincho" w:hAnsi="Cambria Math" w:cs="Calibri"/>
                  <w:sz w:val="18"/>
                  <w:szCs w:val="22"/>
                  <w:lang w:eastAsia="en-US"/>
                </w:rPr>
                <m:t>)</m:t>
              </m:r>
            </m:oMath>
          </w:p>
        </w:tc>
        <w:tc>
          <w:tcPr>
            <w:tcW w:w="1114" w:type="pct"/>
            <w:shd w:val="clear" w:color="auto" w:fill="D9D9D9" w:themeFill="background1" w:themeFillShade="D9"/>
          </w:tcPr>
          <w:p w:rsidR="007C4016" w:rsidRPr="00D34609" w:rsidRDefault="007C4016" w:rsidP="005C782A">
            <w:pPr>
              <w:pStyle w:val="TxtListado"/>
              <w:spacing w:after="0"/>
              <w:jc w:val="center"/>
              <w:rPr>
                <w:rFonts w:eastAsia="MS Mincho" w:cs="Calibri"/>
                <w:b/>
                <w:sz w:val="18"/>
                <w:szCs w:val="22"/>
                <w:lang w:eastAsia="en-US"/>
              </w:rPr>
            </w:pPr>
            <w:r w:rsidRPr="00D34609">
              <w:rPr>
                <w:rFonts w:eastAsia="MS Mincho" w:cs="Calibri"/>
                <w:b/>
                <w:sz w:val="18"/>
                <w:szCs w:val="22"/>
                <w:lang w:eastAsia="en-US"/>
              </w:rPr>
              <w:t>Velocidad de viento</w:t>
            </w:r>
            <w:r w:rsidRPr="00D34609">
              <w:rPr>
                <w:rFonts w:eastAsia="MS Mincho" w:cs="Calibri"/>
                <w:b/>
                <w:sz w:val="18"/>
                <w:szCs w:val="22"/>
                <w:vertAlign w:val="superscript"/>
                <w:lang w:eastAsia="en-US"/>
              </w:rPr>
              <w:footnoteReference w:id="5"/>
            </w:r>
            <w:r>
              <w:rPr>
                <w:rFonts w:eastAsia="MS Mincho" w:cs="Calibri"/>
                <w:b/>
                <w:bCs/>
                <w:sz w:val="18"/>
                <w:szCs w:val="22"/>
                <w:lang w:eastAsia="en-US"/>
              </w:rPr>
              <w:t xml:space="preserve"> (v)</w:t>
            </w:r>
          </w:p>
        </w:tc>
        <w:tc>
          <w:tcPr>
            <w:tcW w:w="1799" w:type="pct"/>
            <w:shd w:val="clear" w:color="auto" w:fill="D9D9D9" w:themeFill="background1" w:themeFillShade="D9"/>
          </w:tcPr>
          <w:p w:rsidR="007C4016" w:rsidRPr="00D34609" w:rsidRDefault="007C4016" w:rsidP="005C782A">
            <w:pPr>
              <w:pStyle w:val="TxtListado"/>
              <w:spacing w:after="0"/>
              <w:jc w:val="center"/>
              <w:rPr>
                <w:rFonts w:eastAsia="MS Mincho" w:cs="Calibri"/>
                <w:b/>
                <w:sz w:val="18"/>
                <w:szCs w:val="22"/>
                <w:lang w:eastAsia="en-US"/>
              </w:rPr>
            </w:pPr>
            <w:r w:rsidRPr="00D34609">
              <w:rPr>
                <w:rFonts w:eastAsia="MS Mincho" w:cs="Calibri"/>
                <w:b/>
                <w:sz w:val="18"/>
                <w:szCs w:val="22"/>
                <w:lang w:eastAsia="en-US"/>
              </w:rPr>
              <w:t>Fuerza de viento</w:t>
            </w:r>
            <m:oMath>
              <m:sSub>
                <m:sSubPr>
                  <m:ctrlPr>
                    <w:rPr>
                      <w:rFonts w:ascii="Cambria Math" w:eastAsia="MS Mincho" w:hAnsi="Cambria Math" w:cs="Calibri"/>
                      <w:b/>
                      <w:bCs/>
                      <w:sz w:val="18"/>
                      <w:szCs w:val="22"/>
                      <w:lang w:eastAsia="en-US"/>
                    </w:rPr>
                  </m:ctrlPr>
                </m:sSubPr>
                <m:e>
                  <m:r>
                    <m:rPr>
                      <m:nor/>
                    </m:rPr>
                    <w:rPr>
                      <w:rFonts w:eastAsia="MS Mincho" w:cs="Calibri"/>
                      <w:b/>
                      <w:bCs/>
                      <w:sz w:val="18"/>
                      <w:szCs w:val="22"/>
                      <w:lang w:eastAsia="en-US"/>
                    </w:rPr>
                    <m:t xml:space="preserve"> (F</m:t>
                  </m:r>
                </m:e>
                <m:sub>
                  <m:r>
                    <m:rPr>
                      <m:nor/>
                    </m:rPr>
                    <w:rPr>
                      <w:rFonts w:eastAsia="MS Mincho" w:cs="Calibri"/>
                      <w:b/>
                      <w:bCs/>
                      <w:sz w:val="18"/>
                      <w:szCs w:val="22"/>
                      <w:lang w:eastAsia="en-US"/>
                    </w:rPr>
                    <m:t>v</m:t>
                  </m:r>
                </m:sub>
              </m:sSub>
              <m:r>
                <m:rPr>
                  <m:nor/>
                </m:rPr>
                <w:rPr>
                  <w:rFonts w:eastAsia="MS Mincho" w:cs="Calibri"/>
                  <w:b/>
                  <w:bCs/>
                  <w:sz w:val="18"/>
                  <w:szCs w:val="22"/>
                  <w:lang w:eastAsia="en-US"/>
                </w:rPr>
                <m:t>= 0.00482 ×</m:t>
              </m:r>
              <m:r>
                <m:rPr>
                  <m:sty m:val="b"/>
                </m:rPr>
                <w:rPr>
                  <w:rFonts w:ascii="Cambria Math" w:eastAsia="MS Mincho" w:hAnsi="Cambria Math" w:cs="Calibri"/>
                  <w:sz w:val="18"/>
                  <w:szCs w:val="22"/>
                  <w:lang w:eastAsia="en-US"/>
                </w:rPr>
                <m:t xml:space="preserve"> </m:t>
              </m:r>
              <m:sSup>
                <m:sSupPr>
                  <m:ctrlPr>
                    <w:rPr>
                      <w:rFonts w:ascii="Cambria Math" w:eastAsia="MS Mincho" w:hAnsi="Cambria Math" w:cs="Calibri"/>
                      <w:b/>
                      <w:bCs/>
                      <w:sz w:val="18"/>
                      <w:szCs w:val="22"/>
                      <w:lang w:eastAsia="en-US"/>
                    </w:rPr>
                  </m:ctrlPr>
                </m:sSupPr>
                <m:e>
                  <m:r>
                    <m:rPr>
                      <m:nor/>
                    </m:rPr>
                    <w:rPr>
                      <w:rFonts w:eastAsia="MS Mincho" w:cs="Calibri"/>
                      <w:b/>
                      <w:bCs/>
                      <w:sz w:val="18"/>
                      <w:szCs w:val="22"/>
                      <w:lang w:eastAsia="en-US"/>
                    </w:rPr>
                    <m:t>v</m:t>
                  </m:r>
                </m:e>
                <m:sup>
                  <m:r>
                    <m:rPr>
                      <m:nor/>
                    </m:rPr>
                    <w:rPr>
                      <w:rFonts w:eastAsia="MS Mincho" w:cs="Calibri"/>
                      <w:b/>
                      <w:bCs/>
                      <w:sz w:val="18"/>
                      <w:szCs w:val="22"/>
                      <w:lang w:eastAsia="en-US"/>
                    </w:rPr>
                    <m:t>2</m:t>
                  </m:r>
                </m:sup>
              </m:sSup>
              <m:r>
                <m:rPr>
                  <m:nor/>
                </m:rPr>
                <w:rPr>
                  <w:rFonts w:eastAsia="MS Mincho" w:cs="Calibri"/>
                  <w:b/>
                  <w:bCs/>
                  <w:sz w:val="18"/>
                  <w:szCs w:val="22"/>
                  <w:lang w:eastAsia="en-US"/>
                </w:rPr>
                <m:t xml:space="preserve"> ×</m:t>
              </m:r>
              <m:r>
                <m:rPr>
                  <m:nor/>
                </m:rPr>
                <w:rPr>
                  <w:rFonts w:ascii="Cambria Math" w:eastAsia="MS Mincho" w:cs="Calibri"/>
                  <w:b/>
                  <w:bCs/>
                  <w:sz w:val="18"/>
                  <w:szCs w:val="22"/>
                  <w:lang w:eastAsia="en-US"/>
                </w:rPr>
                <m:t xml:space="preserve"> </m:t>
              </m:r>
              <m:sSub>
                <m:sSubPr>
                  <m:ctrlPr>
                    <w:rPr>
                      <w:rFonts w:ascii="Cambria Math" w:eastAsia="MS Mincho" w:hAnsi="Cambria Math" w:cs="Calibri"/>
                      <w:b/>
                      <w:bCs/>
                      <w:sz w:val="18"/>
                      <w:szCs w:val="22"/>
                      <w:lang w:eastAsia="en-US"/>
                    </w:rPr>
                  </m:ctrlPr>
                </m:sSubPr>
                <m:e>
                  <m:r>
                    <m:rPr>
                      <m:nor/>
                    </m:rPr>
                    <w:rPr>
                      <w:rFonts w:eastAsia="MS Mincho" w:cs="Calibri"/>
                      <w:b/>
                      <w:bCs/>
                      <w:sz w:val="18"/>
                      <w:szCs w:val="22"/>
                      <w:lang w:eastAsia="en-US"/>
                    </w:rPr>
                    <m:t>D</m:t>
                  </m:r>
                </m:e>
                <m:sub>
                  <m:r>
                    <m:rPr>
                      <m:nor/>
                    </m:rPr>
                    <w:rPr>
                      <w:rFonts w:eastAsia="MS Mincho" w:cs="Calibri"/>
                      <w:b/>
                      <w:bCs/>
                      <w:sz w:val="18"/>
                      <w:szCs w:val="22"/>
                      <w:lang w:eastAsia="en-US"/>
                    </w:rPr>
                    <m:t>C</m:t>
                  </m:r>
                </m:sub>
              </m:sSub>
            </m:oMath>
            <w:r w:rsidRPr="00D34609">
              <w:rPr>
                <w:rFonts w:eastAsia="MS Mincho" w:cs="Calibri"/>
                <w:b/>
                <w:bCs/>
                <w:sz w:val="18"/>
                <w:szCs w:val="22"/>
                <w:lang w:eastAsia="en-US"/>
              </w:rPr>
              <w:t>)</w:t>
            </w:r>
          </w:p>
        </w:tc>
      </w:tr>
      <w:tr w:rsidR="007C4016" w:rsidRPr="00464C9B" w:rsidTr="005C782A">
        <w:trPr>
          <w:trHeight w:val="252"/>
          <w:jc w:val="center"/>
        </w:trPr>
        <w:tc>
          <w:tcPr>
            <w:tcW w:w="976" w:type="pct"/>
            <w:tcBorders>
              <w:left w:val="single" w:sz="4" w:space="0" w:color="000000" w:themeColor="text1"/>
              <w:right w:val="single" w:sz="4" w:space="0" w:color="FFFFFF" w:themeColor="background1"/>
            </w:tcBorders>
            <w:shd w:val="clear" w:color="auto" w:fill="auto"/>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Número de fibras</w:t>
            </w:r>
          </w:p>
        </w:tc>
        <w:tc>
          <w:tcPr>
            <w:tcW w:w="1110" w:type="pct"/>
            <w:tcBorders>
              <w:left w:val="single" w:sz="4" w:space="0" w:color="FFFFFF" w:themeColor="background1"/>
              <w:right w:val="single" w:sz="4" w:space="0" w:color="FFFFFF" w:themeColor="background1"/>
            </w:tcBorders>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Metros</w:t>
            </w:r>
          </w:p>
        </w:tc>
        <w:tc>
          <w:tcPr>
            <w:tcW w:w="1114" w:type="pct"/>
            <w:tcBorders>
              <w:left w:val="single" w:sz="4" w:space="0" w:color="FFFFFF" w:themeColor="background1"/>
              <w:right w:val="single" w:sz="4" w:space="0" w:color="FFFFFF" w:themeColor="background1"/>
            </w:tcBorders>
            <w:shd w:val="clear" w:color="auto" w:fill="auto"/>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Km / Hr</w:t>
            </w:r>
          </w:p>
        </w:tc>
        <w:tc>
          <w:tcPr>
            <w:tcW w:w="1799" w:type="pct"/>
            <w:tcBorders>
              <w:left w:val="single" w:sz="4" w:space="0" w:color="FFFFFF" w:themeColor="background1"/>
              <w:right w:val="single" w:sz="4" w:space="0" w:color="auto"/>
            </w:tcBorders>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Kg/m</w:t>
            </w:r>
          </w:p>
        </w:tc>
      </w:tr>
      <w:tr w:rsidR="007C4016" w:rsidRPr="00464C9B" w:rsidTr="005C782A">
        <w:trPr>
          <w:trHeight w:val="380"/>
          <w:jc w:val="center"/>
        </w:trPr>
        <w:tc>
          <w:tcPr>
            <w:tcW w:w="976" w:type="pct"/>
            <w:shd w:val="clear" w:color="auto" w:fill="auto"/>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24</w:t>
            </w:r>
          </w:p>
        </w:tc>
        <w:tc>
          <w:tcPr>
            <w:tcW w:w="1110" w:type="pct"/>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0.0304</w:t>
            </w:r>
          </w:p>
        </w:tc>
        <w:tc>
          <w:tcPr>
            <w:tcW w:w="1114" w:type="pct"/>
            <w:shd w:val="clear" w:color="auto" w:fill="auto"/>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70</w:t>
            </w:r>
          </w:p>
        </w:tc>
        <w:tc>
          <w:tcPr>
            <w:tcW w:w="1799" w:type="pct"/>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0.7179872</w:t>
            </w:r>
          </w:p>
        </w:tc>
      </w:tr>
      <w:tr w:rsidR="007C4016" w:rsidRPr="00464C9B" w:rsidTr="005C782A">
        <w:trPr>
          <w:trHeight w:val="380"/>
          <w:jc w:val="center"/>
        </w:trPr>
        <w:tc>
          <w:tcPr>
            <w:tcW w:w="976" w:type="pct"/>
            <w:shd w:val="clear" w:color="auto" w:fill="auto"/>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144</w:t>
            </w:r>
          </w:p>
        </w:tc>
        <w:tc>
          <w:tcPr>
            <w:tcW w:w="1110" w:type="pct"/>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0.04</w:t>
            </w:r>
            <w:r>
              <w:rPr>
                <w:rFonts w:eastAsia="MS Mincho" w:cs="Calibri"/>
                <w:bCs/>
                <w:sz w:val="18"/>
                <w:szCs w:val="22"/>
                <w:lang w:eastAsia="en-US"/>
              </w:rPr>
              <w:t>0</w:t>
            </w:r>
            <w:r w:rsidRPr="00464C9B">
              <w:rPr>
                <w:rFonts w:eastAsia="MS Mincho" w:cs="Calibri"/>
                <w:bCs/>
                <w:sz w:val="18"/>
                <w:szCs w:val="22"/>
                <w:lang w:eastAsia="en-US"/>
              </w:rPr>
              <w:t>3</w:t>
            </w:r>
          </w:p>
        </w:tc>
        <w:tc>
          <w:tcPr>
            <w:tcW w:w="1114" w:type="pct"/>
            <w:shd w:val="clear" w:color="auto" w:fill="auto"/>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70</w:t>
            </w:r>
          </w:p>
        </w:tc>
        <w:tc>
          <w:tcPr>
            <w:tcW w:w="1799" w:type="pct"/>
          </w:tcPr>
          <w:p w:rsidR="007C4016" w:rsidRPr="00464C9B" w:rsidRDefault="007C4016" w:rsidP="005C782A">
            <w:pPr>
              <w:pStyle w:val="TxtListado"/>
              <w:spacing w:after="0"/>
              <w:jc w:val="center"/>
              <w:rPr>
                <w:rFonts w:eastAsia="MS Mincho" w:cs="Calibri"/>
                <w:bCs/>
                <w:sz w:val="18"/>
                <w:szCs w:val="22"/>
                <w:lang w:eastAsia="en-US"/>
              </w:rPr>
            </w:pPr>
            <w:r>
              <w:rPr>
                <w:rFonts w:eastAsia="MS Mincho" w:cs="Calibri"/>
                <w:bCs/>
                <w:sz w:val="18"/>
                <w:szCs w:val="22"/>
                <w:lang w:eastAsia="en-US"/>
              </w:rPr>
              <w:t>0.9518054</w:t>
            </w:r>
          </w:p>
        </w:tc>
      </w:tr>
    </w:tbl>
    <w:p w:rsidR="007C4016" w:rsidRPr="00F92443" w:rsidRDefault="007C4016" w:rsidP="007C4016">
      <w:pPr>
        <w:pStyle w:val="IFTnormal"/>
        <w:spacing w:before="240" w:after="0"/>
      </w:pPr>
    </w:p>
    <w:p w:rsidR="007C4016" w:rsidRPr="00F92443" w:rsidRDefault="007C4016" w:rsidP="007C4016">
      <w:pPr>
        <w:pStyle w:val="IFTnormal"/>
        <w:spacing w:before="240" w:after="0"/>
      </w:pPr>
      <w:r w:rsidRPr="00F92443">
        <w:t xml:space="preserve">En complemento, al aplicar las fórmulas descritas </w:t>
      </w:r>
      <w:r>
        <w:t>por el AEP a través de su “</w:t>
      </w:r>
      <w:r w:rsidRPr="00DD38F2">
        <w:t xml:space="preserve">NORMA: </w:t>
      </w:r>
      <w:r>
        <w:t>COMPARTICIÓN DE POSTES DE TELNOR</w:t>
      </w:r>
      <w:r w:rsidRPr="00DD38F2">
        <w:t xml:space="preserve"> PARA NUEVOS CONCESIONARIOS</w:t>
      </w:r>
      <w:r>
        <w:t>”  para el cálculo de la fuerza total (tensión total) de cada uno de los cables, se obtienen los siguiente valores, así como</w:t>
      </w:r>
      <w:r w:rsidRPr="00F92443">
        <w:t xml:space="preserve"> la tarifa anual por uso de postes</w:t>
      </w:r>
      <w:r>
        <w:t xml:space="preserve"> correspondiente</w:t>
      </w:r>
      <w:r w:rsidRPr="00F92443">
        <w:t>:</w:t>
      </w:r>
    </w:p>
    <w:tbl>
      <w:tblPr>
        <w:tblStyle w:val="Tablaconcuadrcula"/>
        <w:tblW w:w="5054" w:type="pct"/>
        <w:jc w:val="center"/>
        <w:tblLook w:val="04A0" w:firstRow="1" w:lastRow="0" w:firstColumn="1" w:lastColumn="0" w:noHBand="0" w:noVBand="1"/>
        <w:tblCaption w:val="Tabla"/>
        <w:tblDescription w:val="Capacidad de cable"/>
      </w:tblPr>
      <w:tblGrid>
        <w:gridCol w:w="1318"/>
        <w:gridCol w:w="1514"/>
        <w:gridCol w:w="1135"/>
        <w:gridCol w:w="1417"/>
        <w:gridCol w:w="2131"/>
        <w:gridCol w:w="1410"/>
      </w:tblGrid>
      <w:tr w:rsidR="007C4016" w:rsidRPr="00464C9B" w:rsidTr="005C782A">
        <w:trPr>
          <w:trHeight w:hRule="exact" w:val="1003"/>
          <w:tblHeader/>
          <w:jc w:val="center"/>
        </w:trPr>
        <w:tc>
          <w:tcPr>
            <w:tcW w:w="738" w:type="pct"/>
            <w:shd w:val="clear" w:color="auto" w:fill="D9D9D9" w:themeFill="background1" w:themeFillShade="D9"/>
          </w:tcPr>
          <w:p w:rsidR="007C4016" w:rsidRPr="00316B79" w:rsidRDefault="007C4016" w:rsidP="005C782A">
            <w:pPr>
              <w:pStyle w:val="TxtListado"/>
              <w:spacing w:after="0"/>
              <w:jc w:val="center"/>
              <w:rPr>
                <w:rFonts w:eastAsia="MS Mincho" w:cs="Calibri"/>
                <w:b/>
                <w:sz w:val="18"/>
                <w:szCs w:val="22"/>
                <w:lang w:eastAsia="en-US"/>
              </w:rPr>
            </w:pPr>
            <w:r w:rsidRPr="00316B79">
              <w:rPr>
                <w:rFonts w:eastAsia="MS Mincho" w:cs="Calibri"/>
                <w:b/>
                <w:sz w:val="18"/>
                <w:szCs w:val="22"/>
                <w:lang w:eastAsia="en-US"/>
              </w:rPr>
              <w:t>Capacidad de cable</w:t>
            </w:r>
          </w:p>
        </w:tc>
        <w:tc>
          <w:tcPr>
            <w:tcW w:w="848" w:type="pct"/>
            <w:shd w:val="clear" w:color="auto" w:fill="D9D9D9" w:themeFill="background1" w:themeFillShade="D9"/>
          </w:tcPr>
          <w:p w:rsidR="007C4016" w:rsidRDefault="007C4016" w:rsidP="005C782A">
            <w:pPr>
              <w:pStyle w:val="TxtListado"/>
              <w:spacing w:after="0"/>
              <w:jc w:val="center"/>
              <w:rPr>
                <w:rFonts w:eastAsia="MS Mincho" w:cs="Calibri"/>
                <w:b/>
                <w:bCs/>
                <w:sz w:val="18"/>
                <w:szCs w:val="22"/>
                <w:lang w:eastAsia="en-US"/>
              </w:rPr>
            </w:pPr>
            <w:r w:rsidRPr="00316B79">
              <w:rPr>
                <w:rFonts w:eastAsia="MS Mincho" w:cs="Calibri"/>
                <w:b/>
                <w:sz w:val="18"/>
                <w:szCs w:val="22"/>
                <w:lang w:eastAsia="en-US"/>
              </w:rPr>
              <w:t>Distancia interpostal</w:t>
            </w:r>
          </w:p>
          <w:p w:rsidR="007C4016" w:rsidRPr="00316B79" w:rsidRDefault="007C4016" w:rsidP="005C782A">
            <w:pPr>
              <w:pStyle w:val="TxtListado"/>
              <w:spacing w:after="0"/>
              <w:jc w:val="center"/>
              <w:rPr>
                <w:rFonts w:eastAsia="MS Mincho" w:cs="Calibri"/>
                <w:b/>
                <w:sz w:val="18"/>
                <w:szCs w:val="22"/>
                <w:lang w:eastAsia="en-US"/>
              </w:rPr>
            </w:pPr>
            <w:r w:rsidRPr="00316B79">
              <w:rPr>
                <w:rFonts w:eastAsia="MS Mincho" w:cs="Calibri"/>
                <w:b/>
                <w:sz w:val="18"/>
                <w:szCs w:val="22"/>
                <w:lang w:eastAsia="en-US"/>
              </w:rPr>
              <w:t>(L)</w:t>
            </w:r>
          </w:p>
        </w:tc>
        <w:tc>
          <w:tcPr>
            <w:tcW w:w="636" w:type="pct"/>
            <w:shd w:val="clear" w:color="auto" w:fill="D9D9D9" w:themeFill="background1" w:themeFillShade="D9"/>
          </w:tcPr>
          <w:p w:rsidR="007C4016" w:rsidRPr="00316B79" w:rsidRDefault="007C4016" w:rsidP="005C782A">
            <w:pPr>
              <w:pStyle w:val="TxtListado"/>
              <w:spacing w:after="0"/>
              <w:jc w:val="center"/>
              <w:rPr>
                <w:rFonts w:eastAsia="MS Mincho" w:cs="Calibri"/>
                <w:b/>
                <w:sz w:val="18"/>
                <w:szCs w:val="22"/>
                <w:lang w:eastAsia="en-US"/>
              </w:rPr>
            </w:pPr>
            <w:r w:rsidRPr="00316B79">
              <w:rPr>
                <w:rFonts w:eastAsia="MS Mincho" w:cs="Calibri"/>
                <w:b/>
                <w:sz w:val="18"/>
                <w:szCs w:val="22"/>
                <w:lang w:eastAsia="en-US"/>
              </w:rPr>
              <w:t>Peso del cable (w)</w:t>
            </w:r>
          </w:p>
        </w:tc>
        <w:tc>
          <w:tcPr>
            <w:tcW w:w="794" w:type="pct"/>
            <w:shd w:val="clear" w:color="auto" w:fill="D9D9D9" w:themeFill="background1" w:themeFillShade="D9"/>
          </w:tcPr>
          <w:p w:rsidR="007C4016" w:rsidRPr="00316B79" w:rsidRDefault="007C4016" w:rsidP="005C782A">
            <w:pPr>
              <w:pStyle w:val="TxtListado"/>
              <w:spacing w:after="0"/>
              <w:jc w:val="center"/>
              <w:rPr>
                <w:rFonts w:eastAsia="MS Mincho" w:cs="Calibri"/>
                <w:b/>
                <w:sz w:val="18"/>
                <w:szCs w:val="22"/>
                <w:lang w:eastAsia="en-US"/>
              </w:rPr>
            </w:pPr>
            <w:r w:rsidRPr="00316B79">
              <w:rPr>
                <w:rFonts w:eastAsia="MS Mincho" w:cs="Calibri"/>
                <w:b/>
                <w:sz w:val="18"/>
                <w:szCs w:val="22"/>
                <w:lang w:eastAsia="en-US"/>
              </w:rPr>
              <w:t>Fuerza de viento</w:t>
            </w:r>
            <m:oMath>
              <m:sSub>
                <m:sSubPr>
                  <m:ctrlPr>
                    <w:rPr>
                      <w:rFonts w:ascii="Cambria Math" w:eastAsia="MS Mincho" w:hAnsi="Cambria Math" w:cs="Calibri"/>
                      <w:b/>
                      <w:bCs/>
                      <w:sz w:val="18"/>
                      <w:szCs w:val="22"/>
                      <w:lang w:eastAsia="en-US"/>
                    </w:rPr>
                  </m:ctrlPr>
                </m:sSubPr>
                <m:e>
                  <m:r>
                    <m:rPr>
                      <m:nor/>
                    </m:rPr>
                    <w:rPr>
                      <w:rFonts w:eastAsia="MS Mincho" w:cs="Calibri"/>
                      <w:b/>
                      <w:bCs/>
                      <w:sz w:val="18"/>
                      <w:szCs w:val="22"/>
                      <w:lang w:eastAsia="en-US"/>
                    </w:rPr>
                    <m:t xml:space="preserve"> (F</m:t>
                  </m:r>
                </m:e>
                <m:sub>
                  <m:r>
                    <m:rPr>
                      <m:nor/>
                    </m:rPr>
                    <w:rPr>
                      <w:rFonts w:eastAsia="MS Mincho" w:cs="Calibri"/>
                      <w:b/>
                      <w:bCs/>
                      <w:sz w:val="18"/>
                      <w:szCs w:val="22"/>
                      <w:lang w:eastAsia="en-US"/>
                    </w:rPr>
                    <m:t>v</m:t>
                  </m:r>
                </m:sub>
              </m:sSub>
            </m:oMath>
            <w:r w:rsidRPr="00316B79">
              <w:rPr>
                <w:rFonts w:eastAsia="MS Mincho" w:cs="Calibri"/>
                <w:b/>
                <w:sz w:val="18"/>
                <w:szCs w:val="22"/>
                <w:lang w:eastAsia="en-US"/>
              </w:rPr>
              <w:t>)</w:t>
            </w:r>
          </w:p>
        </w:tc>
        <w:tc>
          <w:tcPr>
            <w:tcW w:w="1194" w:type="pct"/>
            <w:shd w:val="clear" w:color="auto" w:fill="D9D9D9" w:themeFill="background1" w:themeFillShade="D9"/>
          </w:tcPr>
          <w:p w:rsidR="007C4016" w:rsidRDefault="007C4016" w:rsidP="005C782A">
            <w:pPr>
              <w:pStyle w:val="IFTnormal"/>
              <w:spacing w:after="0"/>
              <w:jc w:val="center"/>
              <w:rPr>
                <w:b/>
                <w:sz w:val="18"/>
              </w:rPr>
            </w:pPr>
            <w:r w:rsidRPr="00316B79">
              <w:rPr>
                <w:b/>
                <w:sz w:val="18"/>
              </w:rPr>
              <w:t>Fuerza Total</w:t>
            </w:r>
          </w:p>
          <w:p w:rsidR="007C4016" w:rsidRPr="00316B79" w:rsidRDefault="007C4016" w:rsidP="005C782A">
            <w:pPr>
              <w:pStyle w:val="IFTnormal"/>
              <w:spacing w:after="0"/>
              <w:jc w:val="center"/>
              <w:rPr>
                <w:b/>
                <w:sz w:val="18"/>
              </w:rPr>
            </w:pPr>
            <w:r w:rsidRPr="00316B79">
              <w:rPr>
                <w:b/>
                <w:sz w:val="18"/>
              </w:rPr>
              <w:t xml:space="preserve"> </w:t>
            </w:r>
            <m:oMath>
              <m:sSub>
                <m:sSubPr>
                  <m:ctrlPr>
                    <w:rPr>
                      <w:rFonts w:ascii="Cambria Math" w:hAnsi="Cambria Math"/>
                      <w:b/>
                      <w:sz w:val="18"/>
                    </w:rPr>
                  </m:ctrlPr>
                </m:sSubPr>
                <m:e>
                  <m:r>
                    <m:rPr>
                      <m:nor/>
                    </m:rPr>
                    <w:rPr>
                      <w:b/>
                      <w:sz w:val="18"/>
                    </w:rPr>
                    <m:t>(F</m:t>
                  </m:r>
                </m:e>
                <m:sub>
                  <m:r>
                    <m:rPr>
                      <m:nor/>
                    </m:rPr>
                    <w:rPr>
                      <w:b/>
                      <w:sz w:val="18"/>
                    </w:rPr>
                    <m:t>T</m:t>
                  </m:r>
                </m:sub>
              </m:sSub>
              <m:r>
                <m:rPr>
                  <m:nor/>
                </m:rPr>
                <w:rPr>
                  <w:b/>
                  <w:sz w:val="18"/>
                </w:rPr>
                <m:t>=L</m:t>
              </m:r>
              <m:r>
                <m:rPr>
                  <m:sty m:val="b"/>
                </m:rPr>
                <w:rPr>
                  <w:rFonts w:ascii="Cambria Math" w:hAnsi="Cambria Math"/>
                  <w:sz w:val="18"/>
                </w:rPr>
                <m:t xml:space="preserve"> </m:t>
              </m:r>
              <m:sSup>
                <m:sSupPr>
                  <m:ctrlPr>
                    <w:rPr>
                      <w:rFonts w:ascii="Cambria Math" w:hAnsi="Cambria Math"/>
                      <w:b/>
                      <w:sz w:val="18"/>
                    </w:rPr>
                  </m:ctrlPr>
                </m:sSupPr>
                <m:e>
                  <m:r>
                    <m:rPr>
                      <m:sty m:val="b"/>
                    </m:rPr>
                    <w:rPr>
                      <w:rFonts w:ascii="Cambria Math" w:hAnsi="Cambria Math"/>
                      <w:sz w:val="18"/>
                    </w:rPr>
                    <m:t>×</m:t>
                  </m:r>
                  <m:d>
                    <m:dPr>
                      <m:ctrlPr>
                        <w:rPr>
                          <w:rFonts w:ascii="Cambria Math" w:hAnsi="Cambria Math"/>
                          <w:b/>
                          <w:sz w:val="18"/>
                        </w:rPr>
                      </m:ctrlPr>
                    </m:dPr>
                    <m:e>
                      <m:sSup>
                        <m:sSupPr>
                          <m:ctrlPr>
                            <w:rPr>
                              <w:rFonts w:ascii="Cambria Math" w:hAnsi="Cambria Math"/>
                              <w:b/>
                              <w:sz w:val="18"/>
                            </w:rPr>
                          </m:ctrlPr>
                        </m:sSupPr>
                        <m:e>
                          <m:r>
                            <m:rPr>
                              <m:nor/>
                            </m:rPr>
                            <w:rPr>
                              <w:b/>
                              <w:sz w:val="18"/>
                            </w:rPr>
                            <m:t>w</m:t>
                          </m:r>
                        </m:e>
                        <m:sup>
                          <m:r>
                            <m:rPr>
                              <m:nor/>
                            </m:rPr>
                            <w:rPr>
                              <w:b/>
                              <w:sz w:val="18"/>
                            </w:rPr>
                            <m:t>2</m:t>
                          </m:r>
                        </m:sup>
                      </m:sSup>
                      <m:r>
                        <m:rPr>
                          <m:nor/>
                        </m:rPr>
                        <w:rPr>
                          <w:b/>
                          <w:sz w:val="18"/>
                        </w:rPr>
                        <m:t>+</m:t>
                      </m:r>
                      <m:r>
                        <m:rPr>
                          <m:sty m:val="b"/>
                        </m:rPr>
                        <w:rPr>
                          <w:rFonts w:ascii="Cambria Math" w:hAnsi="Cambria Math"/>
                          <w:sz w:val="18"/>
                        </w:rPr>
                        <m:t xml:space="preserve"> </m:t>
                      </m:r>
                      <m:sSup>
                        <m:sSupPr>
                          <m:ctrlPr>
                            <w:rPr>
                              <w:rFonts w:ascii="Cambria Math" w:hAnsi="Cambria Math"/>
                              <w:b/>
                              <w:sz w:val="18"/>
                            </w:rPr>
                          </m:ctrlPr>
                        </m:sSupPr>
                        <m:e>
                          <m:sSub>
                            <m:sSubPr>
                              <m:ctrlPr>
                                <w:rPr>
                                  <w:rFonts w:ascii="Cambria Math" w:hAnsi="Cambria Math"/>
                                  <w:b/>
                                  <w:sz w:val="18"/>
                                </w:rPr>
                              </m:ctrlPr>
                            </m:sSubPr>
                            <m:e>
                              <m:r>
                                <m:rPr>
                                  <m:nor/>
                                </m:rPr>
                                <w:rPr>
                                  <w:b/>
                                  <w:sz w:val="18"/>
                                </w:rPr>
                                <m:t>F</m:t>
                              </m:r>
                            </m:e>
                            <m:sub>
                              <m:r>
                                <m:rPr>
                                  <m:nor/>
                                </m:rPr>
                                <w:rPr>
                                  <w:b/>
                                  <w:sz w:val="18"/>
                                </w:rPr>
                                <m:t>v</m:t>
                              </m:r>
                            </m:sub>
                          </m:sSub>
                        </m:e>
                        <m:sup>
                          <m:r>
                            <m:rPr>
                              <m:nor/>
                            </m:rPr>
                            <w:rPr>
                              <w:b/>
                              <w:sz w:val="18"/>
                            </w:rPr>
                            <m:t>2</m:t>
                          </m:r>
                        </m:sup>
                      </m:sSup>
                    </m:e>
                  </m:d>
                </m:e>
                <m:sup>
                  <m:r>
                    <m:rPr>
                      <m:nor/>
                    </m:rPr>
                    <w:rPr>
                      <w:b/>
                      <w:sz w:val="18"/>
                    </w:rPr>
                    <m:t>1/2</m:t>
                  </m:r>
                </m:sup>
              </m:sSup>
              <m:r>
                <m:rPr>
                  <m:nor/>
                </m:rPr>
                <w:rPr>
                  <w:b/>
                  <w:sz w:val="18"/>
                </w:rPr>
                <m:t>)</m:t>
              </m:r>
            </m:oMath>
          </w:p>
          <w:p w:rsidR="007C4016" w:rsidRPr="00316B79" w:rsidRDefault="007C4016" w:rsidP="005C782A">
            <w:pPr>
              <w:pStyle w:val="TxtListado"/>
              <w:spacing w:after="0"/>
              <w:jc w:val="center"/>
              <w:rPr>
                <w:rFonts w:eastAsia="MS Mincho" w:cs="Calibri"/>
                <w:b/>
                <w:sz w:val="18"/>
                <w:szCs w:val="22"/>
                <w:lang w:eastAsia="en-US"/>
              </w:rPr>
            </w:pPr>
          </w:p>
        </w:tc>
        <w:tc>
          <w:tcPr>
            <w:tcW w:w="791" w:type="pct"/>
            <w:shd w:val="clear" w:color="auto" w:fill="D9D9D9" w:themeFill="background1" w:themeFillShade="D9"/>
          </w:tcPr>
          <w:p w:rsidR="007C4016" w:rsidRDefault="007C4016" w:rsidP="005C782A">
            <w:pPr>
              <w:pStyle w:val="IFTnormal"/>
              <w:spacing w:after="0"/>
              <w:jc w:val="center"/>
              <w:rPr>
                <w:b/>
                <w:sz w:val="18"/>
              </w:rPr>
            </w:pPr>
            <w:r w:rsidRPr="00316B79">
              <w:rPr>
                <w:b/>
                <w:sz w:val="18"/>
              </w:rPr>
              <w:t xml:space="preserve">Tarifa anual por uso de poste </w:t>
            </w:r>
          </w:p>
          <w:p w:rsidR="007C4016" w:rsidRPr="00316B79" w:rsidRDefault="007C4016" w:rsidP="005C782A">
            <w:pPr>
              <w:pStyle w:val="IFTnormal"/>
              <w:spacing w:after="0"/>
              <w:jc w:val="center"/>
              <w:rPr>
                <w:b/>
                <w:sz w:val="18"/>
              </w:rPr>
            </w:pPr>
            <w:r w:rsidRPr="00316B79">
              <w:rPr>
                <w:b/>
                <w:sz w:val="18"/>
              </w:rPr>
              <w:t xml:space="preserve">(0.57 x </w:t>
            </w:r>
            <m:oMath>
              <m:sSub>
                <m:sSubPr>
                  <m:ctrlPr>
                    <w:rPr>
                      <w:rFonts w:ascii="Cambria Math" w:hAnsi="Cambria Math"/>
                      <w:b/>
                      <w:sz w:val="18"/>
                    </w:rPr>
                  </m:ctrlPr>
                </m:sSubPr>
                <m:e>
                  <m:r>
                    <m:rPr>
                      <m:nor/>
                    </m:rPr>
                    <w:rPr>
                      <w:b/>
                      <w:sz w:val="18"/>
                    </w:rPr>
                    <m:t>F</m:t>
                  </m:r>
                </m:e>
                <m:sub>
                  <m:r>
                    <m:rPr>
                      <m:nor/>
                    </m:rPr>
                    <w:rPr>
                      <w:b/>
                      <w:sz w:val="18"/>
                    </w:rPr>
                    <m:t>T</m:t>
                  </m:r>
                </m:sub>
              </m:sSub>
            </m:oMath>
            <w:r w:rsidRPr="00316B79">
              <w:rPr>
                <w:b/>
                <w:sz w:val="18"/>
              </w:rPr>
              <w:t>)</w:t>
            </w:r>
          </w:p>
        </w:tc>
      </w:tr>
      <w:tr w:rsidR="007C4016" w:rsidRPr="00464C9B" w:rsidTr="005C782A">
        <w:trPr>
          <w:trHeight w:val="236"/>
          <w:jc w:val="center"/>
        </w:trPr>
        <w:tc>
          <w:tcPr>
            <w:tcW w:w="738" w:type="pct"/>
            <w:tcBorders>
              <w:left w:val="single" w:sz="4" w:space="0" w:color="000000" w:themeColor="text1"/>
              <w:right w:val="single" w:sz="4" w:space="0" w:color="FFFFFF" w:themeColor="background1"/>
            </w:tcBorders>
            <w:shd w:val="clear" w:color="auto" w:fill="auto"/>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Número de fibras</w:t>
            </w:r>
          </w:p>
        </w:tc>
        <w:tc>
          <w:tcPr>
            <w:tcW w:w="848" w:type="pct"/>
            <w:tcBorders>
              <w:left w:val="single" w:sz="4" w:space="0" w:color="FFFFFF" w:themeColor="background1"/>
              <w:right w:val="single" w:sz="4" w:space="0" w:color="FFFFFF" w:themeColor="background1"/>
            </w:tcBorders>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metros</w:t>
            </w:r>
          </w:p>
        </w:tc>
        <w:tc>
          <w:tcPr>
            <w:tcW w:w="636" w:type="pct"/>
            <w:tcBorders>
              <w:left w:val="single" w:sz="4" w:space="0" w:color="FFFFFF" w:themeColor="background1"/>
              <w:right w:val="single" w:sz="4" w:space="0" w:color="FFFFFF" w:themeColor="background1"/>
            </w:tcBorders>
            <w:shd w:val="clear" w:color="auto" w:fill="auto"/>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Kg / m</w:t>
            </w:r>
          </w:p>
        </w:tc>
        <w:tc>
          <w:tcPr>
            <w:tcW w:w="794" w:type="pct"/>
            <w:tcBorders>
              <w:left w:val="single" w:sz="4" w:space="0" w:color="FFFFFF" w:themeColor="background1"/>
              <w:right w:val="single" w:sz="4" w:space="0" w:color="FFFFFF" w:themeColor="background1"/>
            </w:tcBorders>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Kg / m</w:t>
            </w:r>
          </w:p>
        </w:tc>
        <w:tc>
          <w:tcPr>
            <w:tcW w:w="1194" w:type="pct"/>
            <w:tcBorders>
              <w:left w:val="single" w:sz="4" w:space="0" w:color="FFFFFF" w:themeColor="background1"/>
              <w:right w:val="single" w:sz="4" w:space="0" w:color="FFFFFF" w:themeColor="background1"/>
            </w:tcBorders>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Kg</w:t>
            </w:r>
          </w:p>
        </w:tc>
        <w:tc>
          <w:tcPr>
            <w:tcW w:w="791" w:type="pct"/>
            <w:tcBorders>
              <w:left w:val="single" w:sz="4" w:space="0" w:color="FFFFFF" w:themeColor="background1"/>
              <w:right w:val="single" w:sz="4" w:space="0" w:color="auto"/>
            </w:tcBorders>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MXN / año</w:t>
            </w:r>
          </w:p>
        </w:tc>
      </w:tr>
      <w:tr w:rsidR="007C4016" w:rsidRPr="00464C9B" w:rsidTr="005C782A">
        <w:trPr>
          <w:trHeight w:val="269"/>
          <w:jc w:val="center"/>
        </w:trPr>
        <w:tc>
          <w:tcPr>
            <w:tcW w:w="738" w:type="pct"/>
            <w:shd w:val="clear" w:color="auto" w:fill="auto"/>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24</w:t>
            </w:r>
          </w:p>
        </w:tc>
        <w:tc>
          <w:tcPr>
            <w:tcW w:w="848" w:type="pct"/>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50.00</w:t>
            </w:r>
          </w:p>
        </w:tc>
        <w:tc>
          <w:tcPr>
            <w:tcW w:w="636" w:type="pct"/>
            <w:shd w:val="clear" w:color="auto" w:fill="auto"/>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0.250</w:t>
            </w:r>
          </w:p>
        </w:tc>
        <w:tc>
          <w:tcPr>
            <w:tcW w:w="794" w:type="pct"/>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0.7179872</w:t>
            </w:r>
          </w:p>
        </w:tc>
        <w:tc>
          <w:tcPr>
            <w:tcW w:w="1194" w:type="pct"/>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38.0133404</w:t>
            </w:r>
          </w:p>
        </w:tc>
        <w:tc>
          <w:tcPr>
            <w:tcW w:w="791" w:type="pct"/>
            <w:vAlign w:val="bottom"/>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21.67</w:t>
            </w:r>
          </w:p>
        </w:tc>
      </w:tr>
      <w:tr w:rsidR="007C4016" w:rsidRPr="00464C9B" w:rsidTr="005C782A">
        <w:trPr>
          <w:trHeight w:val="269"/>
          <w:jc w:val="center"/>
        </w:trPr>
        <w:tc>
          <w:tcPr>
            <w:tcW w:w="738" w:type="pct"/>
            <w:shd w:val="clear" w:color="auto" w:fill="auto"/>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144</w:t>
            </w:r>
          </w:p>
        </w:tc>
        <w:tc>
          <w:tcPr>
            <w:tcW w:w="848" w:type="pct"/>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50.00</w:t>
            </w:r>
          </w:p>
        </w:tc>
        <w:tc>
          <w:tcPr>
            <w:tcW w:w="636" w:type="pct"/>
            <w:shd w:val="clear" w:color="auto" w:fill="auto"/>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0.340</w:t>
            </w:r>
          </w:p>
        </w:tc>
        <w:tc>
          <w:tcPr>
            <w:tcW w:w="794" w:type="pct"/>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1.0226594</w:t>
            </w:r>
          </w:p>
        </w:tc>
        <w:tc>
          <w:tcPr>
            <w:tcW w:w="1194" w:type="pct"/>
          </w:tcPr>
          <w:p w:rsidR="007C4016" w:rsidRPr="00464C9B" w:rsidRDefault="007C4016" w:rsidP="005C782A">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5</w:t>
            </w:r>
            <w:r>
              <w:rPr>
                <w:rFonts w:eastAsia="MS Mincho" w:cs="Calibri"/>
                <w:bCs/>
                <w:sz w:val="18"/>
                <w:szCs w:val="22"/>
                <w:lang w:eastAsia="en-US"/>
              </w:rPr>
              <w:t>0.5354707</w:t>
            </w:r>
          </w:p>
        </w:tc>
        <w:tc>
          <w:tcPr>
            <w:tcW w:w="791" w:type="pct"/>
            <w:vAlign w:val="bottom"/>
          </w:tcPr>
          <w:p w:rsidR="007C4016" w:rsidRPr="00464C9B" w:rsidRDefault="007C4016" w:rsidP="005C782A">
            <w:pPr>
              <w:pStyle w:val="TxtListado"/>
              <w:spacing w:after="0"/>
              <w:jc w:val="center"/>
              <w:rPr>
                <w:rFonts w:eastAsia="MS Mincho" w:cs="Calibri"/>
                <w:bCs/>
                <w:sz w:val="18"/>
                <w:szCs w:val="22"/>
                <w:lang w:eastAsia="en-US"/>
              </w:rPr>
            </w:pPr>
            <w:r>
              <w:rPr>
                <w:rFonts w:eastAsia="MS Mincho" w:cs="Calibri"/>
                <w:bCs/>
                <w:sz w:val="18"/>
                <w:szCs w:val="22"/>
                <w:lang w:eastAsia="en-US"/>
              </w:rPr>
              <w:t>28.81</w:t>
            </w:r>
          </w:p>
        </w:tc>
      </w:tr>
    </w:tbl>
    <w:p w:rsidR="007C4016" w:rsidRDefault="007C4016" w:rsidP="007C4016">
      <w:pPr>
        <w:pStyle w:val="IFTnormal"/>
        <w:spacing w:before="240" w:after="0"/>
        <w:rPr>
          <w:highlight w:val="yellow"/>
        </w:rPr>
      </w:pPr>
    </w:p>
    <w:p w:rsidR="007C4016" w:rsidRDefault="007C4016" w:rsidP="007C4016">
      <w:pPr>
        <w:pStyle w:val="IFTnormal"/>
        <w:spacing w:before="240" w:after="0"/>
      </w:pPr>
      <w:r>
        <w:t xml:space="preserve">Por último, es relevante mencionar que de conformidad con las Medidas VIGÉSIMA TERCERA y la </w:t>
      </w:r>
      <w:r w:rsidRPr="00401600">
        <w:rPr>
          <w:lang w:val="es-ES" w:eastAsia="es-ES"/>
        </w:rPr>
        <w:t>CUADRAGÉSIMA PRIMERA</w:t>
      </w:r>
      <w:r>
        <w:rPr>
          <w:lang w:val="es-ES" w:eastAsia="es-ES"/>
        </w:rPr>
        <w:t xml:space="preserve"> de las Medidas </w:t>
      </w:r>
      <w:r>
        <w:t>Fijas, el AEP no podrá aplicar condiciones discriminatorias o condiciones que inhiban la competencia, por lo que no podrá aplicar términos y condiciones distintos a los aplicados a sus propias operaciones, subsidiarias o filiales. En este sentido si el AEP ofrece para sus propias operaciones ductos de medidas no indicadas en la Oferta de Referencia o criterios para determinar capacidad excedente, este deberá hacerlos disponibles a los CS. Lo mismo ocurre cuando es necesario dar continuidad a la instalación de cables que tiene que pasar por uno o varios pozos, en los cuales se deberá dar continuidad como lo hace el AEP en sus propias operaciones y que puede ser, usando no necesariamente el mismo ducto que da continuidad, sino, cambiando de ducto, lo anterior también aplicable para el acceso a postes.</w:t>
      </w:r>
    </w:p>
    <w:p w:rsidR="007C4016" w:rsidRPr="009561FA" w:rsidRDefault="007C4016" w:rsidP="007C4016">
      <w:pPr>
        <w:spacing w:before="240" w:after="0"/>
        <w:rPr>
          <w:rFonts w:ascii="ITC Avant Garde" w:eastAsia="MS Mincho" w:hAnsi="ITC Avant Garde" w:cs="Calibri"/>
          <w:b/>
          <w:bCs/>
          <w:sz w:val="22"/>
          <w:szCs w:val="22"/>
          <w:lang w:val="es-ES" w:eastAsia="en-US"/>
        </w:rPr>
      </w:pPr>
      <w:r>
        <w:rPr>
          <w:rFonts w:ascii="ITC Avant Garde" w:eastAsia="MS Mincho" w:hAnsi="ITC Avant Garde" w:cs="Calibri"/>
          <w:b/>
          <w:bCs/>
          <w:sz w:val="22"/>
          <w:szCs w:val="22"/>
          <w:lang w:val="es-ES" w:eastAsia="en-US"/>
        </w:rPr>
        <w:lastRenderedPageBreak/>
        <w:t>Redacción Definitiva</w:t>
      </w:r>
    </w:p>
    <w:p w:rsidR="007C4016" w:rsidRDefault="007C4016" w:rsidP="007C4016">
      <w:pPr>
        <w:pStyle w:val="IFTnormal"/>
        <w:spacing w:before="240" w:after="0"/>
        <w:rPr>
          <w:sz w:val="20"/>
          <w:szCs w:val="20"/>
          <w:lang w:eastAsia="es-MX"/>
        </w:rPr>
      </w:pPr>
      <w:r>
        <w:t>Derivado del análisis integral realizado al Numeral “</w:t>
      </w:r>
      <w:r w:rsidRPr="00A66A6A">
        <w:rPr>
          <w:i/>
        </w:rPr>
        <w:t>1.</w:t>
      </w:r>
      <w:r w:rsidRPr="00A66A6A">
        <w:rPr>
          <w:i/>
        </w:rPr>
        <w:tab/>
        <w:t>SERVICIO DE ACCESO Y USO COMPARTIDO DE OBRA CIVIL</w:t>
      </w:r>
      <w:r>
        <w:t>”, el numeral “</w:t>
      </w:r>
      <w:r w:rsidRPr="00A66A6A">
        <w:rPr>
          <w:i/>
        </w:rPr>
        <w:t xml:space="preserve">1.1 </w:t>
      </w:r>
      <w:r w:rsidRPr="00A66A6A">
        <w:rPr>
          <w:i/>
        </w:rPr>
        <w:tab/>
        <w:t>PROCEDIMIENTOS PARA LA CONTRATACIÓN, MODIFICACIÓN Y BAJA DE LOS SERVICIOS</w:t>
      </w:r>
      <w:r>
        <w:t>” y el “</w:t>
      </w:r>
      <w:r w:rsidRPr="00A66A6A">
        <w:rPr>
          <w:i/>
        </w:rPr>
        <w:t>ANEXO 2 NORMATIVIDAD TECNICA</w:t>
      </w:r>
      <w:r>
        <w:t>”, el Instituto resuelve que el numeral “</w:t>
      </w:r>
      <w:r w:rsidRPr="0007783B">
        <w:rPr>
          <w:i/>
        </w:rPr>
        <w:t>1.Servicio de Acceso y Uso compartido de Obra Civil</w:t>
      </w:r>
      <w:r>
        <w:t>” deberá quedar de la siguiente manera:</w:t>
      </w:r>
    </w:p>
    <w:p w:rsidR="007C4016" w:rsidRPr="00351D1E" w:rsidRDefault="007C4016" w:rsidP="007C4016">
      <w:pPr>
        <w:spacing w:before="240" w:after="0"/>
        <w:ind w:left="851" w:right="760"/>
        <w:rPr>
          <w:rFonts w:ascii="ITC Avant Garde" w:eastAsia="MS Mincho" w:hAnsi="ITC Avant Garde" w:cs="Calibri"/>
          <w:b/>
          <w:bCs/>
          <w:sz w:val="22"/>
          <w:szCs w:val="22"/>
          <w:lang w:eastAsia="en-US"/>
        </w:rPr>
      </w:pPr>
      <w:bookmarkStart w:id="27" w:name="_Toc423018236"/>
      <w:bookmarkStart w:id="28" w:name="_Toc433915536"/>
      <w:bookmarkStart w:id="29" w:name="_Toc435555532"/>
      <w:bookmarkStart w:id="30" w:name="_Toc436229686"/>
      <w:bookmarkStart w:id="31" w:name="_Toc436230601"/>
      <w:bookmarkStart w:id="32" w:name="_Toc494107295"/>
      <w:r w:rsidRPr="00351D1E">
        <w:rPr>
          <w:rFonts w:ascii="ITC Avant Garde" w:eastAsia="MS Mincho" w:hAnsi="ITC Avant Garde" w:cs="Calibri"/>
          <w:b/>
          <w:bCs/>
          <w:sz w:val="22"/>
          <w:szCs w:val="22"/>
          <w:lang w:eastAsia="en-US"/>
        </w:rPr>
        <w:t>1. Servicio de Acceso y Uso compartido de Obra Civil</w:t>
      </w:r>
      <w:bookmarkEnd w:id="27"/>
      <w:bookmarkEnd w:id="28"/>
      <w:bookmarkEnd w:id="29"/>
      <w:bookmarkEnd w:id="30"/>
      <w:bookmarkEnd w:id="31"/>
      <w:bookmarkEnd w:id="32"/>
    </w:p>
    <w:p w:rsidR="007C4016" w:rsidRDefault="007C4016" w:rsidP="007C4016">
      <w:pPr>
        <w:pStyle w:val="IFTnormal"/>
        <w:spacing w:before="240" w:after="0"/>
        <w:ind w:left="851" w:right="760"/>
      </w:pPr>
      <w:r w:rsidRPr="00351D1E">
        <w:t>El Servicio de Acceso y Uso Compartido de Obra Civil permite a los CS utilizar elementos de la Obra Civil, para que éstos puedan desplegar redes propias donde existe infraestructura instalada, con capacidad excedente.</w:t>
      </w:r>
    </w:p>
    <w:p w:rsidR="007C4016" w:rsidRDefault="007C4016" w:rsidP="007C4016">
      <w:pPr>
        <w:keepNext/>
        <w:spacing w:before="240" w:after="0"/>
        <w:ind w:left="851" w:right="760"/>
        <w:jc w:val="center"/>
      </w:pPr>
      <w:r w:rsidRPr="00716C42">
        <w:rPr>
          <w:noProof/>
          <w:lang w:eastAsia="es-MX"/>
        </w:rPr>
        <w:drawing>
          <wp:inline distT="0" distB="0" distL="0" distR="0" wp14:anchorId="69558E8D" wp14:editId="124AB1E2">
            <wp:extent cx="4433977" cy="1213957"/>
            <wp:effectExtent l="0" t="0" r="5080" b="0"/>
            <wp:docPr id="175" name="Picture 175" descr="Figura 2. Obra civil de Teln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1322" cy="1218706"/>
                    </a:xfrm>
                    <a:prstGeom prst="rect">
                      <a:avLst/>
                    </a:prstGeom>
                    <a:noFill/>
                  </pic:spPr>
                </pic:pic>
              </a:graphicData>
            </a:graphic>
          </wp:inline>
        </w:drawing>
      </w:r>
    </w:p>
    <w:p w:rsidR="007C4016" w:rsidRPr="001451A4" w:rsidRDefault="007C4016" w:rsidP="007C4016">
      <w:pPr>
        <w:pStyle w:val="IFTnormal"/>
        <w:spacing w:before="240" w:after="0"/>
        <w:ind w:left="851" w:right="760"/>
        <w:jc w:val="center"/>
      </w:pPr>
      <w:r w:rsidRPr="001451A4">
        <w:t xml:space="preserve">Figura 2. </w:t>
      </w:r>
      <w:r w:rsidRPr="006E7222">
        <w:rPr>
          <w:b/>
          <w:sz w:val="18"/>
          <w:szCs w:val="18"/>
        </w:rPr>
        <w:t xml:space="preserve">Obra civil de </w:t>
      </w:r>
      <w:r>
        <w:rPr>
          <w:b/>
          <w:sz w:val="18"/>
          <w:szCs w:val="18"/>
        </w:rPr>
        <w:t>Telnor</w:t>
      </w:r>
    </w:p>
    <w:p w:rsidR="007C4016" w:rsidRPr="00351D1E" w:rsidRDefault="007C4016" w:rsidP="007C4016">
      <w:pPr>
        <w:spacing w:before="240" w:after="0"/>
        <w:ind w:left="851" w:right="760"/>
        <w:rPr>
          <w:rFonts w:ascii="ITC Avant Garde" w:eastAsia="MS Mincho" w:hAnsi="ITC Avant Garde" w:cs="Calibri"/>
          <w:bCs/>
          <w:sz w:val="22"/>
          <w:szCs w:val="22"/>
          <w:lang w:eastAsia="en-US"/>
        </w:rPr>
      </w:pPr>
      <w:r w:rsidRPr="00351D1E">
        <w:rPr>
          <w:rFonts w:ascii="ITC Avant Garde" w:eastAsia="MS Mincho" w:hAnsi="ITC Avant Garde" w:cs="Calibri"/>
          <w:bCs/>
          <w:sz w:val="22"/>
          <w:szCs w:val="22"/>
          <w:lang w:eastAsia="en-US"/>
        </w:rPr>
        <w:t>La Obra Civil existente a la cual puede acceder el CS está formada por:</w:t>
      </w:r>
    </w:p>
    <w:p w:rsidR="007C4016" w:rsidRPr="00351D1E" w:rsidRDefault="007C4016" w:rsidP="007C4016">
      <w:pPr>
        <w:pStyle w:val="IFTnormal"/>
        <w:numPr>
          <w:ilvl w:val="0"/>
          <w:numId w:val="134"/>
        </w:numPr>
        <w:spacing w:before="240" w:after="0"/>
        <w:ind w:right="760"/>
        <w:rPr>
          <w:bCs w:val="0"/>
        </w:rPr>
      </w:pPr>
      <w:r w:rsidRPr="00351D1E">
        <w:t>Ductos.</w:t>
      </w:r>
    </w:p>
    <w:p w:rsidR="007C4016" w:rsidRPr="00351D1E" w:rsidRDefault="007C4016" w:rsidP="007C4016">
      <w:pPr>
        <w:pStyle w:val="IFTnormal"/>
        <w:numPr>
          <w:ilvl w:val="0"/>
          <w:numId w:val="134"/>
        </w:numPr>
        <w:spacing w:after="0"/>
        <w:ind w:right="760"/>
        <w:rPr>
          <w:bCs w:val="0"/>
        </w:rPr>
      </w:pPr>
      <w:r w:rsidRPr="00351D1E">
        <w:t>Pozos.</w:t>
      </w:r>
    </w:p>
    <w:p w:rsidR="007C4016" w:rsidRPr="00351D1E" w:rsidRDefault="007C4016" w:rsidP="007C4016">
      <w:pPr>
        <w:pStyle w:val="IFTnormal"/>
        <w:numPr>
          <w:ilvl w:val="0"/>
          <w:numId w:val="134"/>
        </w:numPr>
        <w:spacing w:after="0"/>
        <w:ind w:right="760"/>
        <w:rPr>
          <w:bCs w:val="0"/>
        </w:rPr>
      </w:pPr>
      <w:r w:rsidRPr="00351D1E">
        <w:t>Postes.</w:t>
      </w:r>
    </w:p>
    <w:p w:rsidR="007C4016" w:rsidRPr="00351D1E" w:rsidRDefault="007C4016" w:rsidP="007C4016">
      <w:pPr>
        <w:pStyle w:val="IFTnormal"/>
        <w:numPr>
          <w:ilvl w:val="0"/>
          <w:numId w:val="134"/>
        </w:numPr>
        <w:spacing w:after="0"/>
        <w:ind w:right="760"/>
        <w:rPr>
          <w:bCs w:val="0"/>
        </w:rPr>
      </w:pPr>
      <w:r w:rsidRPr="00351D1E">
        <w:t xml:space="preserve">Subidas a poste o fachada. </w:t>
      </w:r>
    </w:p>
    <w:p w:rsidR="007C4016" w:rsidRPr="00351D1E" w:rsidRDefault="007C4016" w:rsidP="007C4016">
      <w:pPr>
        <w:pStyle w:val="IFTnormal"/>
        <w:numPr>
          <w:ilvl w:val="0"/>
          <w:numId w:val="134"/>
        </w:numPr>
        <w:spacing w:after="0"/>
        <w:ind w:right="760"/>
        <w:rPr>
          <w:bCs w:val="0"/>
        </w:rPr>
      </w:pPr>
      <w:r w:rsidRPr="00351D1E">
        <w:t>Bajadas de poste o fachada</w:t>
      </w:r>
    </w:p>
    <w:p w:rsidR="007C4016" w:rsidRPr="00351D1E" w:rsidRDefault="007C4016" w:rsidP="007C4016">
      <w:pPr>
        <w:pStyle w:val="IFTnormal"/>
        <w:numPr>
          <w:ilvl w:val="0"/>
          <w:numId w:val="134"/>
        </w:numPr>
        <w:spacing w:after="0"/>
        <w:ind w:right="760"/>
        <w:rPr>
          <w:bCs w:val="0"/>
        </w:rPr>
      </w:pPr>
      <w:r w:rsidRPr="00351D1E">
        <w:t>Canalizaciones</w:t>
      </w:r>
    </w:p>
    <w:p w:rsidR="007C4016" w:rsidRPr="00351D1E" w:rsidRDefault="007C4016" w:rsidP="007C4016">
      <w:pPr>
        <w:pStyle w:val="IFTnormal"/>
        <w:numPr>
          <w:ilvl w:val="0"/>
          <w:numId w:val="134"/>
        </w:numPr>
        <w:spacing w:after="0"/>
        <w:ind w:right="760"/>
        <w:rPr>
          <w:bCs w:val="0"/>
        </w:rPr>
      </w:pPr>
      <w:r w:rsidRPr="00351D1E">
        <w:t>Derechos de vía</w:t>
      </w:r>
    </w:p>
    <w:p w:rsidR="007C4016" w:rsidRPr="00D457BF" w:rsidRDefault="007C4016" w:rsidP="007C4016">
      <w:pPr>
        <w:spacing w:before="240" w:after="0"/>
        <w:ind w:left="851" w:right="760"/>
        <w:rPr>
          <w:rFonts w:ascii="ITC Avant Garde" w:eastAsia="MS Mincho" w:hAnsi="ITC Avant Garde" w:cs="Calibri"/>
          <w:bCs/>
          <w:sz w:val="22"/>
          <w:szCs w:val="22"/>
          <w:lang w:eastAsia="en-US"/>
        </w:rPr>
      </w:pPr>
      <w:r w:rsidRPr="00D457BF">
        <w:rPr>
          <w:rFonts w:ascii="ITC Avant Garde" w:eastAsia="MS Mincho" w:hAnsi="ITC Avant Garde" w:cs="Calibri"/>
          <w:bCs/>
          <w:sz w:val="22"/>
          <w:szCs w:val="22"/>
          <w:lang w:eastAsia="en-US"/>
        </w:rPr>
        <w:t xml:space="preserve">Este servicio está diseñado para que los CS puedan desplegar redes subterráneas y/o aéreas. </w:t>
      </w:r>
    </w:p>
    <w:p w:rsidR="007C4016" w:rsidRPr="00351D1E" w:rsidRDefault="007C4016" w:rsidP="007C4016">
      <w:pPr>
        <w:spacing w:before="240" w:after="0"/>
        <w:ind w:left="851" w:right="760"/>
        <w:rPr>
          <w:rFonts w:ascii="ITC Avant Garde" w:eastAsia="MS Mincho" w:hAnsi="ITC Avant Garde" w:cs="Calibri"/>
          <w:b/>
          <w:bCs/>
          <w:sz w:val="22"/>
          <w:szCs w:val="22"/>
          <w:lang w:eastAsia="en-US"/>
        </w:rPr>
      </w:pPr>
      <w:r w:rsidRPr="00351D1E">
        <w:rPr>
          <w:rFonts w:ascii="ITC Avant Garde" w:eastAsia="MS Mincho" w:hAnsi="ITC Avant Garde" w:cs="Calibri"/>
          <w:b/>
          <w:bCs/>
          <w:sz w:val="22"/>
          <w:szCs w:val="22"/>
          <w:lang w:eastAsia="en-US"/>
        </w:rPr>
        <w:lastRenderedPageBreak/>
        <w:t>1.1 Ductos</w:t>
      </w:r>
    </w:p>
    <w:p w:rsidR="007C4016" w:rsidRPr="00351D1E" w:rsidRDefault="007C4016" w:rsidP="007C4016">
      <w:pPr>
        <w:pStyle w:val="IFTnormal"/>
        <w:spacing w:before="240" w:after="0"/>
        <w:ind w:left="851" w:right="760"/>
      </w:pPr>
      <w:r w:rsidRPr="00351D1E">
        <w:t xml:space="preserve">En </w:t>
      </w:r>
      <w:r>
        <w:t>la compartición de Ductos Telnor</w:t>
      </w:r>
      <w:r w:rsidRPr="00351D1E">
        <w:t xml:space="preserve"> pone a disposición de los Concesionarios Solicitantes los ductos que tengan capacidad excedente en función a la sección útil del ducto.</w:t>
      </w:r>
    </w:p>
    <w:p w:rsidR="007C4016" w:rsidRPr="00351D1E" w:rsidRDefault="007C4016" w:rsidP="007C4016">
      <w:pPr>
        <w:spacing w:before="240" w:after="0"/>
        <w:ind w:left="851" w:right="760"/>
        <w:rPr>
          <w:rFonts w:ascii="ITC Avant Garde" w:eastAsia="MS Mincho" w:hAnsi="ITC Avant Garde" w:cs="Calibri"/>
          <w:b/>
          <w:bCs/>
          <w:sz w:val="22"/>
          <w:szCs w:val="22"/>
          <w:lang w:val="es-ES" w:eastAsia="en-US"/>
        </w:rPr>
      </w:pPr>
      <w:r w:rsidRPr="00351D1E">
        <w:rPr>
          <w:rFonts w:ascii="ITC Avant Garde" w:eastAsia="MS Mincho" w:hAnsi="ITC Avant Garde" w:cs="Calibri"/>
          <w:b/>
          <w:bCs/>
          <w:sz w:val="22"/>
          <w:szCs w:val="22"/>
          <w:lang w:val="es-ES" w:eastAsia="en-US"/>
        </w:rPr>
        <w:t>1.1.1 Alcance</w:t>
      </w:r>
    </w:p>
    <w:p w:rsidR="007C4016" w:rsidRPr="00351D1E" w:rsidRDefault="007C4016" w:rsidP="007C4016">
      <w:pPr>
        <w:pStyle w:val="IFTnormal"/>
        <w:numPr>
          <w:ilvl w:val="0"/>
          <w:numId w:val="76"/>
        </w:numPr>
        <w:spacing w:before="240" w:after="0"/>
        <w:ind w:left="1560" w:right="760"/>
        <w:rPr>
          <w:lang w:val="es-ES"/>
        </w:rPr>
      </w:pPr>
      <w:r w:rsidRPr="00351D1E">
        <w:rPr>
          <w:lang w:val="es-ES"/>
        </w:rPr>
        <w:t>Se pone a disposición de los Concesionarios Solicitantes los ductos que tengan capacidad excedente en función a la sección útil del ducto o tubo y el tamaño de cable que se pretenda instalar:</w:t>
      </w:r>
    </w:p>
    <w:p w:rsidR="007C4016" w:rsidRDefault="007C4016" w:rsidP="007C4016">
      <w:pPr>
        <w:pStyle w:val="Texto1"/>
        <w:numPr>
          <w:ilvl w:val="1"/>
          <w:numId w:val="34"/>
        </w:numPr>
        <w:suppressAutoHyphens w:val="0"/>
        <w:spacing w:before="240" w:after="0" w:line="240" w:lineRule="auto"/>
        <w:ind w:left="1843" w:right="760" w:hanging="357"/>
        <w:contextualSpacing w:val="0"/>
        <w:rPr>
          <w:lang w:val="es-ES"/>
        </w:rPr>
      </w:pPr>
      <w:r>
        <w:rPr>
          <w:rFonts w:ascii="ITC Avant Garde" w:eastAsia="MS Mincho" w:hAnsi="ITC Avant Garde" w:cs="Calibri"/>
          <w:bCs/>
          <w:sz w:val="22"/>
          <w:szCs w:val="22"/>
          <w:lang w:val="es-ES" w:eastAsia="en-US"/>
        </w:rPr>
        <w:t>Ductos de 35.5, 45, 60,</w:t>
      </w:r>
      <w:r w:rsidRPr="00351D1E">
        <w:rPr>
          <w:rFonts w:ascii="ITC Avant Garde" w:eastAsia="MS Mincho" w:hAnsi="ITC Avant Garde" w:cs="Calibri"/>
          <w:bCs/>
          <w:sz w:val="22"/>
          <w:szCs w:val="22"/>
          <w:lang w:val="es-ES" w:eastAsia="en-US"/>
        </w:rPr>
        <w:t xml:space="preserve"> 80</w:t>
      </w:r>
      <w:r>
        <w:rPr>
          <w:rFonts w:ascii="ITC Avant Garde" w:eastAsia="MS Mincho" w:hAnsi="ITC Avant Garde" w:cs="Calibri"/>
          <w:bCs/>
          <w:sz w:val="22"/>
          <w:szCs w:val="22"/>
          <w:lang w:val="es-ES" w:eastAsia="en-US"/>
        </w:rPr>
        <w:t>, 100</w:t>
      </w:r>
      <w:r w:rsidRPr="00351D1E">
        <w:rPr>
          <w:rFonts w:ascii="ITC Avant Garde" w:eastAsia="MS Mincho" w:hAnsi="ITC Avant Garde" w:cs="Calibri"/>
          <w:bCs/>
          <w:sz w:val="22"/>
          <w:szCs w:val="22"/>
          <w:lang w:val="es-ES" w:eastAsia="en-US"/>
        </w:rPr>
        <w:t xml:space="preserve"> mm </w:t>
      </w:r>
      <w:r>
        <w:rPr>
          <w:rFonts w:ascii="ITC Avant Garde" w:eastAsia="MS Mincho" w:hAnsi="ITC Avant Garde" w:cs="Calibri"/>
          <w:bCs/>
          <w:sz w:val="22"/>
          <w:szCs w:val="22"/>
          <w:lang w:val="es-ES" w:eastAsia="en-US"/>
        </w:rPr>
        <w:t xml:space="preserve">podrán ser subdivididos por ductos </w:t>
      </w:r>
      <w:r w:rsidRPr="0093526B">
        <w:rPr>
          <w:rFonts w:ascii="ITC Avant Garde" w:eastAsia="MS Mincho" w:hAnsi="ITC Avant Garde" w:cs="Calibri"/>
          <w:bCs/>
          <w:sz w:val="22"/>
          <w:szCs w:val="22"/>
          <w:lang w:val="es-ES" w:eastAsia="en-US"/>
        </w:rPr>
        <w:t>flexibles, que pueden ser de tela, o microductos</w:t>
      </w:r>
      <w:r>
        <w:rPr>
          <w:rFonts w:ascii="ITC Avant Garde" w:eastAsia="MS Mincho" w:hAnsi="ITC Avant Garde" w:cs="Calibri"/>
          <w:bCs/>
          <w:sz w:val="22"/>
          <w:szCs w:val="22"/>
          <w:lang w:val="es-ES" w:eastAsia="en-US"/>
        </w:rPr>
        <w:t xml:space="preserve"> en función de la capacidad excedente del ducto</w:t>
      </w:r>
      <w:r w:rsidRPr="00351D1E">
        <w:rPr>
          <w:rFonts w:ascii="ITC Avant Garde" w:eastAsia="MS Mincho" w:hAnsi="ITC Avant Garde" w:cs="Calibri"/>
          <w:bCs/>
          <w:sz w:val="22"/>
          <w:szCs w:val="22"/>
          <w:lang w:val="es-ES" w:eastAsia="en-US"/>
        </w:rPr>
        <w:t>.</w:t>
      </w:r>
    </w:p>
    <w:p w:rsidR="007C4016" w:rsidRPr="00152F53" w:rsidRDefault="007C4016" w:rsidP="007C4016">
      <w:pPr>
        <w:pStyle w:val="IFTnormal"/>
        <w:numPr>
          <w:ilvl w:val="0"/>
          <w:numId w:val="78"/>
        </w:numPr>
        <w:spacing w:before="240" w:after="0"/>
        <w:ind w:left="1560" w:right="760"/>
        <w:rPr>
          <w:lang w:val="es-ES"/>
        </w:rPr>
      </w:pPr>
      <w:r w:rsidRPr="00152F53">
        <w:rPr>
          <w:lang w:val="es-ES"/>
        </w:rPr>
        <w:t>Ducto de mantenimiento: de acuerdo al número de ductos que haya en una determinada sección, se reservará cierta capacidad para realizar tareas de mantenimiento:</w:t>
      </w:r>
    </w:p>
    <w:p w:rsidR="007C4016" w:rsidRPr="00152F53" w:rsidRDefault="007C4016" w:rsidP="007C4016">
      <w:pPr>
        <w:pStyle w:val="Texto1"/>
        <w:numPr>
          <w:ilvl w:val="1"/>
          <w:numId w:val="34"/>
        </w:numPr>
        <w:suppressAutoHyphens w:val="0"/>
        <w:spacing w:before="240" w:after="0" w:line="240" w:lineRule="auto"/>
        <w:ind w:left="1843" w:right="760" w:hanging="357"/>
        <w:contextualSpacing w:val="0"/>
        <w:rPr>
          <w:rFonts w:ascii="ITC Avant Garde" w:eastAsia="MS Mincho" w:hAnsi="ITC Avant Garde" w:cs="Calibri"/>
          <w:bCs/>
          <w:sz w:val="22"/>
          <w:szCs w:val="22"/>
          <w:lang w:val="es-ES" w:eastAsia="en-US"/>
        </w:rPr>
      </w:pPr>
      <w:r w:rsidRPr="00152F53">
        <w:rPr>
          <w:rFonts w:ascii="ITC Avant Garde" w:eastAsia="MS Mincho" w:hAnsi="ITC Avant Garde" w:cs="Calibri"/>
          <w:bCs/>
          <w:sz w:val="22"/>
          <w:szCs w:val="22"/>
          <w:lang w:val="es-ES" w:eastAsia="en-US"/>
        </w:rPr>
        <w:t>En caso de haber más de 8 ductos en la sección, se reservará 1 (uno) ducto completo para mantenimiento.</w:t>
      </w:r>
    </w:p>
    <w:p w:rsidR="007C4016" w:rsidRPr="00152F53" w:rsidRDefault="007C4016" w:rsidP="007C4016">
      <w:pPr>
        <w:pStyle w:val="Texto1"/>
        <w:numPr>
          <w:ilvl w:val="1"/>
          <w:numId w:val="34"/>
        </w:numPr>
        <w:suppressAutoHyphens w:val="0"/>
        <w:spacing w:before="240" w:after="0" w:line="240" w:lineRule="auto"/>
        <w:ind w:left="1843" w:right="760" w:hanging="357"/>
        <w:contextualSpacing w:val="0"/>
        <w:rPr>
          <w:rFonts w:ascii="ITC Avant Garde" w:eastAsia="MS Mincho" w:hAnsi="ITC Avant Garde" w:cs="Calibri"/>
          <w:bCs/>
          <w:sz w:val="22"/>
          <w:szCs w:val="22"/>
          <w:lang w:val="es-ES" w:eastAsia="en-US"/>
        </w:rPr>
      </w:pPr>
      <w:r w:rsidRPr="00152F53">
        <w:rPr>
          <w:rFonts w:ascii="ITC Avant Garde" w:eastAsia="MS Mincho" w:hAnsi="ITC Avant Garde" w:cs="Calibri"/>
          <w:bCs/>
          <w:sz w:val="22"/>
          <w:szCs w:val="22"/>
          <w:lang w:val="es-ES" w:eastAsia="en-US"/>
        </w:rPr>
        <w:t>En caso de haber entre 3 y 7 ductos en la sección, se instalará un subducto</w:t>
      </w:r>
      <w:r>
        <w:rPr>
          <w:rFonts w:ascii="ITC Avant Garde" w:eastAsia="MS Mincho" w:hAnsi="ITC Avant Garde" w:cs="Calibri"/>
          <w:bCs/>
          <w:sz w:val="22"/>
          <w:szCs w:val="22"/>
          <w:lang w:val="es-ES" w:eastAsia="en-US"/>
        </w:rPr>
        <w:t xml:space="preserve"> (o bien la capacidad equivalente a la tercera parte del ducto)</w:t>
      </w:r>
      <w:r w:rsidRPr="00152F53">
        <w:rPr>
          <w:rFonts w:ascii="ITC Avant Garde" w:eastAsia="MS Mincho" w:hAnsi="ITC Avant Garde" w:cs="Calibri"/>
          <w:bCs/>
          <w:sz w:val="22"/>
          <w:szCs w:val="22"/>
          <w:lang w:val="es-ES" w:eastAsia="en-US"/>
        </w:rPr>
        <w:t xml:space="preserve"> en algún ducto donde la utilización lo permita, que será utilizado para fines de mantenimiento. Si no es posible realizar dicha instalación, 1 (uno) ducto completo será reservado para mantenimiento.</w:t>
      </w:r>
    </w:p>
    <w:p w:rsidR="007C4016" w:rsidRPr="00152F53" w:rsidRDefault="007C4016" w:rsidP="007C4016">
      <w:pPr>
        <w:pStyle w:val="Texto1"/>
        <w:numPr>
          <w:ilvl w:val="1"/>
          <w:numId w:val="34"/>
        </w:numPr>
        <w:suppressAutoHyphens w:val="0"/>
        <w:spacing w:before="240" w:after="0" w:line="240" w:lineRule="auto"/>
        <w:ind w:left="1843" w:right="760" w:hanging="357"/>
        <w:contextualSpacing w:val="0"/>
        <w:rPr>
          <w:rFonts w:ascii="ITC Avant Garde" w:eastAsia="MS Mincho" w:hAnsi="ITC Avant Garde" w:cs="Calibri"/>
          <w:bCs/>
          <w:sz w:val="22"/>
          <w:szCs w:val="22"/>
          <w:lang w:val="es-ES" w:eastAsia="en-US"/>
        </w:rPr>
      </w:pPr>
      <w:r w:rsidRPr="00152F53">
        <w:rPr>
          <w:rFonts w:ascii="ITC Avant Garde" w:eastAsia="MS Mincho" w:hAnsi="ITC Avant Garde" w:cs="Calibri"/>
          <w:bCs/>
          <w:sz w:val="22"/>
          <w:szCs w:val="22"/>
          <w:lang w:val="es-ES" w:eastAsia="en-US"/>
        </w:rPr>
        <w:t xml:space="preserve">En caso de haber solo 2 ductos </w:t>
      </w:r>
      <w:r>
        <w:rPr>
          <w:rFonts w:ascii="ITC Avant Garde" w:eastAsia="MS Mincho" w:hAnsi="ITC Avant Garde" w:cs="Calibri"/>
          <w:bCs/>
          <w:sz w:val="22"/>
          <w:szCs w:val="22"/>
          <w:lang w:val="es-ES" w:eastAsia="en-US"/>
        </w:rPr>
        <w:t xml:space="preserve">deberá instalarse un subducto (o bien la capacidad equivalente a la tercera parte del ducto) </w:t>
      </w:r>
      <w:r w:rsidRPr="00152F53">
        <w:rPr>
          <w:rFonts w:ascii="ITC Avant Garde" w:eastAsia="MS Mincho" w:hAnsi="ITC Avant Garde" w:cs="Calibri"/>
          <w:bCs/>
          <w:sz w:val="22"/>
          <w:szCs w:val="22"/>
          <w:lang w:val="es-ES" w:eastAsia="en-US"/>
        </w:rPr>
        <w:t>para mantenimiento.</w:t>
      </w:r>
    </w:p>
    <w:p w:rsidR="007C4016" w:rsidRPr="00152F53" w:rsidRDefault="007C4016" w:rsidP="007C4016">
      <w:pPr>
        <w:pStyle w:val="IFTnormal"/>
        <w:numPr>
          <w:ilvl w:val="0"/>
          <w:numId w:val="79"/>
        </w:numPr>
        <w:spacing w:before="240" w:after="0"/>
        <w:ind w:left="1560" w:right="760"/>
        <w:rPr>
          <w:lang w:val="es-ES"/>
        </w:rPr>
      </w:pPr>
      <w:r w:rsidRPr="00152F53">
        <w:rPr>
          <w:lang w:val="es-ES"/>
        </w:rPr>
        <w:t>No se podrá interceptar un ducto en ningún punto intermedio de la sección de canalización. Sólo se podrá acceder a ellos desde los pozos.</w:t>
      </w:r>
    </w:p>
    <w:p w:rsidR="007C4016" w:rsidRPr="00152F53" w:rsidRDefault="007C4016" w:rsidP="007C4016">
      <w:pPr>
        <w:pStyle w:val="IFTnormal"/>
        <w:numPr>
          <w:ilvl w:val="0"/>
          <w:numId w:val="79"/>
        </w:numPr>
        <w:spacing w:before="240" w:after="0"/>
        <w:ind w:left="1560" w:right="760"/>
        <w:rPr>
          <w:lang w:val="es-ES"/>
        </w:rPr>
      </w:pPr>
      <w:r w:rsidRPr="00152F53">
        <w:rPr>
          <w:lang w:val="es-ES"/>
        </w:rPr>
        <w:t>La ocupación de Ductos en Pozos se deberá seguir lo establecido en la Norma 1 del ANEXO 2.</w:t>
      </w:r>
    </w:p>
    <w:p w:rsidR="007C4016" w:rsidRPr="00152F53" w:rsidRDefault="007C4016" w:rsidP="007C4016">
      <w:pPr>
        <w:pStyle w:val="IFTnormal"/>
        <w:numPr>
          <w:ilvl w:val="0"/>
          <w:numId w:val="79"/>
        </w:numPr>
        <w:spacing w:before="240" w:after="0"/>
        <w:ind w:left="1560" w:right="760"/>
        <w:rPr>
          <w:lang w:val="es-ES"/>
        </w:rPr>
      </w:pPr>
      <w:r w:rsidRPr="00152F53">
        <w:rPr>
          <w:lang w:val="es-ES"/>
        </w:rPr>
        <w:lastRenderedPageBreak/>
        <w:t>El Concesionario Solicitante solamente debe instalar en la canalización los cables, dispositivos de conexión herrajes para su fijación y sujeción. No podrá instalar equipos activos.</w:t>
      </w:r>
    </w:p>
    <w:p w:rsidR="007C4016" w:rsidRDefault="007C4016" w:rsidP="007C4016">
      <w:pPr>
        <w:pStyle w:val="IFTnormal"/>
        <w:numPr>
          <w:ilvl w:val="0"/>
          <w:numId w:val="79"/>
        </w:numPr>
        <w:spacing w:before="240" w:after="0"/>
        <w:ind w:left="1560" w:right="760"/>
        <w:rPr>
          <w:lang w:val="es-ES"/>
        </w:rPr>
      </w:pPr>
      <w:r w:rsidRPr="00152F53">
        <w:rPr>
          <w:lang w:val="es-ES"/>
        </w:rPr>
        <w:t>S</w:t>
      </w:r>
      <w:r>
        <w:rPr>
          <w:lang w:val="es-ES"/>
        </w:rPr>
        <w:t>e permite</w:t>
      </w:r>
      <w:r w:rsidRPr="00152F53">
        <w:rPr>
          <w:lang w:val="es-ES"/>
        </w:rPr>
        <w:t xml:space="preserve"> </w:t>
      </w:r>
      <w:r>
        <w:rPr>
          <w:lang w:val="es-ES"/>
        </w:rPr>
        <w:t xml:space="preserve">el cambio de </w:t>
      </w:r>
      <w:r w:rsidRPr="00386ADB">
        <w:rPr>
          <w:lang w:val="es-ES"/>
        </w:rPr>
        <w:t>ducto en un pozo cuando</w:t>
      </w:r>
      <w:r>
        <w:rPr>
          <w:lang w:val="es-ES"/>
        </w:rPr>
        <w:t xml:space="preserve"> </w:t>
      </w:r>
      <w:r w:rsidRPr="00386ADB">
        <w:rPr>
          <w:lang w:val="es-ES"/>
        </w:rPr>
        <w:t>el ducto continuo no tenga espacio</w:t>
      </w:r>
      <w:r>
        <w:rPr>
          <w:lang w:val="es-ES"/>
        </w:rPr>
        <w:t>.</w:t>
      </w:r>
    </w:p>
    <w:p w:rsidR="007C4016" w:rsidRPr="00152F53" w:rsidRDefault="007C4016" w:rsidP="007C4016">
      <w:pPr>
        <w:pStyle w:val="IFTnormal"/>
        <w:numPr>
          <w:ilvl w:val="0"/>
          <w:numId w:val="79"/>
        </w:numPr>
        <w:spacing w:before="240" w:after="0"/>
        <w:ind w:left="1560" w:right="760"/>
        <w:rPr>
          <w:lang w:val="es-ES"/>
        </w:rPr>
      </w:pPr>
      <w:r w:rsidRPr="00152F53">
        <w:rPr>
          <w:lang w:val="es-ES"/>
        </w:rPr>
        <w:t>Con objeto de asegurar un mantenimiento ágil en caso de corte de cables de los Concesionarios por siniestros, dichos cables deberán estar plenamente identificados.</w:t>
      </w:r>
    </w:p>
    <w:p w:rsidR="007C4016" w:rsidRPr="00152F53" w:rsidRDefault="007C4016" w:rsidP="007C4016">
      <w:pPr>
        <w:spacing w:before="240" w:after="0"/>
        <w:ind w:left="851" w:right="760"/>
        <w:rPr>
          <w:rFonts w:ascii="ITC Avant Garde" w:eastAsia="MS Mincho" w:hAnsi="ITC Avant Garde" w:cs="Calibri"/>
          <w:b/>
          <w:bCs/>
          <w:sz w:val="22"/>
          <w:szCs w:val="22"/>
          <w:lang w:val="es-ES" w:eastAsia="en-US"/>
        </w:rPr>
      </w:pPr>
      <w:r w:rsidRPr="00152F53">
        <w:rPr>
          <w:rFonts w:ascii="ITC Avant Garde" w:eastAsia="MS Mincho" w:hAnsi="ITC Avant Garde" w:cs="Calibri"/>
          <w:b/>
          <w:bCs/>
          <w:sz w:val="22"/>
          <w:szCs w:val="22"/>
          <w:lang w:val="es-ES" w:eastAsia="en-US"/>
        </w:rPr>
        <w:t>1.1.2 Criterios para determinar capacidad excedente en ductos</w:t>
      </w:r>
    </w:p>
    <w:p w:rsidR="007C4016" w:rsidRPr="00152F53" w:rsidRDefault="007C4016" w:rsidP="007C4016">
      <w:pPr>
        <w:pStyle w:val="IFTnormal"/>
        <w:spacing w:before="240" w:after="0"/>
        <w:ind w:left="851" w:right="760"/>
        <w:rPr>
          <w:lang w:val="es-ES"/>
        </w:rPr>
      </w:pPr>
      <w:r w:rsidRPr="00152F53">
        <w:rPr>
          <w:lang w:val="es-ES"/>
        </w:rPr>
        <w:t>El número máximo de cables o subductos que podrán instalarse en un ducto dependerá del criterio de sección útil:</w:t>
      </w:r>
    </w:p>
    <w:p w:rsidR="007C4016" w:rsidRDefault="007C4016" w:rsidP="007C4016">
      <w:pPr>
        <w:pStyle w:val="IFTnormal"/>
        <w:numPr>
          <w:ilvl w:val="0"/>
          <w:numId w:val="80"/>
        </w:numPr>
        <w:spacing w:after="0"/>
        <w:ind w:left="1560" w:right="760"/>
        <w:rPr>
          <w:lang w:val="es-ES"/>
        </w:rPr>
      </w:pPr>
      <w:r w:rsidRPr="00840F69">
        <w:rPr>
          <w:lang w:val="es-ES"/>
        </w:rPr>
        <w:t>La sección total es el área interior de un ducto de concreto o tubo de PVC, establecido por el fabricante basado en el diámetro interior.</w:t>
      </w:r>
    </w:p>
    <w:p w:rsidR="007C4016" w:rsidRPr="005D5853" w:rsidRDefault="007C4016" w:rsidP="007C4016">
      <w:pPr>
        <w:pStyle w:val="IFTnormal"/>
        <w:numPr>
          <w:ilvl w:val="0"/>
          <w:numId w:val="80"/>
        </w:numPr>
        <w:spacing w:after="0"/>
        <w:ind w:left="1560" w:right="760"/>
        <w:rPr>
          <w:lang w:val="es-ES"/>
        </w:rPr>
      </w:pPr>
      <w:r w:rsidRPr="005D5853">
        <w:rPr>
          <w:lang w:val="es-ES"/>
        </w:rPr>
        <w:t>La suma de las secciones de todos los cables o subductos instalados no podrá ser superior al 80% de la sección total del ducto.</w:t>
      </w:r>
    </w:p>
    <w:p w:rsidR="007C4016" w:rsidRPr="00152F53" w:rsidRDefault="007C4016" w:rsidP="007C4016">
      <w:pPr>
        <w:pStyle w:val="IFTnormal"/>
        <w:numPr>
          <w:ilvl w:val="0"/>
          <w:numId w:val="80"/>
        </w:numPr>
        <w:spacing w:after="0"/>
        <w:ind w:left="1560" w:right="760"/>
        <w:rPr>
          <w:lang w:val="es-ES"/>
        </w:rPr>
      </w:pPr>
      <w:r w:rsidRPr="00152F53">
        <w:rPr>
          <w:lang w:val="es-ES"/>
        </w:rPr>
        <w:t>En caso de saturación o escasez de espacio, se instalar</w:t>
      </w:r>
      <w:r>
        <w:rPr>
          <w:lang w:val="es-ES"/>
        </w:rPr>
        <w:t>án</w:t>
      </w:r>
      <w:r w:rsidRPr="00152F53">
        <w:rPr>
          <w:lang w:val="es-ES"/>
        </w:rPr>
        <w:t xml:space="preserve"> subductos</w:t>
      </w:r>
      <w:r>
        <w:rPr>
          <w:lang w:val="es-ES"/>
        </w:rPr>
        <w:t xml:space="preserve"> (</w:t>
      </w:r>
      <w:r>
        <w:t>minitubos o miniductos, flexiductos, subductos textiles</w:t>
      </w:r>
      <w:r>
        <w:rPr>
          <w:lang w:val="es-ES"/>
        </w:rPr>
        <w:t>)</w:t>
      </w:r>
      <w:r w:rsidRPr="00152F53">
        <w:rPr>
          <w:lang w:val="es-ES"/>
        </w:rPr>
        <w:t xml:space="preserve"> para la compartición si</w:t>
      </w:r>
      <w:r>
        <w:rPr>
          <w:lang w:val="es-ES"/>
        </w:rPr>
        <w:t xml:space="preserve">empre y cuando no se supere el </w:t>
      </w:r>
      <w:r w:rsidRPr="00152F53">
        <w:rPr>
          <w:lang w:val="es-ES"/>
        </w:rPr>
        <w:t>criterio de sección útil.</w:t>
      </w:r>
    </w:p>
    <w:p w:rsidR="007C4016" w:rsidRPr="00152F53" w:rsidRDefault="007C4016" w:rsidP="007C4016">
      <w:pPr>
        <w:spacing w:before="240" w:after="0"/>
        <w:ind w:left="851" w:right="760"/>
        <w:rPr>
          <w:rFonts w:ascii="ITC Avant Garde" w:eastAsia="MS Mincho" w:hAnsi="ITC Avant Garde" w:cs="Calibri"/>
          <w:b/>
          <w:bCs/>
          <w:sz w:val="22"/>
          <w:szCs w:val="22"/>
          <w:lang w:val="es-ES" w:eastAsia="en-US"/>
        </w:rPr>
      </w:pPr>
      <w:r w:rsidRPr="00152F53">
        <w:rPr>
          <w:rFonts w:ascii="ITC Avant Garde" w:eastAsia="MS Mincho" w:hAnsi="ITC Avant Garde" w:cs="Calibri"/>
          <w:b/>
          <w:bCs/>
          <w:sz w:val="22"/>
          <w:szCs w:val="22"/>
          <w:lang w:val="es-ES" w:eastAsia="en-US"/>
        </w:rPr>
        <w:t>1.1.3 Cargos Recurrentes:</w:t>
      </w:r>
    </w:p>
    <w:p w:rsidR="007C4016" w:rsidRPr="00152F53" w:rsidRDefault="007C4016" w:rsidP="007C4016">
      <w:pPr>
        <w:spacing w:before="240" w:after="0"/>
        <w:ind w:left="851" w:right="760"/>
        <w:rPr>
          <w:rFonts w:ascii="ITC Avant Garde" w:eastAsia="MS Mincho" w:hAnsi="ITC Avant Garde" w:cs="Calibri"/>
          <w:bCs/>
          <w:sz w:val="22"/>
          <w:szCs w:val="22"/>
          <w:lang w:val="es-ES" w:eastAsia="en-US"/>
        </w:rPr>
      </w:pPr>
      <w:r w:rsidRPr="00152F53">
        <w:rPr>
          <w:rFonts w:ascii="ITC Avant Garde" w:eastAsia="MS Mincho" w:hAnsi="ITC Avant Garde" w:cs="Calibri"/>
          <w:bCs/>
          <w:sz w:val="22"/>
          <w:szCs w:val="22"/>
          <w:lang w:val="es-ES" w:eastAsia="en-US"/>
        </w:rPr>
        <w:t>Para determinar la contraprestación por el uso de ductos se tomará en cuenta:</w:t>
      </w:r>
    </w:p>
    <w:p w:rsidR="007C4016" w:rsidRPr="00152F53" w:rsidRDefault="007C4016" w:rsidP="007C4016">
      <w:pPr>
        <w:pStyle w:val="Prrafodelista"/>
        <w:numPr>
          <w:ilvl w:val="0"/>
          <w:numId w:val="75"/>
        </w:numPr>
        <w:spacing w:before="240" w:after="0"/>
        <w:ind w:left="1560" w:right="760"/>
        <w:rPr>
          <w:rFonts w:ascii="ITC Avant Garde" w:eastAsia="MS Mincho" w:hAnsi="ITC Avant Garde" w:cs="Calibri"/>
          <w:sz w:val="22"/>
          <w:szCs w:val="22"/>
          <w:lang w:val="es-ES" w:eastAsia="en-US"/>
        </w:rPr>
      </w:pPr>
      <w:r>
        <w:rPr>
          <w:rFonts w:ascii="ITC Avant Garde" w:eastAsia="MS Mincho" w:hAnsi="ITC Avant Garde" w:cs="Calibri"/>
          <w:bCs/>
          <w:sz w:val="22"/>
          <w:szCs w:val="22"/>
          <w:lang w:eastAsia="en-US"/>
        </w:rPr>
        <w:t>El uso de un metro</w:t>
      </w:r>
      <w:r w:rsidRPr="00152F53">
        <w:rPr>
          <w:rFonts w:ascii="ITC Avant Garde" w:eastAsia="MS Mincho" w:hAnsi="ITC Avant Garde" w:cs="Calibri"/>
          <w:bCs/>
          <w:sz w:val="22"/>
          <w:szCs w:val="22"/>
          <w:lang w:val="es-ES" w:eastAsia="en-US"/>
        </w:rPr>
        <w:t xml:space="preserve"> lineal </w:t>
      </w:r>
      <w:r w:rsidDel="00B41BA8">
        <w:rPr>
          <w:rFonts w:ascii="ITC Avant Garde" w:eastAsia="MS Mincho" w:hAnsi="ITC Avant Garde" w:cs="Calibri"/>
          <w:sz w:val="22"/>
          <w:szCs w:val="22"/>
          <w:lang w:eastAsia="en-US"/>
        </w:rPr>
        <w:t xml:space="preserve">de </w:t>
      </w:r>
      <w:r>
        <w:rPr>
          <w:rFonts w:ascii="ITC Avant Garde" w:eastAsia="MS Mincho" w:hAnsi="ITC Avant Garde" w:cs="Calibri"/>
          <w:bCs/>
          <w:sz w:val="22"/>
          <w:szCs w:val="22"/>
          <w:lang w:eastAsia="en-US"/>
        </w:rPr>
        <w:t>ducto</w:t>
      </w:r>
      <w:r>
        <w:rPr>
          <w:rFonts w:ascii="ITC Avant Garde" w:eastAsia="MS Mincho" w:hAnsi="ITC Avant Garde" w:cs="Calibri"/>
          <w:bCs/>
          <w:sz w:val="22"/>
          <w:szCs w:val="22"/>
          <w:lang w:val="es-ES" w:eastAsia="en-US"/>
        </w:rPr>
        <w:t xml:space="preserve"> y </w:t>
      </w:r>
      <w:r>
        <w:rPr>
          <w:rFonts w:ascii="ITC Avant Garde" w:eastAsia="MS Mincho" w:hAnsi="ITC Avant Garde" w:cs="Calibri"/>
          <w:sz w:val="22"/>
          <w:szCs w:val="22"/>
          <w:lang w:val="es-ES" w:eastAsia="en-US"/>
        </w:rPr>
        <w:t>el área transversal</w:t>
      </w:r>
      <w:r>
        <w:rPr>
          <w:rFonts w:ascii="ITC Avant Garde" w:eastAsia="MS Mincho" w:hAnsi="ITC Avant Garde" w:cs="Calibri"/>
          <w:sz w:val="22"/>
          <w:szCs w:val="22"/>
          <w:lang w:eastAsia="en-US"/>
        </w:rPr>
        <w:t xml:space="preserve"> </w:t>
      </w:r>
      <w:r w:rsidDel="00B41BA8">
        <w:rPr>
          <w:rFonts w:ascii="ITC Avant Garde" w:eastAsia="MS Mincho" w:hAnsi="ITC Avant Garde" w:cs="Calibri"/>
          <w:sz w:val="22"/>
          <w:szCs w:val="22"/>
          <w:lang w:eastAsia="en-US"/>
        </w:rPr>
        <w:t xml:space="preserve">del </w:t>
      </w:r>
      <w:r>
        <w:rPr>
          <w:rFonts w:ascii="ITC Avant Garde" w:eastAsia="MS Mincho" w:hAnsi="ITC Avant Garde" w:cs="Calibri"/>
          <w:sz w:val="22"/>
          <w:szCs w:val="22"/>
          <w:lang w:eastAsia="en-US"/>
        </w:rPr>
        <w:t>cable instalado en milímetros cuadrados</w:t>
      </w:r>
      <w:r w:rsidRPr="00152F53">
        <w:rPr>
          <w:rFonts w:ascii="ITC Avant Garde" w:eastAsia="MS Mincho" w:hAnsi="ITC Avant Garde" w:cs="Calibri"/>
          <w:sz w:val="22"/>
          <w:szCs w:val="22"/>
          <w:lang w:val="es-ES" w:eastAsia="en-US"/>
        </w:rPr>
        <w:t>.</w:t>
      </w:r>
    </w:p>
    <w:p w:rsidR="007C4016" w:rsidRPr="00152F53" w:rsidRDefault="007C4016" w:rsidP="007C4016">
      <w:pPr>
        <w:pStyle w:val="Prrafodelista"/>
        <w:numPr>
          <w:ilvl w:val="0"/>
          <w:numId w:val="75"/>
        </w:numPr>
        <w:spacing w:after="0"/>
        <w:ind w:left="1560" w:right="760"/>
        <w:rPr>
          <w:rFonts w:ascii="ITC Avant Garde" w:eastAsia="MS Mincho" w:hAnsi="ITC Avant Garde" w:cs="Calibri"/>
          <w:bCs/>
          <w:sz w:val="22"/>
          <w:szCs w:val="22"/>
          <w:lang w:val="es-ES" w:eastAsia="en-US"/>
        </w:rPr>
      </w:pPr>
      <w:r>
        <w:rPr>
          <w:rFonts w:ascii="ITC Avant Garde" w:eastAsia="MS Mincho" w:hAnsi="ITC Avant Garde" w:cs="Calibri"/>
          <w:bCs/>
          <w:sz w:val="22"/>
          <w:szCs w:val="22"/>
          <w:lang w:eastAsia="en-US"/>
        </w:rPr>
        <w:t>Si el ducto contratado se encuentra en banqueta o arroyo.</w:t>
      </w:r>
    </w:p>
    <w:p w:rsidR="007C4016" w:rsidRPr="00152F53" w:rsidRDefault="007C4016" w:rsidP="007C4016">
      <w:pPr>
        <w:spacing w:before="240" w:after="0"/>
        <w:ind w:left="851" w:right="760"/>
        <w:rPr>
          <w:rFonts w:ascii="ITC Avant Garde" w:eastAsia="MS Mincho" w:hAnsi="ITC Avant Garde" w:cs="Calibri"/>
          <w:b/>
          <w:bCs/>
          <w:sz w:val="22"/>
          <w:szCs w:val="22"/>
          <w:lang w:val="es-ES" w:eastAsia="en-US"/>
        </w:rPr>
      </w:pPr>
      <w:r w:rsidRPr="00152F53">
        <w:rPr>
          <w:rFonts w:ascii="ITC Avant Garde" w:eastAsia="MS Mincho" w:hAnsi="ITC Avant Garde" w:cs="Calibri"/>
          <w:b/>
          <w:bCs/>
          <w:sz w:val="22"/>
          <w:szCs w:val="22"/>
          <w:lang w:val="es-ES" w:eastAsia="en-US"/>
        </w:rPr>
        <w:t>1.2 Pozos</w:t>
      </w:r>
    </w:p>
    <w:p w:rsidR="007C4016" w:rsidRPr="00152F53" w:rsidRDefault="007C4016" w:rsidP="007C4016">
      <w:pPr>
        <w:pStyle w:val="IFTnormal"/>
        <w:spacing w:before="240" w:after="0"/>
        <w:ind w:left="851" w:right="760"/>
        <w:rPr>
          <w:lang w:val="es-ES"/>
        </w:rPr>
      </w:pPr>
      <w:r w:rsidRPr="00152F53">
        <w:rPr>
          <w:lang w:val="es-ES"/>
        </w:rPr>
        <w:lastRenderedPageBreak/>
        <w:t>En</w:t>
      </w:r>
      <w:r>
        <w:rPr>
          <w:lang w:val="es-ES"/>
        </w:rPr>
        <w:t xml:space="preserve"> la compartición de Pozos Telnor</w:t>
      </w:r>
      <w:r w:rsidRPr="00152F53">
        <w:rPr>
          <w:lang w:val="es-ES"/>
        </w:rPr>
        <w:t xml:space="preserve"> pone a disposición de los Concesionarios Solicitantes los pozos que tengan capacidad excedente.</w:t>
      </w:r>
    </w:p>
    <w:p w:rsidR="007C4016" w:rsidRPr="0007783B" w:rsidRDefault="007C4016" w:rsidP="007C4016">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ab/>
        <w:t xml:space="preserve">1.2.1 Alcance </w:t>
      </w:r>
    </w:p>
    <w:p w:rsidR="007C4016" w:rsidRPr="0007783B" w:rsidRDefault="007C4016" w:rsidP="007C4016">
      <w:pPr>
        <w:pStyle w:val="IFTnormal"/>
        <w:spacing w:before="240" w:after="0"/>
        <w:ind w:left="851" w:right="760"/>
        <w:rPr>
          <w:lang w:val="es-ES"/>
        </w:rPr>
      </w:pPr>
      <w:r w:rsidRPr="0007783B">
        <w:rPr>
          <w:lang w:val="es-ES"/>
        </w:rPr>
        <w:t>Los pozos son un elemento de paso de cables, terminación, alojamiento o empalme para el cableado, por tanto éstos pueden ser utilizados en combinación con la compartición de ductos, canalizaciones y postes.</w:t>
      </w:r>
    </w:p>
    <w:p w:rsidR="007C4016" w:rsidRPr="0007783B" w:rsidRDefault="007C4016" w:rsidP="007C4016">
      <w:pPr>
        <w:pStyle w:val="IFTnormal"/>
        <w:numPr>
          <w:ilvl w:val="0"/>
          <w:numId w:val="81"/>
        </w:numPr>
        <w:spacing w:before="240" w:after="0"/>
        <w:ind w:left="1560" w:right="760"/>
        <w:rPr>
          <w:lang w:val="es-ES"/>
        </w:rPr>
      </w:pPr>
      <w:r>
        <w:rPr>
          <w:lang w:val="es-ES"/>
        </w:rPr>
        <w:t>El tamaño de cada pozo de TELNOR</w:t>
      </w:r>
      <w:r w:rsidRPr="0007783B">
        <w:rPr>
          <w:lang w:val="es-ES"/>
        </w:rPr>
        <w:t>, es determinado por la cantidad de ductos y por la cantidad de cables a alojar previstos a largo plazo.</w:t>
      </w:r>
    </w:p>
    <w:p w:rsidR="007C4016" w:rsidRPr="0007783B" w:rsidRDefault="007C4016" w:rsidP="007C4016">
      <w:pPr>
        <w:pStyle w:val="IFTnormal"/>
        <w:numPr>
          <w:ilvl w:val="0"/>
          <w:numId w:val="81"/>
        </w:numPr>
        <w:spacing w:after="0"/>
        <w:ind w:left="1560" w:right="760"/>
        <w:rPr>
          <w:lang w:val="es-ES"/>
        </w:rPr>
      </w:pPr>
      <w:r w:rsidRPr="0007783B">
        <w:rPr>
          <w:lang w:val="es-ES"/>
        </w:rPr>
        <w:t>En ningún caso podrán ubicarse cables eléctricos, equipos activos o elementos con alimentación eléctrica que pongan en riesgo al personal técnico.</w:t>
      </w:r>
    </w:p>
    <w:p w:rsidR="007C4016" w:rsidRPr="0007783B" w:rsidRDefault="007C4016" w:rsidP="007C4016">
      <w:pPr>
        <w:pStyle w:val="IFTnormal"/>
        <w:numPr>
          <w:ilvl w:val="0"/>
          <w:numId w:val="81"/>
        </w:numPr>
        <w:spacing w:after="0"/>
        <w:ind w:left="1560" w:right="760"/>
        <w:rPr>
          <w:lang w:val="es-ES"/>
        </w:rPr>
      </w:pPr>
      <w:r>
        <w:rPr>
          <w:lang w:val="es-ES"/>
        </w:rPr>
        <w:t>Los</w:t>
      </w:r>
      <w:r w:rsidRPr="0007783B">
        <w:rPr>
          <w:lang w:val="es-ES"/>
        </w:rPr>
        <w:t xml:space="preserve"> cables </w:t>
      </w:r>
      <w:r>
        <w:rPr>
          <w:lang w:val="es-ES"/>
        </w:rPr>
        <w:t xml:space="preserve">de los </w:t>
      </w:r>
      <w:r w:rsidRPr="0007783B">
        <w:rPr>
          <w:lang w:val="es-ES"/>
        </w:rPr>
        <w:t>Concesionario Solicitante deberán estar plenamente identificados dentro de los pozos.</w:t>
      </w:r>
    </w:p>
    <w:p w:rsidR="007C4016" w:rsidRPr="0007783B" w:rsidRDefault="007C4016" w:rsidP="007C4016">
      <w:pPr>
        <w:pStyle w:val="IFTnormal"/>
        <w:numPr>
          <w:ilvl w:val="0"/>
          <w:numId w:val="81"/>
        </w:numPr>
        <w:spacing w:after="0"/>
        <w:ind w:left="1560" w:right="760"/>
        <w:rPr>
          <w:lang w:val="es-ES"/>
        </w:rPr>
      </w:pPr>
      <w:r w:rsidRPr="0007783B">
        <w:rPr>
          <w:lang w:val="es-ES"/>
        </w:rPr>
        <w:t>Se permite realizar el enlace de los pozos del Concesionario Solicitante con los pozos de T</w:t>
      </w:r>
      <w:r>
        <w:rPr>
          <w:lang w:val="es-ES"/>
        </w:rPr>
        <w:t>elnor</w:t>
      </w:r>
      <w:r w:rsidRPr="0007783B">
        <w:rPr>
          <w:lang w:val="es-ES"/>
        </w:rPr>
        <w:t>, siempre que exista disponibilidad de acceso.</w:t>
      </w:r>
    </w:p>
    <w:p w:rsidR="007C4016" w:rsidRPr="0007783B" w:rsidRDefault="007C4016" w:rsidP="007C4016">
      <w:pPr>
        <w:pStyle w:val="IFTnormal"/>
        <w:numPr>
          <w:ilvl w:val="0"/>
          <w:numId w:val="81"/>
        </w:numPr>
        <w:spacing w:after="0"/>
        <w:ind w:left="1560" w:right="760"/>
        <w:rPr>
          <w:lang w:val="es-ES"/>
        </w:rPr>
      </w:pPr>
      <w:r w:rsidRPr="0007783B">
        <w:rPr>
          <w:lang w:val="es-ES"/>
        </w:rPr>
        <w:t>No se debe proyectar el alojamiento de nuevos dispositivos en un pozo (cierre, distribución o gaza), si se encuentra saturado. El Concesionario Solicitante, debe instalarlos en pozo previo o siguiente, o planear y construir un pozo de su propiedad.</w:t>
      </w:r>
    </w:p>
    <w:p w:rsidR="007C4016" w:rsidRPr="0007783B" w:rsidRDefault="007C4016" w:rsidP="007C4016">
      <w:pPr>
        <w:pStyle w:val="IFTnormal"/>
        <w:numPr>
          <w:ilvl w:val="0"/>
          <w:numId w:val="81"/>
        </w:numPr>
        <w:spacing w:after="0"/>
        <w:ind w:left="1560" w:right="760"/>
        <w:rPr>
          <w:lang w:val="es-ES"/>
        </w:rPr>
      </w:pPr>
      <w:r w:rsidRPr="0007783B">
        <w:rPr>
          <w:lang w:val="es-ES"/>
        </w:rPr>
        <w:t>Los nuevos Concesionarios Solicitantes, no deberán manipular y/o acomodar los elementos existentes de T</w:t>
      </w:r>
      <w:r>
        <w:rPr>
          <w:lang w:val="es-ES"/>
        </w:rPr>
        <w:t>elnor</w:t>
      </w:r>
      <w:r w:rsidRPr="0007783B">
        <w:rPr>
          <w:lang w:val="es-ES"/>
        </w:rPr>
        <w:t>, los trabajos necesarios serán realizados por T</w:t>
      </w:r>
      <w:r>
        <w:rPr>
          <w:lang w:val="es-ES"/>
        </w:rPr>
        <w:t>elnor</w:t>
      </w:r>
      <w:r w:rsidRPr="0007783B">
        <w:rPr>
          <w:lang w:val="es-ES"/>
        </w:rPr>
        <w:t xml:space="preserve"> con cargo al Concesionario Solicitante sobre los elementos existentes:</w:t>
      </w:r>
    </w:p>
    <w:p w:rsidR="007C4016" w:rsidRPr="0007783B" w:rsidRDefault="007C4016" w:rsidP="007C4016">
      <w:pPr>
        <w:pStyle w:val="Texto1"/>
        <w:numPr>
          <w:ilvl w:val="1"/>
          <w:numId w:val="34"/>
        </w:numPr>
        <w:suppressAutoHyphens w:val="0"/>
        <w:spacing w:before="240" w:after="0" w:line="240" w:lineRule="auto"/>
        <w:ind w:left="1843" w:right="760"/>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La infraestructura de apoyo.</w:t>
      </w:r>
    </w:p>
    <w:p w:rsidR="007C4016" w:rsidRPr="0007783B" w:rsidRDefault="007C4016" w:rsidP="007C4016">
      <w:pPr>
        <w:pStyle w:val="Texto1"/>
        <w:numPr>
          <w:ilvl w:val="1"/>
          <w:numId w:val="34"/>
        </w:numPr>
        <w:suppressAutoHyphens w:val="0"/>
        <w:spacing w:after="0" w:line="240" w:lineRule="auto"/>
        <w:ind w:left="1843" w:right="760"/>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Cables multipar de cobre o de fibra óptica.</w:t>
      </w:r>
    </w:p>
    <w:p w:rsidR="007C4016" w:rsidRDefault="007C4016" w:rsidP="007C4016">
      <w:pPr>
        <w:pStyle w:val="Texto1"/>
        <w:numPr>
          <w:ilvl w:val="1"/>
          <w:numId w:val="34"/>
        </w:numPr>
        <w:suppressAutoHyphens w:val="0"/>
        <w:spacing w:after="0" w:line="240" w:lineRule="auto"/>
        <w:ind w:left="1843" w:right="760"/>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Cierres de empalme existentes.</w:t>
      </w:r>
    </w:p>
    <w:p w:rsidR="007C4016" w:rsidRPr="0007783B" w:rsidRDefault="007C4016" w:rsidP="007C4016">
      <w:pPr>
        <w:pStyle w:val="Texto1"/>
        <w:spacing w:after="0"/>
        <w:ind w:left="720"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1.2.2 Criterios para determinar capacidad excedente en pozo</w:t>
      </w:r>
    </w:p>
    <w:p w:rsidR="007C4016" w:rsidRPr="0007783B" w:rsidRDefault="007C4016" w:rsidP="007C4016">
      <w:pPr>
        <w:pStyle w:val="IFTnormal"/>
        <w:numPr>
          <w:ilvl w:val="0"/>
          <w:numId w:val="82"/>
        </w:numPr>
        <w:spacing w:before="240" w:after="0"/>
        <w:ind w:left="1560" w:right="760"/>
        <w:rPr>
          <w:lang w:val="es-ES"/>
        </w:rPr>
      </w:pPr>
      <w:r w:rsidRPr="0007783B">
        <w:rPr>
          <w:lang w:val="es-ES"/>
        </w:rPr>
        <w:t xml:space="preserve">Para determinar la capacidad excedente debe asegurarse de contar con el espacio suficiente para alojar cables de </w:t>
      </w:r>
      <w:r w:rsidRPr="0007783B">
        <w:rPr>
          <w:lang w:val="es-ES"/>
        </w:rPr>
        <w:lastRenderedPageBreak/>
        <w:t>paso y empalmes (rectos o con derivación), que se requieran por ampliación o mantenimiento de la planta externa de T</w:t>
      </w:r>
      <w:r>
        <w:rPr>
          <w:lang w:val="es-ES"/>
        </w:rPr>
        <w:t>elnor</w:t>
      </w:r>
      <w:r w:rsidRPr="0007783B">
        <w:rPr>
          <w:lang w:val="es-ES"/>
        </w:rPr>
        <w:t>.</w:t>
      </w:r>
    </w:p>
    <w:p w:rsidR="007C4016" w:rsidRPr="0097169E" w:rsidRDefault="007C4016" w:rsidP="007C4016">
      <w:pPr>
        <w:pStyle w:val="IFTnormal"/>
        <w:numPr>
          <w:ilvl w:val="0"/>
          <w:numId w:val="82"/>
        </w:numPr>
        <w:spacing w:before="240" w:after="0"/>
        <w:ind w:left="1560" w:right="760"/>
        <w:rPr>
          <w:b/>
          <w:lang w:val="es-ES"/>
        </w:rPr>
      </w:pPr>
      <w:r w:rsidRPr="0007783B">
        <w:rPr>
          <w:lang w:val="es-ES"/>
        </w:rPr>
        <w:t>Para determinar la capacidad del pozo existen, adicional a la ratificación visual en sitio, la toma de evidencia fotográfica, y la aplicación de tablas de pozo y canalizacio</w:t>
      </w:r>
      <w:r>
        <w:rPr>
          <w:lang w:val="es-ES"/>
        </w:rPr>
        <w:t xml:space="preserve">nes de concreto (Véase tabla 1) </w:t>
      </w:r>
      <w:r w:rsidRPr="0007783B">
        <w:rPr>
          <w:lang w:val="es-ES"/>
        </w:rPr>
        <w:t>y la aplicación de tablas de Pozos y c</w:t>
      </w:r>
      <w:r>
        <w:rPr>
          <w:lang w:val="es-ES"/>
        </w:rPr>
        <w:t>analizaciones con ductos de PVC</w:t>
      </w:r>
      <w:r w:rsidRPr="0007783B">
        <w:rPr>
          <w:lang w:val="es-ES"/>
        </w:rPr>
        <w:t xml:space="preserve"> (Véase tabla 2)</w:t>
      </w:r>
      <w:r>
        <w:rPr>
          <w:lang w:val="es-ES"/>
        </w:rPr>
        <w:t>,</w:t>
      </w:r>
      <w:r w:rsidRPr="0007783B">
        <w:rPr>
          <w:lang w:val="es-ES"/>
        </w:rPr>
        <w:t xml:space="preserve"> </w:t>
      </w:r>
      <w:r>
        <w:rPr>
          <w:lang w:val="es-ES"/>
        </w:rPr>
        <w:t>i</w:t>
      </w:r>
      <w:r w:rsidRPr="0007783B">
        <w:rPr>
          <w:lang w:val="es-ES"/>
        </w:rPr>
        <w:t>ndicados en la Norma 1 del ANEXO 2.</w:t>
      </w:r>
    </w:p>
    <w:p w:rsidR="007C4016" w:rsidRPr="00581C43" w:rsidRDefault="007C4016" w:rsidP="007C4016">
      <w:pPr>
        <w:pStyle w:val="IFTnormal"/>
        <w:spacing w:before="240" w:after="0"/>
        <w:ind w:left="1200" w:right="760"/>
        <w:rPr>
          <w:b/>
          <w:lang w:val="es-ES"/>
        </w:rPr>
      </w:pPr>
      <w:r w:rsidRPr="00581C43">
        <w:rPr>
          <w:b/>
          <w:lang w:val="es-ES"/>
        </w:rPr>
        <w:t>Pasos a seguir para solicitar la conexión de un Pozo T</w:t>
      </w:r>
      <w:r>
        <w:rPr>
          <w:b/>
          <w:lang w:val="es-ES"/>
        </w:rPr>
        <w:t>elnor</w:t>
      </w:r>
      <w:r w:rsidRPr="00581C43">
        <w:rPr>
          <w:b/>
          <w:lang w:val="es-ES"/>
        </w:rPr>
        <w:t xml:space="preserve"> con un Pozo del Concesionario Solicitante:</w:t>
      </w:r>
    </w:p>
    <w:p w:rsidR="007C4016" w:rsidRPr="0007783B" w:rsidRDefault="007C4016" w:rsidP="007C4016">
      <w:pPr>
        <w:pStyle w:val="IFTnormal"/>
        <w:numPr>
          <w:ilvl w:val="0"/>
          <w:numId w:val="83"/>
        </w:numPr>
        <w:spacing w:before="240" w:after="0"/>
        <w:ind w:left="1560" w:right="760"/>
        <w:rPr>
          <w:lang w:val="es-ES"/>
        </w:rPr>
      </w:pPr>
      <w:r w:rsidRPr="0007783B">
        <w:rPr>
          <w:lang w:val="es-ES"/>
        </w:rPr>
        <w:t>El Concesionario Solicitante elabora y entrega a T</w:t>
      </w:r>
      <w:r>
        <w:rPr>
          <w:lang w:val="es-ES"/>
        </w:rPr>
        <w:t>elnor</w:t>
      </w:r>
      <w:r w:rsidRPr="0007783B">
        <w:rPr>
          <w:lang w:val="es-ES"/>
        </w:rPr>
        <w:t xml:space="preserve"> la solicitud del trabajo especial.</w:t>
      </w:r>
    </w:p>
    <w:p w:rsidR="007C4016" w:rsidRPr="0007783B" w:rsidRDefault="007C4016" w:rsidP="007C4016">
      <w:pPr>
        <w:pStyle w:val="IFTnormal"/>
        <w:numPr>
          <w:ilvl w:val="0"/>
          <w:numId w:val="83"/>
        </w:numPr>
        <w:spacing w:after="0"/>
        <w:ind w:left="1560" w:right="760"/>
        <w:rPr>
          <w:lang w:val="es-ES"/>
        </w:rPr>
      </w:pPr>
      <w:r w:rsidRPr="0007783B">
        <w:rPr>
          <w:lang w:val="es-ES"/>
        </w:rPr>
        <w:t>Se proyecta la conexión a pozo de T</w:t>
      </w:r>
      <w:r>
        <w:rPr>
          <w:lang w:val="es-ES"/>
        </w:rPr>
        <w:t>elnor</w:t>
      </w:r>
      <w:r w:rsidRPr="0007783B">
        <w:rPr>
          <w:lang w:val="es-ES"/>
        </w:rPr>
        <w:t xml:space="preserve"> a través de las paredes transversales y nunca en las paredes longitudinales (ya que, al ser de concreto armado, podrían cortarse las armaduras de refuerzo y, a su vez, perjudicar la impermeabilidad del pozo).</w:t>
      </w:r>
    </w:p>
    <w:p w:rsidR="007C4016" w:rsidRPr="0007783B" w:rsidRDefault="007C4016" w:rsidP="007C4016">
      <w:pPr>
        <w:pStyle w:val="IFTnormal"/>
        <w:numPr>
          <w:ilvl w:val="0"/>
          <w:numId w:val="83"/>
        </w:numPr>
        <w:spacing w:after="0"/>
        <w:ind w:left="1560" w:right="760"/>
        <w:rPr>
          <w:lang w:val="es-ES"/>
        </w:rPr>
      </w:pPr>
      <w:r w:rsidRPr="0007783B">
        <w:rPr>
          <w:lang w:val="es-ES"/>
        </w:rPr>
        <w:t>En ningún caso deberá superarse el máximo número de ductos que pueden llegar a cada tipo de pozo, de acuerdo con lo indicado en las tablas 1 y 2 de este documento.</w:t>
      </w:r>
    </w:p>
    <w:p w:rsidR="007C4016" w:rsidRPr="0007783B" w:rsidRDefault="007C4016" w:rsidP="007C4016">
      <w:pPr>
        <w:pStyle w:val="IFTnormal"/>
        <w:numPr>
          <w:ilvl w:val="0"/>
          <w:numId w:val="83"/>
        </w:numPr>
        <w:spacing w:after="0"/>
        <w:ind w:left="1560" w:right="760"/>
        <w:rPr>
          <w:lang w:val="es-ES"/>
        </w:rPr>
      </w:pPr>
      <w:r w:rsidRPr="0007783B">
        <w:rPr>
          <w:lang w:val="es-ES"/>
        </w:rPr>
        <w:t>La conexión con el pozo deberá realizarse en la pared menos ocupada (en la medida de lo posible).</w:t>
      </w:r>
    </w:p>
    <w:p w:rsidR="007C4016" w:rsidRPr="0007783B" w:rsidRDefault="007C4016" w:rsidP="007C4016">
      <w:pPr>
        <w:pStyle w:val="IFTnormal"/>
        <w:numPr>
          <w:ilvl w:val="0"/>
          <w:numId w:val="83"/>
        </w:numPr>
        <w:spacing w:after="0"/>
        <w:ind w:left="1560" w:right="760"/>
        <w:rPr>
          <w:lang w:val="es-ES"/>
        </w:rPr>
      </w:pPr>
      <w:r w:rsidRPr="0007783B">
        <w:rPr>
          <w:lang w:val="es-ES"/>
        </w:rPr>
        <w:t>La conexión con el pozo deberá realizarse con ductos con diámetro exterior que requiera el cable a instalar por el Concesionario Solicitante.</w:t>
      </w:r>
    </w:p>
    <w:p w:rsidR="007C4016" w:rsidRPr="0007783B" w:rsidRDefault="007C4016" w:rsidP="007C4016">
      <w:pPr>
        <w:pStyle w:val="IFTnormal"/>
        <w:numPr>
          <w:ilvl w:val="0"/>
          <w:numId w:val="83"/>
        </w:numPr>
        <w:spacing w:after="0"/>
        <w:ind w:left="1560" w:right="760"/>
        <w:rPr>
          <w:lang w:val="es-ES"/>
        </w:rPr>
      </w:pPr>
      <w:r w:rsidRPr="0007783B">
        <w:rPr>
          <w:lang w:val="es-ES"/>
        </w:rPr>
        <w:t>El hueco a ser abierto en la pared del pozo para poder introducir el ducto del Concesionario Solicitante, se realizará necesariamente por fresado rotatorio, está prohibida la apertura del hueco por golpeo (ocasiona daño por agrietamiento y perjudica la impermeabilidad del pozo).</w:t>
      </w:r>
    </w:p>
    <w:p w:rsidR="007C4016" w:rsidRPr="0007783B" w:rsidRDefault="007C4016" w:rsidP="007C4016">
      <w:pPr>
        <w:pStyle w:val="IFTnormal"/>
        <w:numPr>
          <w:ilvl w:val="0"/>
          <w:numId w:val="83"/>
        </w:numPr>
        <w:spacing w:after="0"/>
        <w:ind w:left="1560" w:right="760"/>
        <w:rPr>
          <w:lang w:val="es-ES"/>
        </w:rPr>
      </w:pPr>
      <w:r w:rsidRPr="0007783B">
        <w:rPr>
          <w:lang w:val="es-ES"/>
        </w:rPr>
        <w:t>Una vez instalado el ducto el Concesionario Solicitante, procederá al sellado del hueco entre el ducto y la abertura realizada, mediante aditivo que garantice la impermeabilidad y concreto.</w:t>
      </w:r>
    </w:p>
    <w:p w:rsidR="007C4016" w:rsidRPr="0007783B" w:rsidRDefault="007C4016" w:rsidP="007C4016">
      <w:pPr>
        <w:pStyle w:val="IFTnormal"/>
        <w:spacing w:before="240" w:after="0"/>
        <w:ind w:left="851" w:right="760"/>
        <w:rPr>
          <w:lang w:val="es-ES"/>
        </w:rPr>
      </w:pPr>
      <w:r w:rsidRPr="0007783B">
        <w:rPr>
          <w:lang w:val="es-ES"/>
        </w:rPr>
        <w:lastRenderedPageBreak/>
        <w:t>Los ductos del Concesionario Solicitante d</w:t>
      </w:r>
      <w:r>
        <w:rPr>
          <w:lang w:val="es-ES"/>
        </w:rPr>
        <w:t>eberán quedar obturados siempre,</w:t>
      </w:r>
      <w:r w:rsidRPr="0007783B">
        <w:rPr>
          <w:lang w:val="es-ES"/>
        </w:rPr>
        <w:t xml:space="preserve"> tanto cuando estén vacíos como cuando estén ocupados con cables.</w:t>
      </w:r>
    </w:p>
    <w:p w:rsidR="007C4016" w:rsidRPr="0007783B" w:rsidRDefault="007C4016" w:rsidP="007C4016">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1.2.3 Cargos Recurrentes:</w:t>
      </w:r>
    </w:p>
    <w:p w:rsidR="007C4016" w:rsidRPr="0007783B" w:rsidRDefault="007C4016" w:rsidP="007C4016">
      <w:pPr>
        <w:pStyle w:val="Texto1"/>
        <w:spacing w:before="240" w:after="0"/>
        <w:ind w:left="851" w:right="76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Para determinar la contraprestación por el uso de pozos se cuantificará con base en:</w:t>
      </w:r>
    </w:p>
    <w:p w:rsidR="007C4016" w:rsidRPr="0007783B" w:rsidRDefault="007C4016" w:rsidP="007C4016">
      <w:pPr>
        <w:pStyle w:val="IFTnormal"/>
        <w:numPr>
          <w:ilvl w:val="0"/>
          <w:numId w:val="84"/>
        </w:numPr>
        <w:spacing w:before="240" w:after="0"/>
        <w:ind w:left="1560" w:right="760"/>
        <w:rPr>
          <w:lang w:val="es-ES"/>
        </w:rPr>
      </w:pPr>
      <w:r w:rsidRPr="0007783B">
        <w:rPr>
          <w:lang w:val="es-ES"/>
        </w:rPr>
        <w:t>Uso de vía por tamaño de pozo</w:t>
      </w:r>
      <w:r>
        <w:t xml:space="preserve"> (por entrada o por salida)</w:t>
      </w:r>
      <w:r w:rsidRPr="0007783B">
        <w:rPr>
          <w:lang w:val="es-ES"/>
        </w:rPr>
        <w:t>.</w:t>
      </w:r>
    </w:p>
    <w:p w:rsidR="007C4016" w:rsidRPr="0007783B" w:rsidRDefault="007C4016" w:rsidP="007C4016">
      <w:pPr>
        <w:pStyle w:val="IFTnormal"/>
        <w:numPr>
          <w:ilvl w:val="0"/>
          <w:numId w:val="84"/>
        </w:numPr>
        <w:spacing w:before="240" w:after="0"/>
        <w:ind w:left="1560" w:right="760"/>
        <w:rPr>
          <w:lang w:val="es-ES"/>
        </w:rPr>
      </w:pPr>
      <w:r>
        <w:t xml:space="preserve">Alojamiento de </w:t>
      </w:r>
      <w:r w:rsidRPr="0007783B">
        <w:rPr>
          <w:lang w:val="es-ES"/>
        </w:rPr>
        <w:t>cierre del empalme de cable de fibra óptica</w:t>
      </w:r>
      <w:r>
        <w:t xml:space="preserve"> que se instale en el pozo</w:t>
      </w:r>
      <w:r w:rsidRPr="0007783B">
        <w:rPr>
          <w:lang w:val="es-ES"/>
        </w:rPr>
        <w:t>.</w:t>
      </w:r>
    </w:p>
    <w:p w:rsidR="007C4016" w:rsidRPr="0007783B" w:rsidRDefault="007C4016" w:rsidP="007C4016">
      <w:pPr>
        <w:pStyle w:val="IFTnormal"/>
        <w:numPr>
          <w:ilvl w:val="0"/>
          <w:numId w:val="84"/>
        </w:numPr>
        <w:spacing w:before="240" w:after="0"/>
        <w:ind w:left="1560" w:right="760"/>
        <w:rPr>
          <w:lang w:val="es-ES"/>
        </w:rPr>
      </w:pPr>
      <w:r>
        <w:t xml:space="preserve">Alojamiento de </w:t>
      </w:r>
      <w:r w:rsidRPr="0007783B">
        <w:rPr>
          <w:lang w:val="es-ES"/>
        </w:rPr>
        <w:t>Gaza que instale en el pozo.</w:t>
      </w:r>
    </w:p>
    <w:p w:rsidR="007C4016" w:rsidRPr="0007783B" w:rsidRDefault="007C4016" w:rsidP="007C4016">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Subidas y bajadas a poste o fachada.</w:t>
      </w:r>
    </w:p>
    <w:p w:rsidR="007C4016" w:rsidRPr="0007783B" w:rsidRDefault="007C4016" w:rsidP="007C4016">
      <w:pPr>
        <w:pStyle w:val="IFTnormal"/>
        <w:numPr>
          <w:ilvl w:val="0"/>
          <w:numId w:val="85"/>
        </w:numPr>
        <w:spacing w:before="240" w:after="0"/>
        <w:ind w:left="1560" w:right="760"/>
        <w:rPr>
          <w:lang w:val="es-ES"/>
        </w:rPr>
      </w:pPr>
      <w:r w:rsidRPr="0007783B">
        <w:rPr>
          <w:lang w:val="es-ES"/>
        </w:rPr>
        <w:t>Para los casos de subidas (conversión de cables subterráneos a aéreos), es importante considerar la disponibilidad excedente de ductos y pozos para estar en condiciones de atender las solicitudes, quienes tengan el derecho del uso o goce de la infraestructura de T</w:t>
      </w:r>
      <w:r>
        <w:rPr>
          <w:lang w:val="es-ES"/>
        </w:rPr>
        <w:t>elnor</w:t>
      </w:r>
      <w:r w:rsidRPr="0007783B">
        <w:rPr>
          <w:lang w:val="es-ES"/>
        </w:rPr>
        <w:t xml:space="preserve"> por parte de los Concesionarios Solicitantes.</w:t>
      </w:r>
    </w:p>
    <w:p w:rsidR="007C4016" w:rsidRPr="0007783B" w:rsidRDefault="007C4016" w:rsidP="007C4016">
      <w:pPr>
        <w:pStyle w:val="IFTnormal"/>
        <w:numPr>
          <w:ilvl w:val="0"/>
          <w:numId w:val="85"/>
        </w:numPr>
        <w:spacing w:before="240" w:after="0"/>
        <w:ind w:left="1560" w:right="760"/>
        <w:rPr>
          <w:lang w:val="es-ES"/>
        </w:rPr>
      </w:pPr>
      <w:r w:rsidRPr="0007783B">
        <w:rPr>
          <w:lang w:val="es-ES"/>
        </w:rPr>
        <w:t>Se excluyen las subidas a postes existentes, que están dimensionadas al límite de su capacidad para T</w:t>
      </w:r>
      <w:r>
        <w:rPr>
          <w:lang w:val="es-ES"/>
        </w:rPr>
        <w:t>elnor</w:t>
      </w:r>
      <w:r w:rsidRPr="0007783B">
        <w:rPr>
          <w:lang w:val="es-ES"/>
        </w:rPr>
        <w:t>, el Concesionario Solicitante debe proyectar y construir su propia subida.</w:t>
      </w:r>
    </w:p>
    <w:p w:rsidR="007C4016" w:rsidRPr="0007783B" w:rsidRDefault="007C4016" w:rsidP="007C4016">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1.3 Postes</w:t>
      </w:r>
    </w:p>
    <w:p w:rsidR="007C4016" w:rsidRPr="00356194" w:rsidRDefault="007C4016" w:rsidP="007C4016">
      <w:pPr>
        <w:pStyle w:val="IFTnormal"/>
        <w:spacing w:before="240" w:after="0"/>
        <w:ind w:left="851" w:right="760"/>
      </w:pPr>
      <w:r w:rsidRPr="00356194">
        <w:t xml:space="preserve">En </w:t>
      </w:r>
      <w:r>
        <w:t>la compartición de Postes Telnor</w:t>
      </w:r>
      <w:r w:rsidRPr="00356194">
        <w:t xml:space="preserve"> pone a disposición de los Concesionarios Solicitantes los Postes que tengan capacidad excedente.</w:t>
      </w:r>
    </w:p>
    <w:p w:rsidR="007C4016" w:rsidRPr="0007783B" w:rsidRDefault="007C4016" w:rsidP="007C4016">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1.3.1 Alcance</w:t>
      </w:r>
    </w:p>
    <w:p w:rsidR="007C4016" w:rsidRPr="0007783B" w:rsidRDefault="007C4016" w:rsidP="007C4016">
      <w:pPr>
        <w:pStyle w:val="IFTnormal"/>
        <w:spacing w:before="240" w:after="0"/>
        <w:ind w:left="851" w:right="760"/>
        <w:rPr>
          <w:lang w:val="es-ES"/>
        </w:rPr>
      </w:pPr>
      <w:r w:rsidRPr="0007783B">
        <w:rPr>
          <w:lang w:val="es-ES"/>
        </w:rPr>
        <w:lastRenderedPageBreak/>
        <w:t xml:space="preserve">Los postes y las subidas y bajadas de poste o fachada, permiten al CS combinar las redes subterráneas con las redes aéreas. </w:t>
      </w:r>
    </w:p>
    <w:p w:rsidR="007C4016" w:rsidRPr="0007783B" w:rsidRDefault="007C4016" w:rsidP="007C4016">
      <w:pPr>
        <w:pStyle w:val="IFTnormal"/>
        <w:numPr>
          <w:ilvl w:val="0"/>
          <w:numId w:val="86"/>
        </w:numPr>
        <w:spacing w:before="240" w:after="0"/>
        <w:ind w:left="1560" w:right="760"/>
        <w:rPr>
          <w:lang w:val="es-ES"/>
        </w:rPr>
      </w:pPr>
      <w:r w:rsidRPr="0007783B">
        <w:rPr>
          <w:lang w:val="es-ES"/>
        </w:rPr>
        <w:t>La compartición de postes se realiza por trayectoria (con un punto origen y un punto destino), para que el Concesionario solicitante despliegue su propia red.</w:t>
      </w:r>
    </w:p>
    <w:p w:rsidR="007C4016" w:rsidRPr="0007783B" w:rsidRDefault="007C4016" w:rsidP="007C4016">
      <w:pPr>
        <w:pStyle w:val="IFTnormal"/>
        <w:numPr>
          <w:ilvl w:val="0"/>
          <w:numId w:val="86"/>
        </w:numPr>
        <w:spacing w:after="0"/>
        <w:ind w:left="1560" w:right="618"/>
        <w:rPr>
          <w:lang w:val="es-ES"/>
        </w:rPr>
      </w:pPr>
      <w:r w:rsidRPr="0007783B">
        <w:rPr>
          <w:lang w:val="es-ES"/>
        </w:rPr>
        <w:t>Se pone a disposición de los Concesionarios Solicitantes cualquier tipo de poste (madera, acero o concreto) propiedad de T</w:t>
      </w:r>
      <w:r>
        <w:rPr>
          <w:lang w:val="es-ES"/>
        </w:rPr>
        <w:t>elnor</w:t>
      </w:r>
      <w:r w:rsidRPr="0007783B">
        <w:rPr>
          <w:lang w:val="es-ES"/>
        </w:rPr>
        <w:t xml:space="preserve"> que tenga capacidad excedente.</w:t>
      </w:r>
    </w:p>
    <w:p w:rsidR="007C4016" w:rsidRPr="0007783B" w:rsidRDefault="007C4016" w:rsidP="007C4016">
      <w:pPr>
        <w:pStyle w:val="IFTnormal"/>
        <w:numPr>
          <w:ilvl w:val="0"/>
          <w:numId w:val="86"/>
        </w:numPr>
        <w:spacing w:after="0"/>
        <w:ind w:left="1560" w:right="618"/>
        <w:rPr>
          <w:lang w:val="es-ES"/>
        </w:rPr>
      </w:pPr>
      <w:r w:rsidRPr="0007783B">
        <w:rPr>
          <w:lang w:val="es-ES"/>
        </w:rPr>
        <w:t>El Concesionario solicitante solamente debe apoyar en los postes los cables e instalar los herrajes (remates) para su fijación y sujeción. No podrá instalar equipos y/o accesorios de ninguna índole que interfiera con la infraestructura existente.</w:t>
      </w:r>
    </w:p>
    <w:p w:rsidR="007C4016" w:rsidRPr="0007783B" w:rsidRDefault="007C4016" w:rsidP="007C4016">
      <w:pPr>
        <w:pStyle w:val="IFTnormal"/>
        <w:numPr>
          <w:ilvl w:val="0"/>
          <w:numId w:val="86"/>
        </w:numPr>
        <w:spacing w:after="0"/>
        <w:ind w:left="1560" w:right="618"/>
        <w:rPr>
          <w:lang w:val="es-ES"/>
        </w:rPr>
      </w:pPr>
      <w:r w:rsidRPr="0007783B">
        <w:rPr>
          <w:lang w:val="es-ES"/>
        </w:rPr>
        <w:t xml:space="preserve">El Concesionario solicitante debe entregar a </w:t>
      </w:r>
      <w:r>
        <w:rPr>
          <w:lang w:val="es-ES"/>
        </w:rPr>
        <w:t>Telnor</w:t>
      </w:r>
      <w:r w:rsidRPr="0007783B">
        <w:rPr>
          <w:lang w:val="es-ES"/>
        </w:rPr>
        <w:t xml:space="preserve"> las características de instalación de sus cables (tensiones sobre el cable durante su instalación), ya sean por tensión constante o flecha fija, para determinar la carga en los postes.</w:t>
      </w:r>
    </w:p>
    <w:p w:rsidR="007C4016" w:rsidRPr="0007783B" w:rsidRDefault="007C4016" w:rsidP="007C4016">
      <w:pPr>
        <w:pStyle w:val="IFTnormal"/>
        <w:numPr>
          <w:ilvl w:val="0"/>
          <w:numId w:val="86"/>
        </w:numPr>
        <w:spacing w:after="0"/>
        <w:ind w:left="1560" w:right="618"/>
        <w:rPr>
          <w:lang w:val="es-ES"/>
        </w:rPr>
      </w:pPr>
      <w:r>
        <w:rPr>
          <w:lang w:val="es-ES"/>
        </w:rPr>
        <w:t>Con base en la información que esté disponible en el SEG y como resultado de la visita técnica e</w:t>
      </w:r>
      <w:r w:rsidRPr="0007783B">
        <w:rPr>
          <w:lang w:val="es-ES"/>
        </w:rPr>
        <w:t xml:space="preserve">s responsabilidad del Concesionario hacer el cálculo de carga a la cual será sometido el poste, al instalar sus cables en el poste de </w:t>
      </w:r>
      <w:r>
        <w:rPr>
          <w:lang w:val="es-ES"/>
        </w:rPr>
        <w:t>Telnor</w:t>
      </w:r>
      <w:r w:rsidRPr="0007783B">
        <w:rPr>
          <w:lang w:val="es-ES"/>
        </w:rPr>
        <w:t xml:space="preserve"> y tomar las medidas pertinentes necesarias para preservar su integridad física del poste y de funcionamiento del cableado ya instalado, </w:t>
      </w:r>
      <w:r>
        <w:rPr>
          <w:lang w:val="es-ES"/>
        </w:rPr>
        <w:t>Telnor</w:t>
      </w:r>
      <w:r w:rsidRPr="0007783B">
        <w:rPr>
          <w:lang w:val="es-ES"/>
        </w:rPr>
        <w:t xml:space="preserve"> </w:t>
      </w:r>
      <w:r>
        <w:rPr>
          <w:lang w:val="es-ES"/>
        </w:rPr>
        <w:t>validará el</w:t>
      </w:r>
      <w:r w:rsidRPr="0007783B">
        <w:rPr>
          <w:lang w:val="es-ES"/>
        </w:rPr>
        <w:t xml:space="preserve"> cálculo del proyecto que realice el Concesionario.</w:t>
      </w:r>
    </w:p>
    <w:p w:rsidR="007C4016" w:rsidRPr="0007783B" w:rsidRDefault="007C4016" w:rsidP="007C4016">
      <w:pPr>
        <w:pStyle w:val="IFTnormal"/>
        <w:numPr>
          <w:ilvl w:val="0"/>
          <w:numId w:val="86"/>
        </w:numPr>
        <w:spacing w:after="0"/>
        <w:ind w:left="1560" w:right="618"/>
        <w:rPr>
          <w:lang w:val="es-ES"/>
        </w:rPr>
      </w:pPr>
      <w:r w:rsidRPr="0007783B">
        <w:rPr>
          <w:lang w:val="es-ES"/>
        </w:rPr>
        <w:t>Para los cálculos de carga en el pos</w:t>
      </w:r>
      <w:r>
        <w:rPr>
          <w:lang w:val="es-ES"/>
        </w:rPr>
        <w:t>te, se deberá</w:t>
      </w:r>
      <w:r w:rsidRPr="0007783B">
        <w:rPr>
          <w:lang w:val="es-ES"/>
        </w:rPr>
        <w:t xml:space="preserve"> considerar los pesos del cable y de la gaza, así como de accesorios de distribución y empalme que coloque el Concesionario solicitante; además, la colocación de retenidas para mantener en equilibrio los fuerzas que ejercen en los postes.</w:t>
      </w:r>
    </w:p>
    <w:p w:rsidR="007C4016" w:rsidRPr="0007783B" w:rsidRDefault="007C4016" w:rsidP="007C4016">
      <w:pPr>
        <w:pStyle w:val="IFTnormal"/>
        <w:numPr>
          <w:ilvl w:val="0"/>
          <w:numId w:val="86"/>
        </w:numPr>
        <w:spacing w:after="0"/>
        <w:ind w:left="1560" w:right="618"/>
        <w:rPr>
          <w:lang w:val="es-ES"/>
        </w:rPr>
      </w:pPr>
      <w:r w:rsidRPr="0007783B">
        <w:rPr>
          <w:lang w:val="es-ES"/>
        </w:rPr>
        <w:t xml:space="preserve">Los Concesionarios no deberán manipular y/o acomodar los elementos existentes de </w:t>
      </w:r>
      <w:r>
        <w:rPr>
          <w:lang w:val="es-ES"/>
        </w:rPr>
        <w:t>Telnor.</w:t>
      </w:r>
      <w:r w:rsidRPr="0007783B">
        <w:rPr>
          <w:lang w:val="es-ES"/>
        </w:rPr>
        <w:t xml:space="preserve"> </w:t>
      </w:r>
      <w:r>
        <w:rPr>
          <w:lang w:val="es-ES"/>
        </w:rPr>
        <w:t>L</w:t>
      </w:r>
      <w:r w:rsidRPr="0007783B">
        <w:rPr>
          <w:lang w:val="es-ES"/>
        </w:rPr>
        <w:t xml:space="preserve">os trabajos necesarios serán realizados por </w:t>
      </w:r>
      <w:r>
        <w:rPr>
          <w:lang w:val="es-ES"/>
        </w:rPr>
        <w:t>Telnor</w:t>
      </w:r>
      <w:r w:rsidRPr="0007783B">
        <w:rPr>
          <w:lang w:val="es-ES"/>
        </w:rPr>
        <w:t xml:space="preserve"> con cargo al Concesionario mediante los trabajos de Acondicionamiento que pueden ser:</w:t>
      </w:r>
    </w:p>
    <w:p w:rsidR="007C4016" w:rsidRPr="0007783B" w:rsidRDefault="007C4016" w:rsidP="007C4016">
      <w:pPr>
        <w:pStyle w:val="Texto1"/>
        <w:numPr>
          <w:ilvl w:val="1"/>
          <w:numId w:val="34"/>
        </w:numPr>
        <w:suppressAutoHyphens w:val="0"/>
        <w:spacing w:before="240" w:after="0" w:line="240" w:lineRule="auto"/>
        <w:ind w:left="1843" w:right="618"/>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La infraestructura de apoyo.</w:t>
      </w:r>
    </w:p>
    <w:p w:rsidR="007C4016" w:rsidRPr="0007783B" w:rsidRDefault="007C4016" w:rsidP="007C4016">
      <w:pPr>
        <w:pStyle w:val="Texto1"/>
        <w:numPr>
          <w:ilvl w:val="1"/>
          <w:numId w:val="34"/>
        </w:numPr>
        <w:suppressAutoHyphens w:val="0"/>
        <w:spacing w:after="0" w:line="240" w:lineRule="auto"/>
        <w:ind w:left="1843" w:right="618"/>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Cordones de Acometidas a clientes (bajantes).</w:t>
      </w:r>
    </w:p>
    <w:p w:rsidR="007C4016" w:rsidRPr="0007783B" w:rsidRDefault="007C4016" w:rsidP="007C4016">
      <w:pPr>
        <w:pStyle w:val="Texto1"/>
        <w:numPr>
          <w:ilvl w:val="1"/>
          <w:numId w:val="34"/>
        </w:numPr>
        <w:suppressAutoHyphens w:val="0"/>
        <w:spacing w:after="0" w:line="240" w:lineRule="auto"/>
        <w:ind w:left="1843" w:right="618"/>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Cables multipar de cobre o de fibra óptica.</w:t>
      </w:r>
    </w:p>
    <w:p w:rsidR="007C4016" w:rsidRPr="0007783B" w:rsidRDefault="007C4016" w:rsidP="007C4016">
      <w:pPr>
        <w:pStyle w:val="Texto1"/>
        <w:numPr>
          <w:ilvl w:val="1"/>
          <w:numId w:val="34"/>
        </w:numPr>
        <w:suppressAutoHyphens w:val="0"/>
        <w:spacing w:after="0" w:line="240" w:lineRule="auto"/>
        <w:ind w:left="1843" w:right="618"/>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Puntos de Dispersión de cobre o de fibra óptica.</w:t>
      </w:r>
    </w:p>
    <w:p w:rsidR="007C4016" w:rsidRPr="0007783B" w:rsidRDefault="007C4016" w:rsidP="007C4016">
      <w:pPr>
        <w:pStyle w:val="Texto1"/>
        <w:numPr>
          <w:ilvl w:val="1"/>
          <w:numId w:val="34"/>
        </w:numPr>
        <w:suppressAutoHyphens w:val="0"/>
        <w:spacing w:after="0" w:line="240" w:lineRule="auto"/>
        <w:ind w:left="1843" w:right="618"/>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lastRenderedPageBreak/>
        <w:t>Cierres de empalme.</w:t>
      </w:r>
    </w:p>
    <w:p w:rsidR="007C4016" w:rsidRPr="0007783B" w:rsidRDefault="007C4016" w:rsidP="007C4016">
      <w:pPr>
        <w:pStyle w:val="IFTnormal"/>
        <w:numPr>
          <w:ilvl w:val="0"/>
          <w:numId w:val="87"/>
        </w:numPr>
        <w:spacing w:before="240" w:after="0"/>
        <w:ind w:left="1560" w:right="618"/>
        <w:rPr>
          <w:lang w:val="es-ES"/>
        </w:rPr>
      </w:pPr>
      <w:r>
        <w:rPr>
          <w:lang w:val="es-ES"/>
        </w:rPr>
        <w:t>Los</w:t>
      </w:r>
      <w:r w:rsidRPr="0007783B">
        <w:rPr>
          <w:lang w:val="es-ES"/>
        </w:rPr>
        <w:t xml:space="preserve"> cables deberán estar plenamente identificados.</w:t>
      </w:r>
    </w:p>
    <w:p w:rsidR="007C4016" w:rsidRPr="0007783B" w:rsidRDefault="007C4016" w:rsidP="007C4016">
      <w:pPr>
        <w:pStyle w:val="IFTnormal"/>
        <w:numPr>
          <w:ilvl w:val="0"/>
          <w:numId w:val="87"/>
        </w:numPr>
        <w:spacing w:before="240" w:after="0"/>
        <w:ind w:left="1560" w:right="618"/>
        <w:rPr>
          <w:lang w:val="es-ES"/>
        </w:rPr>
      </w:pPr>
      <w:r w:rsidRPr="0007783B">
        <w:rPr>
          <w:lang w:val="es-ES"/>
        </w:rPr>
        <w:t xml:space="preserve">En caso de siniestros, el Concesionario Solicitante recuperará sus cables una vez que </w:t>
      </w:r>
      <w:r>
        <w:rPr>
          <w:lang w:val="es-ES"/>
        </w:rPr>
        <w:t>Telnor</w:t>
      </w:r>
      <w:r w:rsidRPr="0007783B">
        <w:rPr>
          <w:lang w:val="es-ES"/>
        </w:rPr>
        <w:t xml:space="preserve"> haya recuperado su red.</w:t>
      </w:r>
    </w:p>
    <w:p w:rsidR="007C4016" w:rsidRPr="0007783B" w:rsidRDefault="007C4016" w:rsidP="007C4016">
      <w:pPr>
        <w:pStyle w:val="IFTnormal"/>
        <w:numPr>
          <w:ilvl w:val="0"/>
          <w:numId w:val="87"/>
        </w:numPr>
        <w:spacing w:before="240" w:after="0"/>
        <w:ind w:left="1560" w:right="618"/>
        <w:rPr>
          <w:lang w:val="es-ES"/>
        </w:rPr>
      </w:pPr>
      <w:r w:rsidRPr="0007783B">
        <w:rPr>
          <w:lang w:val="es-ES"/>
        </w:rPr>
        <w:t xml:space="preserve">El apoyo de cables de otros Concesionarios en postes de </w:t>
      </w:r>
      <w:r>
        <w:rPr>
          <w:lang w:val="es-ES"/>
        </w:rPr>
        <w:t>Telnor</w:t>
      </w:r>
      <w:r w:rsidRPr="0007783B">
        <w:rPr>
          <w:lang w:val="es-ES"/>
        </w:rPr>
        <w:t>:</w:t>
      </w:r>
    </w:p>
    <w:p w:rsidR="007C4016" w:rsidRPr="0007783B" w:rsidRDefault="007C4016" w:rsidP="007C4016">
      <w:pPr>
        <w:pStyle w:val="Texto1"/>
        <w:numPr>
          <w:ilvl w:val="1"/>
          <w:numId w:val="34"/>
        </w:numPr>
        <w:suppressAutoHyphens w:val="0"/>
        <w:spacing w:before="240" w:after="0" w:line="240" w:lineRule="auto"/>
        <w:ind w:left="1843" w:right="618"/>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 xml:space="preserve">Las flechas deben ser igual o menor al cable de </w:t>
      </w:r>
      <w:r>
        <w:rPr>
          <w:rFonts w:ascii="ITC Avant Garde" w:eastAsia="MS Mincho" w:hAnsi="ITC Avant Garde" w:cs="Calibri"/>
          <w:bCs/>
          <w:sz w:val="22"/>
          <w:szCs w:val="22"/>
          <w:lang w:val="es-ES" w:eastAsia="en-US"/>
        </w:rPr>
        <w:t>Telnor</w:t>
      </w:r>
      <w:r w:rsidRPr="0007783B">
        <w:rPr>
          <w:rFonts w:ascii="ITC Avant Garde" w:eastAsia="MS Mincho" w:hAnsi="ITC Avant Garde" w:cs="Calibri"/>
          <w:bCs/>
          <w:sz w:val="22"/>
          <w:szCs w:val="22"/>
          <w:lang w:val="es-ES" w:eastAsia="en-US"/>
        </w:rPr>
        <w:t xml:space="preserve"> siempre cuidando la estética.</w:t>
      </w:r>
    </w:p>
    <w:p w:rsidR="007C4016" w:rsidRPr="0007783B" w:rsidRDefault="007C4016" w:rsidP="007C4016">
      <w:pPr>
        <w:pStyle w:val="Texto1"/>
        <w:numPr>
          <w:ilvl w:val="1"/>
          <w:numId w:val="34"/>
        </w:numPr>
        <w:suppressAutoHyphens w:val="0"/>
        <w:spacing w:before="240" w:after="0" w:line="240" w:lineRule="auto"/>
        <w:ind w:left="1843" w:right="618"/>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 xml:space="preserve">Las gazas deben ser colocadas fuera del área de trabajo de </w:t>
      </w:r>
      <w:r>
        <w:rPr>
          <w:rFonts w:ascii="ITC Avant Garde" w:eastAsia="MS Mincho" w:hAnsi="ITC Avant Garde" w:cs="Calibri"/>
          <w:bCs/>
          <w:sz w:val="22"/>
          <w:szCs w:val="22"/>
          <w:lang w:val="es-ES" w:eastAsia="en-US"/>
        </w:rPr>
        <w:t>Telnor</w:t>
      </w:r>
      <w:r w:rsidRPr="0007783B">
        <w:rPr>
          <w:rFonts w:ascii="ITC Avant Garde" w:eastAsia="MS Mincho" w:hAnsi="ITC Avant Garde" w:cs="Calibri"/>
          <w:bCs/>
          <w:sz w:val="22"/>
          <w:szCs w:val="22"/>
          <w:lang w:val="es-ES" w:eastAsia="en-US"/>
        </w:rPr>
        <w:t xml:space="preserve"> en el poste.</w:t>
      </w:r>
    </w:p>
    <w:p w:rsidR="007C4016" w:rsidRPr="0007783B" w:rsidRDefault="007C4016" w:rsidP="007C4016">
      <w:pPr>
        <w:pStyle w:val="IFTnormal"/>
        <w:numPr>
          <w:ilvl w:val="0"/>
          <w:numId w:val="88"/>
        </w:numPr>
        <w:spacing w:before="240" w:after="0"/>
        <w:ind w:left="1560" w:right="618"/>
        <w:rPr>
          <w:lang w:val="es-ES"/>
        </w:rPr>
      </w:pPr>
      <w:r w:rsidRPr="0007783B">
        <w:rPr>
          <w:lang w:val="es-ES"/>
        </w:rPr>
        <w:t xml:space="preserve">Es responsabilidad </w:t>
      </w:r>
      <w:r>
        <w:rPr>
          <w:lang w:val="es-ES"/>
        </w:rPr>
        <w:t xml:space="preserve">del </w:t>
      </w:r>
      <w:r w:rsidRPr="0007783B">
        <w:rPr>
          <w:lang w:val="es-ES"/>
        </w:rPr>
        <w:t>Concesionario durante el tiempo de estancia en los postes, que su</w:t>
      </w:r>
      <w:r>
        <w:rPr>
          <w:lang w:val="es-ES"/>
        </w:rPr>
        <w:t xml:space="preserve">s cables guarden las distancias, de la misma forma que lo hace Telnor para sus propias operaciones, </w:t>
      </w:r>
      <w:r w:rsidRPr="0007783B">
        <w:rPr>
          <w:lang w:val="es-ES"/>
        </w:rPr>
        <w:t>establecidas en la normatividad NOM-001-SEDE, respecto a los cables de distribución de energía eléctrica, así como las distancias de libramiento al piso. En casos de mantenimiento preventivo a sus cables, realizar solicitud de tra</w:t>
      </w:r>
      <w:r>
        <w:rPr>
          <w:lang w:val="es-ES"/>
        </w:rPr>
        <w:t>bajos especiales para que Telnor</w:t>
      </w:r>
      <w:r w:rsidRPr="0007783B">
        <w:rPr>
          <w:lang w:val="es-ES"/>
        </w:rPr>
        <w:t xml:space="preserve"> </w:t>
      </w:r>
      <w:r>
        <w:rPr>
          <w:lang w:val="es-ES"/>
        </w:rPr>
        <w:t>verifique</w:t>
      </w:r>
      <w:r w:rsidRPr="0007783B">
        <w:rPr>
          <w:lang w:val="es-ES"/>
        </w:rPr>
        <w:t>.</w:t>
      </w:r>
    </w:p>
    <w:p w:rsidR="007C4016" w:rsidRPr="0007783B" w:rsidRDefault="007C4016" w:rsidP="007C4016">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1.3.2 Criterio de compartición de Postes</w:t>
      </w:r>
    </w:p>
    <w:p w:rsidR="007C4016" w:rsidRPr="0007783B" w:rsidRDefault="007C4016" w:rsidP="007C4016">
      <w:pPr>
        <w:pStyle w:val="IFTnormal"/>
        <w:spacing w:before="240" w:after="0"/>
        <w:ind w:left="851" w:right="760"/>
        <w:rPr>
          <w:lang w:val="es-ES"/>
        </w:rPr>
      </w:pPr>
      <w:r w:rsidRPr="0007783B">
        <w:rPr>
          <w:lang w:val="es-ES"/>
        </w:rPr>
        <w:t>La capacidad excedente en postes es para aquellos postes que tengan la Tensión Máxima de Operación (To) permitida en el poste.</w:t>
      </w:r>
      <w:r>
        <w:rPr>
          <w:lang w:val="es-ES"/>
        </w:rPr>
        <w:t xml:space="preserve"> El cálculo de To será conforme a lo establecido en la </w:t>
      </w:r>
      <w:r w:rsidRPr="0007783B">
        <w:rPr>
          <w:lang w:val="es-ES"/>
        </w:rPr>
        <w:t xml:space="preserve">Norma 2 del ANEXO 2. </w:t>
      </w:r>
    </w:p>
    <w:p w:rsidR="007C4016" w:rsidRPr="0007783B" w:rsidRDefault="007C4016" w:rsidP="007C4016">
      <w:pPr>
        <w:pStyle w:val="IFTnormal"/>
        <w:numPr>
          <w:ilvl w:val="0"/>
          <w:numId w:val="241"/>
        </w:numPr>
        <w:spacing w:before="240" w:after="0"/>
        <w:ind w:right="760"/>
        <w:rPr>
          <w:lang w:val="es-ES"/>
        </w:rPr>
      </w:pPr>
      <w:r w:rsidRPr="0007783B">
        <w:rPr>
          <w:lang w:val="es-ES"/>
        </w:rPr>
        <w:t>La factibilidad de los documentos que presenten los Concesion</w:t>
      </w:r>
      <w:r>
        <w:rPr>
          <w:lang w:val="es-ES"/>
        </w:rPr>
        <w:t>arios Solicitantes la realizará</w:t>
      </w:r>
      <w:r w:rsidRPr="0007783B">
        <w:rPr>
          <w:lang w:val="es-ES"/>
        </w:rPr>
        <w:t xml:space="preserve"> </w:t>
      </w:r>
      <w:r>
        <w:rPr>
          <w:lang w:val="es-ES"/>
        </w:rPr>
        <w:t>Telnor</w:t>
      </w:r>
      <w:r w:rsidRPr="0007783B">
        <w:rPr>
          <w:lang w:val="es-ES"/>
        </w:rPr>
        <w:t xml:space="preserve"> mediante la validación del proyecto, asegurando que cumple la norma de ingeniería y construcción que establece la Norma 2 del ANEXO 2. </w:t>
      </w:r>
    </w:p>
    <w:p w:rsidR="007C4016" w:rsidRPr="0007783B" w:rsidRDefault="007C4016" w:rsidP="007C4016">
      <w:pPr>
        <w:pStyle w:val="IFTnormal"/>
        <w:numPr>
          <w:ilvl w:val="0"/>
          <w:numId w:val="241"/>
        </w:numPr>
        <w:spacing w:before="240" w:after="0"/>
        <w:ind w:right="760"/>
        <w:rPr>
          <w:lang w:val="es-ES"/>
        </w:rPr>
      </w:pPr>
      <w:r w:rsidRPr="0007783B">
        <w:rPr>
          <w:lang w:val="es-ES"/>
        </w:rPr>
        <w:t xml:space="preserve">La información de planos que proporcionen los Concesionarios Solicitantes será en formato magnético </w:t>
      </w:r>
      <w:r w:rsidRPr="0007783B">
        <w:rPr>
          <w:lang w:val="es-ES"/>
        </w:rPr>
        <w:lastRenderedPageBreak/>
        <w:t>shape file, en capas independientes para actualizar el sistema de inventario.</w:t>
      </w:r>
    </w:p>
    <w:p w:rsidR="007C4016" w:rsidRPr="0007783B" w:rsidRDefault="007C4016" w:rsidP="007C4016">
      <w:pPr>
        <w:spacing w:before="240" w:after="0"/>
        <w:ind w:left="850"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1.3.4 Cargos Recurrentes:</w:t>
      </w:r>
    </w:p>
    <w:p w:rsidR="007C4016" w:rsidRPr="0007783B" w:rsidRDefault="007C4016" w:rsidP="007C4016">
      <w:pPr>
        <w:spacing w:before="240" w:after="0"/>
        <w:ind w:left="849" w:right="760"/>
        <w:rPr>
          <w:lang w:val="es-ES"/>
        </w:rPr>
      </w:pPr>
      <w:r w:rsidRPr="0007783B">
        <w:rPr>
          <w:rFonts w:ascii="ITC Avant Garde" w:eastAsia="MS Mincho" w:hAnsi="ITC Avant Garde" w:cs="Calibri"/>
          <w:bCs/>
          <w:sz w:val="22"/>
          <w:szCs w:val="22"/>
          <w:lang w:val="es-ES" w:eastAsia="en-US"/>
        </w:rPr>
        <w:t>Para determinar la contraprestación por el uso de los postes se tomará en cuenta</w:t>
      </w:r>
      <w:r>
        <w:rPr>
          <w:rFonts w:ascii="ITC Avant Garde" w:eastAsia="MS Mincho" w:hAnsi="ITC Avant Garde" w:cs="Calibri"/>
          <w:bCs/>
          <w:sz w:val="22"/>
          <w:szCs w:val="22"/>
          <w:lang w:val="es-ES" w:eastAsia="en-US"/>
        </w:rPr>
        <w:t xml:space="preserve"> la </w:t>
      </w:r>
      <w:r w:rsidRPr="00DE7EC0">
        <w:rPr>
          <w:rFonts w:ascii="ITC Avant Garde" w:eastAsia="MS Mincho" w:hAnsi="ITC Avant Garde" w:cs="Calibri"/>
          <w:sz w:val="22"/>
          <w:szCs w:val="22"/>
          <w:lang w:val="es-ES" w:eastAsia="en-US"/>
        </w:rPr>
        <w:t>Fuerza total del cable ejercido sobre el Poste</w:t>
      </w:r>
      <w:r>
        <w:rPr>
          <w:rFonts w:ascii="ITC Avant Garde" w:eastAsia="MS Mincho" w:hAnsi="ITC Avant Garde" w:cs="Calibri"/>
          <w:sz w:val="22"/>
          <w:szCs w:val="22"/>
          <w:lang w:val="es-ES" w:eastAsia="en-US"/>
        </w:rPr>
        <w:t>,</w:t>
      </w:r>
      <w:r>
        <w:rPr>
          <w:rFonts w:ascii="ITC Avant Garde" w:eastAsia="MS Mincho" w:hAnsi="ITC Avant Garde" w:cs="Calibri"/>
          <w:bCs/>
          <w:sz w:val="22"/>
          <w:szCs w:val="22"/>
          <w:lang w:val="es-ES" w:eastAsia="en-US"/>
        </w:rPr>
        <w:t xml:space="preserve"> conforme a lo establecido en </w:t>
      </w:r>
      <w:r w:rsidRPr="00DC11D7">
        <w:rPr>
          <w:rFonts w:ascii="ITC Avant Garde" w:eastAsia="MS Mincho" w:hAnsi="ITC Avant Garde" w:cs="Calibri"/>
          <w:bCs/>
          <w:sz w:val="22"/>
          <w:szCs w:val="22"/>
          <w:lang w:val="es-ES" w:eastAsia="en-US"/>
        </w:rPr>
        <w:t>Norma 2 del ANEXO 2</w:t>
      </w:r>
      <w:r>
        <w:rPr>
          <w:rFonts w:eastAsia="MS Mincho"/>
          <w:lang w:val="es-ES"/>
        </w:rPr>
        <w:t>.</w:t>
      </w:r>
    </w:p>
    <w:p w:rsidR="007C4016" w:rsidRPr="0007783B" w:rsidRDefault="007C4016" w:rsidP="007C4016">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1.4 Canalizaciones</w:t>
      </w:r>
    </w:p>
    <w:p w:rsidR="007C4016" w:rsidRPr="0007783B" w:rsidRDefault="007C4016" w:rsidP="007C4016">
      <w:pPr>
        <w:pStyle w:val="IFTnormal"/>
        <w:spacing w:before="240" w:after="0"/>
        <w:ind w:left="851" w:right="760"/>
        <w:rPr>
          <w:lang w:val="es-ES"/>
        </w:rPr>
      </w:pPr>
      <w:r w:rsidRPr="0007783B">
        <w:rPr>
          <w:lang w:val="es-ES"/>
        </w:rPr>
        <w:t>En la compartición de Canalizaciones los Concesionarios Solicitantes podr</w:t>
      </w:r>
      <w:r>
        <w:rPr>
          <w:lang w:val="es-ES"/>
        </w:rPr>
        <w:t>án solicitar a Telnor</w:t>
      </w:r>
      <w:r w:rsidRPr="0007783B">
        <w:rPr>
          <w:lang w:val="es-ES"/>
        </w:rPr>
        <w:t xml:space="preserve"> la instalación de su propia infraestructura en una ruta específica d</w:t>
      </w:r>
      <w:r>
        <w:rPr>
          <w:lang w:val="es-ES"/>
        </w:rPr>
        <w:t>e una nueva obra civil de Telnor</w:t>
      </w:r>
      <w:r w:rsidRPr="0007783B">
        <w:rPr>
          <w:lang w:val="es-ES"/>
        </w:rPr>
        <w:t xml:space="preserve">. </w:t>
      </w:r>
    </w:p>
    <w:p w:rsidR="007C4016" w:rsidRPr="0007783B" w:rsidRDefault="007C4016" w:rsidP="007C4016">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1.4.1 Alcance</w:t>
      </w:r>
    </w:p>
    <w:p w:rsidR="007C4016" w:rsidRPr="0007783B" w:rsidRDefault="007C4016" w:rsidP="007C4016">
      <w:pPr>
        <w:pStyle w:val="IFTnormal"/>
        <w:numPr>
          <w:ilvl w:val="0"/>
          <w:numId w:val="89"/>
        </w:numPr>
        <w:spacing w:before="240" w:after="0"/>
        <w:ind w:left="1560" w:right="760"/>
        <w:rPr>
          <w:lang w:val="es-ES"/>
        </w:rPr>
      </w:pPr>
      <w:r>
        <w:rPr>
          <w:lang w:val="es-ES"/>
        </w:rPr>
        <w:t>Telnor</w:t>
      </w:r>
      <w:r w:rsidRPr="0007783B">
        <w:rPr>
          <w:lang w:val="es-ES"/>
        </w:rPr>
        <w:t xml:space="preserve"> dará aviso antes de iniciar el trabajo de ingeniería de canalización a los CS a través del SEG para atender las necesidades de los CS que deseen compart</w:t>
      </w:r>
      <w:r>
        <w:rPr>
          <w:lang w:val="es-ES"/>
        </w:rPr>
        <w:t>ir la nueva obra civil de Telnor</w:t>
      </w:r>
      <w:r w:rsidRPr="0007783B">
        <w:rPr>
          <w:lang w:val="es-ES"/>
        </w:rPr>
        <w:t>.</w:t>
      </w:r>
    </w:p>
    <w:p w:rsidR="007C4016" w:rsidRPr="0007783B" w:rsidRDefault="007C4016" w:rsidP="007C4016">
      <w:pPr>
        <w:pStyle w:val="IFTnormal"/>
        <w:numPr>
          <w:ilvl w:val="0"/>
          <w:numId w:val="89"/>
        </w:numPr>
        <w:spacing w:after="0"/>
        <w:ind w:left="1560" w:right="760"/>
        <w:rPr>
          <w:lang w:val="es-ES"/>
        </w:rPr>
      </w:pPr>
      <w:r w:rsidRPr="0007783B">
        <w:rPr>
          <w:lang w:val="es-ES"/>
        </w:rPr>
        <w:t>La compartición de Canalización se realiza por trayectoria (con un punto origen y un punto destino) o por área, para que el Concesionario Solicitante despliegue su propia Red.</w:t>
      </w:r>
    </w:p>
    <w:p w:rsidR="007C4016" w:rsidRPr="0007783B" w:rsidRDefault="007C4016" w:rsidP="007C4016">
      <w:pPr>
        <w:pStyle w:val="IFTnormal"/>
        <w:numPr>
          <w:ilvl w:val="0"/>
          <w:numId w:val="89"/>
        </w:numPr>
        <w:spacing w:after="0"/>
        <w:ind w:left="1560" w:right="760"/>
        <w:rPr>
          <w:lang w:val="es-ES"/>
        </w:rPr>
      </w:pPr>
      <w:r w:rsidRPr="0007783B">
        <w:rPr>
          <w:lang w:val="es-ES"/>
        </w:rPr>
        <w:t>Los ductos que podrán utilizarse son 35.5, 45 y 60, 80 y 100 mm o</w:t>
      </w:r>
      <w:r>
        <w:rPr>
          <w:lang w:val="es-ES"/>
        </w:rPr>
        <w:t xml:space="preserve"> de otras dimensiones que Telnor</w:t>
      </w:r>
      <w:r w:rsidRPr="0007783B">
        <w:rPr>
          <w:lang w:val="es-ES"/>
        </w:rPr>
        <w:t xml:space="preserve"> utiliza en su propia operación. </w:t>
      </w:r>
    </w:p>
    <w:p w:rsidR="007C4016" w:rsidRPr="0007783B" w:rsidRDefault="007C4016" w:rsidP="007C4016">
      <w:pPr>
        <w:pStyle w:val="IFTnormal"/>
        <w:numPr>
          <w:ilvl w:val="0"/>
          <w:numId w:val="89"/>
        </w:numPr>
        <w:spacing w:after="0"/>
        <w:ind w:left="1560" w:right="760"/>
        <w:rPr>
          <w:lang w:val="es-ES"/>
        </w:rPr>
      </w:pPr>
      <w:r w:rsidRPr="0007783B">
        <w:rPr>
          <w:lang w:val="es-ES"/>
        </w:rPr>
        <w:t>Para trabaj</w:t>
      </w:r>
      <w:r>
        <w:rPr>
          <w:lang w:val="es-ES"/>
        </w:rPr>
        <w:t>os de nueva obra civil de Telnor</w:t>
      </w:r>
      <w:r w:rsidRPr="0007783B">
        <w:rPr>
          <w:lang w:val="es-ES"/>
        </w:rPr>
        <w:t>, donde el CS requiera de hacer uso co</w:t>
      </w:r>
      <w:r>
        <w:rPr>
          <w:lang w:val="es-ES"/>
        </w:rPr>
        <w:t>mpartido de canalización, Telnor</w:t>
      </w:r>
      <w:r w:rsidRPr="0007783B">
        <w:rPr>
          <w:lang w:val="es-ES"/>
        </w:rPr>
        <w:t xml:space="preserve"> es responsable de la colocación de los materiales básicos y misceláneos necesarios.</w:t>
      </w:r>
    </w:p>
    <w:p w:rsidR="007C4016" w:rsidRPr="0007783B" w:rsidRDefault="007C4016" w:rsidP="007C4016">
      <w:pPr>
        <w:pStyle w:val="IFTnormal"/>
        <w:numPr>
          <w:ilvl w:val="0"/>
          <w:numId w:val="89"/>
        </w:numPr>
        <w:spacing w:after="0"/>
        <w:ind w:left="1560" w:right="760"/>
        <w:rPr>
          <w:lang w:val="es-ES"/>
        </w:rPr>
      </w:pPr>
      <w:r w:rsidRPr="0007783B">
        <w:rPr>
          <w:lang w:val="es-ES"/>
        </w:rPr>
        <w:t>La infr</w:t>
      </w:r>
      <w:r>
        <w:rPr>
          <w:lang w:val="es-ES"/>
        </w:rPr>
        <w:t>aestructura instalada por Telnor</w:t>
      </w:r>
      <w:r w:rsidRPr="0007783B">
        <w:rPr>
          <w:lang w:val="es-ES"/>
        </w:rPr>
        <w:t xml:space="preserve"> será susceptible de prestación de Servicio de Acceso y Uso compartido de Obra Civil.</w:t>
      </w:r>
    </w:p>
    <w:p w:rsidR="007C4016" w:rsidRPr="0007783B" w:rsidRDefault="007C4016" w:rsidP="007C4016">
      <w:pPr>
        <w:pStyle w:val="IFTnormal"/>
        <w:numPr>
          <w:ilvl w:val="0"/>
          <w:numId w:val="90"/>
        </w:numPr>
        <w:spacing w:after="0"/>
        <w:ind w:left="1560" w:right="760"/>
        <w:rPr>
          <w:lang w:val="es-ES"/>
        </w:rPr>
      </w:pPr>
      <w:r w:rsidRPr="0007783B">
        <w:rPr>
          <w:lang w:val="es-ES"/>
        </w:rPr>
        <w:t>El Concesionario Solicitante cubrirá los costos proporcionales que sean necesarios, incluyendo el de la gestión del proyecto.</w:t>
      </w:r>
    </w:p>
    <w:p w:rsidR="007C4016" w:rsidRPr="0007783B" w:rsidRDefault="007C4016" w:rsidP="007C4016">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lastRenderedPageBreak/>
        <w:t>1.5 Generales</w:t>
      </w:r>
    </w:p>
    <w:p w:rsidR="007C4016" w:rsidRPr="0007783B" w:rsidRDefault="007C4016" w:rsidP="007C4016">
      <w:pPr>
        <w:pStyle w:val="IFTnormal"/>
        <w:numPr>
          <w:ilvl w:val="0"/>
          <w:numId w:val="91"/>
        </w:numPr>
        <w:spacing w:before="240" w:after="0"/>
        <w:ind w:left="1560" w:right="760"/>
        <w:rPr>
          <w:lang w:val="es-ES"/>
        </w:rPr>
      </w:pPr>
      <w:r>
        <w:rPr>
          <w:lang w:val="es-ES"/>
        </w:rPr>
        <w:t>Telnor</w:t>
      </w:r>
      <w:r w:rsidRPr="0007783B">
        <w:rPr>
          <w:lang w:val="es-ES"/>
        </w:rPr>
        <w:t xml:space="preserve"> y el Concesionario Solicitante se obligan a salvaguardar la infraestructura compartida.</w:t>
      </w:r>
    </w:p>
    <w:p w:rsidR="007C4016" w:rsidRPr="0007783B" w:rsidRDefault="007C4016" w:rsidP="007C4016">
      <w:pPr>
        <w:spacing w:before="240" w:after="0"/>
        <w:ind w:left="851" w:right="760"/>
        <w:rPr>
          <w:rFonts w:ascii="ITC Avant Garde" w:eastAsia="MS Mincho" w:hAnsi="ITC Avant Garde" w:cs="Calibri"/>
          <w:b/>
          <w:bCs/>
          <w:sz w:val="22"/>
          <w:szCs w:val="22"/>
          <w:lang w:val="es-ES" w:eastAsia="en-US"/>
        </w:rPr>
      </w:pPr>
      <w:bookmarkStart w:id="33" w:name="_Toc433915538"/>
      <w:r w:rsidRPr="0007783B">
        <w:rPr>
          <w:rFonts w:ascii="ITC Avant Garde" w:eastAsia="MS Mincho" w:hAnsi="ITC Avant Garde" w:cs="Calibri"/>
          <w:b/>
          <w:bCs/>
          <w:sz w:val="22"/>
          <w:szCs w:val="22"/>
          <w:lang w:val="es-ES" w:eastAsia="en-US"/>
        </w:rPr>
        <w:t>1.6 Cargos No Recurrentes:</w:t>
      </w:r>
      <w:bookmarkEnd w:id="33"/>
    </w:p>
    <w:p w:rsidR="007C4016" w:rsidRPr="0007783B" w:rsidRDefault="007C4016" w:rsidP="007C4016">
      <w:pPr>
        <w:pStyle w:val="IFTnormal"/>
        <w:spacing w:before="240" w:after="0"/>
        <w:ind w:left="851" w:right="760"/>
        <w:rPr>
          <w:lang w:val="es-ES"/>
        </w:rPr>
      </w:pPr>
      <w:r w:rsidRPr="0007783B">
        <w:rPr>
          <w:lang w:val="es-ES"/>
        </w:rPr>
        <w:t>Para la Solicitud de Servicio de Acceso y Uso Compartido de Obra Civil se cuantificará:</w:t>
      </w:r>
    </w:p>
    <w:p w:rsidR="007C4016" w:rsidRPr="0007783B" w:rsidRDefault="007C4016" w:rsidP="007C4016">
      <w:pPr>
        <w:pStyle w:val="IFTnormal"/>
        <w:numPr>
          <w:ilvl w:val="0"/>
          <w:numId w:val="92"/>
        </w:numPr>
        <w:spacing w:before="240" w:after="0"/>
        <w:ind w:left="1560" w:right="760"/>
        <w:rPr>
          <w:lang w:val="es-ES"/>
        </w:rPr>
      </w:pPr>
      <w:r w:rsidRPr="0007783B">
        <w:rPr>
          <w:lang w:val="es-ES"/>
        </w:rPr>
        <w:t>Visita Técnica para Postes y/o para Ductos y Pozos. El presupuesto para ésta será con base en los kilómetros lineales de la trayectoria que implica la solicitud del CS.</w:t>
      </w:r>
    </w:p>
    <w:p w:rsidR="007C4016" w:rsidRPr="0007783B" w:rsidRDefault="007C4016" w:rsidP="007C4016">
      <w:pPr>
        <w:pStyle w:val="IFTnormal"/>
        <w:numPr>
          <w:ilvl w:val="0"/>
          <w:numId w:val="92"/>
        </w:numPr>
        <w:spacing w:after="0"/>
        <w:ind w:left="1560" w:right="760"/>
        <w:rPr>
          <w:lang w:val="es-ES"/>
        </w:rPr>
      </w:pPr>
      <w:r w:rsidRPr="0007783B">
        <w:rPr>
          <w:lang w:val="es-ES"/>
        </w:rPr>
        <w:t>Trabajos requeridos dentro de la visita técnica.</w:t>
      </w:r>
    </w:p>
    <w:p w:rsidR="007C4016" w:rsidRPr="0007783B" w:rsidRDefault="007C4016" w:rsidP="007C4016">
      <w:pPr>
        <w:pStyle w:val="IFTnormal"/>
        <w:numPr>
          <w:ilvl w:val="0"/>
          <w:numId w:val="92"/>
        </w:numPr>
        <w:spacing w:after="0"/>
        <w:ind w:left="1560" w:right="760"/>
        <w:rPr>
          <w:lang w:val="es-ES"/>
        </w:rPr>
      </w:pPr>
      <w:r w:rsidRPr="0007783B">
        <w:rPr>
          <w:lang w:val="es-ES"/>
        </w:rPr>
        <w:t>Análisis de Factibilidad.</w:t>
      </w:r>
    </w:p>
    <w:p w:rsidR="007C4016" w:rsidRPr="0007783B" w:rsidRDefault="007C4016" w:rsidP="007C4016">
      <w:pPr>
        <w:pStyle w:val="IFTnormal"/>
        <w:numPr>
          <w:ilvl w:val="0"/>
          <w:numId w:val="92"/>
        </w:numPr>
        <w:spacing w:after="0"/>
        <w:ind w:left="1560" w:right="760"/>
        <w:rPr>
          <w:lang w:val="es-ES"/>
        </w:rPr>
      </w:pPr>
      <w:r w:rsidRPr="0007783B">
        <w:rPr>
          <w:lang w:val="es-ES"/>
        </w:rPr>
        <w:t>Acondicionamiento de Infraestructura Pasiva, en caso de que se requiera.</w:t>
      </w:r>
    </w:p>
    <w:p w:rsidR="007C4016" w:rsidRPr="0007783B" w:rsidRDefault="007C4016" w:rsidP="007C4016">
      <w:pPr>
        <w:pStyle w:val="IFTnormal"/>
        <w:numPr>
          <w:ilvl w:val="0"/>
          <w:numId w:val="92"/>
        </w:numPr>
        <w:spacing w:after="0"/>
        <w:ind w:left="1560" w:right="760"/>
        <w:rPr>
          <w:lang w:val="es-ES"/>
        </w:rPr>
      </w:pPr>
      <w:r w:rsidRPr="0007783B">
        <w:rPr>
          <w:lang w:val="es-ES"/>
        </w:rPr>
        <w:t>Recuperación de espacio, en caso de que se requiera.</w:t>
      </w:r>
    </w:p>
    <w:p w:rsidR="007C4016" w:rsidRPr="0007783B" w:rsidRDefault="007C4016" w:rsidP="007C4016">
      <w:pPr>
        <w:pStyle w:val="IFTnormal"/>
        <w:numPr>
          <w:ilvl w:val="0"/>
          <w:numId w:val="92"/>
        </w:numPr>
        <w:spacing w:after="0"/>
        <w:ind w:left="1560" w:right="760"/>
        <w:rPr>
          <w:lang w:val="es-ES"/>
        </w:rPr>
      </w:pPr>
      <w:r w:rsidRPr="0007783B">
        <w:rPr>
          <w:lang w:val="es-ES"/>
        </w:rPr>
        <w:t>Verificación.</w:t>
      </w:r>
    </w:p>
    <w:p w:rsidR="007C4016" w:rsidRPr="0007783B" w:rsidRDefault="007C4016" w:rsidP="007C4016">
      <w:pPr>
        <w:pStyle w:val="IFTnormal"/>
        <w:numPr>
          <w:ilvl w:val="0"/>
          <w:numId w:val="92"/>
        </w:numPr>
        <w:spacing w:after="0"/>
        <w:ind w:left="1560" w:right="760"/>
        <w:rPr>
          <w:lang w:val="es-ES"/>
        </w:rPr>
      </w:pPr>
      <w:r w:rsidRPr="0007783B">
        <w:rPr>
          <w:lang w:val="es-ES"/>
        </w:rPr>
        <w:t>Apoyos de protecciones de subidas de cable subterráneo a cable aéreo o aterrizamiento de cables.</w:t>
      </w:r>
    </w:p>
    <w:p w:rsidR="007C4016" w:rsidRPr="0007783B" w:rsidRDefault="007C4016" w:rsidP="007C4016">
      <w:pPr>
        <w:pStyle w:val="IFTnormal"/>
        <w:numPr>
          <w:ilvl w:val="0"/>
          <w:numId w:val="92"/>
        </w:numPr>
        <w:spacing w:after="0"/>
        <w:ind w:left="1560" w:right="760"/>
        <w:rPr>
          <w:lang w:val="es-ES"/>
        </w:rPr>
      </w:pPr>
      <w:r w:rsidRPr="0007783B">
        <w:rPr>
          <w:lang w:val="es-ES"/>
        </w:rPr>
        <w:t>Apoyos de protecciones de bajadas de cable aéreo a cable subterráneo o aterrizamiento de cables.</w:t>
      </w:r>
    </w:p>
    <w:p w:rsidR="007C4016" w:rsidRDefault="007C4016" w:rsidP="007C4016">
      <w:pPr>
        <w:pStyle w:val="IFTnormal"/>
        <w:spacing w:before="240" w:after="0"/>
        <w:ind w:left="1560" w:right="760"/>
        <w:rPr>
          <w:b/>
        </w:rPr>
      </w:pPr>
      <w:r w:rsidRPr="00716C42">
        <w:rPr>
          <w:lang w:val="es-ES"/>
        </w:rPr>
        <w:t>La facturación de las actividades antes mencionadas se realizará posteriormente a su ejecución.</w:t>
      </w:r>
    </w:p>
    <w:p w:rsidR="007C4016" w:rsidRDefault="007C4016" w:rsidP="006A7AA7">
      <w:pPr>
        <w:spacing w:before="240"/>
      </w:pPr>
      <w:r>
        <w:t xml:space="preserve"> </w:t>
      </w:r>
      <w:r w:rsidRPr="006A7AA7">
        <w:rPr>
          <w:rFonts w:ascii="ITC Avant Garde" w:hAnsi="ITC Avant Garde"/>
          <w:b/>
          <w:sz w:val="22"/>
          <w:szCs w:val="22"/>
        </w:rPr>
        <w:t xml:space="preserve">1.1 </w:t>
      </w:r>
      <w:r w:rsidRPr="006A7AA7">
        <w:rPr>
          <w:rFonts w:ascii="ITC Avant Garde" w:hAnsi="ITC Avant Garde"/>
          <w:b/>
          <w:sz w:val="22"/>
          <w:szCs w:val="22"/>
        </w:rPr>
        <w:tab/>
        <w:t>PROCEDIMIENTOS PARA LA CONTRATACIÓN, MODIFICACIÓN Y BAJA DE LOS SERVICIOS.</w:t>
      </w:r>
    </w:p>
    <w:p w:rsidR="007C4016" w:rsidRPr="00BF4959" w:rsidRDefault="007C4016" w:rsidP="007C4016">
      <w:pPr>
        <w:pStyle w:val="IFTnormal"/>
        <w:spacing w:before="240" w:after="0"/>
        <w:rPr>
          <w:b/>
        </w:rPr>
      </w:pPr>
      <w:r>
        <w:rPr>
          <w:b/>
        </w:rPr>
        <w:t>Consideraciones del I</w:t>
      </w:r>
      <w:r w:rsidRPr="00BF4959">
        <w:rPr>
          <w:b/>
        </w:rPr>
        <w:t>nstituto</w:t>
      </w:r>
    </w:p>
    <w:p w:rsidR="007C4016" w:rsidRPr="002802DB"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Pr="000C28DD" w:rsidRDefault="007C4016" w:rsidP="007C4016">
      <w:pPr>
        <w:pStyle w:val="IFTnormal"/>
        <w:spacing w:before="240" w:after="0"/>
        <w:rPr>
          <w:lang w:val="es-ES"/>
        </w:rPr>
      </w:pPr>
      <w:r w:rsidRPr="00C522FC">
        <w:t xml:space="preserve">Respecto a los procedimientos </w:t>
      </w:r>
      <w:r>
        <w:rPr>
          <w:lang w:val="es-ES"/>
        </w:rPr>
        <w:t>presentados por el AEP en el numeral “</w:t>
      </w:r>
      <w:r>
        <w:rPr>
          <w:i/>
          <w:lang w:val="es-ES"/>
        </w:rPr>
        <w:t>1</w:t>
      </w:r>
      <w:r w:rsidRPr="00C25D42">
        <w:rPr>
          <w:i/>
          <w:lang w:val="es-ES"/>
        </w:rPr>
        <w:t>.</w:t>
      </w:r>
      <w:r>
        <w:rPr>
          <w:i/>
          <w:lang w:val="es-ES"/>
        </w:rPr>
        <w:t>1</w:t>
      </w:r>
      <w:r w:rsidRPr="00C25D42">
        <w:rPr>
          <w:i/>
          <w:lang w:val="es-ES"/>
        </w:rPr>
        <w:tab/>
      </w:r>
      <w:r>
        <w:rPr>
          <w:i/>
          <w:lang w:val="es-ES"/>
        </w:rPr>
        <w:t>Procedimiento para la contratación, modificación y baja de servicio</w:t>
      </w:r>
      <w:r>
        <w:rPr>
          <w:lang w:val="es-ES"/>
        </w:rPr>
        <w:t>”</w:t>
      </w:r>
      <w:r w:rsidRPr="00C522FC">
        <w:t xml:space="preserve">, </w:t>
      </w:r>
      <w:r>
        <w:t xml:space="preserve">el Instituto </w:t>
      </w:r>
      <w:r>
        <w:rPr>
          <w:lang w:val="es-ES"/>
        </w:rPr>
        <w:t xml:space="preserve">considera que no cumplen ni se apegan a lo establecido en la Medida </w:t>
      </w:r>
      <w:r w:rsidRPr="0001269C">
        <w:t>CUADRAGÉSIMA PRIMERA</w:t>
      </w:r>
      <w:r>
        <w:t xml:space="preserve"> de las Medidas Fijas</w:t>
      </w:r>
      <w:r>
        <w:rPr>
          <w:b/>
        </w:rPr>
        <w:t xml:space="preserve">, </w:t>
      </w:r>
      <w:r>
        <w:t xml:space="preserve"> respecto a que deberá reflejar al </w:t>
      </w:r>
      <w:r>
        <w:lastRenderedPageBreak/>
        <w:t>menos condiciones equivalentes al de la Oferta de Referencia Vigente, deberá contar con procedimientos y plazos para la solicitud y entrega de los servicios, y que no podrá establecer condiciones que inhiban la competencia en la prestación de los servicios, como se cita a continuación</w:t>
      </w:r>
      <w:r w:rsidRPr="000C28DD">
        <w:rPr>
          <w:lang w:val="es-ES"/>
        </w:rPr>
        <w:t>:</w:t>
      </w:r>
    </w:p>
    <w:p w:rsidR="007C4016" w:rsidRPr="00185221" w:rsidRDefault="007C4016" w:rsidP="007C4016">
      <w:pPr>
        <w:pStyle w:val="IFTcita"/>
        <w:spacing w:before="240" w:after="0"/>
        <w:rPr>
          <w:b w:val="0"/>
        </w:rPr>
      </w:pPr>
      <w:r w:rsidRPr="00185221">
        <w:rPr>
          <w:b w:val="0"/>
        </w:rPr>
        <w:t>“</w:t>
      </w:r>
      <w:r w:rsidRPr="004E7744">
        <w:t>CUADRAGÉSIMA PRIMERA</w:t>
      </w:r>
      <w:r w:rsidRPr="00185221">
        <w:rPr>
          <w:b w:val="0"/>
        </w:rPr>
        <w:t>.- 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7C4016" w:rsidRPr="00185221" w:rsidRDefault="007C4016" w:rsidP="007C4016">
      <w:pPr>
        <w:pStyle w:val="IFTcita"/>
        <w:spacing w:before="240" w:after="0"/>
        <w:rPr>
          <w:b w:val="0"/>
        </w:rPr>
      </w:pPr>
      <w:r w:rsidRPr="00185221">
        <w:rPr>
          <w:b w:val="0"/>
        </w:rPr>
        <w:t>Cada oferta deberá contener cuando menos lo siguiente:</w:t>
      </w:r>
    </w:p>
    <w:p w:rsidR="007C4016" w:rsidRPr="00185221" w:rsidRDefault="007C4016" w:rsidP="007C4016">
      <w:pPr>
        <w:pStyle w:val="IFTcita"/>
        <w:spacing w:before="240" w:after="0"/>
        <w:rPr>
          <w:b w:val="0"/>
        </w:rPr>
      </w:pPr>
      <w:r w:rsidRPr="00185221">
        <w:rPr>
          <w:b w:val="0"/>
        </w:rPr>
        <w:t>[…]</w:t>
      </w:r>
    </w:p>
    <w:p w:rsidR="007C4016" w:rsidRDefault="007C4016" w:rsidP="007C4016">
      <w:pPr>
        <w:pStyle w:val="IFTcita"/>
        <w:spacing w:before="240" w:after="0"/>
        <w:rPr>
          <w:b w:val="0"/>
        </w:rPr>
      </w:pPr>
      <w:r w:rsidRPr="00445AC6">
        <w:rPr>
          <w:b w:val="0"/>
        </w:rPr>
        <w:t xml:space="preserve">c) </w:t>
      </w:r>
      <w:r w:rsidRPr="00445AC6">
        <w:t>Procedimientos para la solicitud de servicios, entrega de los servicios, conciliación y facturación</w:t>
      </w:r>
      <w:r w:rsidRPr="00445AC6">
        <w:rPr>
          <w:b w:val="0"/>
        </w:rPr>
        <w:t>, reparación de fallas, mantenimiento y gestión de incidencias, y demás necesarios para la eficiente prestación del servicio;</w:t>
      </w:r>
    </w:p>
    <w:p w:rsidR="007C4016" w:rsidRPr="00445AC6" w:rsidRDefault="007C4016" w:rsidP="007C4016">
      <w:pPr>
        <w:pStyle w:val="IFTcita"/>
        <w:spacing w:before="240" w:after="0"/>
        <w:rPr>
          <w:b w:val="0"/>
        </w:rPr>
      </w:pPr>
      <w:r w:rsidRPr="00445AC6">
        <w:rPr>
          <w:b w:val="0"/>
        </w:rPr>
        <w:t xml:space="preserve">d) </w:t>
      </w:r>
      <w:r w:rsidRPr="00445AC6">
        <w:t>Plazos para ejecución de cada una de las etapas de los procedimientos</w:t>
      </w:r>
      <w:r w:rsidRPr="00445AC6">
        <w:rPr>
          <w:b w:val="0"/>
        </w:rPr>
        <w:t xml:space="preserve"> referidos en el inciso anterior;</w:t>
      </w:r>
    </w:p>
    <w:p w:rsidR="007C4016" w:rsidRPr="00445AC6" w:rsidRDefault="007C4016" w:rsidP="007C4016">
      <w:pPr>
        <w:pStyle w:val="IFTcita"/>
        <w:spacing w:before="240" w:after="0"/>
        <w:rPr>
          <w:b w:val="0"/>
        </w:rPr>
      </w:pPr>
      <w:r>
        <w:rPr>
          <w:b w:val="0"/>
        </w:rPr>
        <w:t>(…)</w:t>
      </w:r>
    </w:p>
    <w:p w:rsidR="007C4016" w:rsidRPr="00185221" w:rsidRDefault="007C4016" w:rsidP="007C4016">
      <w:pPr>
        <w:pStyle w:val="IFTcita"/>
        <w:spacing w:before="240" w:after="0"/>
      </w:pPr>
      <w:r w:rsidRPr="00185221">
        <w:t>La propuesta que presente el Agente Económico Preponderante deberá reflejar, al menos, condiciones equivalentes a las de la Oferta de Referencia vigente.</w:t>
      </w:r>
    </w:p>
    <w:p w:rsidR="007C4016" w:rsidRPr="004E7744" w:rsidRDefault="007C4016" w:rsidP="007C4016">
      <w:pPr>
        <w:pStyle w:val="IFTcita"/>
        <w:spacing w:before="240" w:after="0"/>
        <w:rPr>
          <w:b w:val="0"/>
        </w:rPr>
      </w:pPr>
      <w:r w:rsidRPr="004E7744">
        <w:rPr>
          <w:b w:val="0"/>
        </w:rPr>
        <w:t>(…)</w:t>
      </w:r>
    </w:p>
    <w:p w:rsidR="007C4016" w:rsidRPr="008A4D2A" w:rsidRDefault="007C4016" w:rsidP="007C4016">
      <w:pPr>
        <w:pStyle w:val="CitaIFT"/>
        <w:spacing w:before="240" w:after="0"/>
        <w:ind w:left="567"/>
        <w:rPr>
          <w:lang w:val="es-ES"/>
        </w:rPr>
      </w:pPr>
      <w:r w:rsidRPr="00F6602C">
        <w:rPr>
          <w:b/>
        </w:rPr>
        <w:t>El</w:t>
      </w:r>
      <w:r w:rsidRPr="00F6602C">
        <w:rPr>
          <w:b/>
          <w:lang w:val="es-ES"/>
        </w:rPr>
        <w:t xml:space="preserve"> Agente </w:t>
      </w:r>
      <w:r w:rsidRPr="00F6602C">
        <w:rPr>
          <w:b/>
        </w:rPr>
        <w:t>Económico</w:t>
      </w:r>
      <w:r w:rsidRPr="00F6602C">
        <w:rPr>
          <w:b/>
          <w:lang w:val="es-ES"/>
        </w:rPr>
        <w:t xml:space="preserve"> Preponderante no podrá establecer condiciones que inhiban la competencia en la prestación de los servicios objeto de las Ofertas de Referencia, cualquier requisito que no sea necesario para la eficiente prestación del servicio</w:t>
      </w:r>
      <w:r w:rsidRPr="008A4D2A">
        <w:rPr>
          <w:lang w:val="es-ES"/>
        </w:rPr>
        <w:t>, ni:</w:t>
      </w:r>
    </w:p>
    <w:p w:rsidR="007C4016" w:rsidRPr="004E7744" w:rsidRDefault="007C4016" w:rsidP="007C4016">
      <w:pPr>
        <w:pStyle w:val="IFTcita"/>
        <w:spacing w:before="240" w:after="0"/>
        <w:rPr>
          <w:b w:val="0"/>
        </w:rPr>
      </w:pPr>
      <w:r>
        <w:t xml:space="preserve"> </w:t>
      </w:r>
      <w:r w:rsidRPr="004E7744">
        <w:rPr>
          <w:b w:val="0"/>
        </w:rPr>
        <w:t xml:space="preserve">[…]” </w:t>
      </w:r>
    </w:p>
    <w:p w:rsidR="007C4016" w:rsidRPr="009C14C4" w:rsidRDefault="007C4016" w:rsidP="007C4016">
      <w:pPr>
        <w:pStyle w:val="IFTcita"/>
        <w:spacing w:before="240" w:after="0"/>
        <w:jc w:val="right"/>
        <w:rPr>
          <w:b w:val="0"/>
        </w:rPr>
      </w:pPr>
      <w:r w:rsidRPr="009C14C4">
        <w:rPr>
          <w:b w:val="0"/>
        </w:rPr>
        <w:t>(Énfasis añadido)</w:t>
      </w:r>
    </w:p>
    <w:p w:rsidR="007C4016" w:rsidRDefault="007C4016" w:rsidP="007C4016">
      <w:pPr>
        <w:pStyle w:val="IFTnormal"/>
        <w:spacing w:before="240" w:after="0"/>
        <w:rPr>
          <w:lang w:val="es-ES"/>
        </w:rPr>
      </w:pPr>
      <w:r>
        <w:rPr>
          <w:lang w:val="es-ES"/>
        </w:rPr>
        <w:t xml:space="preserve">Con base a lo mencionado anteriormente, el Instituto considera que los procedimientos propuestos por el AEP no reflejan condiciones equivalentes a la Oferta de Referencia Vigente, ya que en principio define nuevas actividades que conllevan consecuentemente a la ampliación de plazos. Inclusive, las nuevas </w:t>
      </w:r>
      <w:r>
        <w:rPr>
          <w:lang w:val="es-ES"/>
        </w:rPr>
        <w:lastRenderedPageBreak/>
        <w:t>actividades implican costos adicionales para los CS respecto a la Oferta de Referencia Vigente.</w:t>
      </w:r>
    </w:p>
    <w:p w:rsidR="007C4016" w:rsidRPr="0094185D" w:rsidRDefault="007C4016" w:rsidP="007C4016">
      <w:pPr>
        <w:pStyle w:val="IFTnormal"/>
        <w:spacing w:before="240" w:after="0"/>
        <w:rPr>
          <w:lang w:val="es-ES"/>
        </w:rPr>
      </w:pPr>
      <w:r>
        <w:rPr>
          <w:lang w:val="es-ES"/>
        </w:rPr>
        <w:t xml:space="preserve">A consideración del Instituto, una condición fundamental para la correcta prestación de los servicios tiene que ver con la disponibilidad de la información que el AEP hace de su infraestructura a través del SEG. Al respecto, la Medida </w:t>
      </w:r>
      <w:r w:rsidRPr="0001269C">
        <w:rPr>
          <w:lang w:val="es-ES"/>
        </w:rPr>
        <w:t>VIGÉSIMA SEXTA</w:t>
      </w:r>
      <w:r>
        <w:rPr>
          <w:lang w:val="es-ES"/>
        </w:rPr>
        <w:t xml:space="preserve"> establece:</w:t>
      </w:r>
    </w:p>
    <w:p w:rsidR="007C4016" w:rsidRDefault="007C4016" w:rsidP="007C4016">
      <w:pPr>
        <w:pStyle w:val="CitaIFT"/>
        <w:spacing w:before="240" w:after="0"/>
        <w:rPr>
          <w:lang w:val="es-ES"/>
        </w:rPr>
      </w:pPr>
      <w:r>
        <w:rPr>
          <w:lang w:val="es-ES"/>
        </w:rPr>
        <w:t>“</w:t>
      </w:r>
      <w:r w:rsidRPr="0087469D">
        <w:rPr>
          <w:b/>
          <w:lang w:val="es-ES"/>
        </w:rPr>
        <w:t xml:space="preserve">VIGÉSIMA SEXTA.- </w:t>
      </w:r>
      <w:r w:rsidRPr="00C37C33">
        <w:rPr>
          <w:lang w:val="es-ES"/>
        </w:rPr>
        <w:t>El Agente Económico Preponderante deberá poner a disposición del Instituto</w:t>
      </w:r>
      <w:r>
        <w:rPr>
          <w:lang w:val="es-ES"/>
        </w:rPr>
        <w:t xml:space="preserve"> y de </w:t>
      </w:r>
      <w:r w:rsidRPr="00C37C33">
        <w:rPr>
          <w:lang w:val="es-ES"/>
        </w:rPr>
        <w:t>los Concesionarios Solicitantes, a través del Sistema Electrónico de Gestión, información relativa a sus instalaciones, misma que deberá mantenerse actualizada mensualmente. Dicha información deberá contener, al menos, lo siguiente</w:t>
      </w:r>
      <w:r w:rsidRPr="00D709DE">
        <w:rPr>
          <w:lang w:val="es-ES"/>
        </w:rPr>
        <w:t>:</w:t>
      </w:r>
    </w:p>
    <w:p w:rsidR="007C4016" w:rsidRDefault="007C4016" w:rsidP="007C4016">
      <w:pPr>
        <w:pStyle w:val="CitaIFT"/>
        <w:numPr>
          <w:ilvl w:val="0"/>
          <w:numId w:val="187"/>
        </w:numPr>
        <w:spacing w:before="240" w:after="0"/>
      </w:pPr>
      <w:r w:rsidRPr="001857C7">
        <w:t>Información georreferenciada de la infraestructura correspondiente a estaciones, radiobases, sitios de transmisión, postes, pozos, registros, centrales y los demás que sean necesarios para la eficiente prestación de los servicios de telecomunicaciones.</w:t>
      </w:r>
    </w:p>
    <w:p w:rsidR="007C4016" w:rsidRDefault="007C4016" w:rsidP="007C4016">
      <w:pPr>
        <w:pStyle w:val="CitaIFT"/>
        <w:numPr>
          <w:ilvl w:val="0"/>
          <w:numId w:val="187"/>
        </w:numPr>
        <w:spacing w:before="240" w:after="0"/>
      </w:pPr>
      <w:r w:rsidRPr="001857C7">
        <w:t>Mapas esquemáticos con las rutas de los ductos.</w:t>
      </w:r>
    </w:p>
    <w:p w:rsidR="007C4016" w:rsidRPr="001857C7" w:rsidRDefault="007C4016" w:rsidP="007C4016">
      <w:pPr>
        <w:pStyle w:val="CitaIFT"/>
        <w:numPr>
          <w:ilvl w:val="0"/>
          <w:numId w:val="187"/>
        </w:numPr>
        <w:spacing w:before="240" w:after="0"/>
      </w:pPr>
      <w:r w:rsidRPr="001857C7">
        <w:t>Las características técnicas de la infra</w:t>
      </w:r>
      <w:r>
        <w:tab/>
      </w:r>
      <w:r w:rsidRPr="001857C7">
        <w:t>estructura.</w:t>
      </w:r>
    </w:p>
    <w:p w:rsidR="007C4016" w:rsidRPr="001857C7" w:rsidRDefault="007C4016" w:rsidP="007C4016">
      <w:pPr>
        <w:pStyle w:val="CitaIFT"/>
        <w:numPr>
          <w:ilvl w:val="0"/>
          <w:numId w:val="187"/>
        </w:numPr>
        <w:spacing w:before="240" w:after="0"/>
      </w:pPr>
      <w:r w:rsidRPr="001857C7">
        <w:t>La Capacidad Excedente de Infraestructura Pasiva.</w:t>
      </w:r>
    </w:p>
    <w:p w:rsidR="007C4016" w:rsidRDefault="007C4016" w:rsidP="007C4016">
      <w:pPr>
        <w:pStyle w:val="CitaIFT"/>
        <w:numPr>
          <w:ilvl w:val="0"/>
          <w:numId w:val="187"/>
        </w:numPr>
        <w:spacing w:before="240" w:after="0"/>
        <w:rPr>
          <w:lang w:val="es-ES"/>
        </w:rPr>
      </w:pPr>
      <w:r w:rsidRPr="001857C7">
        <w:t>Normas de seguridad para el acceso a las instalaciones.</w:t>
      </w:r>
      <w:r>
        <w:t>”</w:t>
      </w:r>
    </w:p>
    <w:p w:rsidR="007C4016" w:rsidRDefault="007C4016" w:rsidP="007C4016">
      <w:pPr>
        <w:pStyle w:val="IFTnormal"/>
        <w:spacing w:before="240" w:after="0"/>
        <w:rPr>
          <w:lang w:val="es-ES"/>
        </w:rPr>
      </w:pPr>
      <w:r>
        <w:rPr>
          <w:lang w:val="es-ES"/>
        </w:rPr>
        <w:t xml:space="preserve">La posibilidad de acceder a la información de infraestructura, le permite a los CS contar con elementos de manera expedita para una toma de decisiones más eficiente, sin tener que depender de los plazos propuestos por Telnor, permitiendo hacer ajustes a los procedimientos. No disponer de dicha información podría representar una barrera a la entrada que inhibe el proceso de competencia. Asimismo, el procedimiento propuesto por el AEP no es preciso respecto a las acciones o actividades a seguir cuando se presenten ciertas circunstancias particulares, lo cual deja en estado de incertidumbre a los CS. De manera particular, el Instituto considera conveniente establecer la obligación al AEP de ofrecer una ruta alternativa cuando los costos asociados a proyectos especiales sean superiores a determinado monto, con el fin de no generar costos innecesarios a los CS. Asimismo, se deberá especificar criterios para determinar que no existe capacidad excedente para fines del ofrecimiento de canales ópticos de alta capacidad o fibra obscura. </w:t>
      </w:r>
    </w:p>
    <w:p w:rsidR="007C4016" w:rsidRDefault="007C4016" w:rsidP="007C4016">
      <w:pPr>
        <w:pStyle w:val="IFTnormal"/>
        <w:spacing w:before="240" w:after="0"/>
        <w:rPr>
          <w:lang w:val="es-ES"/>
        </w:rPr>
      </w:pPr>
      <w:r>
        <w:rPr>
          <w:lang w:val="es-ES"/>
        </w:rPr>
        <w:t xml:space="preserve">Con independencia de lo anterior, el Instituto realizó una revisión integral de los plazos propuestos por Telnor para cada una de las actividades de los procesos, identificando que el alcance de las actividades y la operación eficiente de herramientas como el SEG puedan fomentar la reducción de los mismos, y con ello </w:t>
      </w:r>
      <w:r>
        <w:rPr>
          <w:lang w:val="es-ES"/>
        </w:rPr>
        <w:lastRenderedPageBreak/>
        <w:t xml:space="preserve">una provisión más eficiente de los servicios solicitados por los CS, tal que no les haga incurrir en costos en términos de plazos innecesariamente prolongados. Este mismo razonamiento se realizó en las diferentes secciones donde se encuentra algún procedimiento o actividades a realizar por parte del AEP. </w:t>
      </w:r>
    </w:p>
    <w:p w:rsidR="007C4016" w:rsidRDefault="007C4016" w:rsidP="007C4016">
      <w:pPr>
        <w:pStyle w:val="IFTnormal"/>
        <w:spacing w:before="240" w:after="0"/>
        <w:rPr>
          <w:lang w:val="es-ES"/>
        </w:rPr>
      </w:pPr>
      <w:r>
        <w:rPr>
          <w:lang w:val="es-ES"/>
        </w:rPr>
        <w:t xml:space="preserve">Es por ello que el Instituto considera procedente que los procedimientos deban ser modificados para solventar diversas </w:t>
      </w:r>
      <w:r w:rsidRPr="00146ED6">
        <w:rPr>
          <w:lang w:val="es-ES"/>
        </w:rPr>
        <w:t>situaciones</w:t>
      </w:r>
      <w:r>
        <w:rPr>
          <w:lang w:val="es-ES"/>
        </w:rPr>
        <w:t xml:space="preserve"> que podrían operar en detrimento de la utilidad de la Oferta de Referencia,</w:t>
      </w:r>
      <w:r w:rsidRPr="00735C7E">
        <w:t xml:space="preserve"> establecen condicione</w:t>
      </w:r>
      <w:r>
        <w:t>s que inhiben la competencia, o</w:t>
      </w:r>
      <w:r w:rsidRPr="00735C7E">
        <w:t xml:space="preserve"> establecen requisitos innecesarios para la prestación de los servicios </w:t>
      </w:r>
      <w:r>
        <w:rPr>
          <w:lang w:val="es-ES"/>
        </w:rPr>
        <w:t>cómo los siguientes:</w:t>
      </w:r>
    </w:p>
    <w:p w:rsidR="007C4016" w:rsidRDefault="007C4016" w:rsidP="007C4016">
      <w:pPr>
        <w:pStyle w:val="IFTnormal"/>
        <w:numPr>
          <w:ilvl w:val="0"/>
          <w:numId w:val="66"/>
        </w:numPr>
        <w:spacing w:before="240" w:after="0"/>
      </w:pPr>
      <w:r>
        <w:t>Información de inventarios de Infraestructura del AEP en el SEG.</w:t>
      </w:r>
    </w:p>
    <w:p w:rsidR="007C4016" w:rsidRDefault="007C4016" w:rsidP="007C4016">
      <w:pPr>
        <w:pStyle w:val="IFTnormal"/>
        <w:numPr>
          <w:ilvl w:val="0"/>
          <w:numId w:val="66"/>
        </w:numPr>
        <w:spacing w:before="240" w:after="0"/>
      </w:pPr>
      <w:r>
        <w:t>Plazos de respuesta del AEP hacia los CS en las actividades.</w:t>
      </w:r>
    </w:p>
    <w:p w:rsidR="007C4016" w:rsidRDefault="007C4016" w:rsidP="007C4016">
      <w:pPr>
        <w:pStyle w:val="IFTnormal"/>
        <w:numPr>
          <w:ilvl w:val="0"/>
          <w:numId w:val="66"/>
        </w:numPr>
        <w:spacing w:before="240" w:after="0"/>
      </w:pPr>
      <w:r>
        <w:t>Referencias al Sistema de Captura.</w:t>
      </w:r>
    </w:p>
    <w:p w:rsidR="007C4016" w:rsidRDefault="007C4016" w:rsidP="007C4016">
      <w:pPr>
        <w:pStyle w:val="IFTnormal"/>
        <w:numPr>
          <w:ilvl w:val="0"/>
          <w:numId w:val="66"/>
        </w:numPr>
        <w:spacing w:before="240" w:after="0"/>
      </w:pPr>
      <w:r>
        <w:t>Que los procesos y diagramas de flujo sigan un orden o secuencia. Actualmente es complejo el seguimiento de las actividades en ambas referencias, por lo tanto, los Diagramas de Flujo de los Servicios contenidos en el Anexo 5 serán eliminados en razón de que resultan confusos e imprecisos. El tratamiento y justificación de esta resolución se encuentra en el Anexo correspondiente.</w:t>
      </w:r>
    </w:p>
    <w:p w:rsidR="007C4016" w:rsidRDefault="007C4016" w:rsidP="007C4016">
      <w:pPr>
        <w:pStyle w:val="IFTnormal"/>
        <w:numPr>
          <w:ilvl w:val="0"/>
          <w:numId w:val="66"/>
        </w:numPr>
        <w:spacing w:before="240" w:after="0"/>
      </w:pPr>
      <w:r>
        <w:t>El AEP no delimita la viabilidad de los trabajos especiales en términos de restringir de algún modo si un proyecto especial es realizable, comparado con el proyecto original, con lo cual, el AEP motiva a que el CS siempre tenga una opción aparente de solución, sin llegar a determinar una solución alternativa como el uso de los canales ópticos o la fibra obscura. Identificación que las actividades relacionadas con los trabajos especiales o adicionales implican aumentos sustanciales al costo en general, lo que da como consecuencia que un porcentaje alto de los proyectos puedan considerarse onerosos e irrealizables por los CS.</w:t>
      </w:r>
    </w:p>
    <w:p w:rsidR="007C4016" w:rsidRDefault="007C4016" w:rsidP="007C4016">
      <w:pPr>
        <w:pStyle w:val="IFTnormal"/>
        <w:numPr>
          <w:ilvl w:val="0"/>
          <w:numId w:val="66"/>
        </w:numPr>
        <w:spacing w:before="240" w:after="0"/>
      </w:pPr>
      <w:r>
        <w:t>Eliminar actividades con costo adicional que antes no existían y que pudieran afectar negativamente los procesos contratación, modificación o baja del servicio, entre las que destacan:</w:t>
      </w:r>
    </w:p>
    <w:p w:rsidR="007C4016" w:rsidRDefault="007C4016" w:rsidP="007C4016">
      <w:pPr>
        <w:pStyle w:val="IFTnormal"/>
        <w:numPr>
          <w:ilvl w:val="1"/>
          <w:numId w:val="66"/>
        </w:numPr>
        <w:spacing w:before="240" w:after="0"/>
      </w:pPr>
      <w:r w:rsidRPr="00B52F7B">
        <w:t>Solicitud de acceso a la inform</w:t>
      </w:r>
      <w:r>
        <w:t>ación de infraestructura de red</w:t>
      </w:r>
    </w:p>
    <w:p w:rsidR="007C4016" w:rsidRDefault="007C4016" w:rsidP="007C4016">
      <w:pPr>
        <w:pStyle w:val="IFTnormal"/>
        <w:numPr>
          <w:ilvl w:val="1"/>
          <w:numId w:val="66"/>
        </w:numPr>
        <w:spacing w:before="240" w:after="0"/>
      </w:pPr>
      <w:r>
        <w:lastRenderedPageBreak/>
        <w:t>Análisis de Disponibilidad</w:t>
      </w:r>
    </w:p>
    <w:p w:rsidR="007C4016" w:rsidRDefault="007C4016" w:rsidP="007C4016">
      <w:pPr>
        <w:pStyle w:val="IFTnormal"/>
        <w:numPr>
          <w:ilvl w:val="1"/>
          <w:numId w:val="66"/>
        </w:numPr>
        <w:spacing w:before="240" w:after="0"/>
      </w:pPr>
      <w:r w:rsidRPr="00B52F7B">
        <w:t>Inspección</w:t>
      </w:r>
    </w:p>
    <w:p w:rsidR="007C4016" w:rsidRPr="00C522FC" w:rsidRDefault="007C4016" w:rsidP="007C4016">
      <w:pPr>
        <w:pStyle w:val="IFTnormal"/>
        <w:numPr>
          <w:ilvl w:val="0"/>
          <w:numId w:val="66"/>
        </w:numPr>
        <w:spacing w:before="240" w:after="0"/>
      </w:pPr>
      <w:r w:rsidRPr="005F6B34">
        <w:t>Relacionar</w:t>
      </w:r>
      <w:r>
        <w:t xml:space="preserve"> el procedimiento del Servicio de Acceso y Uso Compartido de Obra Civil – Ductos con el Servicio de Canal Óptico de Alta Capacidad y Fibra Obscura.</w:t>
      </w:r>
    </w:p>
    <w:p w:rsidR="007C4016" w:rsidRDefault="007C4016" w:rsidP="007C4016">
      <w:pPr>
        <w:pStyle w:val="IFTnormal"/>
        <w:spacing w:before="240" w:after="0"/>
        <w:rPr>
          <w:lang w:val="es-ES"/>
        </w:rPr>
      </w:pPr>
      <w:r>
        <w:rPr>
          <w:lang w:val="es-ES"/>
        </w:rPr>
        <w:t xml:space="preserve">Por lo tanto el Instituto resuelve la modificación de los procesos de </w:t>
      </w:r>
      <w:r>
        <w:t>contratación, modificación y baja del Servicio de Acceso y Uso Compartido de Obra Civil</w:t>
      </w:r>
      <w:r>
        <w:rPr>
          <w:lang w:val="es-ES"/>
        </w:rPr>
        <w:t>, a fin de alcanzar los siguientes objetivos:</w:t>
      </w:r>
    </w:p>
    <w:p w:rsidR="007C4016" w:rsidRPr="000B449E" w:rsidRDefault="007C4016" w:rsidP="007C4016">
      <w:pPr>
        <w:pStyle w:val="IFTnormal"/>
        <w:numPr>
          <w:ilvl w:val="0"/>
          <w:numId w:val="69"/>
        </w:numPr>
        <w:spacing w:before="240" w:after="0"/>
        <w:rPr>
          <w:lang w:val="es-ES"/>
        </w:rPr>
      </w:pPr>
      <w:r>
        <w:rPr>
          <w:lang w:val="es-ES"/>
        </w:rPr>
        <w:t>Que la información proporcionada a través del SEG permita la correcta prestación de los servicios.</w:t>
      </w:r>
    </w:p>
    <w:p w:rsidR="007C4016" w:rsidRPr="009E7800" w:rsidRDefault="007C4016" w:rsidP="007C4016">
      <w:pPr>
        <w:pStyle w:val="IFTnormal"/>
        <w:numPr>
          <w:ilvl w:val="0"/>
          <w:numId w:val="69"/>
        </w:numPr>
        <w:spacing w:before="240" w:after="0"/>
        <w:rPr>
          <w:lang w:val="es-ES"/>
        </w:rPr>
      </w:pPr>
      <w:r>
        <w:t>Otorgar claridad en</w:t>
      </w:r>
      <w:r w:rsidRPr="00C522FC">
        <w:t xml:space="preserve"> la redacción, comprensión y s</w:t>
      </w:r>
      <w:r>
        <w:t>eguimiento a las etapas o actividades de cada procedimiento.</w:t>
      </w:r>
    </w:p>
    <w:p w:rsidR="007C4016" w:rsidRDefault="007C4016" w:rsidP="007C4016">
      <w:pPr>
        <w:pStyle w:val="IFTnormal"/>
        <w:numPr>
          <w:ilvl w:val="0"/>
          <w:numId w:val="69"/>
        </w:numPr>
        <w:spacing w:before="240" w:after="0"/>
        <w:rPr>
          <w:lang w:val="es-ES"/>
        </w:rPr>
      </w:pPr>
      <w:r>
        <w:t>E</w:t>
      </w:r>
      <w:r w:rsidRPr="00C522FC">
        <w:t xml:space="preserve">stablecer </w:t>
      </w:r>
      <w:r>
        <w:t>una estructura de procedimiento</w:t>
      </w:r>
      <w:r w:rsidRPr="00C522FC">
        <w:t xml:space="preserve"> que facilite </w:t>
      </w:r>
      <w:r>
        <w:t>la</w:t>
      </w:r>
      <w:r w:rsidRPr="00C522FC">
        <w:t xml:space="preserve"> comprensión y seguimiento a</w:t>
      </w:r>
      <w:r>
        <w:t xml:space="preserve"> los mismos, que permita </w:t>
      </w:r>
      <w:r>
        <w:rPr>
          <w:lang w:val="es-ES"/>
        </w:rPr>
        <w:t xml:space="preserve">delimitar los alcances de cada actividad o etapa </w:t>
      </w:r>
      <w:r>
        <w:t>a efectos de que los involucrados puedan realizar una correcta planeación de sus actividades.</w:t>
      </w:r>
    </w:p>
    <w:p w:rsidR="007C4016" w:rsidRPr="005F6B34" w:rsidRDefault="007C4016" w:rsidP="007C4016">
      <w:pPr>
        <w:pStyle w:val="IFTnormal"/>
        <w:numPr>
          <w:ilvl w:val="0"/>
          <w:numId w:val="69"/>
        </w:numPr>
        <w:spacing w:before="240" w:after="0"/>
        <w:rPr>
          <w:lang w:val="es-ES"/>
        </w:rPr>
      </w:pPr>
      <w:r w:rsidRPr="005F6B34">
        <w:rPr>
          <w:lang w:val="es-ES"/>
        </w:rPr>
        <w:t>Con el fin de otorgar mayor certidumbre a los CS, y evitar la acumulación de costos que pueda derivar en el rechazo de solicitudes, establecer que si la cotización de un proyecto especial es superior al 30% del proyecto original, el AEP deberá ofrecer una ruta alternativa, canales ópticos o fibra obscura. Quedará a discreción del CS decidir si acepta realizar los trabajos especiales de recuperación de espacio o de adecuaciones.</w:t>
      </w:r>
    </w:p>
    <w:p w:rsidR="007C4016" w:rsidRPr="005F6B34" w:rsidRDefault="007C4016" w:rsidP="007C4016">
      <w:pPr>
        <w:pStyle w:val="IFTnormal"/>
        <w:spacing w:before="240" w:after="0"/>
        <w:ind w:left="720"/>
        <w:rPr>
          <w:lang w:val="es-ES"/>
        </w:rPr>
      </w:pPr>
      <w:r w:rsidRPr="005F6B34">
        <w:rPr>
          <w:lang w:val="es-ES"/>
        </w:rPr>
        <w:t>P</w:t>
      </w:r>
      <w:r w:rsidRPr="00E628BB">
        <w:t>ara soportar lo anterior se inserta un párrafo de los comentarios recibidos en la Consulta Pública con lo manifestado respecto del incremento en los costos derivados de los trabajos especiales o adecuaciones:</w:t>
      </w:r>
    </w:p>
    <w:p w:rsidR="007C4016" w:rsidRPr="005F6B34" w:rsidRDefault="007C4016" w:rsidP="007C4016">
      <w:pPr>
        <w:pStyle w:val="Citaift0"/>
        <w:spacing w:before="240" w:after="0"/>
        <w:rPr>
          <w:b/>
          <w:u w:val="single"/>
        </w:rPr>
      </w:pPr>
      <w:r w:rsidRPr="00E628BB">
        <w:t>“La ejecución de las actividades previas para que el CS pueda tener acceso a la infraestructura del AEP, en el periodo 2016 de 377 solicitudes ingresadas al AEP, el 40% de ellas cotizaron Adecuaciones y en lo que va del año 2017, se tienen 340 solicitudes ingresadas con un 33% con cotización de Adecuaciones a la infraestructura, en resumen, el 60% de los cargos corresponde a los no recurrentes a pagar por el CS</w:t>
      </w:r>
      <w:r w:rsidRPr="00E628BB">
        <w:rPr>
          <w:b/>
          <w:u w:val="single"/>
        </w:rPr>
        <w:t>, y donde en promedio el 28% de los proyectos instalados fue necesario realizar trabajos previos por adecuaciones.”</w:t>
      </w:r>
    </w:p>
    <w:p w:rsidR="007C4016" w:rsidRPr="00E628BB" w:rsidRDefault="007C4016" w:rsidP="007C4016">
      <w:pPr>
        <w:pStyle w:val="Citaift0"/>
        <w:spacing w:before="240" w:after="0"/>
        <w:ind w:left="720"/>
        <w:jc w:val="right"/>
        <w:rPr>
          <w:highlight w:val="yellow"/>
        </w:rPr>
      </w:pPr>
      <w:r w:rsidRPr="00E628BB">
        <w:lastRenderedPageBreak/>
        <w:t>(Énfasis añadido)</w:t>
      </w:r>
    </w:p>
    <w:p w:rsidR="007C4016" w:rsidRDefault="007C4016" w:rsidP="007C4016">
      <w:pPr>
        <w:pStyle w:val="IFTnormal"/>
        <w:spacing w:before="240" w:after="0"/>
        <w:ind w:left="720"/>
        <w:rPr>
          <w:lang w:val="es-ES"/>
        </w:rPr>
      </w:pPr>
      <w:r w:rsidRPr="00E628BB">
        <w:rPr>
          <w:lang w:val="es-ES"/>
        </w:rPr>
        <w:t xml:space="preserve">De esta cita se puede inferir que el umbral o rango máximo de aceptación de proyectos con trabajos especiales o adecuaciones con su consecuente costo adicional se sitúa alrededor de un 30%. </w:t>
      </w:r>
    </w:p>
    <w:p w:rsidR="007C4016" w:rsidRPr="0032311A" w:rsidRDefault="007C4016" w:rsidP="007C4016">
      <w:pPr>
        <w:pStyle w:val="IFTnormal"/>
        <w:numPr>
          <w:ilvl w:val="0"/>
          <w:numId w:val="69"/>
        </w:numPr>
        <w:spacing w:before="240" w:after="0"/>
        <w:rPr>
          <w:lang w:val="es-ES"/>
        </w:rPr>
      </w:pPr>
      <w:r>
        <w:rPr>
          <w:lang w:val="es-ES"/>
        </w:rPr>
        <w:t>Definir plazos de respuesta tanto para el AEP como para el CS. En este último caso cuando se identifica que resulta necesario para el óptimo aprovechamiento de la infraestructura.</w:t>
      </w:r>
    </w:p>
    <w:p w:rsidR="007C4016" w:rsidRPr="0032311A" w:rsidRDefault="007C4016" w:rsidP="007C4016">
      <w:pPr>
        <w:pStyle w:val="IFTnormal"/>
        <w:numPr>
          <w:ilvl w:val="0"/>
          <w:numId w:val="69"/>
        </w:numPr>
        <w:spacing w:before="240" w:after="0"/>
        <w:rPr>
          <w:lang w:val="es-ES"/>
        </w:rPr>
      </w:pPr>
      <w:r>
        <w:rPr>
          <w:lang w:val="es-ES"/>
        </w:rPr>
        <w:t>Evitar los posibles obstáculos a los procedimientos que deriven en alargamiento de plazos y de costos adicionales innecesarios.</w:t>
      </w:r>
    </w:p>
    <w:p w:rsidR="007C4016" w:rsidRDefault="007C4016" w:rsidP="007C4016">
      <w:pPr>
        <w:pStyle w:val="IFTnormal"/>
        <w:numPr>
          <w:ilvl w:val="0"/>
          <w:numId w:val="69"/>
        </w:numPr>
        <w:spacing w:before="240" w:after="0"/>
        <w:rPr>
          <w:lang w:val="es-ES"/>
        </w:rPr>
      </w:pPr>
      <w:r>
        <w:rPr>
          <w:lang w:val="es-ES"/>
        </w:rPr>
        <w:t>Facturación de servicios al concluir las actividades previstas en el procedimiento para inhibir costos innecesarios y;</w:t>
      </w:r>
    </w:p>
    <w:p w:rsidR="007C4016" w:rsidRPr="0032311A" w:rsidRDefault="007C4016" w:rsidP="007C4016">
      <w:pPr>
        <w:pStyle w:val="IFTnormal"/>
        <w:numPr>
          <w:ilvl w:val="0"/>
          <w:numId w:val="69"/>
        </w:numPr>
        <w:spacing w:before="240" w:after="0"/>
        <w:rPr>
          <w:lang w:val="es-ES"/>
        </w:rPr>
      </w:pPr>
      <w:r>
        <w:rPr>
          <w:lang w:val="es-ES"/>
        </w:rPr>
        <w:t>Contar con los documentos que permitan la rastreabilidad, rendición de cuentas y deslinde de responsabilidades, formatos y actas firmados.</w:t>
      </w:r>
    </w:p>
    <w:p w:rsidR="007C4016" w:rsidRDefault="007C4016" w:rsidP="007C4016">
      <w:pPr>
        <w:pStyle w:val="IFTnormal"/>
        <w:spacing w:before="240" w:after="0"/>
        <w:rPr>
          <w:lang w:val="es-ES"/>
        </w:rPr>
      </w:pPr>
      <w:r>
        <w:rPr>
          <w:lang w:val="es-ES"/>
        </w:rPr>
        <w:t>Para efectos</w:t>
      </w:r>
      <w:r w:rsidRPr="005247B8">
        <w:t xml:space="preserve"> de facilitar la l</w:t>
      </w:r>
      <w:r>
        <w:t>ectura del presente Acuerdo</w:t>
      </w:r>
      <w:r>
        <w:rPr>
          <w:lang w:val="es-ES"/>
        </w:rPr>
        <w:t xml:space="preserve"> y evitar repeticiones, el Instituto considera que el análisis a los procedimientos y sus determinaciones son aplicables a los demás servicios contemplados en la Propuesta de Oferta de Referencia, con excepción de aquellos temas particulares que deban tratarse en sus Secciones respectivas, y cuyos resultados se reflejaran en las redacciones finales de los procedimientos correspondientes.</w:t>
      </w:r>
    </w:p>
    <w:p w:rsidR="007C4016" w:rsidRDefault="007C4016" w:rsidP="007C4016">
      <w:pPr>
        <w:spacing w:before="240" w:after="0"/>
        <w:rPr>
          <w:rFonts w:ascii="ITC Avant Garde" w:eastAsia="MS Mincho" w:hAnsi="ITC Avant Garde" w:cs="Calibri"/>
          <w:b/>
          <w:sz w:val="22"/>
          <w:szCs w:val="22"/>
          <w:lang w:val="es-ES" w:eastAsia="en-US"/>
        </w:rPr>
      </w:pPr>
      <w:r>
        <w:rPr>
          <w:rFonts w:ascii="ITC Avant Garde" w:eastAsia="MS Mincho" w:hAnsi="ITC Avant Garde" w:cs="Calibri"/>
          <w:b/>
          <w:sz w:val="22"/>
          <w:szCs w:val="22"/>
          <w:lang w:val="es-ES" w:eastAsia="en-US"/>
        </w:rPr>
        <w:t>Redacción Definitiva</w:t>
      </w:r>
    </w:p>
    <w:p w:rsidR="007C4016" w:rsidRPr="00CD224C" w:rsidRDefault="007C4016" w:rsidP="007C4016">
      <w:pPr>
        <w:pStyle w:val="IFTnormal"/>
        <w:spacing w:before="240" w:after="0"/>
      </w:pPr>
      <w:r w:rsidRPr="00CD224C">
        <w:t>Derivado del análisis realizado, el Instituto resuelve que el numeral “</w:t>
      </w:r>
      <w:r w:rsidRPr="00CD224C">
        <w:rPr>
          <w:i/>
        </w:rPr>
        <w:t>1.1 Procedimientos para la contratación, modificación y baja de los servicios</w:t>
      </w:r>
      <w:r w:rsidRPr="00CD224C">
        <w:t xml:space="preserve">” correspondiente al </w:t>
      </w:r>
      <w:r w:rsidRPr="00CD224C">
        <w:rPr>
          <w:i/>
        </w:rPr>
        <w:t>“Servicio de Acceso y Uso compartido de Obra Civil”</w:t>
      </w:r>
      <w:r w:rsidRPr="00CD224C">
        <w:t xml:space="preserve"> deberá quedar de la siguiente manera:</w:t>
      </w:r>
    </w:p>
    <w:p w:rsidR="007C4016" w:rsidRPr="00A0362D" w:rsidRDefault="007C4016" w:rsidP="007C4016">
      <w:pPr>
        <w:pStyle w:val="CondicionesFinales"/>
        <w:spacing w:before="240" w:after="0"/>
        <w:rPr>
          <w:b/>
          <w:color w:val="auto"/>
          <w:lang w:val="es-MX"/>
        </w:rPr>
      </w:pPr>
      <w:r w:rsidRPr="00A0362D">
        <w:rPr>
          <w:b/>
          <w:color w:val="auto"/>
          <w:lang w:val="es-MX"/>
        </w:rPr>
        <w:t>1.1 Procedimientos para la contratación, modificación y baja de los servicios.</w:t>
      </w:r>
    </w:p>
    <w:p w:rsidR="007C4016" w:rsidRPr="00A0362D" w:rsidRDefault="007C4016" w:rsidP="007C4016">
      <w:pPr>
        <w:pStyle w:val="CitaIFT"/>
        <w:spacing w:before="240" w:after="0"/>
        <w:rPr>
          <w:i w:val="0"/>
          <w:color w:val="auto"/>
          <w:sz w:val="22"/>
          <w:szCs w:val="22"/>
        </w:rPr>
      </w:pPr>
      <w:r w:rsidRPr="00A0362D">
        <w:rPr>
          <w:i w:val="0"/>
          <w:color w:val="auto"/>
          <w:sz w:val="22"/>
          <w:szCs w:val="22"/>
        </w:rPr>
        <w:t>A continuación se describen los procedimientos a seguir para la contratación, modificación y baja de del servicio. Los plazos para la realización de estas actividades así como los indicadores de nivel de servicio se encuentran detallados en el Anexo 4 de la Oferta.</w:t>
      </w:r>
    </w:p>
    <w:p w:rsidR="007C4016" w:rsidRPr="00A0362D" w:rsidRDefault="007C4016" w:rsidP="007C4016">
      <w:pPr>
        <w:pStyle w:val="CondicionesFinales"/>
        <w:spacing w:before="240" w:after="0"/>
        <w:rPr>
          <w:b/>
          <w:color w:val="auto"/>
          <w:lang w:val="es-MX"/>
        </w:rPr>
      </w:pPr>
      <w:r>
        <w:rPr>
          <w:b/>
          <w:color w:val="auto"/>
          <w:lang w:val="es-MX"/>
        </w:rPr>
        <w:lastRenderedPageBreak/>
        <w:t xml:space="preserve">a. </w:t>
      </w:r>
      <w:r w:rsidRPr="00A0362D">
        <w:rPr>
          <w:b/>
          <w:color w:val="auto"/>
          <w:lang w:val="es-MX"/>
        </w:rPr>
        <w:t xml:space="preserve">Contratación </w:t>
      </w:r>
    </w:p>
    <w:p w:rsidR="007C4016" w:rsidRDefault="007C4016" w:rsidP="007C4016">
      <w:pPr>
        <w:pStyle w:val="CitaIFT"/>
        <w:spacing w:before="240" w:after="0"/>
        <w:rPr>
          <w:i w:val="0"/>
          <w:color w:val="auto"/>
          <w:sz w:val="22"/>
          <w:szCs w:val="22"/>
        </w:rPr>
      </w:pPr>
      <w:r w:rsidRPr="00A0362D">
        <w:rPr>
          <w:i w:val="0"/>
          <w:color w:val="auto"/>
          <w:sz w:val="22"/>
          <w:szCs w:val="22"/>
        </w:rPr>
        <w:t xml:space="preserve">Queda establecido que mediante el envío de la solicitud, el CS consiente realizar el pago por los cargos no recurrentes así como por los elementos de cobro que conforman el servicio. Asimismo si el CS rechaza el servicio o decide no continuar con el procedimiento deberá liquidar el monto generado por las actividades realizadas hasta el momento que decidió terminar el procedimiento. </w:t>
      </w:r>
    </w:p>
    <w:p w:rsidR="007C4016" w:rsidRPr="00A0362D" w:rsidRDefault="007C4016" w:rsidP="007C4016">
      <w:pPr>
        <w:pStyle w:val="CitaIFT"/>
        <w:spacing w:before="240" w:after="0"/>
        <w:rPr>
          <w:i w:val="0"/>
          <w:color w:val="auto"/>
          <w:sz w:val="22"/>
          <w:szCs w:val="22"/>
        </w:rPr>
      </w:pPr>
      <w:r w:rsidRPr="00A0362D">
        <w:rPr>
          <w:i w:val="0"/>
          <w:color w:val="auto"/>
          <w:sz w:val="22"/>
          <w:szCs w:val="22"/>
        </w:rPr>
        <w:t>Las actividades que conforman el procedimiento de contratación son las siguientes</w:t>
      </w:r>
      <w:r>
        <w:rPr>
          <w:i w:val="0"/>
          <w:color w:val="auto"/>
          <w:sz w:val="22"/>
          <w:szCs w:val="22"/>
        </w:rPr>
        <w:t>:</w:t>
      </w:r>
    </w:p>
    <w:tbl>
      <w:tblPr>
        <w:tblStyle w:val="Tablaconcuadrcula"/>
        <w:tblW w:w="3991" w:type="pct"/>
        <w:tblInd w:w="959" w:type="dxa"/>
        <w:tblLook w:val="04A0" w:firstRow="1" w:lastRow="0" w:firstColumn="1" w:lastColumn="0" w:noHBand="0" w:noVBand="1"/>
        <w:tblCaption w:val="Tabla"/>
        <w:tblDescription w:val="Contratación "/>
      </w:tblPr>
      <w:tblGrid>
        <w:gridCol w:w="1897"/>
        <w:gridCol w:w="5151"/>
      </w:tblGrid>
      <w:tr w:rsidR="007C4016" w:rsidRPr="00A0362D" w:rsidTr="005C782A">
        <w:trPr>
          <w:tblHeader/>
        </w:trPr>
        <w:tc>
          <w:tcPr>
            <w:tcW w:w="1346" w:type="pct"/>
            <w:shd w:val="clear" w:color="auto" w:fill="D9D9D9" w:themeFill="background1" w:themeFillShade="D9"/>
          </w:tcPr>
          <w:p w:rsidR="007C4016" w:rsidRPr="00CE2104" w:rsidRDefault="007C4016" w:rsidP="005C782A">
            <w:pPr>
              <w:pStyle w:val="IFTnormal"/>
              <w:spacing w:after="0"/>
            </w:pPr>
            <w:r w:rsidRPr="00CE2104">
              <w:t>Etapa</w:t>
            </w:r>
          </w:p>
        </w:tc>
        <w:tc>
          <w:tcPr>
            <w:tcW w:w="3654" w:type="pct"/>
            <w:shd w:val="clear" w:color="auto" w:fill="D9D9D9" w:themeFill="background1" w:themeFillShade="D9"/>
          </w:tcPr>
          <w:p w:rsidR="007C4016" w:rsidRPr="00CE2104" w:rsidRDefault="007C4016" w:rsidP="005C782A">
            <w:pPr>
              <w:pStyle w:val="IFTnormal"/>
              <w:spacing w:after="0"/>
            </w:pPr>
            <w:r w:rsidRPr="00CE2104">
              <w:t>Descripción</w:t>
            </w:r>
          </w:p>
        </w:tc>
      </w:tr>
      <w:tr w:rsidR="007C4016" w:rsidRPr="00A0362D" w:rsidTr="005C782A">
        <w:tc>
          <w:tcPr>
            <w:tcW w:w="1346" w:type="pct"/>
          </w:tcPr>
          <w:p w:rsidR="007C4016" w:rsidRPr="00CE2104" w:rsidRDefault="007C4016" w:rsidP="005C782A">
            <w:pPr>
              <w:pStyle w:val="IFTnormal"/>
              <w:spacing w:after="0"/>
            </w:pPr>
            <w:r w:rsidRPr="00CE2104">
              <w:t>Envío y Validación de solicitud</w:t>
            </w:r>
          </w:p>
        </w:tc>
        <w:tc>
          <w:tcPr>
            <w:tcW w:w="3654" w:type="pct"/>
          </w:tcPr>
          <w:p w:rsidR="007C4016" w:rsidRPr="00CE2104" w:rsidRDefault="007C4016" w:rsidP="005C782A">
            <w:pPr>
              <w:pStyle w:val="IFTnormal"/>
              <w:spacing w:after="0"/>
            </w:pPr>
            <w:r w:rsidRPr="00CE2104">
              <w:t>El CS presentará la solicitud de contratación en el formato correspo</w:t>
            </w:r>
            <w:r>
              <w:t>ndiente a través del SEG. Telnor</w:t>
            </w:r>
            <w:r w:rsidRPr="00CE2104">
              <w:t xml:space="preserve"> recibirá la solicitud y determinará</w:t>
            </w:r>
            <w:r>
              <w:t xml:space="preserve"> en 2 días hábiles</w:t>
            </w:r>
            <w:r w:rsidRPr="00CE2104">
              <w:t xml:space="preserve"> si la solicitud es: </w:t>
            </w:r>
          </w:p>
          <w:p w:rsidR="007C4016" w:rsidRPr="00CE2104" w:rsidRDefault="007C4016" w:rsidP="005C782A">
            <w:pPr>
              <w:pStyle w:val="IFTnormal"/>
              <w:numPr>
                <w:ilvl w:val="0"/>
                <w:numId w:val="62"/>
              </w:numPr>
              <w:spacing w:after="0"/>
            </w:pPr>
            <w:r w:rsidRPr="00CE2104">
              <w:t>Aceptada, Te</w:t>
            </w:r>
            <w:r>
              <w:t>lnor</w:t>
            </w:r>
            <w:r w:rsidRPr="00CE2104">
              <w:t xml:space="preserve"> valida que la solicitud cumple con los requisitos establecidos en los formatos, por lo tanto proceden con la Visita Técnica. Se asignará de forma automática un NIS maestro y en caso de que aplique el NIS de seccionamiento cada 5 km. </w:t>
            </w:r>
          </w:p>
          <w:p w:rsidR="007C4016" w:rsidRPr="00CE2104" w:rsidRDefault="007C4016" w:rsidP="005C782A">
            <w:pPr>
              <w:pStyle w:val="IFTnormal"/>
              <w:numPr>
                <w:ilvl w:val="0"/>
                <w:numId w:val="62"/>
              </w:numPr>
              <w:spacing w:after="0"/>
            </w:pPr>
            <w:r w:rsidRPr="00CE2104">
              <w:t>Rechazado, en caso de que la solicitud no cump</w:t>
            </w:r>
            <w:r>
              <w:t>liera con los requisitos, Telnor</w:t>
            </w:r>
            <w:r w:rsidRPr="00CE2104">
              <w:t xml:space="preserve"> notificará al CS a través del SEG que la solicitud ha sido rechazada y el motivo por el cual no se pudo procesar, de tal forma que el CS pueda corregir la información y reenviar la solicitud.</w:t>
            </w:r>
          </w:p>
        </w:tc>
      </w:tr>
      <w:tr w:rsidR="007C4016" w:rsidRPr="00A0362D" w:rsidTr="005C782A">
        <w:tc>
          <w:tcPr>
            <w:tcW w:w="1346" w:type="pct"/>
          </w:tcPr>
          <w:p w:rsidR="007C4016" w:rsidRPr="00CE2104" w:rsidRDefault="007C4016" w:rsidP="005C782A">
            <w:pPr>
              <w:pStyle w:val="IFTnormal"/>
              <w:spacing w:after="0"/>
            </w:pPr>
            <w:r w:rsidRPr="00CE2104">
              <w:t>Visita Técnica</w:t>
            </w:r>
          </w:p>
        </w:tc>
        <w:tc>
          <w:tcPr>
            <w:tcW w:w="3654" w:type="pct"/>
          </w:tcPr>
          <w:p w:rsidR="007C4016" w:rsidRDefault="007C4016" w:rsidP="005C782A">
            <w:pPr>
              <w:pStyle w:val="IFTnormal"/>
              <w:spacing w:after="0"/>
            </w:pPr>
            <w:r w:rsidRPr="00CE5D0C">
              <w:t>Una vez que se validó la so</w:t>
            </w:r>
            <w:r>
              <w:t>licitud y cuenta con NIS, Telnor</w:t>
            </w:r>
            <w:r w:rsidRPr="00CE5D0C">
              <w:t xml:space="preserve"> revisará la disponibilidad de fechas y horarios para </w:t>
            </w:r>
            <w:r>
              <w:t>realizar la programación en máximo 5 días hábiles de</w:t>
            </w:r>
            <w:r w:rsidRPr="00CE5D0C">
              <w:t xml:space="preserve"> Visita Técnica conjunta, e informará al CS para que acepte o rechace. En caso de no aceptarse la fecha propuesta, el CS podrá solicitar una nueva fecha, con lo que esta actividad </w:t>
            </w:r>
            <w:r>
              <w:t>podrá</w:t>
            </w:r>
            <w:r w:rsidRPr="00CE5D0C">
              <w:t xml:space="preserve"> repetirse hasta </w:t>
            </w:r>
            <w:r>
              <w:t>en 3 ocasiones</w:t>
            </w:r>
            <w:r w:rsidRPr="00CE5D0C">
              <w:t>.</w:t>
            </w:r>
            <w:r>
              <w:t xml:space="preserve"> La Visita </w:t>
            </w:r>
            <w:r>
              <w:lastRenderedPageBreak/>
              <w:t>Técnica tendrá que realizarse en un máximo de 20 días hábiles a partir del ingreso de la solicitud.</w:t>
            </w:r>
          </w:p>
          <w:p w:rsidR="007C4016" w:rsidRDefault="007C4016" w:rsidP="005C782A">
            <w:pPr>
              <w:pStyle w:val="IFTnormal"/>
              <w:spacing w:after="0"/>
            </w:pPr>
            <w:r w:rsidRPr="00CE2104">
              <w:t>Al concluir la Visita Técnica se firmará el documento Reporte de V</w:t>
            </w:r>
            <w:r>
              <w:t>isita Técnica, por lo que Telnor</w:t>
            </w:r>
            <w:r w:rsidRPr="00CE2104">
              <w:t xml:space="preserve"> y el CS deberá asegurarse que la información recabada es correcta y completa con todos los detalles necesarios para el desarrollo del anteproyecto. En esta etapa deberán ejecutarse todas las mediciones y cálculos </w:t>
            </w:r>
            <w:r>
              <w:t xml:space="preserve">que considere pertinente el CS </w:t>
            </w:r>
            <w:r w:rsidRPr="00CE2104">
              <w:t>para determinar la capacidad excedente de la infraestructura</w:t>
            </w:r>
            <w:r>
              <w:t>, entre otros aspectos para la correcta prestación del servicio.</w:t>
            </w:r>
          </w:p>
          <w:p w:rsidR="007C4016" w:rsidRDefault="007C4016" w:rsidP="005C782A">
            <w:pPr>
              <w:pStyle w:val="IFTnormal"/>
              <w:spacing w:after="0"/>
            </w:pPr>
            <w:r w:rsidRPr="00CE2104">
              <w:t>El Reporte de Visita Técnica deberá ser escaneado e integrado en el SEG.</w:t>
            </w:r>
            <w:r>
              <w:t xml:space="preserve"> Telnor deberá actualizar la información correspondiente en el SEG en un plazo máximo de 5 días hábiles.</w:t>
            </w:r>
          </w:p>
          <w:p w:rsidR="007C4016" w:rsidRPr="00CE2104" w:rsidRDefault="007C4016" w:rsidP="005C782A">
            <w:pPr>
              <w:pStyle w:val="IFTnormal"/>
              <w:spacing w:after="0"/>
            </w:pPr>
            <w:r w:rsidRPr="00CE2104">
              <w:t>El resultado de la Visita Técnica</w:t>
            </w:r>
            <w:r>
              <w:t xml:space="preserve"> </w:t>
            </w:r>
            <w:r w:rsidRPr="00CE2104">
              <w:t>determinará una de las siguientes opciones:</w:t>
            </w:r>
          </w:p>
          <w:p w:rsidR="007C4016" w:rsidRPr="00CE2104" w:rsidRDefault="007C4016" w:rsidP="005C782A">
            <w:pPr>
              <w:pStyle w:val="IFTnormal"/>
              <w:numPr>
                <w:ilvl w:val="0"/>
                <w:numId w:val="61"/>
              </w:numPr>
              <w:spacing w:after="0"/>
            </w:pPr>
            <w:r w:rsidRPr="00CE2104">
              <w:t>Existe capacidad excedente para brindar el Servici</w:t>
            </w:r>
            <w:r>
              <w:t>o. Telnor</w:t>
            </w:r>
            <w:r w:rsidRPr="00CE2104">
              <w:t xml:space="preserve"> procede a entregar información</w:t>
            </w:r>
            <w:r>
              <w:t xml:space="preserve"> </w:t>
            </w:r>
            <w:r w:rsidRPr="00CE2104">
              <w:t xml:space="preserve">al CS para la realización del Anteproyecto </w:t>
            </w:r>
          </w:p>
          <w:p w:rsidR="007C4016" w:rsidRPr="00CE2104" w:rsidRDefault="007C4016" w:rsidP="005C782A">
            <w:pPr>
              <w:pStyle w:val="IFTnormal"/>
              <w:numPr>
                <w:ilvl w:val="0"/>
                <w:numId w:val="61"/>
              </w:numPr>
              <w:spacing w:after="0"/>
            </w:pPr>
            <w:r w:rsidRPr="00CE2104">
              <w:t xml:space="preserve">Existen tramos con capacidad excedente para brindar el servicio entre los puntos solicitados y tramos en los que se requiere un </w:t>
            </w:r>
            <w:r>
              <w:t>T</w:t>
            </w:r>
            <w:r w:rsidRPr="00CE2104">
              <w:t xml:space="preserve">rabajo </w:t>
            </w:r>
            <w:r>
              <w:t>E</w:t>
            </w:r>
            <w:r w:rsidRPr="00CE2104">
              <w:t>special (acondicionamiento de infraestructura o recuperación de espacios</w:t>
            </w:r>
            <w:r>
              <w:t>. Ver 7. Trabajos Especiales). Telnor</w:t>
            </w:r>
            <w:r w:rsidRPr="00CE2104">
              <w:t xml:space="preserve"> proporcionará la cotización de los trabajos a realizar y el</w:t>
            </w:r>
            <w:r>
              <w:t xml:space="preserve"> programa de trabajo necesario</w:t>
            </w:r>
            <w:r w:rsidRPr="00CE2104">
              <w:t xml:space="preserve">. </w:t>
            </w:r>
          </w:p>
          <w:p w:rsidR="007C4016" w:rsidRPr="00CE2104" w:rsidRDefault="007C4016" w:rsidP="005C782A">
            <w:pPr>
              <w:pStyle w:val="IFTnormal"/>
              <w:numPr>
                <w:ilvl w:val="1"/>
                <w:numId w:val="61"/>
              </w:numPr>
              <w:spacing w:after="0"/>
            </w:pPr>
            <w:r w:rsidRPr="00CE2104">
              <w:lastRenderedPageBreak/>
              <w:t>CS acepta y autoriza</w:t>
            </w:r>
            <w:r>
              <w:t xml:space="preserve"> </w:t>
            </w:r>
            <w:r w:rsidRPr="00CE2104">
              <w:t>Trabajos Especiales asociados al servicio de acceso y uso compartid</w:t>
            </w:r>
            <w:r>
              <w:t>o de obra civil. Telnor</w:t>
            </w:r>
            <w:r w:rsidRPr="00CE2104">
              <w:t xml:space="preserve"> realizará la ejecución de los mismos, notificando al CS la fecha de inicio y terminación de los trabajos</w:t>
            </w:r>
            <w:r>
              <w:t>.</w:t>
            </w:r>
            <w:r w:rsidRPr="00CE2104">
              <w:t xml:space="preserve"> </w:t>
            </w:r>
            <w:r>
              <w:t>U</w:t>
            </w:r>
            <w:r w:rsidRPr="00CE2104">
              <w:t>na vez c</w:t>
            </w:r>
            <w:r>
              <w:t>oncluidos estos trabajos, Telnor</w:t>
            </w:r>
            <w:r w:rsidRPr="00CE2104">
              <w:t xml:space="preserve"> procede a entregar la información para la elaboración del Anteproyecto. </w:t>
            </w:r>
          </w:p>
          <w:p w:rsidR="007C4016" w:rsidRPr="00CE2104" w:rsidRDefault="007C4016" w:rsidP="005C782A">
            <w:pPr>
              <w:pStyle w:val="IFTnormal"/>
              <w:numPr>
                <w:ilvl w:val="1"/>
                <w:numId w:val="61"/>
              </w:numPr>
              <w:spacing w:after="0"/>
            </w:pPr>
            <w:r w:rsidRPr="00CE2104">
              <w:t>En caso de no aceptar los Trabajos Especiales, el CS señalar</w:t>
            </w:r>
            <w:r>
              <w:t>á</w:t>
            </w:r>
            <w:r w:rsidRPr="00CE2104">
              <w:t xml:space="preserve"> si continua o no </w:t>
            </w:r>
            <w:r>
              <w:t xml:space="preserve">con la solicitud </w:t>
            </w:r>
            <w:r w:rsidRPr="00CE2104">
              <w:t>para utilizar los tramos con capacidad excedente disponible.</w:t>
            </w:r>
          </w:p>
          <w:p w:rsidR="007C4016" w:rsidRPr="00CE2104" w:rsidRDefault="007C4016" w:rsidP="005C782A">
            <w:pPr>
              <w:pStyle w:val="IFTnormal"/>
              <w:spacing w:after="0"/>
              <w:ind w:left="720"/>
            </w:pPr>
            <w:r w:rsidRPr="003C38A3">
              <w:t>Se considerará no factible esta opción cuando los trabajos especiales excedan 30% el costo del proyecto original.</w:t>
            </w:r>
          </w:p>
          <w:p w:rsidR="007C4016" w:rsidRPr="00904A79" w:rsidRDefault="007C4016" w:rsidP="005C782A">
            <w:pPr>
              <w:pStyle w:val="IFTnormal"/>
              <w:numPr>
                <w:ilvl w:val="0"/>
                <w:numId w:val="61"/>
              </w:numPr>
              <w:spacing w:after="0"/>
            </w:pPr>
            <w:r w:rsidRPr="00904A79">
              <w:t>Ruta alternativa. El CS podrá solicitar esta alternativa de solución, una vez descartados las opciones a y b, dich</w:t>
            </w:r>
            <w:r>
              <w:t>a ruta será propuesta por Telnor</w:t>
            </w:r>
            <w:r w:rsidRPr="00904A79">
              <w:t xml:space="preserve"> lo que generará una nueva Visita Técnica. Una vez que se determina esta opción como factible, </w:t>
            </w:r>
            <w:r>
              <w:t>Telnor</w:t>
            </w:r>
            <w:r w:rsidRPr="00904A79">
              <w:t xml:space="preserve"> proporcionará la cotización de los trabajos a realizar y el programa de trabajo necesario. </w:t>
            </w:r>
          </w:p>
          <w:p w:rsidR="007C4016" w:rsidRPr="00904A79" w:rsidRDefault="007C4016" w:rsidP="005C782A">
            <w:pPr>
              <w:pStyle w:val="IFTnormal"/>
              <w:numPr>
                <w:ilvl w:val="0"/>
                <w:numId w:val="234"/>
              </w:numPr>
              <w:spacing w:after="0"/>
              <w:rPr>
                <w:b/>
              </w:rPr>
            </w:pPr>
            <w:r w:rsidRPr="00904A79">
              <w:t>CS acepta y autoriza cotiza</w:t>
            </w:r>
            <w:r>
              <w:t>ción de ruta alternativa, Telnor</w:t>
            </w:r>
            <w:r w:rsidRPr="00904A79">
              <w:t xml:space="preserve"> procede a entregar la información para la elaboración del Anteproyecto.</w:t>
            </w:r>
          </w:p>
          <w:p w:rsidR="007C4016" w:rsidRPr="00904A79" w:rsidRDefault="007C4016" w:rsidP="005C782A">
            <w:pPr>
              <w:pStyle w:val="IFTnormal"/>
              <w:numPr>
                <w:ilvl w:val="1"/>
                <w:numId w:val="61"/>
              </w:numPr>
              <w:spacing w:after="0"/>
              <w:rPr>
                <w:b/>
              </w:rPr>
            </w:pPr>
            <w:r w:rsidRPr="00904A79">
              <w:lastRenderedPageBreak/>
              <w:t>En caso de no aceptar los la ruta alterna, el CS señalará si continua o no con la solicitud.</w:t>
            </w:r>
          </w:p>
          <w:p w:rsidR="007C4016" w:rsidRPr="00CE2104" w:rsidRDefault="007C4016" w:rsidP="005C782A">
            <w:pPr>
              <w:pStyle w:val="IFTnormal"/>
              <w:spacing w:after="0"/>
              <w:ind w:left="708"/>
            </w:pPr>
            <w:r>
              <w:t xml:space="preserve">El CS podrá </w:t>
            </w:r>
            <w:r w:rsidRPr="00CE2104">
              <w:t xml:space="preserve">considerar no factible esta opción cuando </w:t>
            </w:r>
            <w:r>
              <w:t xml:space="preserve">la extensión de la ruta alternativa </w:t>
            </w:r>
            <w:r w:rsidRPr="00CE2104">
              <w:t xml:space="preserve">exceda </w:t>
            </w:r>
            <w:r>
              <w:t>e</w:t>
            </w:r>
            <w:r w:rsidRPr="00CE2104">
              <w:t xml:space="preserve">n </w:t>
            </w:r>
            <w:r>
              <w:t>3</w:t>
            </w:r>
            <w:r w:rsidRPr="00CE2104">
              <w:t xml:space="preserve">0% </w:t>
            </w:r>
            <w:r>
              <w:t>del costo</w:t>
            </w:r>
            <w:r w:rsidRPr="00CE2104" w:rsidDel="00BA1D7F">
              <w:t xml:space="preserve"> </w:t>
            </w:r>
            <w:r w:rsidRPr="00CE2104">
              <w:t>del proyecto original.</w:t>
            </w:r>
          </w:p>
          <w:p w:rsidR="007C4016" w:rsidRPr="00CE2104" w:rsidRDefault="007C4016" w:rsidP="005C782A">
            <w:pPr>
              <w:pStyle w:val="IFTnormal"/>
              <w:numPr>
                <w:ilvl w:val="0"/>
                <w:numId w:val="61"/>
              </w:numPr>
              <w:spacing w:after="0"/>
            </w:pPr>
            <w:r w:rsidRPr="00CE2104">
              <w:t xml:space="preserve">Para el caso de ductos o postes en que no fueron viables las opciones a, b y c, </w:t>
            </w:r>
            <w:r w:rsidRPr="009C14C4">
              <w:t>a consideración del CS</w:t>
            </w:r>
            <w:r>
              <w:t>, Telnor</w:t>
            </w:r>
            <w:r w:rsidRPr="00CE2104">
              <w:t xml:space="preserve"> hará disponible</w:t>
            </w:r>
            <w:r>
              <w:t xml:space="preserve"> en 5 días hábiles:</w:t>
            </w:r>
          </w:p>
          <w:p w:rsidR="007C4016" w:rsidRPr="00CE2104" w:rsidRDefault="007C4016" w:rsidP="005C782A">
            <w:pPr>
              <w:pStyle w:val="IFTnormal"/>
              <w:numPr>
                <w:ilvl w:val="1"/>
                <w:numId w:val="61"/>
              </w:numPr>
              <w:spacing w:after="0"/>
            </w:pPr>
            <w:r w:rsidRPr="00CE2104">
              <w:t>La provisión de can</w:t>
            </w:r>
            <w:r>
              <w:t>ales ópticos de alta capacidad</w:t>
            </w:r>
            <w:r w:rsidRPr="00CE2104">
              <w:t>.</w:t>
            </w:r>
          </w:p>
          <w:p w:rsidR="007C4016" w:rsidRPr="00CE2104" w:rsidRDefault="007C4016" w:rsidP="005C782A">
            <w:pPr>
              <w:pStyle w:val="IFTnormal"/>
              <w:spacing w:after="0"/>
              <w:ind w:left="1080"/>
            </w:pPr>
            <w:r w:rsidRPr="00CE2104">
              <w:t xml:space="preserve">En caso de que la solución de canales ópticos de alta capacidad no sea </w:t>
            </w:r>
            <w:r>
              <w:t xml:space="preserve">técnicamente </w:t>
            </w:r>
            <w:r w:rsidRPr="00CE2104">
              <w:t>factible</w:t>
            </w:r>
            <w:r>
              <w:t xml:space="preserve"> Telnor </w:t>
            </w:r>
            <w:r w:rsidRPr="00CE2104">
              <w:t>hará disponible</w:t>
            </w:r>
            <w:r>
              <w:t xml:space="preserve"> al CS</w:t>
            </w:r>
            <w:r w:rsidRPr="00CE2104">
              <w:t>:</w:t>
            </w:r>
          </w:p>
          <w:p w:rsidR="007C4016" w:rsidRPr="00CE2104" w:rsidRDefault="007C4016" w:rsidP="005C782A">
            <w:pPr>
              <w:pStyle w:val="IFTnormal"/>
              <w:numPr>
                <w:ilvl w:val="1"/>
                <w:numId w:val="61"/>
              </w:numPr>
              <w:spacing w:after="0"/>
            </w:pPr>
            <w:r w:rsidRPr="00CE2104">
              <w:t>Renta de Fibra Obscura.</w:t>
            </w:r>
          </w:p>
        </w:tc>
      </w:tr>
      <w:tr w:rsidR="007C4016" w:rsidRPr="00A0362D" w:rsidTr="005C782A">
        <w:tc>
          <w:tcPr>
            <w:tcW w:w="1346" w:type="pct"/>
          </w:tcPr>
          <w:p w:rsidR="007C4016" w:rsidRPr="00CE2104" w:rsidRDefault="007C4016" w:rsidP="005C782A">
            <w:pPr>
              <w:pStyle w:val="IFTnormal"/>
              <w:tabs>
                <w:tab w:val="left" w:pos="567"/>
              </w:tabs>
              <w:spacing w:after="0"/>
            </w:pPr>
            <w:r>
              <w:lastRenderedPageBreak/>
              <w:t>Entrega de Información de Visita Técnica</w:t>
            </w:r>
          </w:p>
        </w:tc>
        <w:tc>
          <w:tcPr>
            <w:tcW w:w="3654" w:type="pct"/>
            <w:shd w:val="clear" w:color="auto" w:fill="auto"/>
          </w:tcPr>
          <w:p w:rsidR="007C4016" w:rsidRPr="00CE2104" w:rsidRDefault="007C4016" w:rsidP="005C782A">
            <w:pPr>
              <w:pStyle w:val="IFTnormal"/>
              <w:spacing w:after="0"/>
            </w:pPr>
            <w:r>
              <w:t>Telnor entregará de manera formal al CS la información para la elaboración del Anteproyecto en un máximo de 5 días hábiles posteriores a que fue concluida la Visita Técnica.</w:t>
            </w:r>
          </w:p>
        </w:tc>
      </w:tr>
      <w:tr w:rsidR="007C4016" w:rsidRPr="00A0362D" w:rsidTr="005C782A">
        <w:tc>
          <w:tcPr>
            <w:tcW w:w="1346" w:type="pct"/>
          </w:tcPr>
          <w:p w:rsidR="007C4016" w:rsidRPr="00CE2104" w:rsidRDefault="007C4016" w:rsidP="005C782A">
            <w:pPr>
              <w:pStyle w:val="IFTnormal"/>
              <w:tabs>
                <w:tab w:val="left" w:pos="567"/>
              </w:tabs>
              <w:spacing w:after="0"/>
            </w:pPr>
            <w:r w:rsidRPr="00CE2104">
              <w:t>Elaboración de Anteproyecto y Programa de Trabajo</w:t>
            </w:r>
          </w:p>
        </w:tc>
        <w:tc>
          <w:tcPr>
            <w:tcW w:w="3654" w:type="pct"/>
            <w:shd w:val="clear" w:color="auto" w:fill="auto"/>
          </w:tcPr>
          <w:p w:rsidR="007C4016" w:rsidRPr="00CE2104" w:rsidRDefault="007C4016" w:rsidP="005C782A">
            <w:pPr>
              <w:pStyle w:val="IFTnormal"/>
              <w:spacing w:after="0"/>
            </w:pPr>
            <w:r w:rsidRPr="00CE2104">
              <w:t xml:space="preserve">El CS elaborará el Anteproyecto </w:t>
            </w:r>
            <w:r w:rsidRPr="006B7FE5">
              <w:t>(</w:t>
            </w:r>
            <w:r>
              <w:t>20 días hábiles</w:t>
            </w:r>
            <w:r w:rsidRPr="006B7FE5">
              <w:t xml:space="preserve">) </w:t>
            </w:r>
            <w:r w:rsidRPr="00CE2104">
              <w:t>con la info</w:t>
            </w:r>
            <w:r>
              <w:t>rmación proporcionada por Telnor</w:t>
            </w:r>
            <w:r w:rsidRPr="00CE2104">
              <w:t xml:space="preserve"> (en caso de </w:t>
            </w:r>
            <w:r>
              <w:t xml:space="preserve">requerir </w:t>
            </w:r>
            <w:r w:rsidRPr="00CE2104">
              <w:t xml:space="preserve">trabajos especiales, el Anteproyecto deberá contemplarlos) y la recopilada durante Visita Técnica. La siguiente información deberá estar disponible en el SEG </w:t>
            </w:r>
            <w:r>
              <w:t>la cual deberá incluir al menos</w:t>
            </w:r>
            <w:r w:rsidRPr="00CE2104">
              <w:t>:</w:t>
            </w:r>
          </w:p>
          <w:p w:rsidR="007C4016" w:rsidRPr="00CE2104" w:rsidRDefault="007C4016" w:rsidP="005C782A">
            <w:pPr>
              <w:pStyle w:val="IFTnormal"/>
              <w:numPr>
                <w:ilvl w:val="0"/>
                <w:numId w:val="63"/>
              </w:numPr>
              <w:spacing w:after="0"/>
            </w:pPr>
            <w:r w:rsidRPr="00CE2104">
              <w:t>Anteproyecto</w:t>
            </w:r>
          </w:p>
          <w:p w:rsidR="007C4016" w:rsidRPr="00CE2104" w:rsidRDefault="007C4016" w:rsidP="005C782A">
            <w:pPr>
              <w:pStyle w:val="IFTnormal"/>
              <w:numPr>
                <w:ilvl w:val="0"/>
                <w:numId w:val="63"/>
              </w:numPr>
              <w:spacing w:after="0"/>
            </w:pPr>
            <w:r w:rsidRPr="00CE2104">
              <w:t>Plano(s)</w:t>
            </w:r>
          </w:p>
          <w:p w:rsidR="007C4016" w:rsidRPr="00CE2104" w:rsidRDefault="007C4016" w:rsidP="005C782A">
            <w:pPr>
              <w:pStyle w:val="IFTnormal"/>
              <w:numPr>
                <w:ilvl w:val="0"/>
                <w:numId w:val="63"/>
              </w:numPr>
              <w:spacing w:after="0"/>
            </w:pPr>
            <w:r w:rsidRPr="00CE2104">
              <w:t>Especificaciones Técnicas de cables y dispositivos a instalar</w:t>
            </w:r>
          </w:p>
          <w:p w:rsidR="007C4016" w:rsidRPr="00CE2104" w:rsidRDefault="007C4016" w:rsidP="005C782A">
            <w:pPr>
              <w:pStyle w:val="IFTnormal"/>
              <w:numPr>
                <w:ilvl w:val="0"/>
                <w:numId w:val="63"/>
              </w:numPr>
              <w:spacing w:after="0"/>
            </w:pPr>
            <w:r w:rsidRPr="00CE2104">
              <w:t>Programa de trabajo para la Instalación de Infraestructura.</w:t>
            </w:r>
          </w:p>
          <w:p w:rsidR="007C4016" w:rsidRDefault="007C4016" w:rsidP="005C782A">
            <w:pPr>
              <w:pStyle w:val="IFTnormal"/>
              <w:spacing w:after="0"/>
            </w:pPr>
            <w:r>
              <w:lastRenderedPageBreak/>
              <w:t>El CS podrá solicitar a Telnor un plazo de hasta 20 días adicionales para la elaboración y entrega del Anteproyecto.</w:t>
            </w:r>
          </w:p>
          <w:p w:rsidR="007C4016" w:rsidRPr="00CE2104" w:rsidRDefault="007C4016" w:rsidP="005C782A">
            <w:pPr>
              <w:pStyle w:val="IFTnormal"/>
              <w:spacing w:after="0"/>
            </w:pPr>
            <w:r>
              <w:t>Telnor</w:t>
            </w:r>
            <w:r w:rsidRPr="00CE2104">
              <w:t xml:space="preserve"> no podrá negar la autorización del Anteproyecto por diferencias o deficiencias de información que no se hayan señalado </w:t>
            </w:r>
            <w:r>
              <w:t>o identificado</w:t>
            </w:r>
            <w:r w:rsidRPr="00CE2104">
              <w:t xml:space="preserve"> durante la Visita Técnica.</w:t>
            </w:r>
          </w:p>
          <w:p w:rsidR="007C4016" w:rsidRPr="00CE2104" w:rsidRDefault="007C4016" w:rsidP="005C782A">
            <w:pPr>
              <w:pStyle w:val="IFTnormal"/>
              <w:spacing w:after="0"/>
            </w:pPr>
            <w:r w:rsidRPr="00CE2104">
              <w:t>Una vez revisado el Anteproyecto y este no pueda ser aprobado, derivado de que la información recabada no fue correcta y completa</w:t>
            </w:r>
            <w:r>
              <w:t xml:space="preserve"> por causas imputables a Telnor</w:t>
            </w:r>
            <w:r w:rsidRPr="00CE2104">
              <w:t>, se podrán programar Visitas Técnicas adicionales sin costo para el CS.</w:t>
            </w:r>
          </w:p>
        </w:tc>
      </w:tr>
      <w:tr w:rsidR="007C4016" w:rsidRPr="00A0362D" w:rsidTr="005C782A">
        <w:tc>
          <w:tcPr>
            <w:tcW w:w="1346" w:type="pct"/>
          </w:tcPr>
          <w:p w:rsidR="007C4016" w:rsidRPr="00CE2104" w:rsidRDefault="007C4016" w:rsidP="005C782A">
            <w:pPr>
              <w:pStyle w:val="IFTnormal"/>
              <w:spacing w:after="0"/>
            </w:pPr>
            <w:r w:rsidRPr="00CE2104">
              <w:lastRenderedPageBreak/>
              <w:t>Análisis de Factibilidad</w:t>
            </w:r>
          </w:p>
        </w:tc>
        <w:tc>
          <w:tcPr>
            <w:tcW w:w="3654" w:type="pct"/>
          </w:tcPr>
          <w:p w:rsidR="007C4016" w:rsidRPr="00CE2104" w:rsidRDefault="007C4016" w:rsidP="005C782A">
            <w:pPr>
              <w:pStyle w:val="IFTnormal"/>
              <w:spacing w:after="0"/>
            </w:pPr>
            <w:r>
              <w:t>Telnor</w:t>
            </w:r>
            <w:r w:rsidRPr="00CE2104">
              <w:t xml:space="preserve"> revisará que la información del Anteproyecto sea consistente con el levantamiento realizado en la Visita de Técnica, validando </w:t>
            </w:r>
            <w:r>
              <w:t>en máximo 5 días hábiles</w:t>
            </w:r>
            <w:r w:rsidRPr="00CE2104">
              <w:t xml:space="preserve"> que el documento cumpla con los requisitos establecidos y la normatividad correspondiente.</w:t>
            </w:r>
            <w:r>
              <w:t xml:space="preserve"> Telnor</w:t>
            </w:r>
            <w:r w:rsidRPr="00CE2104">
              <w:t xml:space="preserve"> notificará al CS el resultado del Análisis de Factibilidad:</w:t>
            </w:r>
          </w:p>
          <w:p w:rsidR="007C4016" w:rsidRPr="00CE2104" w:rsidRDefault="007C4016" w:rsidP="005C782A">
            <w:pPr>
              <w:pStyle w:val="IFTnormal"/>
              <w:numPr>
                <w:ilvl w:val="0"/>
                <w:numId w:val="64"/>
              </w:numPr>
              <w:spacing w:after="0"/>
            </w:pPr>
            <w:r w:rsidRPr="00CE2104">
              <w:t>Positivo. Con el cual el CS dará inicio a la Instalación de la Infraestructura, basándose en el Programa de Trabajo.</w:t>
            </w:r>
          </w:p>
          <w:p w:rsidR="007C4016" w:rsidRPr="00CE2104" w:rsidRDefault="007C4016" w:rsidP="005C782A">
            <w:pPr>
              <w:pStyle w:val="IFTnormal"/>
              <w:numPr>
                <w:ilvl w:val="0"/>
                <w:numId w:val="64"/>
              </w:numPr>
              <w:spacing w:after="0"/>
            </w:pPr>
            <w:r>
              <w:t>Negativo. Telnor</w:t>
            </w:r>
            <w:r w:rsidRPr="00CE2104">
              <w:t xml:space="preserve"> notificará al CS el motivo del resultado, de tal forma que el CS pueda corregir la información y reenviarla.</w:t>
            </w:r>
          </w:p>
          <w:p w:rsidR="007C4016" w:rsidRPr="00CE2104" w:rsidRDefault="007C4016" w:rsidP="005C782A">
            <w:pPr>
              <w:pStyle w:val="IFTnormal"/>
              <w:spacing w:after="0"/>
            </w:pPr>
            <w:r w:rsidRPr="00CE2104">
              <w:t xml:space="preserve">Cualquier comentario o ajuste al Anteproyecto o a los documentos relacionados al proyecto deberá </w:t>
            </w:r>
            <w:r>
              <w:t xml:space="preserve">estar plenamente justificado y </w:t>
            </w:r>
            <w:r w:rsidRPr="00CE2104">
              <w:t xml:space="preserve">hacerse a través del SEG, el CS deberá </w:t>
            </w:r>
            <w:r>
              <w:t>mant</w:t>
            </w:r>
            <w:r w:rsidRPr="00CE2104">
              <w:t>ener actualizada la documentación.</w:t>
            </w:r>
          </w:p>
        </w:tc>
      </w:tr>
      <w:tr w:rsidR="007C4016" w:rsidRPr="00A0362D" w:rsidTr="005C782A">
        <w:tc>
          <w:tcPr>
            <w:tcW w:w="1346" w:type="pct"/>
          </w:tcPr>
          <w:p w:rsidR="007C4016" w:rsidRPr="00CE2104" w:rsidRDefault="007C4016" w:rsidP="005C782A">
            <w:pPr>
              <w:pStyle w:val="IFTnormal"/>
              <w:spacing w:after="0"/>
              <w:rPr>
                <w:highlight w:val="cyan"/>
              </w:rPr>
            </w:pPr>
            <w:r w:rsidRPr="00CE2104">
              <w:t>Instalación de Infraestructura</w:t>
            </w:r>
          </w:p>
        </w:tc>
        <w:tc>
          <w:tcPr>
            <w:tcW w:w="3654" w:type="pct"/>
          </w:tcPr>
          <w:p w:rsidR="007C4016" w:rsidRPr="00CE2104" w:rsidRDefault="007C4016" w:rsidP="005C782A">
            <w:pPr>
              <w:pStyle w:val="IFTnormal"/>
              <w:spacing w:after="0"/>
            </w:pPr>
            <w:r w:rsidRPr="00CE2104">
              <w:t xml:space="preserve">Una vez que el CS recibió el resultado positivo del Análisis de Factibilidad, instalará la Infraestructura apegándose al Anteproyecto y </w:t>
            </w:r>
            <w:r w:rsidRPr="00CE2104">
              <w:lastRenderedPageBreak/>
              <w:t>Programa de trabajo aprobados previamente.</w:t>
            </w:r>
          </w:p>
          <w:p w:rsidR="007C4016" w:rsidRPr="00CE2104" w:rsidRDefault="007C4016" w:rsidP="005C782A">
            <w:pPr>
              <w:pStyle w:val="IFTnormal"/>
              <w:spacing w:after="0"/>
            </w:pPr>
            <w:r w:rsidRPr="00CE2104">
              <w:t xml:space="preserve">El CS deberá enviar las fechas de inicio y termino de instalación </w:t>
            </w:r>
            <w:r>
              <w:t xml:space="preserve">en un máximo de </w:t>
            </w:r>
            <w:r w:rsidRPr="005A1403">
              <w:t>10 días hábiles.</w:t>
            </w:r>
          </w:p>
          <w:p w:rsidR="007C4016" w:rsidRPr="00CE2104" w:rsidRDefault="007C4016" w:rsidP="005C782A">
            <w:pPr>
              <w:pStyle w:val="IFTnormal"/>
              <w:spacing w:after="0"/>
            </w:pPr>
            <w:r>
              <w:t>Telnor</w:t>
            </w:r>
            <w:r w:rsidRPr="00F43CC5">
              <w:t xml:space="preserve"> confirmará la aceptación de la fecha de inicio (3 días hábiles). En caso de no aceptarse la fecha propuesta el CS podrá solicitar una nueva fecha. Esta actividad podrá repetirse hasta en 3 ocasiones. No se podrán acordar fechas de instalación posteriores a 10 días hábiles a partir de que el CS envíe las fechas de inicio y término de instalación, a menos que sea por solicitud expresa del CS.</w:t>
            </w:r>
          </w:p>
          <w:p w:rsidR="007C4016" w:rsidRPr="00CE2104" w:rsidRDefault="007C4016" w:rsidP="005C782A">
            <w:pPr>
              <w:pStyle w:val="IFTnormal"/>
              <w:spacing w:after="0"/>
            </w:pPr>
            <w:r w:rsidRPr="00CE2104">
              <w:t>Al finalizar la inst</w:t>
            </w:r>
            <w:r>
              <w:t>alación el CS informará a Telnor</w:t>
            </w:r>
            <w:r w:rsidRPr="00CE2104">
              <w:t xml:space="preserve"> para que realice la Verificación de la Instalación.</w:t>
            </w:r>
          </w:p>
        </w:tc>
      </w:tr>
      <w:tr w:rsidR="007C4016" w:rsidRPr="00A0362D" w:rsidTr="005C782A">
        <w:tc>
          <w:tcPr>
            <w:tcW w:w="1346" w:type="pct"/>
          </w:tcPr>
          <w:p w:rsidR="007C4016" w:rsidRPr="00CE2104" w:rsidRDefault="007C4016" w:rsidP="005C782A">
            <w:pPr>
              <w:pStyle w:val="IFTnormal"/>
              <w:spacing w:after="0"/>
            </w:pPr>
            <w:r w:rsidRPr="00CE2104">
              <w:lastRenderedPageBreak/>
              <w:t>Verificación de Instalación de Infraestructura</w:t>
            </w:r>
          </w:p>
        </w:tc>
        <w:tc>
          <w:tcPr>
            <w:tcW w:w="3654" w:type="pct"/>
          </w:tcPr>
          <w:p w:rsidR="007C4016" w:rsidRPr="00CE2104" w:rsidRDefault="007C4016" w:rsidP="005C782A">
            <w:pPr>
              <w:pStyle w:val="IFTnormal"/>
              <w:spacing w:after="0"/>
            </w:pPr>
            <w:r>
              <w:t>Una vez que Telnor</w:t>
            </w:r>
            <w:r w:rsidRPr="00CE2104">
              <w:t xml:space="preserve"> reciba la notificación por parte del CS, revisará la disponibilidad de fecha y horarios para llevar a cabo la verificación </w:t>
            </w:r>
            <w:r>
              <w:t>en un máximo de 5 días hábiles</w:t>
            </w:r>
            <w:r w:rsidRPr="00CE2104">
              <w:t xml:space="preserve"> e informará al CS para que acepte o rechace la propuesta</w:t>
            </w:r>
            <w:r>
              <w:t>.</w:t>
            </w:r>
            <w:r w:rsidRPr="00CE2104">
              <w:t xml:space="preserve">  En caso de no aceptarse la fecha propuesta, el CS podrá solicitar una nueva fecha, con lo que esta actividad </w:t>
            </w:r>
            <w:r>
              <w:t>podrá</w:t>
            </w:r>
            <w:r w:rsidRPr="00CE2104">
              <w:t xml:space="preserve"> repetirse hasta </w:t>
            </w:r>
            <w:r>
              <w:t>en 3 ocasiones</w:t>
            </w:r>
            <w:r w:rsidRPr="00CE2104">
              <w:t>.</w:t>
            </w:r>
            <w:r>
              <w:t xml:space="preserve"> No se podrán acordar fechas de verificación posteriores a 10 días hábiles a partir de que el CS envíe la fecha de término de instalación, a menos que sea</w:t>
            </w:r>
            <w:r w:rsidRPr="00CE2104">
              <w:t xml:space="preserve"> por </w:t>
            </w:r>
            <w:r>
              <w:t>solicitud expresa del CS</w:t>
            </w:r>
            <w:r w:rsidRPr="00CE2104">
              <w:t xml:space="preserve">. </w:t>
            </w:r>
          </w:p>
          <w:p w:rsidR="007C4016" w:rsidRPr="00CE2104" w:rsidRDefault="007C4016" w:rsidP="005C782A">
            <w:pPr>
              <w:pStyle w:val="IFTnormal"/>
              <w:spacing w:after="0"/>
            </w:pPr>
            <w:r w:rsidRPr="00CE2104">
              <w:t>Habi</w:t>
            </w:r>
            <w:r>
              <w:t>éndose definido la fecha, Telnor</w:t>
            </w:r>
            <w:r w:rsidRPr="00CE2104">
              <w:t xml:space="preserve"> y el CS realizarán en conjunto la Verificación de la Instalación en sitio, determinando:</w:t>
            </w:r>
          </w:p>
          <w:p w:rsidR="007C4016" w:rsidRPr="00CE2104" w:rsidRDefault="007C4016" w:rsidP="005C782A">
            <w:pPr>
              <w:pStyle w:val="IFTnormal"/>
              <w:numPr>
                <w:ilvl w:val="0"/>
                <w:numId w:val="65"/>
              </w:numPr>
              <w:spacing w:after="0"/>
            </w:pPr>
            <w:r w:rsidRPr="00CE2104">
              <w:t>La instalación de la infraestructura del CS está de acue</w:t>
            </w:r>
            <w:r>
              <w:t>rdo proyecto y normativa, Telnor</w:t>
            </w:r>
            <w:r w:rsidRPr="00CE2104">
              <w:t xml:space="preserve"> registrará la </w:t>
            </w:r>
            <w:r w:rsidRPr="00CE2104">
              <w:lastRenderedPageBreak/>
              <w:t>verificación como satisfactoria y se firmará en sitio el Formato de Acuerdo de Compartición de Infraestructura.</w:t>
            </w:r>
          </w:p>
          <w:p w:rsidR="007C4016" w:rsidRPr="00CE2104" w:rsidRDefault="007C4016" w:rsidP="005C782A">
            <w:pPr>
              <w:pStyle w:val="IFTnormal"/>
              <w:numPr>
                <w:ilvl w:val="0"/>
                <w:numId w:val="65"/>
              </w:numPr>
              <w:spacing w:after="0"/>
            </w:pPr>
            <w:r w:rsidRPr="00CE2104">
              <w:t>En caso contrario,</w:t>
            </w:r>
            <w:r>
              <w:t xml:space="preserve"> Telnor</w:t>
            </w:r>
            <w:r w:rsidRPr="00CE2104">
              <w:t xml:space="preserve"> y el CS registran en el Formato de Acuerdo de Compartición de Infraestructura los cambios y ajustes que debe hacer el CS para cumplir con la Verificación. Esta actividad deberá repetirse en tanto no se logre la Verificación satisfactoria y la firma del Formato de Acuerdo de Compartición de Infraestructura.</w:t>
            </w:r>
          </w:p>
          <w:p w:rsidR="007C4016" w:rsidRPr="00CE2104" w:rsidRDefault="007C4016" w:rsidP="005C782A">
            <w:pPr>
              <w:pStyle w:val="IFTnormal"/>
              <w:spacing w:after="0"/>
            </w:pPr>
            <w:r>
              <w:t xml:space="preserve">El primer servicio de verificación no tendrá cargo alguno. De requerirse verificaciones adicionales por inconsistencias </w:t>
            </w:r>
            <w:r w:rsidRPr="00A975E3">
              <w:t>en la instalación realizada por el CS con el anteproyecto</w:t>
            </w:r>
            <w:r>
              <w:t xml:space="preserve"> se aplicará una contraprestación.</w:t>
            </w:r>
          </w:p>
        </w:tc>
      </w:tr>
      <w:tr w:rsidR="007C4016" w:rsidRPr="00A0362D" w:rsidTr="005C782A">
        <w:tc>
          <w:tcPr>
            <w:tcW w:w="1346" w:type="pct"/>
            <w:shd w:val="clear" w:color="auto" w:fill="auto"/>
          </w:tcPr>
          <w:p w:rsidR="007C4016" w:rsidRPr="00CE2104" w:rsidRDefault="007C4016" w:rsidP="005C782A">
            <w:pPr>
              <w:pStyle w:val="IFTnormal"/>
              <w:spacing w:after="0"/>
            </w:pPr>
            <w:r w:rsidRPr="00CE2104">
              <w:lastRenderedPageBreak/>
              <w:t>Facturación</w:t>
            </w:r>
          </w:p>
        </w:tc>
        <w:tc>
          <w:tcPr>
            <w:tcW w:w="3654" w:type="pct"/>
            <w:shd w:val="clear" w:color="auto" w:fill="auto"/>
          </w:tcPr>
          <w:p w:rsidR="007C4016" w:rsidRPr="00CE2104" w:rsidRDefault="007C4016" w:rsidP="005C782A">
            <w:pPr>
              <w:pStyle w:val="IFTnormal"/>
              <w:spacing w:after="0"/>
            </w:pPr>
            <w:r w:rsidRPr="00CE2104">
              <w:t xml:space="preserve">Una vez firmado el Formato de Acuerdo de Compartición de Infraestructura se inicia con la </w:t>
            </w:r>
            <w:r>
              <w:t>facturación del Servicio, Telnor</w:t>
            </w:r>
            <w:r w:rsidRPr="00CE2104">
              <w:t xml:space="preserve"> deberá integrar el Formato escaneada al SEG.</w:t>
            </w:r>
          </w:p>
        </w:tc>
      </w:tr>
    </w:tbl>
    <w:p w:rsidR="007C4016" w:rsidRDefault="007C4016" w:rsidP="007C4016">
      <w:pPr>
        <w:pStyle w:val="CitaIFT"/>
        <w:spacing w:before="240" w:after="0"/>
      </w:pPr>
    </w:p>
    <w:p w:rsidR="007C4016" w:rsidRDefault="007C4016" w:rsidP="007C4016">
      <w:pPr>
        <w:pStyle w:val="CitaIFT"/>
        <w:spacing w:before="240" w:after="0"/>
        <w:rPr>
          <w:i w:val="0"/>
          <w:color w:val="auto"/>
          <w:sz w:val="22"/>
          <w:szCs w:val="22"/>
        </w:rPr>
      </w:pPr>
      <w:r w:rsidRPr="00A0362D">
        <w:rPr>
          <w:i w:val="0"/>
          <w:color w:val="auto"/>
          <w:sz w:val="22"/>
          <w:szCs w:val="22"/>
        </w:rPr>
        <w:t>El CS deberá realizar su anteproyecto y la instalación de su red o de infraestructura de acuerdo con las características y normatividad técnica para Postes Pozos y Canalizaciones que se establecen en el Anexo 2 de la Oferta</w:t>
      </w:r>
      <w:r>
        <w:rPr>
          <w:i w:val="0"/>
          <w:color w:val="auto"/>
          <w:sz w:val="22"/>
          <w:szCs w:val="22"/>
        </w:rPr>
        <w:t xml:space="preserve"> de Referencia</w:t>
      </w:r>
      <w:r w:rsidRPr="00A0362D">
        <w:rPr>
          <w:i w:val="0"/>
          <w:color w:val="auto"/>
          <w:sz w:val="22"/>
          <w:szCs w:val="22"/>
        </w:rPr>
        <w:t>.</w:t>
      </w:r>
    </w:p>
    <w:p w:rsidR="007C4016" w:rsidRPr="00A0362D" w:rsidRDefault="007C4016" w:rsidP="007C4016">
      <w:pPr>
        <w:pStyle w:val="CitaIFT"/>
        <w:spacing w:before="240" w:after="0"/>
        <w:rPr>
          <w:b/>
          <w:i w:val="0"/>
          <w:color w:val="auto"/>
          <w:sz w:val="22"/>
          <w:szCs w:val="22"/>
        </w:rPr>
      </w:pPr>
      <w:r w:rsidRPr="00A0362D">
        <w:rPr>
          <w:b/>
          <w:i w:val="0"/>
          <w:color w:val="auto"/>
          <w:sz w:val="22"/>
          <w:szCs w:val="22"/>
        </w:rPr>
        <w:t>b. Modificación</w:t>
      </w:r>
    </w:p>
    <w:p w:rsidR="007C4016" w:rsidRPr="00A0362D" w:rsidRDefault="007C4016" w:rsidP="007C4016">
      <w:pPr>
        <w:pStyle w:val="CitaIFT"/>
        <w:spacing w:before="240" w:after="0"/>
        <w:rPr>
          <w:i w:val="0"/>
          <w:color w:val="auto"/>
          <w:sz w:val="22"/>
          <w:szCs w:val="22"/>
        </w:rPr>
      </w:pPr>
      <w:r w:rsidRPr="00A0362D">
        <w:rPr>
          <w:i w:val="0"/>
          <w:color w:val="auto"/>
          <w:sz w:val="22"/>
          <w:szCs w:val="22"/>
        </w:rPr>
        <w:t>El CS únicamente podrá solicitar modificaciones de los proyectos en proceso, cuando dichas modificaciones no cambien la ruta del proyecto ni los elementos</w:t>
      </w:r>
      <w:r>
        <w:rPr>
          <w:i w:val="0"/>
          <w:color w:val="auto"/>
          <w:sz w:val="22"/>
          <w:szCs w:val="22"/>
        </w:rPr>
        <w:t xml:space="preserve"> de la infraestructura de Telnor</w:t>
      </w:r>
      <w:r w:rsidRPr="00A0362D">
        <w:rPr>
          <w:i w:val="0"/>
          <w:color w:val="auto"/>
          <w:sz w:val="22"/>
          <w:szCs w:val="22"/>
        </w:rPr>
        <w:t xml:space="preserve"> solicitados originalmente.</w:t>
      </w:r>
    </w:p>
    <w:p w:rsidR="007C4016" w:rsidRPr="00A0362D" w:rsidRDefault="007C4016" w:rsidP="007C4016">
      <w:pPr>
        <w:pStyle w:val="CitaIFT"/>
        <w:spacing w:before="240" w:after="0"/>
        <w:rPr>
          <w:i w:val="0"/>
          <w:color w:val="auto"/>
          <w:sz w:val="22"/>
          <w:szCs w:val="22"/>
        </w:rPr>
      </w:pPr>
      <w:r w:rsidRPr="00A0362D">
        <w:rPr>
          <w:i w:val="0"/>
          <w:color w:val="auto"/>
          <w:sz w:val="22"/>
          <w:szCs w:val="22"/>
        </w:rPr>
        <w:t>Las activid</w:t>
      </w:r>
      <w:r>
        <w:rPr>
          <w:i w:val="0"/>
          <w:color w:val="auto"/>
          <w:sz w:val="22"/>
          <w:szCs w:val="22"/>
        </w:rPr>
        <w:t xml:space="preserve">ades que deberán efectuarse </w:t>
      </w:r>
      <w:r w:rsidRPr="00A0362D">
        <w:rPr>
          <w:i w:val="0"/>
          <w:color w:val="auto"/>
          <w:sz w:val="22"/>
          <w:szCs w:val="22"/>
        </w:rPr>
        <w:t>para realizar una modificación a un proyecto son las siguientes</w:t>
      </w:r>
      <w:r>
        <w:rPr>
          <w:i w:val="0"/>
          <w:color w:val="auto"/>
          <w:sz w:val="22"/>
          <w:szCs w:val="22"/>
        </w:rPr>
        <w:t>:</w:t>
      </w:r>
    </w:p>
    <w:tbl>
      <w:tblPr>
        <w:tblStyle w:val="Tablaconcuadrcula"/>
        <w:tblW w:w="3991" w:type="pct"/>
        <w:tblInd w:w="959" w:type="dxa"/>
        <w:tblLook w:val="04A0" w:firstRow="1" w:lastRow="0" w:firstColumn="1" w:lastColumn="0" w:noHBand="0" w:noVBand="1"/>
        <w:tblCaption w:val="Tabla"/>
        <w:tblDescription w:val="Modificación"/>
      </w:tblPr>
      <w:tblGrid>
        <w:gridCol w:w="1897"/>
        <w:gridCol w:w="5151"/>
      </w:tblGrid>
      <w:tr w:rsidR="007C4016" w:rsidRPr="00A0362D" w:rsidTr="005C782A">
        <w:trPr>
          <w:tblHeader/>
        </w:trPr>
        <w:tc>
          <w:tcPr>
            <w:tcW w:w="1346" w:type="pct"/>
            <w:shd w:val="clear" w:color="auto" w:fill="D9D9D9" w:themeFill="background1" w:themeFillShade="D9"/>
          </w:tcPr>
          <w:p w:rsidR="007C4016" w:rsidRPr="00A0362D" w:rsidRDefault="007C4016" w:rsidP="005C782A">
            <w:pPr>
              <w:pStyle w:val="IFTnormal"/>
              <w:spacing w:after="0"/>
            </w:pPr>
            <w:r w:rsidRPr="00A0362D">
              <w:lastRenderedPageBreak/>
              <w:t>Etapa</w:t>
            </w:r>
          </w:p>
        </w:tc>
        <w:tc>
          <w:tcPr>
            <w:tcW w:w="3654" w:type="pct"/>
            <w:shd w:val="clear" w:color="auto" w:fill="D9D9D9" w:themeFill="background1" w:themeFillShade="D9"/>
          </w:tcPr>
          <w:p w:rsidR="007C4016" w:rsidRPr="00A0362D" w:rsidRDefault="007C4016" w:rsidP="005C782A">
            <w:pPr>
              <w:pStyle w:val="IFTnormal"/>
              <w:spacing w:after="0"/>
            </w:pPr>
            <w:r w:rsidRPr="00A0362D">
              <w:t>Descripción</w:t>
            </w:r>
          </w:p>
        </w:tc>
      </w:tr>
      <w:tr w:rsidR="007C4016" w:rsidRPr="00A0362D" w:rsidTr="005C782A">
        <w:tc>
          <w:tcPr>
            <w:tcW w:w="1346" w:type="pct"/>
          </w:tcPr>
          <w:p w:rsidR="007C4016" w:rsidRPr="00A0362D" w:rsidRDefault="007C4016" w:rsidP="005C782A">
            <w:pPr>
              <w:pStyle w:val="IFTnormal"/>
              <w:spacing w:after="0"/>
            </w:pPr>
            <w:r w:rsidRPr="00A0362D">
              <w:t>Envío y Validación de solicitud</w:t>
            </w:r>
          </w:p>
        </w:tc>
        <w:tc>
          <w:tcPr>
            <w:tcW w:w="3654" w:type="pct"/>
          </w:tcPr>
          <w:p w:rsidR="007C4016" w:rsidRPr="00A0362D" w:rsidRDefault="007C4016" w:rsidP="005C782A">
            <w:pPr>
              <w:pStyle w:val="IFTnormal"/>
              <w:spacing w:after="0"/>
            </w:pPr>
            <w:r w:rsidRPr="00A0362D">
              <w:t>El CS presentará la solicitud de modificación en el formato correspondiente a través del SEG.</w:t>
            </w:r>
          </w:p>
          <w:p w:rsidR="007C4016" w:rsidRPr="00A0362D" w:rsidRDefault="007C4016" w:rsidP="005C782A">
            <w:pPr>
              <w:pStyle w:val="IFTnormal"/>
              <w:spacing w:after="0"/>
            </w:pPr>
            <w:r>
              <w:t>Telnor</w:t>
            </w:r>
            <w:r w:rsidRPr="00A0362D">
              <w:t xml:space="preserve"> recibirá la solicitud y determinará</w:t>
            </w:r>
            <w:r>
              <w:t xml:space="preserve"> en 2 días hábiles</w:t>
            </w:r>
            <w:r w:rsidRPr="00A0362D">
              <w:t xml:space="preserve"> si la solicitud es: </w:t>
            </w:r>
          </w:p>
          <w:p w:rsidR="007C4016" w:rsidRPr="00A0362D" w:rsidRDefault="007C4016" w:rsidP="005C782A">
            <w:pPr>
              <w:pStyle w:val="IFTnormal"/>
              <w:numPr>
                <w:ilvl w:val="0"/>
                <w:numId w:val="62"/>
              </w:numPr>
              <w:spacing w:after="0"/>
            </w:pPr>
            <w:r>
              <w:t>Aceptada, Telnor</w:t>
            </w:r>
            <w:r w:rsidRPr="00A0362D">
              <w:t xml:space="preserve"> valida que la solicitud de modificación cumple con los requisitos establecidos en los formatos. Se asignará de forma automática un NIS maestro y en caso de que aplique el NIS de seccionamiento cada 5 km. </w:t>
            </w:r>
          </w:p>
          <w:p w:rsidR="007C4016" w:rsidRPr="00A0362D" w:rsidRDefault="007C4016" w:rsidP="005C782A">
            <w:pPr>
              <w:pStyle w:val="IFTnormal"/>
              <w:numPr>
                <w:ilvl w:val="0"/>
                <w:numId w:val="62"/>
              </w:numPr>
              <w:spacing w:after="0"/>
            </w:pPr>
            <w:r w:rsidRPr="00A0362D">
              <w:t>Rechazado, en caso de que la solicitud no cumpliera con lo</w:t>
            </w:r>
            <w:r>
              <w:t>s requisitos, Telnor</w:t>
            </w:r>
            <w:r w:rsidRPr="00A0362D">
              <w:t xml:space="preserve"> notificará al CS a través del SEG que la solicitud ha sido rechazada y el motivo por el cual no se pudo procesar, de tal forma que el CS pueda corregir la información y reenviar la solicitud.</w:t>
            </w:r>
          </w:p>
        </w:tc>
      </w:tr>
      <w:tr w:rsidR="007C4016" w:rsidRPr="00A0362D" w:rsidTr="005C782A">
        <w:tc>
          <w:tcPr>
            <w:tcW w:w="1346" w:type="pct"/>
          </w:tcPr>
          <w:p w:rsidR="007C4016" w:rsidRPr="00A0362D" w:rsidRDefault="007C4016" w:rsidP="005C782A">
            <w:pPr>
              <w:pStyle w:val="IFTnormal"/>
              <w:tabs>
                <w:tab w:val="left" w:pos="567"/>
              </w:tabs>
              <w:spacing w:after="0"/>
            </w:pPr>
            <w:r w:rsidRPr="00A0362D">
              <w:t>Actualización de Anteproyecto y Programa de Trabajo</w:t>
            </w:r>
          </w:p>
        </w:tc>
        <w:tc>
          <w:tcPr>
            <w:tcW w:w="3654" w:type="pct"/>
          </w:tcPr>
          <w:p w:rsidR="007C4016" w:rsidRDefault="007C4016" w:rsidP="005C782A">
            <w:pPr>
              <w:pStyle w:val="IFTnormal"/>
              <w:spacing w:after="0"/>
            </w:pPr>
            <w:r w:rsidRPr="00833D3A">
              <w:t xml:space="preserve">El CS </w:t>
            </w:r>
            <w:r>
              <w:t>modificará</w:t>
            </w:r>
            <w:r w:rsidRPr="00833D3A">
              <w:t xml:space="preserve"> el Anteproyecto </w:t>
            </w:r>
            <w:r>
              <w:t xml:space="preserve">de acuerdo </w:t>
            </w:r>
            <w:r w:rsidRPr="00833D3A">
              <w:t xml:space="preserve">con la información </w:t>
            </w:r>
            <w:r>
              <w:t xml:space="preserve">validada por Telnor </w:t>
            </w:r>
            <w:r w:rsidRPr="00C05E9F">
              <w:t>(20 días hábiles).</w:t>
            </w:r>
            <w:r w:rsidRPr="00833D3A">
              <w:t xml:space="preserve"> </w:t>
            </w:r>
          </w:p>
          <w:p w:rsidR="007C4016" w:rsidRPr="00A0362D" w:rsidRDefault="007C4016" w:rsidP="005C782A">
            <w:pPr>
              <w:pStyle w:val="IFTnormal"/>
              <w:spacing w:after="0"/>
            </w:pPr>
            <w:r w:rsidRPr="00E54BDF">
              <w:t>El CS deberán actualizar los cambios a la documentación del proyecto en el SEG.</w:t>
            </w:r>
          </w:p>
        </w:tc>
      </w:tr>
      <w:tr w:rsidR="007C4016" w:rsidRPr="00A0362D" w:rsidTr="005C782A">
        <w:tc>
          <w:tcPr>
            <w:tcW w:w="1346" w:type="pct"/>
          </w:tcPr>
          <w:p w:rsidR="007C4016" w:rsidRPr="00A0362D" w:rsidRDefault="007C4016" w:rsidP="005C782A">
            <w:pPr>
              <w:pStyle w:val="IFTnormal"/>
              <w:spacing w:after="0"/>
            </w:pPr>
            <w:r w:rsidRPr="00A0362D">
              <w:t>Análisis de Factibilidad</w:t>
            </w:r>
          </w:p>
        </w:tc>
        <w:tc>
          <w:tcPr>
            <w:tcW w:w="3654" w:type="pct"/>
          </w:tcPr>
          <w:p w:rsidR="007C4016" w:rsidRPr="00A0362D" w:rsidRDefault="007C4016" w:rsidP="005C782A">
            <w:pPr>
              <w:pStyle w:val="IFTnormal"/>
              <w:spacing w:after="0"/>
            </w:pPr>
            <w:r>
              <w:t>Telnor</w:t>
            </w:r>
            <w:r w:rsidRPr="00A0362D">
              <w:t xml:space="preserve"> revisará que la información del Anteproyecto sea consistente con los cambios solicitados, validando </w:t>
            </w:r>
            <w:r w:rsidRPr="004621E4">
              <w:t xml:space="preserve">en máximo </w:t>
            </w:r>
            <w:r w:rsidRPr="00C05E9F">
              <w:t>5</w:t>
            </w:r>
            <w:r>
              <w:t xml:space="preserve"> días hábiles</w:t>
            </w:r>
            <w:r w:rsidRPr="00A0362D">
              <w:t xml:space="preserve"> que el documento cumpla con los requisitos establecidos y la norm</w:t>
            </w:r>
            <w:r>
              <w:t>atividad correspondiente. Telnor</w:t>
            </w:r>
            <w:r w:rsidRPr="00A0362D">
              <w:t xml:space="preserve"> notificará al CS el resultado del Análisis de Factibilidad:</w:t>
            </w:r>
          </w:p>
          <w:p w:rsidR="007C4016" w:rsidRPr="00A0362D" w:rsidRDefault="007C4016" w:rsidP="005C782A">
            <w:pPr>
              <w:pStyle w:val="IFTnormal"/>
              <w:numPr>
                <w:ilvl w:val="0"/>
                <w:numId w:val="64"/>
              </w:numPr>
              <w:spacing w:after="0"/>
            </w:pPr>
            <w:r w:rsidRPr="00A0362D">
              <w:t>Positivo. Con el cual el CS realizará las modificaciones, basándose en el Programa de Trabajo.</w:t>
            </w:r>
          </w:p>
          <w:p w:rsidR="007C4016" w:rsidRPr="00A0362D" w:rsidRDefault="007C4016" w:rsidP="005C782A">
            <w:pPr>
              <w:pStyle w:val="IFTnormal"/>
              <w:numPr>
                <w:ilvl w:val="0"/>
                <w:numId w:val="64"/>
              </w:numPr>
              <w:spacing w:after="0"/>
            </w:pPr>
            <w:r>
              <w:t>Negativo. Telnor</w:t>
            </w:r>
            <w:r w:rsidRPr="00A0362D">
              <w:t xml:space="preserve"> notificará al CS el motivo del resultado, de tal forma que </w:t>
            </w:r>
            <w:r w:rsidRPr="00A0362D">
              <w:lastRenderedPageBreak/>
              <w:t>el CS pueda corregir la información y reenviarla.</w:t>
            </w:r>
          </w:p>
          <w:p w:rsidR="007C4016" w:rsidRPr="00A0362D" w:rsidRDefault="007C4016" w:rsidP="005C782A">
            <w:pPr>
              <w:pStyle w:val="IFTnormal"/>
              <w:spacing w:after="0"/>
            </w:pPr>
            <w:r w:rsidRPr="00A0362D">
              <w:t xml:space="preserve">Cualquier comentario o ajuste al Anteproyecto o a los documentos relacionados al proyecto deberá </w:t>
            </w:r>
            <w:r>
              <w:t>estar plenamente justificado y</w:t>
            </w:r>
            <w:r w:rsidRPr="00A0362D">
              <w:t xml:space="preserve"> hacerse a través del SEG, el CS deberá tener </w:t>
            </w:r>
            <w:r>
              <w:t xml:space="preserve">mantener </w:t>
            </w:r>
            <w:r w:rsidRPr="00A0362D">
              <w:t>actualizada la documentación.</w:t>
            </w:r>
          </w:p>
        </w:tc>
      </w:tr>
      <w:tr w:rsidR="007C4016" w:rsidRPr="00A0362D" w:rsidTr="005C782A">
        <w:tc>
          <w:tcPr>
            <w:tcW w:w="1346" w:type="pct"/>
          </w:tcPr>
          <w:p w:rsidR="007C4016" w:rsidRPr="00A0362D" w:rsidRDefault="007C4016" w:rsidP="005C782A">
            <w:pPr>
              <w:pStyle w:val="IFTnormal"/>
              <w:spacing w:after="0"/>
              <w:rPr>
                <w:highlight w:val="cyan"/>
              </w:rPr>
            </w:pPr>
            <w:r w:rsidRPr="00A0362D">
              <w:lastRenderedPageBreak/>
              <w:t>Instalación de Infraestructura</w:t>
            </w:r>
          </w:p>
        </w:tc>
        <w:tc>
          <w:tcPr>
            <w:tcW w:w="3654" w:type="pct"/>
          </w:tcPr>
          <w:p w:rsidR="007C4016" w:rsidRPr="00A0362D" w:rsidRDefault="007C4016" w:rsidP="005C782A">
            <w:pPr>
              <w:pStyle w:val="IFTnormal"/>
              <w:spacing w:after="0"/>
            </w:pPr>
            <w:r w:rsidRPr="00A0362D">
              <w:t>Una vez que el CS recibió el resultado positivo del Análisis de Factibilidad, instalará la Infraestructura apegándose al Anteproyecto y Programa de trabajo aprobados previamente.</w:t>
            </w:r>
          </w:p>
          <w:p w:rsidR="007C4016" w:rsidRPr="00A0362D" w:rsidRDefault="007C4016" w:rsidP="005C782A">
            <w:pPr>
              <w:pStyle w:val="IFTnormal"/>
              <w:spacing w:after="0"/>
            </w:pPr>
            <w:r w:rsidRPr="00A0362D">
              <w:t>El CS realizará la instalación de infraestructura de acuerdo a los cambios y continuará el procedimiento de contratación a partir de dicha actividad.</w:t>
            </w:r>
          </w:p>
        </w:tc>
      </w:tr>
    </w:tbl>
    <w:p w:rsidR="007C4016" w:rsidRPr="00A0362D" w:rsidRDefault="007C4016" w:rsidP="007C4016">
      <w:pPr>
        <w:pStyle w:val="CitaIFT"/>
        <w:spacing w:before="240" w:after="0"/>
        <w:rPr>
          <w:i w:val="0"/>
          <w:color w:val="auto"/>
          <w:sz w:val="22"/>
          <w:szCs w:val="22"/>
        </w:rPr>
      </w:pPr>
    </w:p>
    <w:p w:rsidR="007C4016" w:rsidRPr="00A0362D" w:rsidRDefault="007C4016" w:rsidP="007C4016">
      <w:pPr>
        <w:pStyle w:val="CitaIFT"/>
        <w:spacing w:before="240" w:after="0"/>
        <w:rPr>
          <w:b/>
          <w:i w:val="0"/>
          <w:color w:val="auto"/>
          <w:sz w:val="22"/>
          <w:szCs w:val="22"/>
        </w:rPr>
      </w:pPr>
      <w:r w:rsidRPr="00A0362D">
        <w:rPr>
          <w:b/>
          <w:i w:val="0"/>
          <w:color w:val="auto"/>
          <w:sz w:val="22"/>
          <w:szCs w:val="22"/>
        </w:rPr>
        <w:t>c. Baja de los servicios</w:t>
      </w:r>
    </w:p>
    <w:p w:rsidR="007C4016" w:rsidRPr="00A0362D" w:rsidRDefault="007C4016" w:rsidP="007C4016">
      <w:pPr>
        <w:pStyle w:val="CitaIFT"/>
        <w:spacing w:before="240" w:after="0"/>
        <w:rPr>
          <w:i w:val="0"/>
          <w:color w:val="auto"/>
          <w:sz w:val="22"/>
          <w:szCs w:val="22"/>
        </w:rPr>
      </w:pPr>
      <w:r w:rsidRPr="00A0362D">
        <w:rPr>
          <w:i w:val="0"/>
          <w:color w:val="auto"/>
          <w:sz w:val="22"/>
          <w:szCs w:val="22"/>
        </w:rPr>
        <w:t>Las actividades para realizar la baja del servicio son las siguientes</w:t>
      </w:r>
      <w:r>
        <w:rPr>
          <w:i w:val="0"/>
          <w:color w:val="auto"/>
          <w:sz w:val="22"/>
          <w:szCs w:val="22"/>
        </w:rPr>
        <w:t>:</w:t>
      </w:r>
    </w:p>
    <w:tbl>
      <w:tblPr>
        <w:tblStyle w:val="Tablaconcuadrcula"/>
        <w:tblW w:w="3991" w:type="pct"/>
        <w:tblInd w:w="959" w:type="dxa"/>
        <w:tblLook w:val="04A0" w:firstRow="1" w:lastRow="0" w:firstColumn="1" w:lastColumn="0" w:noHBand="0" w:noVBand="1"/>
        <w:tblCaption w:val="Tabla"/>
        <w:tblDescription w:val="Baja de los servicios"/>
      </w:tblPr>
      <w:tblGrid>
        <w:gridCol w:w="1897"/>
        <w:gridCol w:w="5151"/>
      </w:tblGrid>
      <w:tr w:rsidR="007C4016" w:rsidRPr="00A0362D" w:rsidTr="005C782A">
        <w:trPr>
          <w:tblHeader/>
        </w:trPr>
        <w:tc>
          <w:tcPr>
            <w:tcW w:w="1346" w:type="pct"/>
            <w:shd w:val="clear" w:color="auto" w:fill="D9D9D9" w:themeFill="background1" w:themeFillShade="D9"/>
          </w:tcPr>
          <w:p w:rsidR="007C4016" w:rsidRPr="00A0362D" w:rsidRDefault="007C4016" w:rsidP="005C782A">
            <w:pPr>
              <w:pStyle w:val="IFTnormal"/>
              <w:spacing w:after="0"/>
            </w:pPr>
            <w:r w:rsidRPr="00A0362D">
              <w:t>Etapa</w:t>
            </w:r>
          </w:p>
        </w:tc>
        <w:tc>
          <w:tcPr>
            <w:tcW w:w="3654" w:type="pct"/>
            <w:shd w:val="clear" w:color="auto" w:fill="D9D9D9" w:themeFill="background1" w:themeFillShade="D9"/>
          </w:tcPr>
          <w:p w:rsidR="007C4016" w:rsidRPr="00A0362D" w:rsidRDefault="007C4016" w:rsidP="005C782A">
            <w:pPr>
              <w:pStyle w:val="IFTnormal"/>
              <w:spacing w:after="0"/>
            </w:pPr>
            <w:r w:rsidRPr="00A0362D">
              <w:t>Descripción</w:t>
            </w:r>
          </w:p>
        </w:tc>
      </w:tr>
      <w:tr w:rsidR="007C4016" w:rsidRPr="00A0362D" w:rsidTr="005C782A">
        <w:tc>
          <w:tcPr>
            <w:tcW w:w="1346" w:type="pct"/>
          </w:tcPr>
          <w:p w:rsidR="007C4016" w:rsidRPr="00A0362D" w:rsidRDefault="007C4016" w:rsidP="005C782A">
            <w:pPr>
              <w:pStyle w:val="IFTnormal"/>
              <w:spacing w:after="0"/>
            </w:pPr>
            <w:r w:rsidRPr="00A0362D">
              <w:t>Envío y Validación de solicitud</w:t>
            </w:r>
          </w:p>
        </w:tc>
        <w:tc>
          <w:tcPr>
            <w:tcW w:w="3654" w:type="pct"/>
          </w:tcPr>
          <w:p w:rsidR="007C4016" w:rsidRPr="00A0362D" w:rsidRDefault="007C4016" w:rsidP="005C782A">
            <w:pPr>
              <w:pStyle w:val="IFTnormal"/>
              <w:spacing w:after="0"/>
            </w:pPr>
            <w:r w:rsidRPr="00A0362D">
              <w:t>El CS presentará la solicitud de baja en el formato correspondiente a través del SEG.</w:t>
            </w:r>
          </w:p>
          <w:p w:rsidR="007C4016" w:rsidRPr="00A0362D" w:rsidRDefault="007C4016" w:rsidP="005C782A">
            <w:pPr>
              <w:pStyle w:val="IFTnormal"/>
              <w:spacing w:after="0"/>
            </w:pPr>
            <w:r>
              <w:t>Telnor</w:t>
            </w:r>
            <w:r w:rsidRPr="00A0362D">
              <w:t xml:space="preserve"> recibirá la solicitud y determinará </w:t>
            </w:r>
            <w:r>
              <w:t>en 2 días hábiles</w:t>
            </w:r>
            <w:r w:rsidRPr="00A0362D">
              <w:t xml:space="preserve"> si la solicitud es: </w:t>
            </w:r>
          </w:p>
          <w:p w:rsidR="007C4016" w:rsidRPr="00A0362D" w:rsidRDefault="007C4016" w:rsidP="005C782A">
            <w:pPr>
              <w:pStyle w:val="IFTnormal"/>
              <w:numPr>
                <w:ilvl w:val="0"/>
                <w:numId w:val="62"/>
              </w:numPr>
              <w:spacing w:after="0"/>
            </w:pPr>
            <w:r>
              <w:t>Aceptada, Telnor</w:t>
            </w:r>
            <w:r w:rsidRPr="00A0362D">
              <w:t xml:space="preserve"> valida que la solicitud de baja cumple con los requisitos establecidos en los formatos establecidos. Se asignará de forma automática un NIS.</w:t>
            </w:r>
          </w:p>
          <w:p w:rsidR="007C4016" w:rsidRPr="00A0362D" w:rsidRDefault="007C4016" w:rsidP="005C782A">
            <w:pPr>
              <w:pStyle w:val="IFTnormal"/>
              <w:numPr>
                <w:ilvl w:val="0"/>
                <w:numId w:val="62"/>
              </w:numPr>
              <w:spacing w:after="0"/>
            </w:pPr>
            <w:r w:rsidRPr="00A0362D">
              <w:t xml:space="preserve"> Rechazado, en caso de que la solicitud no cump</w:t>
            </w:r>
            <w:r>
              <w:t>liera con los requisitos, Telnor</w:t>
            </w:r>
            <w:r w:rsidRPr="00A0362D">
              <w:t xml:space="preserve"> notificará al CS a través del SEG que la solicitud ha sido rechazada y el motivo por el cual no se pudo procesar, de tal forma que el CS </w:t>
            </w:r>
            <w:r w:rsidRPr="00A0362D">
              <w:lastRenderedPageBreak/>
              <w:t>pueda corregir la información y reenviar la solicitud.</w:t>
            </w:r>
          </w:p>
        </w:tc>
      </w:tr>
      <w:tr w:rsidR="007C4016" w:rsidRPr="00A0362D" w:rsidTr="005C782A">
        <w:tc>
          <w:tcPr>
            <w:tcW w:w="1346" w:type="pct"/>
          </w:tcPr>
          <w:p w:rsidR="007C4016" w:rsidRPr="00A0362D" w:rsidRDefault="007C4016" w:rsidP="005C782A">
            <w:pPr>
              <w:pStyle w:val="IFTnormal"/>
              <w:tabs>
                <w:tab w:val="left" w:pos="567"/>
              </w:tabs>
              <w:spacing w:after="0"/>
            </w:pPr>
            <w:r w:rsidRPr="00A0362D">
              <w:lastRenderedPageBreak/>
              <w:t>Elaboración Programa de Trabajo</w:t>
            </w:r>
          </w:p>
        </w:tc>
        <w:tc>
          <w:tcPr>
            <w:tcW w:w="3654" w:type="pct"/>
          </w:tcPr>
          <w:p w:rsidR="007C4016" w:rsidRPr="00A0362D" w:rsidRDefault="007C4016" w:rsidP="005C782A">
            <w:pPr>
              <w:pStyle w:val="IFTnormal"/>
              <w:spacing w:after="0"/>
            </w:pPr>
            <w:r w:rsidRPr="00A0362D">
              <w:t>El CS elaborará el Plan de Trabajo detallando la fecha de inicio y fin del retiro de su infraestructura, adjuntando la documentación correspondiente (</w:t>
            </w:r>
            <w:r>
              <w:t>10 días hábiles</w:t>
            </w:r>
            <w:r w:rsidRPr="00A0362D">
              <w:t>).</w:t>
            </w:r>
          </w:p>
        </w:tc>
      </w:tr>
      <w:tr w:rsidR="007C4016" w:rsidRPr="00A0362D" w:rsidTr="005C782A">
        <w:tc>
          <w:tcPr>
            <w:tcW w:w="1346" w:type="pct"/>
          </w:tcPr>
          <w:p w:rsidR="007C4016" w:rsidRPr="00A0362D" w:rsidRDefault="007C4016" w:rsidP="005C782A">
            <w:pPr>
              <w:pStyle w:val="IFTnormal"/>
              <w:spacing w:after="0"/>
            </w:pPr>
            <w:r w:rsidRPr="00A0362D">
              <w:t>Análisis de Factibilidad</w:t>
            </w:r>
          </w:p>
        </w:tc>
        <w:tc>
          <w:tcPr>
            <w:tcW w:w="3654" w:type="pct"/>
          </w:tcPr>
          <w:p w:rsidR="007C4016" w:rsidRPr="00A0362D" w:rsidRDefault="007C4016" w:rsidP="005C782A">
            <w:pPr>
              <w:pStyle w:val="IFTnormal"/>
              <w:spacing w:after="0"/>
            </w:pPr>
            <w:r>
              <w:t>Telnor</w:t>
            </w:r>
            <w:r w:rsidRPr="00A0362D">
              <w:t xml:space="preserve"> recibirá y validará </w:t>
            </w:r>
            <w:r w:rsidRPr="004621E4">
              <w:t xml:space="preserve">en máximo </w:t>
            </w:r>
            <w:r w:rsidRPr="00C05E9F">
              <w:t>5 días hábiles</w:t>
            </w:r>
            <w:r w:rsidRPr="00A0362D">
              <w:t xml:space="preserve"> el Plan de Trabajo enviado por el CS, verificando que cumpla con los requisitos mínimos de acuerdo a los formatos correspondientes:</w:t>
            </w:r>
          </w:p>
          <w:p w:rsidR="007C4016" w:rsidRPr="00A0362D" w:rsidRDefault="007C4016" w:rsidP="005C782A">
            <w:pPr>
              <w:pStyle w:val="IFTnormal"/>
              <w:numPr>
                <w:ilvl w:val="0"/>
                <w:numId w:val="64"/>
              </w:numPr>
              <w:spacing w:after="0"/>
            </w:pPr>
            <w:r>
              <w:t>Positivo. Telnor</w:t>
            </w:r>
            <w:r w:rsidRPr="00A0362D">
              <w:t xml:space="preserve"> lo notificará al CS y que puede comenzar con el retiro de su infraestructura indicando la fecha de inicio y fin de las actividades.</w:t>
            </w:r>
          </w:p>
          <w:p w:rsidR="007C4016" w:rsidRPr="00A0362D" w:rsidRDefault="007C4016" w:rsidP="005C782A">
            <w:pPr>
              <w:pStyle w:val="IFTnormal"/>
              <w:numPr>
                <w:ilvl w:val="0"/>
                <w:numId w:val="64"/>
              </w:numPr>
              <w:spacing w:after="0"/>
            </w:pPr>
            <w:r w:rsidRPr="00A0362D">
              <w:t xml:space="preserve">Negativo. En caso de que el Plan de Trabajo elaborado por el CS no contenga </w:t>
            </w:r>
            <w:r>
              <w:t>la información requerida, Telnor</w:t>
            </w:r>
            <w:r w:rsidRPr="00A0362D">
              <w:t xml:space="preserve"> deberá notificar dicha situación al CS, así como aquello que deba ser ajustado para que el CS realice las modificaciones necesarias.</w:t>
            </w:r>
          </w:p>
          <w:p w:rsidR="007C4016" w:rsidRPr="00A0362D" w:rsidRDefault="007C4016" w:rsidP="005C782A">
            <w:pPr>
              <w:pStyle w:val="IFTnormal"/>
              <w:spacing w:after="0"/>
            </w:pPr>
            <w:r w:rsidRPr="00A0362D">
              <w:t xml:space="preserve">Cualquier comentario o ajuste al Programa de Trabajo o a los documentos relacionados al proyecto deberá </w:t>
            </w:r>
            <w:r>
              <w:t>estar plenamente justificado y</w:t>
            </w:r>
            <w:r w:rsidRPr="00A0362D">
              <w:t xml:space="preserve"> hacerse a través del SEG, el CS deberá </w:t>
            </w:r>
            <w:r>
              <w:t>man</w:t>
            </w:r>
            <w:r w:rsidRPr="00A0362D">
              <w:t>tener actualizada la documentación.</w:t>
            </w:r>
          </w:p>
        </w:tc>
      </w:tr>
      <w:tr w:rsidR="007C4016" w:rsidRPr="00A0362D" w:rsidTr="005C782A">
        <w:tc>
          <w:tcPr>
            <w:tcW w:w="1346" w:type="pct"/>
          </w:tcPr>
          <w:p w:rsidR="007C4016" w:rsidRPr="00A0362D" w:rsidRDefault="007C4016" w:rsidP="005C782A">
            <w:pPr>
              <w:pStyle w:val="IFTnormal"/>
              <w:spacing w:after="0"/>
              <w:rPr>
                <w:highlight w:val="cyan"/>
              </w:rPr>
            </w:pPr>
            <w:r w:rsidRPr="00A0362D">
              <w:t>Retiro de Infraestructura</w:t>
            </w:r>
          </w:p>
        </w:tc>
        <w:tc>
          <w:tcPr>
            <w:tcW w:w="3654" w:type="pct"/>
          </w:tcPr>
          <w:p w:rsidR="007C4016" w:rsidRPr="00A0362D" w:rsidRDefault="007C4016" w:rsidP="005C782A">
            <w:pPr>
              <w:pStyle w:val="IFTnormal"/>
              <w:spacing w:after="0"/>
            </w:pPr>
            <w:r w:rsidRPr="00A0362D">
              <w:t>El CS realizará el retiro de su infra</w:t>
            </w:r>
            <w:r>
              <w:t>estructura y notificará a Telnor</w:t>
            </w:r>
            <w:r w:rsidRPr="00A0362D">
              <w:t xml:space="preserve"> cuando haya finalizado.</w:t>
            </w:r>
            <w:r>
              <w:t xml:space="preserve"> La baja del servicio incluye el retiro de equipo y cableado que se haya instalado.</w:t>
            </w:r>
          </w:p>
        </w:tc>
      </w:tr>
      <w:tr w:rsidR="007C4016" w:rsidRPr="00A0362D" w:rsidTr="005C782A">
        <w:tc>
          <w:tcPr>
            <w:tcW w:w="1346" w:type="pct"/>
          </w:tcPr>
          <w:p w:rsidR="007C4016" w:rsidRPr="00A0362D" w:rsidRDefault="007C4016" w:rsidP="005C782A">
            <w:pPr>
              <w:pStyle w:val="IFTnormal"/>
              <w:spacing w:after="0"/>
            </w:pPr>
            <w:r w:rsidRPr="00A0362D">
              <w:t>Verificación de Desinstalación de Infraestructura</w:t>
            </w:r>
          </w:p>
        </w:tc>
        <w:tc>
          <w:tcPr>
            <w:tcW w:w="3654" w:type="pct"/>
          </w:tcPr>
          <w:p w:rsidR="007C4016" w:rsidRPr="00712037" w:rsidRDefault="007C4016" w:rsidP="005C782A">
            <w:pPr>
              <w:pStyle w:val="IFTnormal"/>
              <w:spacing w:after="0"/>
            </w:pPr>
            <w:r w:rsidRPr="00A0362D">
              <w:t xml:space="preserve">Una vez </w:t>
            </w:r>
            <w:r>
              <w:t>que Telnor</w:t>
            </w:r>
            <w:r w:rsidRPr="00A0362D">
              <w:t xml:space="preserve"> </w:t>
            </w:r>
            <w:r w:rsidRPr="00CE2104">
              <w:t>reciba</w:t>
            </w:r>
            <w:r w:rsidRPr="00A0362D">
              <w:t xml:space="preserve"> la notificación </w:t>
            </w:r>
            <w:r w:rsidRPr="00CE2104">
              <w:t>por parte</w:t>
            </w:r>
            <w:r w:rsidRPr="00A0362D">
              <w:t xml:space="preserve"> del CS, revisará la disponibilidad de </w:t>
            </w:r>
            <w:r w:rsidRPr="00CE2104">
              <w:t xml:space="preserve">fecha </w:t>
            </w:r>
            <w:r w:rsidRPr="00A0362D">
              <w:t xml:space="preserve">y horarios para llevar a cabo la verificación </w:t>
            </w:r>
            <w:r w:rsidRPr="004621E4">
              <w:t xml:space="preserve">en un máximo de </w:t>
            </w:r>
            <w:r w:rsidRPr="00C05E9F">
              <w:t>5 días hábiles</w:t>
            </w:r>
            <w:r w:rsidRPr="00A0362D">
              <w:t xml:space="preserve"> e informará al CS para que acepte o rechace la </w:t>
            </w:r>
            <w:r w:rsidRPr="00A0362D">
              <w:lastRenderedPageBreak/>
              <w:t>propuesta</w:t>
            </w:r>
            <w:r w:rsidRPr="00CE2104">
              <w:t xml:space="preserve"> </w:t>
            </w:r>
            <w:r w:rsidRPr="005A1403">
              <w:t>(3 días hábiles</w:t>
            </w:r>
            <w:r w:rsidRPr="00CE2104">
              <w:t xml:space="preserve">). </w:t>
            </w:r>
            <w:r w:rsidRPr="00A0362D">
              <w:t xml:space="preserve"> En caso de no aceptarse la fecha propuesta, el CS podrá solicitar una nueva fecha, con lo que esta actividad </w:t>
            </w:r>
            <w:r>
              <w:t>podrá</w:t>
            </w:r>
            <w:r w:rsidRPr="00A0362D">
              <w:t xml:space="preserve"> repetirse hasta </w:t>
            </w:r>
            <w:r>
              <w:t>en 3 ocasiones</w:t>
            </w:r>
            <w:r w:rsidRPr="00A0362D">
              <w:t>.</w:t>
            </w:r>
            <w:r>
              <w:t xml:space="preserve"> </w:t>
            </w:r>
            <w:r w:rsidRPr="00712037">
              <w:t xml:space="preserve">No se podrán acordar fechas de </w:t>
            </w:r>
            <w:r>
              <w:t>verificación</w:t>
            </w:r>
            <w:r w:rsidRPr="00712037">
              <w:t xml:space="preserve"> posteriores a 10 días hábiles a partir de que el CS envíe </w:t>
            </w:r>
            <w:r>
              <w:t>la fecha de</w:t>
            </w:r>
            <w:r w:rsidRPr="00712037">
              <w:t xml:space="preserve"> término de instalación, a menos que sea por solicitud expresa del CS. </w:t>
            </w:r>
          </w:p>
          <w:p w:rsidR="007C4016" w:rsidRPr="00A0362D" w:rsidRDefault="007C4016" w:rsidP="005C782A">
            <w:pPr>
              <w:pStyle w:val="IFTnormal"/>
              <w:spacing w:after="0"/>
            </w:pPr>
            <w:r w:rsidRPr="00A0362D">
              <w:t>Habi</w:t>
            </w:r>
            <w:r>
              <w:t>éndose definido la fecha, Telnor</w:t>
            </w:r>
            <w:r w:rsidRPr="00A0362D">
              <w:t xml:space="preserve"> y el CS realizarán en conjunto la Verificación de la desinstalación en sitio, determinando:</w:t>
            </w:r>
          </w:p>
          <w:p w:rsidR="007C4016" w:rsidRPr="00A0362D" w:rsidRDefault="007C4016" w:rsidP="005C782A">
            <w:pPr>
              <w:pStyle w:val="IFTnormal"/>
              <w:numPr>
                <w:ilvl w:val="0"/>
                <w:numId w:val="65"/>
              </w:numPr>
              <w:spacing w:after="0"/>
            </w:pPr>
            <w:r w:rsidRPr="00A0362D">
              <w:t xml:space="preserve">La desinstalación de la infraestructura del CS está de acuerdo proyecto y queda </w:t>
            </w:r>
            <w:r>
              <w:t>libre la infraestructura, Telnor</w:t>
            </w:r>
            <w:r w:rsidRPr="00A0362D">
              <w:t xml:space="preserve"> registrará la verificación como satisfactoria y se firmará en sitio el Formato de Acuerdo de Compartición de Infraestructura.</w:t>
            </w:r>
          </w:p>
          <w:p w:rsidR="007C4016" w:rsidRPr="00A0362D" w:rsidRDefault="007C4016" w:rsidP="005C782A">
            <w:pPr>
              <w:pStyle w:val="IFTnormal"/>
              <w:numPr>
                <w:ilvl w:val="0"/>
                <w:numId w:val="65"/>
              </w:numPr>
              <w:spacing w:after="0"/>
            </w:pPr>
            <w:r w:rsidRPr="00A0362D">
              <w:t>En caso contrario, el CS realizará los cambios o ajustes señaladas y notificará a T</w:t>
            </w:r>
            <w:r>
              <w:t>elnor</w:t>
            </w:r>
            <w:r w:rsidRPr="00A0362D">
              <w:t xml:space="preserve"> para realizar nuevamente la verificación. Esta actividad deberá repetirse en tanto no se logre la verificación satisfactoria y la firma del Formato de Acuerdo de Compartición de Infraestructura.</w:t>
            </w:r>
          </w:p>
          <w:p w:rsidR="007C4016" w:rsidRPr="00A0362D" w:rsidRDefault="007C4016" w:rsidP="005C782A">
            <w:pPr>
              <w:pStyle w:val="IFTnormal"/>
              <w:spacing w:after="0"/>
            </w:pPr>
            <w:r>
              <w:t xml:space="preserve">El primer servicio de verificación no tendrá cargo alguno. De requerirse verificaciones adicionales por inconsistencias </w:t>
            </w:r>
            <w:r w:rsidRPr="00A975E3">
              <w:t xml:space="preserve">en la </w:t>
            </w:r>
            <w:r>
              <w:t>des</w:t>
            </w:r>
            <w:r w:rsidRPr="004621E4">
              <w:t>instalación</w:t>
            </w:r>
            <w:r w:rsidRPr="00A975E3">
              <w:t xml:space="preserve"> realizada por el CS </w:t>
            </w:r>
            <w:r w:rsidRPr="00C05E9F">
              <w:t>se aplicará una contraprestación</w:t>
            </w:r>
            <w:r>
              <w:t>.</w:t>
            </w:r>
          </w:p>
        </w:tc>
      </w:tr>
      <w:tr w:rsidR="007C4016" w:rsidRPr="00A0362D" w:rsidTr="005C782A">
        <w:tc>
          <w:tcPr>
            <w:tcW w:w="1346" w:type="pct"/>
            <w:shd w:val="clear" w:color="auto" w:fill="auto"/>
          </w:tcPr>
          <w:p w:rsidR="007C4016" w:rsidRPr="00A0362D" w:rsidRDefault="007C4016" w:rsidP="005C782A">
            <w:pPr>
              <w:pStyle w:val="IFTnormal"/>
              <w:spacing w:after="0"/>
            </w:pPr>
            <w:r w:rsidRPr="00A0362D">
              <w:lastRenderedPageBreak/>
              <w:t>Facturación</w:t>
            </w:r>
          </w:p>
        </w:tc>
        <w:tc>
          <w:tcPr>
            <w:tcW w:w="3654" w:type="pct"/>
            <w:shd w:val="clear" w:color="auto" w:fill="auto"/>
          </w:tcPr>
          <w:p w:rsidR="007C4016" w:rsidRDefault="007C4016" w:rsidP="005C782A">
            <w:pPr>
              <w:pStyle w:val="IFTnormal"/>
              <w:spacing w:after="0"/>
            </w:pPr>
            <w:r w:rsidRPr="00A0362D">
              <w:t>Una vez firmado el Formato de Acuerdo de Compartición de Infraestructura se concluye con la facturación</w:t>
            </w:r>
            <w:r>
              <w:t xml:space="preserve"> del Servicio, Telnor</w:t>
            </w:r>
          </w:p>
          <w:p w:rsidR="007C4016" w:rsidRPr="00A0362D" w:rsidRDefault="007C4016" w:rsidP="005C782A">
            <w:pPr>
              <w:pStyle w:val="IFTnormal"/>
              <w:spacing w:after="0"/>
            </w:pPr>
            <w:r w:rsidRPr="00A0362D">
              <w:t xml:space="preserve"> deberá integrar acta escaneada al SEG.</w:t>
            </w:r>
          </w:p>
        </w:tc>
      </w:tr>
    </w:tbl>
    <w:p w:rsidR="007C4016" w:rsidRPr="00B76A77" w:rsidRDefault="007C4016" w:rsidP="007C4016">
      <w:pPr>
        <w:pStyle w:val="CitaIFT"/>
        <w:spacing w:before="240" w:after="0"/>
        <w:rPr>
          <w:i w:val="0"/>
          <w:color w:val="auto"/>
          <w:sz w:val="22"/>
          <w:szCs w:val="22"/>
        </w:rPr>
      </w:pPr>
    </w:p>
    <w:p w:rsidR="007C4016" w:rsidRDefault="007C4016" w:rsidP="007C4016">
      <w:pPr>
        <w:pStyle w:val="CitaIFT"/>
        <w:spacing w:before="240" w:after="0"/>
        <w:rPr>
          <w:i w:val="0"/>
          <w:color w:val="auto"/>
          <w:sz w:val="22"/>
          <w:szCs w:val="22"/>
        </w:rPr>
      </w:pPr>
      <w:r w:rsidRPr="00A0362D">
        <w:rPr>
          <w:i w:val="0"/>
          <w:color w:val="auto"/>
          <w:sz w:val="22"/>
          <w:szCs w:val="22"/>
        </w:rPr>
        <w:t>El CS deberá realizar la desinstalación de su red o de infraestructura de acuerdo con las características y normatividad técnica para Postes Pozos y Canalizaciones que se documentan en el Anexo 2 de la Of</w:t>
      </w:r>
      <w:r>
        <w:rPr>
          <w:i w:val="0"/>
          <w:color w:val="auto"/>
          <w:sz w:val="22"/>
          <w:szCs w:val="22"/>
        </w:rPr>
        <w:t>erta dejando la infraestructura</w:t>
      </w:r>
      <w:r w:rsidRPr="00A0362D">
        <w:rPr>
          <w:i w:val="0"/>
          <w:color w:val="auto"/>
          <w:sz w:val="22"/>
          <w:szCs w:val="22"/>
        </w:rPr>
        <w:t xml:space="preserve"> libre y sin desperdicios dentro de pozos, postes y vialidades. </w:t>
      </w:r>
    </w:p>
    <w:p w:rsidR="007C4016" w:rsidRDefault="007C4016" w:rsidP="007C4016">
      <w:pPr>
        <w:pStyle w:val="CitaIFT"/>
        <w:spacing w:before="240" w:after="0"/>
        <w:rPr>
          <w:i w:val="0"/>
          <w:color w:val="auto"/>
          <w:sz w:val="22"/>
          <w:szCs w:val="22"/>
        </w:rPr>
      </w:pPr>
      <w:r w:rsidRPr="00A0362D">
        <w:rPr>
          <w:i w:val="0"/>
          <w:color w:val="auto"/>
          <w:sz w:val="22"/>
          <w:szCs w:val="22"/>
        </w:rPr>
        <w:t>El procedimiento para la notificación de fallas y gestión de incidencias, así como el procedimiento para Accesos a la Infraestructura Compartida se establecen en el Anexo 3 de la Oferta.</w:t>
      </w:r>
    </w:p>
    <w:p w:rsidR="007C4016" w:rsidRDefault="007C4016" w:rsidP="006A7AA7">
      <w:pPr>
        <w:pStyle w:val="Prrafodelista"/>
        <w:numPr>
          <w:ilvl w:val="0"/>
          <w:numId w:val="201"/>
        </w:numPr>
        <w:spacing w:before="240"/>
      </w:pPr>
      <w:r w:rsidRPr="006A7AA7">
        <w:rPr>
          <w:rFonts w:ascii="ITC Avant Garde" w:hAnsi="ITC Avant Garde"/>
          <w:b/>
          <w:sz w:val="22"/>
          <w:szCs w:val="22"/>
        </w:rPr>
        <w:t>SERVICIO DE CANALES ÓPTICOS DE ALTA CAPACIDAD DE TRANSPORTE.</w:t>
      </w:r>
    </w:p>
    <w:p w:rsidR="007C4016" w:rsidRPr="00714D52" w:rsidRDefault="007C4016" w:rsidP="007C4016">
      <w:pPr>
        <w:pStyle w:val="IFTnormal"/>
        <w:spacing w:before="240" w:after="0"/>
      </w:pPr>
      <w:r w:rsidRPr="00460CA7">
        <w:rPr>
          <w:b/>
        </w:rPr>
        <w:t>Consideraciones del Instituto</w:t>
      </w:r>
    </w:p>
    <w:p w:rsidR="007C4016" w:rsidRPr="002802DB"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rPr>
          <w:lang w:val="es-ES"/>
        </w:rPr>
      </w:pPr>
      <w:r>
        <w:rPr>
          <w:lang w:val="es-ES"/>
        </w:rPr>
        <w:t>Relativo a la sección “</w:t>
      </w:r>
      <w:r>
        <w:rPr>
          <w:i/>
          <w:lang w:val="es-ES"/>
        </w:rPr>
        <w:t>2</w:t>
      </w:r>
      <w:r w:rsidRPr="00C25D42">
        <w:rPr>
          <w:i/>
          <w:lang w:val="es-ES"/>
        </w:rPr>
        <w:t>.</w:t>
      </w:r>
      <w:r w:rsidRPr="00C25D42">
        <w:rPr>
          <w:i/>
          <w:lang w:val="es-ES"/>
        </w:rPr>
        <w:tab/>
      </w:r>
      <w:r>
        <w:rPr>
          <w:i/>
          <w:lang w:val="es-ES"/>
        </w:rPr>
        <w:t xml:space="preserve"> </w:t>
      </w:r>
      <w:r w:rsidRPr="00C25D42">
        <w:rPr>
          <w:i/>
          <w:lang w:val="es-ES"/>
        </w:rPr>
        <w:t xml:space="preserve">Servicio de </w:t>
      </w:r>
      <w:r>
        <w:rPr>
          <w:i/>
          <w:lang w:val="es-ES"/>
        </w:rPr>
        <w:t>Canales Ópticos de Alta Capacidad de Transporte</w:t>
      </w:r>
      <w:r>
        <w:rPr>
          <w:lang w:val="es-ES"/>
        </w:rPr>
        <w:t>” el AEP en su documento de propuesta de Oferta de Referencia establece lo siguiente:</w:t>
      </w:r>
    </w:p>
    <w:p w:rsidR="007C4016" w:rsidRDefault="007C4016" w:rsidP="007C4016">
      <w:pPr>
        <w:pStyle w:val="CitaIFT"/>
        <w:spacing w:before="240" w:after="0"/>
        <w:rPr>
          <w:b/>
        </w:rPr>
      </w:pPr>
      <w:r w:rsidRPr="00460CA7">
        <w:rPr>
          <w:b/>
        </w:rPr>
        <w:t xml:space="preserve">“2. Servicio de Canales Ópticos de Alta Capacidad de Transporte. </w:t>
      </w:r>
    </w:p>
    <w:p w:rsidR="007C4016" w:rsidRDefault="007C4016" w:rsidP="007C4016">
      <w:pPr>
        <w:pStyle w:val="CitaIFT"/>
        <w:spacing w:before="240" w:after="0"/>
      </w:pPr>
      <w:r w:rsidRPr="00716C42">
        <w:t xml:space="preserve">El Servicio de Canales Ópticos de Alta Capacidad de Transporte se pondrá a disposición del CS cuando exista </w:t>
      </w:r>
      <w:r>
        <w:t xml:space="preserve">saturación </w:t>
      </w:r>
      <w:r w:rsidRPr="00716C42">
        <w:t xml:space="preserve">en ductos </w:t>
      </w:r>
      <w:r>
        <w:t xml:space="preserve">o postes de </w:t>
      </w:r>
      <w:r w:rsidRPr="00460CA7">
        <w:t>una ruta de transporte</w:t>
      </w:r>
      <w:r>
        <w:t xml:space="preserve"> solicitada por el CS y cuando no exista una ruta alterna viable, además que no sea posible recuperar espacios, </w:t>
      </w:r>
      <w:r w:rsidRPr="00716C42">
        <w:t xml:space="preserve">lo cual podrá constatarse a través de la Visita Técnica. </w:t>
      </w:r>
    </w:p>
    <w:p w:rsidR="007C4016" w:rsidRDefault="007C4016" w:rsidP="007C4016">
      <w:pPr>
        <w:pStyle w:val="CitaIFT"/>
        <w:spacing w:before="240" w:after="0"/>
      </w:pPr>
      <w:r>
        <w:t>La provisión de canal óptico se refiere a la asignación de una señal óptica entre dos equipos DWDM conectados directamente para el transporte de señales entre dos edificios (puntos de presencia) adyacentes de Telnor solamente de manera complementaria a la compartición de infraestructura pasiva.</w:t>
      </w:r>
    </w:p>
    <w:p w:rsidR="007C4016" w:rsidRDefault="007C4016" w:rsidP="007C4016">
      <w:pPr>
        <w:pStyle w:val="CitaIFT"/>
        <w:spacing w:before="240" w:after="0"/>
      </w:pPr>
      <w:r>
        <w:t>Este servicio se entrega al CS con una interfaz óptica estándar en gris y del mismo tipo en cada extremo (punto de presencia) de Telnor.</w:t>
      </w:r>
    </w:p>
    <w:p w:rsidR="007C4016" w:rsidRDefault="007C4016" w:rsidP="007C4016">
      <w:pPr>
        <w:pStyle w:val="CitaIFT"/>
        <w:spacing w:before="240" w:after="0"/>
      </w:pPr>
      <w:r>
        <w:t>El servicio de canal óptico se puede solicitar en las siguientes condiciones:</w:t>
      </w:r>
    </w:p>
    <w:p w:rsidR="007C4016" w:rsidRPr="009D58E4" w:rsidRDefault="007C4016" w:rsidP="007C4016">
      <w:pPr>
        <w:pStyle w:val="CitaIFT"/>
        <w:numPr>
          <w:ilvl w:val="0"/>
          <w:numId w:val="152"/>
        </w:numPr>
        <w:spacing w:before="240" w:after="0"/>
        <w:rPr>
          <w:lang w:val="es-ES"/>
        </w:rPr>
      </w:pPr>
      <w:r w:rsidRPr="009D58E4">
        <w:rPr>
          <w:lang w:val="es-ES"/>
        </w:rPr>
        <w:t>El servicio de canal óptico se suministra solo en el segmento del trayecto solicitado por el CS en el que se certifique no que se tiene disponibilidad de infraestructura pasiva. Este segmento está definido como la ruta entre dos edificios, (puntos de presencia) el primero es el que tienen la cobertura geográfica del tramo saturado y el segundo</w:t>
      </w:r>
      <w:r>
        <w:rPr>
          <w:lang w:val="es-ES"/>
        </w:rPr>
        <w:t xml:space="preserve"> edificio el adyacente de Telnor</w:t>
      </w:r>
      <w:r w:rsidRPr="009D58E4">
        <w:rPr>
          <w:lang w:val="es-ES"/>
        </w:rPr>
        <w:t xml:space="preserve"> en dirección de la ruta solicitada.</w:t>
      </w:r>
    </w:p>
    <w:p w:rsidR="007C4016" w:rsidRPr="009D58E4" w:rsidRDefault="007C4016" w:rsidP="007C4016">
      <w:pPr>
        <w:pStyle w:val="CitaIFT"/>
        <w:numPr>
          <w:ilvl w:val="0"/>
          <w:numId w:val="152"/>
        </w:numPr>
        <w:spacing w:before="240" w:after="0"/>
        <w:rPr>
          <w:lang w:val="es-ES"/>
        </w:rPr>
      </w:pPr>
      <w:r w:rsidRPr="009D58E4">
        <w:rPr>
          <w:lang w:val="es-ES"/>
        </w:rPr>
        <w:lastRenderedPageBreak/>
        <w:t xml:space="preserve">Se debe establece solo entre edificios (puntos de presencia) adyacentes de </w:t>
      </w:r>
      <w:r>
        <w:rPr>
          <w:lang w:val="es-ES"/>
        </w:rPr>
        <w:t>Telnor</w:t>
      </w:r>
      <w:r w:rsidRPr="009D58E4">
        <w:rPr>
          <w:lang w:val="es-ES"/>
        </w:rPr>
        <w:t xml:space="preserve"> que cuenten con sistemas de transmisión con tecnología DWDM del mismo fabricante.</w:t>
      </w:r>
    </w:p>
    <w:p w:rsidR="007C4016" w:rsidRDefault="007C4016" w:rsidP="007C4016">
      <w:pPr>
        <w:pStyle w:val="CitaIFT"/>
        <w:numPr>
          <w:ilvl w:val="0"/>
          <w:numId w:val="152"/>
        </w:numPr>
        <w:spacing w:before="240" w:after="0"/>
      </w:pPr>
      <w:r>
        <w:t>El CS debe contar con coubicaciones  en ambos edificios (puntos de presencia) adyacentes de Telnor. En caso de no contar con alguno podrá solicitar el servicio de coubicación siempre y cuando sea técnicamente factible.</w:t>
      </w:r>
    </w:p>
    <w:p w:rsidR="007C4016" w:rsidRDefault="007C4016" w:rsidP="007C4016">
      <w:pPr>
        <w:pStyle w:val="CitaIFT"/>
        <w:numPr>
          <w:ilvl w:val="0"/>
          <w:numId w:val="152"/>
        </w:numPr>
        <w:spacing w:before="240" w:after="0"/>
      </w:pPr>
      <w:r w:rsidRPr="00460CA7">
        <w:t>El alcance del enlace debe ser local, es decir; los edificios (puntos de</w:t>
      </w:r>
      <w:r>
        <w:t xml:space="preserve"> presencia) adyacentes de Telnor</w:t>
      </w:r>
      <w:r w:rsidRPr="00460CA7">
        <w:t xml:space="preserve"> deben ubicarse dentro de una misma red urbana</w:t>
      </w:r>
      <w:r>
        <w:t>.</w:t>
      </w:r>
    </w:p>
    <w:p w:rsidR="007C4016" w:rsidRDefault="007C4016" w:rsidP="007C4016">
      <w:pPr>
        <w:pStyle w:val="CitaIFT"/>
        <w:numPr>
          <w:ilvl w:val="0"/>
          <w:numId w:val="152"/>
        </w:numPr>
        <w:spacing w:before="240" w:after="0"/>
      </w:pPr>
      <w:r>
        <w:t>El servicio está disponible a través de los siguientes puertos de lado cliente que podrían estar disponibles en los equipos con tecnología DWDM:</w:t>
      </w:r>
    </w:p>
    <w:p w:rsidR="007C4016" w:rsidRDefault="007C4016" w:rsidP="007C4016">
      <w:pPr>
        <w:pStyle w:val="CitaIFT"/>
        <w:numPr>
          <w:ilvl w:val="0"/>
          <w:numId w:val="153"/>
        </w:numPr>
        <w:spacing w:before="240" w:after="0"/>
      </w:pPr>
      <w:r>
        <w:t>STM-16</w:t>
      </w:r>
    </w:p>
    <w:p w:rsidR="007C4016" w:rsidRDefault="007C4016" w:rsidP="007C4016">
      <w:pPr>
        <w:pStyle w:val="CitaIFT"/>
        <w:numPr>
          <w:ilvl w:val="0"/>
          <w:numId w:val="153"/>
        </w:numPr>
        <w:spacing w:before="240" w:after="0"/>
      </w:pPr>
      <w:r>
        <w:t>STM-64</w:t>
      </w:r>
    </w:p>
    <w:p w:rsidR="007C4016" w:rsidRDefault="007C4016" w:rsidP="007C4016">
      <w:pPr>
        <w:pStyle w:val="CitaIFT"/>
        <w:numPr>
          <w:ilvl w:val="0"/>
          <w:numId w:val="153"/>
        </w:numPr>
        <w:spacing w:before="240" w:after="0"/>
      </w:pPr>
      <w:r>
        <w:t>1 GE</w:t>
      </w:r>
    </w:p>
    <w:p w:rsidR="007C4016" w:rsidRDefault="007C4016" w:rsidP="007C4016">
      <w:pPr>
        <w:pStyle w:val="CitaIFT"/>
        <w:numPr>
          <w:ilvl w:val="0"/>
          <w:numId w:val="153"/>
        </w:numPr>
        <w:spacing w:before="240" w:after="0"/>
      </w:pPr>
      <w:r>
        <w:t>10 GE</w:t>
      </w:r>
    </w:p>
    <w:p w:rsidR="007C4016" w:rsidRDefault="007C4016" w:rsidP="007C4016">
      <w:pPr>
        <w:pStyle w:val="CitaIFT"/>
        <w:spacing w:before="240" w:after="0"/>
      </w:pPr>
      <w:r>
        <w:t>El equipo DWDM debe tener capacidad física disponible de puertos de tarjeta lado cliente y también capacidad disponible en la línea, ya sea para un canal óptico adicional o capacidad en un canal óptico de alto orden existente.</w:t>
      </w:r>
    </w:p>
    <w:p w:rsidR="007C4016" w:rsidRDefault="007C4016" w:rsidP="007C4016">
      <w:pPr>
        <w:pStyle w:val="CitaIFT"/>
        <w:spacing w:before="240" w:after="0"/>
      </w:pPr>
      <w:r>
        <w:t>E</w:t>
      </w:r>
      <w:r w:rsidRPr="00716C42">
        <w:t>ste servicio tendrá un cobro por gastos de instalación.</w:t>
      </w:r>
    </w:p>
    <w:p w:rsidR="007C4016" w:rsidRDefault="007C4016" w:rsidP="007C4016">
      <w:pPr>
        <w:pStyle w:val="CitaIFT"/>
        <w:spacing w:before="240" w:after="0"/>
      </w:pPr>
      <w:r w:rsidRPr="00716C42">
        <w:t>Los rubros facturables son:</w:t>
      </w:r>
    </w:p>
    <w:p w:rsidR="007C4016" w:rsidRDefault="007C4016" w:rsidP="007C4016">
      <w:pPr>
        <w:pStyle w:val="CitaIFT"/>
        <w:spacing w:before="240" w:after="0"/>
      </w:pPr>
      <w:r w:rsidRPr="00716C42">
        <w:t>Cargos No Recurrentes:</w:t>
      </w:r>
    </w:p>
    <w:p w:rsidR="007C4016" w:rsidRDefault="007C4016" w:rsidP="007C4016">
      <w:pPr>
        <w:pStyle w:val="CitaIFT"/>
        <w:numPr>
          <w:ilvl w:val="0"/>
          <w:numId w:val="154"/>
        </w:numPr>
        <w:spacing w:before="240" w:after="0"/>
      </w:pPr>
      <w:r w:rsidRPr="00716C42">
        <w:t>Gastos de Instalación.</w:t>
      </w:r>
    </w:p>
    <w:p w:rsidR="007C4016" w:rsidRDefault="007C4016" w:rsidP="007C4016">
      <w:pPr>
        <w:pStyle w:val="CitaIFT"/>
        <w:spacing w:before="240" w:after="0"/>
        <w:rPr>
          <w:lang w:val="es-ES"/>
        </w:rPr>
      </w:pPr>
      <w:r w:rsidRPr="00716C42">
        <w:rPr>
          <w:lang w:val="es-ES"/>
        </w:rPr>
        <w:t>La facturación de las actividades antes mencionadas se realizará posteriormente a su ejecución.</w:t>
      </w:r>
    </w:p>
    <w:p w:rsidR="007C4016" w:rsidRDefault="007C4016" w:rsidP="007C4016">
      <w:pPr>
        <w:pStyle w:val="CitaIFT"/>
        <w:spacing w:before="240" w:after="0"/>
        <w:rPr>
          <w:lang w:val="es-ES"/>
        </w:rPr>
      </w:pPr>
      <w:r w:rsidRPr="00716C42">
        <w:rPr>
          <w:lang w:val="es-ES"/>
        </w:rPr>
        <w:t>Cargos Recurrentes:</w:t>
      </w:r>
    </w:p>
    <w:p w:rsidR="007C4016" w:rsidRDefault="007C4016" w:rsidP="007C4016">
      <w:pPr>
        <w:pStyle w:val="CitaIFT"/>
        <w:numPr>
          <w:ilvl w:val="0"/>
          <w:numId w:val="154"/>
        </w:numPr>
        <w:spacing w:before="240" w:after="0"/>
      </w:pPr>
      <w:r w:rsidRPr="00716C42">
        <w:t>Renta mensual de Canal Óptico de Alta Capacidad</w:t>
      </w:r>
      <w:r>
        <w:rPr>
          <w:rStyle w:val="Refdenotaalpie"/>
        </w:rPr>
        <w:t>4</w:t>
      </w:r>
      <w:r w:rsidRPr="00716C42">
        <w:t>.</w:t>
      </w:r>
      <w:r>
        <w:t>”</w:t>
      </w:r>
    </w:p>
    <w:p w:rsidR="007C4016" w:rsidRDefault="007C4016" w:rsidP="007C4016">
      <w:pPr>
        <w:pStyle w:val="CitaIFT"/>
        <w:spacing w:before="240" w:after="0"/>
      </w:pPr>
      <w:r>
        <w:t>4 El servicio mensual considera: el medio de transmisión, los puertos y la capacidad del canal óptico contratado.</w:t>
      </w:r>
    </w:p>
    <w:p w:rsidR="007C4016" w:rsidRPr="0048535A" w:rsidRDefault="007C4016" w:rsidP="007C4016">
      <w:pPr>
        <w:pStyle w:val="IFTnormal"/>
        <w:spacing w:before="240" w:after="0"/>
      </w:pPr>
      <w:r w:rsidRPr="00460CA7">
        <w:rPr>
          <w:lang w:val="es-ES"/>
        </w:rPr>
        <w:t>De la lectura del contenido y alcance del servicio de provisión de canales ópticos de alta capacidad en la Propuesta de Oferta de Referencia</w:t>
      </w:r>
      <w:r>
        <w:t xml:space="preserve">, </w:t>
      </w:r>
      <w:r w:rsidRPr="00460CA7">
        <w:rPr>
          <w:lang w:val="es-ES"/>
        </w:rPr>
        <w:t>el Instituto realiza las siguientes consideraciones.</w:t>
      </w:r>
    </w:p>
    <w:p w:rsidR="007C4016" w:rsidRPr="00460CA7" w:rsidRDefault="007C4016" w:rsidP="007C4016">
      <w:pPr>
        <w:pStyle w:val="IFTnormal"/>
        <w:spacing w:before="240" w:after="0"/>
      </w:pPr>
      <w:r>
        <w:rPr>
          <w:lang w:val="es-ES"/>
        </w:rPr>
        <w:t xml:space="preserve">En primer lugar se toma como referencia </w:t>
      </w:r>
      <w:r w:rsidRPr="00460CA7">
        <w:t xml:space="preserve">lo estipulado en las </w:t>
      </w:r>
      <w:r>
        <w:t>siguientes</w:t>
      </w:r>
      <w:r w:rsidRPr="00460CA7">
        <w:t xml:space="preserve"> Medidas Fijas para el Servicio de Acceso y Uso Compartido de Infraestructura Pasiva:</w:t>
      </w:r>
    </w:p>
    <w:p w:rsidR="007C4016" w:rsidRDefault="007C4016" w:rsidP="007C4016">
      <w:pPr>
        <w:pStyle w:val="Citaift0"/>
        <w:spacing w:before="240" w:after="0"/>
        <w:rPr>
          <w:lang w:val="es-ES"/>
        </w:rPr>
      </w:pPr>
      <w:r w:rsidRPr="009C14C4">
        <w:rPr>
          <w:lang w:val="es-ES"/>
        </w:rPr>
        <w:t>“</w:t>
      </w:r>
      <w:r w:rsidRPr="0087469D">
        <w:rPr>
          <w:b/>
          <w:lang w:val="es-ES"/>
        </w:rPr>
        <w:t xml:space="preserve">VIGÉSIMA TERCERA.- </w:t>
      </w:r>
      <w:r w:rsidRPr="0087469D">
        <w:rPr>
          <w:lang w:val="es-ES"/>
        </w:rPr>
        <w:t xml:space="preserve">El Agente Económico Preponderante deberá proveer el Servicio de Acceso y Uso Compartido de Infraestructura Pasiva a los Concesionarios Solicitantes, </w:t>
      </w:r>
      <w:r w:rsidRPr="00BD1184">
        <w:rPr>
          <w:b/>
          <w:lang w:val="es-ES"/>
        </w:rPr>
        <w:t xml:space="preserve">para toda la infraestructura pasiva que posea bajo cualquier título legal </w:t>
      </w:r>
      <w:r w:rsidRPr="007813EF">
        <w:rPr>
          <w:color w:val="auto"/>
          <w:u w:val="single"/>
          <w:lang w:val="es-ES"/>
        </w:rPr>
        <w:t>[…]</w:t>
      </w:r>
    </w:p>
    <w:p w:rsidR="007C4016" w:rsidRPr="007813EF" w:rsidRDefault="007C4016" w:rsidP="007C4016">
      <w:pPr>
        <w:pStyle w:val="CitaIFT"/>
        <w:spacing w:before="240" w:after="0"/>
        <w:rPr>
          <w:color w:val="auto"/>
        </w:rPr>
      </w:pPr>
      <w:r w:rsidRPr="00460CA7">
        <w:rPr>
          <w:b/>
          <w:color w:val="auto"/>
        </w:rPr>
        <w:t>TRIGÉSIMA CUARTA</w:t>
      </w:r>
      <w:r w:rsidRPr="00460CA7">
        <w:rPr>
          <w:color w:val="auto"/>
        </w:rPr>
        <w:t xml:space="preserve">.- En caso de que en una determinada ruta no exista Capacidad Excedente en un ducto ni en rutas alternativas al mismo, el Agente Económico Preponderante, a su elección, deberá poner a disposición del Concesionario Solicitante, como alternativas de solución, el servicio de provisión de </w:t>
      </w:r>
      <w:r w:rsidRPr="00460CA7">
        <w:rPr>
          <w:color w:val="auto"/>
        </w:rPr>
        <w:lastRenderedPageBreak/>
        <w:t>canales ópticos de alta capacidad de transporte entre sus puntos de presencia o el servicio de renta de fibra obscura.”</w:t>
      </w:r>
      <w:r w:rsidRPr="00460CA7" w:rsidDel="00257674">
        <w:rPr>
          <w:color w:val="auto"/>
        </w:rPr>
        <w:t xml:space="preserve"> </w:t>
      </w:r>
    </w:p>
    <w:p w:rsidR="007C4016" w:rsidRPr="009C14C4" w:rsidRDefault="007C4016" w:rsidP="007C4016">
      <w:pPr>
        <w:pStyle w:val="CitaIFT"/>
        <w:spacing w:before="240" w:after="0"/>
        <w:jc w:val="right"/>
        <w:rPr>
          <w:color w:val="auto"/>
          <w:lang w:val="es-ES"/>
        </w:rPr>
      </w:pPr>
      <w:r w:rsidRPr="009C14C4">
        <w:rPr>
          <w:color w:val="auto"/>
          <w:lang w:val="es-ES"/>
        </w:rPr>
        <w:t>(Énfasis añadido)</w:t>
      </w:r>
    </w:p>
    <w:p w:rsidR="007C4016" w:rsidRDefault="007C4016" w:rsidP="007C4016">
      <w:pPr>
        <w:pStyle w:val="IFTnormal"/>
        <w:spacing w:before="240" w:after="0"/>
      </w:pPr>
      <w:r w:rsidRPr="00460CA7">
        <w:t>De la lectura de las Medidas Fijas citadas es claro el alcance de la prestación de los servicios de acceso y compartición aplica a toda la infraestructura pasiva del AEP.</w:t>
      </w:r>
      <w:r>
        <w:t xml:space="preserve"> Sin embargo, la propuesta de Telnor condiciona el alcance de la provisión de canales ópticos de alta capacidad exclusivamente a la infraestructura local.</w:t>
      </w:r>
    </w:p>
    <w:p w:rsidR="007C4016" w:rsidRPr="00460CA7" w:rsidRDefault="007C4016" w:rsidP="007C4016">
      <w:pPr>
        <w:pStyle w:val="IFTnormal"/>
        <w:spacing w:before="240" w:after="0"/>
      </w:pPr>
      <w:r>
        <w:t>Lo anterior se considera contrario a la Medida CUADRAGÉSIMA PRIMERA de las Medidas Fijas en el sentido de que la propuesta</w:t>
      </w:r>
      <w:r w:rsidRPr="00AC7E57">
        <w:t xml:space="preserve"> deberá reflejar, al menos, condiciones equivalentes a las de la Oferta de Referencia vigente.</w:t>
      </w:r>
      <w:r>
        <w:t xml:space="preserve"> A respecto, e</w:t>
      </w:r>
      <w:r w:rsidRPr="00460CA7">
        <w:t xml:space="preserve">l Instituto no encuentra justificación para condicionar la provisión del servicio de canales ópticos de alta capacidad a diferentes segmentos de la red del AEP, indistintamente de su denominación como red de acceso, local, transporte o </w:t>
      </w:r>
      <w:r w:rsidRPr="00B03CEF">
        <w:t>nacional</w:t>
      </w:r>
      <w:r w:rsidRPr="00460CA7">
        <w:t>. Por lo tanto el Instituto considera que se deben eliminar estas restricciones de la descripción del servicio.</w:t>
      </w:r>
    </w:p>
    <w:p w:rsidR="007C4016" w:rsidRPr="00460CA7" w:rsidRDefault="007C4016" w:rsidP="007C4016">
      <w:pPr>
        <w:pStyle w:val="IFTnormal"/>
        <w:spacing w:before="240" w:after="0"/>
      </w:pPr>
      <w:r w:rsidRPr="00460CA7">
        <w:t>En segunda instancia y con respecto a la condición de la provisión de los canales ópticos a centrales propias del AEP, es decir,</w:t>
      </w:r>
      <w:r w:rsidRPr="006233F1">
        <w:t xml:space="preserve"> </w:t>
      </w:r>
      <w:r>
        <w:t xml:space="preserve">a </w:t>
      </w:r>
      <w:r w:rsidRPr="00460CA7">
        <w:t xml:space="preserve">dos edificios (puntos de presencia adyacentes con equipamiento y coubicaciones de los CS), el Instituto da cuenta que la alternativa de los canales ópticos de alta capacidad conforme a lo dispuesto en la Medida TRIGÉSIMA CUARTA de las Medidas Fijas, se ordena efectivamente entre los puntos de presencia del AEP, sin especificar su ubicación, alcance o pertenencia a una jerarquía, clasificación o segmento de la red del AEP, y mucho menos a que tengan ubicaciones predeterminadas (adyacentes o pertenecientes a una localidad, zona o región). </w:t>
      </w:r>
    </w:p>
    <w:p w:rsidR="007C4016" w:rsidRPr="00460CA7" w:rsidRDefault="007C4016" w:rsidP="007C4016">
      <w:pPr>
        <w:pStyle w:val="IFTnormal"/>
        <w:spacing w:before="240" w:after="0"/>
      </w:pPr>
      <w:r w:rsidRPr="00460CA7">
        <w:t>Para establecer la factibilidad de comunicación entre dos puntos a través de canales ópticos de alta capacidad se requieren al menos de los siguientes elementos:</w:t>
      </w:r>
    </w:p>
    <w:p w:rsidR="007C4016" w:rsidRPr="00460CA7" w:rsidRDefault="007C4016" w:rsidP="007C4016">
      <w:pPr>
        <w:pStyle w:val="IFTnormal"/>
        <w:numPr>
          <w:ilvl w:val="0"/>
          <w:numId w:val="155"/>
        </w:numPr>
        <w:spacing w:before="240" w:after="0"/>
      </w:pPr>
      <w:r w:rsidRPr="00460CA7">
        <w:t>Equipos (emisor y receptor) que por sus características y requerimientos de operación deben estar ubicados en centrales o instalaciones equivalentes.</w:t>
      </w:r>
    </w:p>
    <w:p w:rsidR="007C4016" w:rsidRPr="00460CA7" w:rsidRDefault="007C4016" w:rsidP="007C4016">
      <w:pPr>
        <w:pStyle w:val="IFTnormal"/>
        <w:numPr>
          <w:ilvl w:val="0"/>
          <w:numId w:val="155"/>
        </w:numPr>
        <w:spacing w:before="240" w:after="0"/>
      </w:pPr>
      <w:r w:rsidRPr="00460CA7">
        <w:t>Canal de comunicación que es el medio físico que permite la transmisión de la señal del equipo transmisor al receptor. En este caso se trata de la fibra óptica con las características de capacidad espectral y formato de codificación adecuado para su operación.</w:t>
      </w:r>
    </w:p>
    <w:p w:rsidR="007C4016" w:rsidRPr="00460CA7" w:rsidRDefault="007C4016" w:rsidP="007C4016">
      <w:pPr>
        <w:pStyle w:val="IFTnormal"/>
        <w:numPr>
          <w:ilvl w:val="0"/>
          <w:numId w:val="155"/>
        </w:numPr>
        <w:spacing w:before="240" w:after="0"/>
      </w:pPr>
      <w:r w:rsidRPr="00460CA7">
        <w:lastRenderedPageBreak/>
        <w:t>Elementos amplificadores y compensadores de dispersión cromática que restituyen la señal en su transmisión.</w:t>
      </w:r>
    </w:p>
    <w:p w:rsidR="007C4016" w:rsidRPr="00460CA7" w:rsidRDefault="007C4016" w:rsidP="007C4016">
      <w:pPr>
        <w:pStyle w:val="IFTnormal"/>
        <w:spacing w:before="240" w:after="0"/>
      </w:pPr>
      <w:r w:rsidRPr="00460CA7">
        <w:t xml:space="preserve">Los elementos, características y capacidades necesarios para la provisión de canales ópticos de alta capacidad condicionan su habilitación a los puntos de presencia del AEP que cumplan con estos requerimientos, aunados a los elementos que deben tener los CS para </w:t>
      </w:r>
      <w:r>
        <w:t>estar en posibilidad de</w:t>
      </w:r>
      <w:r w:rsidRPr="00460CA7">
        <w:t xml:space="preserve"> recibir las señales ópticas asignadas. Derivado de lo anterior el Instituto considera que la provisión del servicio de canales ópticos de alta capacidad está en función de la disponibilidad de los elementos que determinan su factibilidad técnica, con independencia de la ubicación de los puntos de presencia donde pueda ser</w:t>
      </w:r>
      <w:r>
        <w:t xml:space="preserve"> implementado (adyacentes o no), y por lo tanto procede a la modificación de la redacción de esta sección para eliminar estas restricciones.</w:t>
      </w:r>
    </w:p>
    <w:p w:rsidR="007C4016" w:rsidRPr="00460CA7" w:rsidRDefault="007C4016" w:rsidP="007C4016">
      <w:pPr>
        <w:pStyle w:val="IFTnormal"/>
        <w:spacing w:before="240" w:after="0"/>
      </w:pPr>
      <w:r w:rsidRPr="00460CA7">
        <w:t>De la misma lectura en la Medida TRIGÉSIMA CUARTA de las Medidas Fijas referida se desprende que la solución no contempla el suministro e instalación de equipos adicionales a los que el AEP tenga habilitados en sus centrales o puntos de presencia. Esto significa que el servicio se limita a la asignación y entrega de una señal óptica entre dos puntos que cuenten con la factibilidad técnica de implementarlo, y en efecto pueden no corresponder a una solución equivalente a la ruta o trayectoria donde originalmente los CS solicitaron capacidad. La consideración de habilitar equipos en sitios fuera de los puntos de presencia del AEP a efectos de hacer extensivo el alcance del servicio de canales ópticos de alta capacidad, con las capacidades y características definidas para este servicio, hacia los puntos originalmente solicitados o para efectos de complementar  la red de acceso, ya sea para a acercarse o conectar usuarios</w:t>
      </w:r>
      <w:r>
        <w:t>,</w:t>
      </w:r>
      <w:r w:rsidRPr="00460CA7">
        <w:t xml:space="preserve"> conlleva a establecer un servicio equivalente a la provisión de enlaces dedicados fuera del alcance de la presente oferta de referencia.</w:t>
      </w:r>
    </w:p>
    <w:p w:rsidR="007C4016" w:rsidRPr="00460CA7" w:rsidRDefault="007C4016" w:rsidP="007C4016">
      <w:pPr>
        <w:pStyle w:val="IFTnormal"/>
        <w:spacing w:before="240" w:after="0"/>
      </w:pPr>
      <w:r>
        <w:t>Inclusive la solución de canales ópticos pudiera resultar de utilidad a los operadores, pero bajo circunstancias muy particulares. Por ejemplo, no es una solución viable para acceder a usuarios finales que se encuentran en la ruta de interés del CS.</w:t>
      </w:r>
    </w:p>
    <w:p w:rsidR="007C4016" w:rsidRPr="00460CA7" w:rsidRDefault="007C4016" w:rsidP="007C4016">
      <w:pPr>
        <w:pStyle w:val="IFTnormal"/>
        <w:spacing w:before="240" w:after="0"/>
      </w:pPr>
      <w:r w:rsidRPr="00460CA7">
        <w:rPr>
          <w:lang w:val="es-ES"/>
        </w:rPr>
        <w:t xml:space="preserve">En tercera instancia el Instituto revisa </w:t>
      </w:r>
      <w:r w:rsidRPr="00460CA7">
        <w:t>que en presencia de obstáculos de compartición de infraestructura</w:t>
      </w:r>
      <w:r>
        <w:t>, así como en</w:t>
      </w:r>
      <w:r w:rsidRPr="00460CA7">
        <w:t xml:space="preserve"> la provisión del servicio de canales ópticos de alta capacidad</w:t>
      </w:r>
      <w:r>
        <w:t>,</w:t>
      </w:r>
      <w:r w:rsidRPr="00460CA7">
        <w:t xml:space="preserve"> se ofrecerá la alternativa del servicio de renta de fibra obscura para el enlace de los puntos solicitados. Al respecto </w:t>
      </w:r>
      <w:r w:rsidRPr="00460CA7">
        <w:rPr>
          <w:lang w:val="es-ES"/>
        </w:rPr>
        <w:t>e</w:t>
      </w:r>
      <w:r w:rsidRPr="00460CA7">
        <w:t xml:space="preserve">l Instituto considera lo estipulado en la Medida TRIGÉSIMA CUARTA de las Medidas Fijas antes citada, </w:t>
      </w:r>
      <w:r w:rsidRPr="00460CA7">
        <w:lastRenderedPageBreak/>
        <w:t xml:space="preserve">cuya interpretación sigue una lógica progresiva, es decir, se deben agotar las alternativas de solución por falta de capacidad en las infraestructuras requeridas. </w:t>
      </w:r>
    </w:p>
    <w:p w:rsidR="007C4016" w:rsidRPr="00460CA7" w:rsidRDefault="007C4016" w:rsidP="007C4016">
      <w:pPr>
        <w:pStyle w:val="IFTnormal"/>
        <w:spacing w:before="240" w:after="0"/>
      </w:pPr>
      <w:r>
        <w:t>Dado que se entiende que Telnor ha optado por l</w:t>
      </w:r>
      <w:r w:rsidRPr="00460CA7">
        <w:t xml:space="preserve">a provisión de canales ópticos de alta capacidad </w:t>
      </w:r>
      <w:r>
        <w:t>sea</w:t>
      </w:r>
      <w:r w:rsidRPr="00460CA7">
        <w:t xml:space="preserve"> la primer opción en caso de no disponibilidad de capacidad excedente o rutas alternativas</w:t>
      </w:r>
      <w:r>
        <w:t>, en</w:t>
      </w:r>
      <w:r w:rsidRPr="00460CA7">
        <w:t xml:space="preserve"> caso que la solución de canales ópticos sea inviable</w:t>
      </w:r>
      <w:r>
        <w:t>,</w:t>
      </w:r>
      <w:r w:rsidRPr="00460CA7">
        <w:t xml:space="preserve"> debe recurrir a la segunda alternativa</w:t>
      </w:r>
      <w:r>
        <w:t>, es decir, a la</w:t>
      </w:r>
      <w:r w:rsidRPr="00460CA7">
        <w:t xml:space="preserve"> provisión del servicio de renta de fibra </w:t>
      </w:r>
      <w:r>
        <w:t>obscura</w:t>
      </w:r>
      <w:r w:rsidRPr="00460CA7">
        <w:t>.</w:t>
      </w:r>
    </w:p>
    <w:p w:rsidR="007C4016" w:rsidRPr="00460CA7" w:rsidRDefault="007C4016" w:rsidP="007C4016">
      <w:pPr>
        <w:pStyle w:val="IFTnormal"/>
        <w:spacing w:before="240" w:after="0"/>
      </w:pPr>
      <w:r>
        <w:t>En este sentido, a</w:t>
      </w:r>
      <w:r w:rsidRPr="00460CA7">
        <w:t xml:space="preserve"> consideración del Instituto, la propuesta del AEP no cumple con lo dispuesto en la Medida TRIGÉSIMA CUARTA de las Medidas Fijas, </w:t>
      </w:r>
      <w:r>
        <w:t>ya</w:t>
      </w:r>
      <w:r w:rsidRPr="00460CA7">
        <w:t xml:space="preserve"> que </w:t>
      </w:r>
      <w:r>
        <w:t xml:space="preserve">Telnor </w:t>
      </w:r>
      <w:r w:rsidRPr="00460CA7">
        <w:t xml:space="preserve">no </w:t>
      </w:r>
      <w:r>
        <w:t>agota</w:t>
      </w:r>
      <w:r w:rsidRPr="00460CA7">
        <w:t xml:space="preserve"> la alternativa del servicio de renta de fibra </w:t>
      </w:r>
      <w:r>
        <w:t>obscura</w:t>
      </w:r>
      <w:r w:rsidRPr="00460CA7">
        <w:t xml:space="preserve"> </w:t>
      </w:r>
      <w:r>
        <w:t>limitando con ello el acceso a su infraestructura e imponiendo restricciones a la competencia,</w:t>
      </w:r>
      <w:r w:rsidRPr="00460CA7">
        <w:t xml:space="preserve"> por lo tanto es procedente la modificación de su contenido para contemplar su provisión. </w:t>
      </w:r>
    </w:p>
    <w:p w:rsidR="007C4016" w:rsidRPr="00460CA7" w:rsidRDefault="007C4016" w:rsidP="007C4016">
      <w:pPr>
        <w:pStyle w:val="IFTnormal"/>
        <w:spacing w:before="240" w:after="0"/>
      </w:pPr>
      <w:r w:rsidRPr="001123CE">
        <w:t>Al respecto es necesario explicar que la fibra obscura es la denominación que se atribuye a los circuitos de fibra óptica que han sido desplegados por algún operador pero no están siendo utilizados. La conectividad por la fibra se comercializa en bruto, de manera que es el propio cliente quien aplica la tecnología de transmisión (electrónica) que más se adecua a sus necesidades, mejorando así el rendimiento obtenido puesto que se evitan conversiones innecesarias de protocolos.</w:t>
      </w:r>
    </w:p>
    <w:p w:rsidR="007C4016" w:rsidRPr="001123CE" w:rsidRDefault="007C4016" w:rsidP="007C4016">
      <w:pPr>
        <w:pStyle w:val="IFTnormal"/>
        <w:spacing w:before="240" w:after="0"/>
      </w:pPr>
      <w:r w:rsidRPr="001123CE">
        <w:t xml:space="preserve">Cuando un operador de telecomunicaciones despliega su red de fibra óptica, tiene que invertir para construir las canalizaciones y tender los cables de fibra óptica. Si en un futuro fuese necesario ampliar la capacidad de una red ya existente, sería necesario tender y conectar cables adicionales, por ello, </w:t>
      </w:r>
      <w:r>
        <w:t xml:space="preserve">es lógico suponer que los despliegues </w:t>
      </w:r>
      <w:r w:rsidRPr="001123CE">
        <w:t>se basan en un sobredimensionamiento de la red inicial, instalando cables de fibra óptica de mayor capacidad a los que son necesarios.</w:t>
      </w:r>
    </w:p>
    <w:p w:rsidR="007C4016" w:rsidRPr="00E92D47" w:rsidRDefault="007C4016" w:rsidP="007C4016">
      <w:pPr>
        <w:pStyle w:val="IFTnormal"/>
        <w:spacing w:before="240" w:after="0"/>
      </w:pPr>
      <w:r w:rsidRPr="001123CE">
        <w:t>Los cables de fibra pueden conten</w:t>
      </w:r>
      <w:r>
        <w:t>er diferentes números de fibras, desde dos</w:t>
      </w:r>
      <w:r w:rsidRPr="001123CE">
        <w:t xml:space="preserve"> hasta varios cientos. Debido al sobredimensionamiento</w:t>
      </w:r>
      <w:r>
        <w:t xml:space="preserve"> antes mencionado</w:t>
      </w:r>
      <w:r w:rsidRPr="001123CE">
        <w:t>, no todas las fibras se emplean</w:t>
      </w:r>
      <w:r>
        <w:t xml:space="preserve"> y</w:t>
      </w:r>
      <w:r w:rsidRPr="00E92D47">
        <w:t xml:space="preserve"> </w:t>
      </w:r>
      <w:r w:rsidRPr="001123CE">
        <w:t xml:space="preserve">algunas de estas fibras nunca llegan a ser utilizados, es decir, nunca se transmite radiación infrarroja a través de ellos. Los </w:t>
      </w:r>
      <w:r>
        <w:t xml:space="preserve">hilos </w:t>
      </w:r>
      <w:r w:rsidRPr="001123CE">
        <w:t>que quedan sin uso reciben el nombre de</w:t>
      </w:r>
      <w:r>
        <w:t xml:space="preserve"> </w:t>
      </w:r>
      <w:r w:rsidRPr="001123CE">
        <w:t>fibra o</w:t>
      </w:r>
      <w:r>
        <w:t>b</w:t>
      </w:r>
      <w:r w:rsidRPr="001123CE">
        <w:t>scura.</w:t>
      </w:r>
    </w:p>
    <w:p w:rsidR="007C4016" w:rsidRPr="00460CA7" w:rsidRDefault="007C4016" w:rsidP="007C4016">
      <w:pPr>
        <w:pStyle w:val="IFTnormal"/>
        <w:spacing w:before="240" w:after="0"/>
      </w:pPr>
      <w:r w:rsidRPr="00031772">
        <w:rPr>
          <w:rFonts w:ascii="Arial" w:eastAsiaTheme="minorHAnsi" w:hAnsi="Arial" w:cs="Arial"/>
          <w:bCs w:val="0"/>
          <w:noProof/>
          <w:szCs w:val="20"/>
          <w:shd w:val="clear" w:color="auto" w:fill="FFFFFF"/>
          <w:lang w:eastAsia="es-MX"/>
        </w:rPr>
        <w:lastRenderedPageBreak/>
        <w:drawing>
          <wp:inline distT="0" distB="0" distL="0" distR="0" wp14:anchorId="5696EBD7" wp14:editId="76E26E8B">
            <wp:extent cx="5274752" cy="1552754"/>
            <wp:effectExtent l="0" t="0" r="2540" b="0"/>
            <wp:docPr id="41" name="Picture 8" descr="Cable de fibra optica del AEP"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1742" cy="1581305"/>
                    </a:xfrm>
                    <a:prstGeom prst="rect">
                      <a:avLst/>
                    </a:prstGeom>
                    <a:noFill/>
                  </pic:spPr>
                </pic:pic>
              </a:graphicData>
            </a:graphic>
          </wp:inline>
        </w:drawing>
      </w:r>
    </w:p>
    <w:p w:rsidR="007C4016" w:rsidRDefault="007C4016" w:rsidP="007C4016">
      <w:pPr>
        <w:pStyle w:val="IFTnormal"/>
        <w:spacing w:before="240" w:after="0"/>
      </w:pPr>
      <w:r>
        <w:t>En virtud de lo anterior el Instituto considera complementar la Sección de Canales Ópticos de Alta Capacidad de Transporte de la Propuesta de Oferta de Referencia de Compartición de Infraestructura del AEP</w:t>
      </w:r>
      <w:r w:rsidRPr="00460CA7">
        <w:t xml:space="preserve"> </w:t>
      </w:r>
      <w:r>
        <w:t xml:space="preserve">con la descripción, alcances, características, parámetros de calidad y procedimientos necesarios para habilitar la alternativa de provisión del servicio de renta de fibra obscura. </w:t>
      </w:r>
    </w:p>
    <w:p w:rsidR="007C4016" w:rsidRDefault="007C4016" w:rsidP="007C4016">
      <w:pPr>
        <w:pStyle w:val="IFTnormal"/>
        <w:spacing w:before="240" w:after="0"/>
      </w:pPr>
      <w:r w:rsidRPr="00460CA7">
        <w:t>Derivado de todo lo anterior el Instituto considera modificar e</w:t>
      </w:r>
      <w:r w:rsidRPr="00460CA7">
        <w:rPr>
          <w:lang w:val="es-ES"/>
        </w:rPr>
        <w:t>l numeral “</w:t>
      </w:r>
      <w:r w:rsidRPr="00460CA7">
        <w:rPr>
          <w:i/>
          <w:lang w:val="es-ES"/>
        </w:rPr>
        <w:t>2. Servicio de Canales Ópticos de Alta Capacidad de Transporte</w:t>
      </w:r>
      <w:r w:rsidRPr="00460CA7">
        <w:rPr>
          <w:lang w:val="es-ES"/>
        </w:rPr>
        <w:t xml:space="preserve">”, del documento de Propuesta de Oferta de Referencia, los procesos y  los </w:t>
      </w:r>
      <w:r>
        <w:rPr>
          <w:lang w:val="es-ES"/>
        </w:rPr>
        <w:t>a</w:t>
      </w:r>
      <w:r w:rsidRPr="00460CA7">
        <w:rPr>
          <w:lang w:val="es-ES"/>
        </w:rPr>
        <w:t xml:space="preserve">nexos relacionados </w:t>
      </w:r>
      <w:r>
        <w:t>para</w:t>
      </w:r>
      <w:r w:rsidRPr="00460CA7">
        <w:t xml:space="preserve"> este servicio, ya que el AEP está obligado a proporcionar </w:t>
      </w:r>
      <w:r>
        <w:t>en primera instancia</w:t>
      </w:r>
      <w:r w:rsidRPr="00460CA7">
        <w:t xml:space="preserve"> el servicio de canal óptico de alta capacidad o como alternativa el servicio de renta de fibra obscura en caso de no existir capacidad excedente o rutas alternativas en el servicio de la obra civil de ductos</w:t>
      </w:r>
      <w:r>
        <w:t xml:space="preserve"> solicitado,</w:t>
      </w:r>
      <w:r w:rsidRPr="00460CA7">
        <w:t xml:space="preserve"> conforme lo establece la Medida TRIGÉSIMA CUARTA de las Medidas Fijas.</w:t>
      </w:r>
    </w:p>
    <w:p w:rsidR="007C4016" w:rsidRDefault="007C4016" w:rsidP="007C4016">
      <w:pPr>
        <w:pStyle w:val="IFTnormal"/>
        <w:spacing w:before="240" w:after="0"/>
      </w:pPr>
      <w:r>
        <w:t>En complemento a lo anterior, el Instituto destaca que en lo relativo las tarifas del servicio de canales ópticos el AEP presentó una estructura de cobro en la sección “</w:t>
      </w:r>
      <w:r w:rsidRPr="00F7418E">
        <w:t>2. Servicio de Canales Ópticos de Alta Capacidad de Transporte</w:t>
      </w:r>
      <w:r w:rsidRPr="00CD5308">
        <w:t>”, sin embargo</w:t>
      </w:r>
      <w:r>
        <w:t xml:space="preserve"> en el ANEXO A “</w:t>
      </w:r>
      <w:r w:rsidRPr="003F37EC">
        <w:t>TA</w:t>
      </w:r>
      <w:r>
        <w:t>RIFAS”</w:t>
      </w:r>
      <w:r w:rsidRPr="003F37EC">
        <w:t xml:space="preserve"> DEL CONVENIO</w:t>
      </w:r>
      <w:r>
        <w:t xml:space="preserve"> de la propuesta de Oferta de Referencia, el AEP no presentó valores concretos para los cargos recurrentes y no recurrentes que corresponderían a la prestación de dicho servicio. En este sentido, en congruencia a lo acordado por el Instituto en lo tocante a los niveles tarifarios del ANEXO A “</w:t>
      </w:r>
      <w:r w:rsidRPr="003F37EC">
        <w:t>TA</w:t>
      </w:r>
      <w:r>
        <w:t>RIFAS”</w:t>
      </w:r>
      <w:r w:rsidRPr="003F37EC">
        <w:t xml:space="preserve"> DEL CONVENIO</w:t>
      </w:r>
      <w:r>
        <w:t xml:space="preserve"> se estima pertinente modificar su contenido para incorporar niveles específicos de las tarifas</w:t>
      </w:r>
      <w:r w:rsidRPr="00BC080E">
        <w:t xml:space="preserve"> </w:t>
      </w:r>
      <w:r>
        <w:t>recurrentes y no recurrentes aplicables a dicho servicio.</w:t>
      </w:r>
    </w:p>
    <w:p w:rsidR="007C4016" w:rsidRPr="00E92D47" w:rsidRDefault="007C4016" w:rsidP="007C4016">
      <w:pPr>
        <w:pStyle w:val="IFTnormal"/>
        <w:spacing w:before="240" w:after="0"/>
      </w:pPr>
      <w:r w:rsidRPr="00460CA7">
        <w:t xml:space="preserve">Respecto a la </w:t>
      </w:r>
      <w:r>
        <w:t>Consulta Pública</w:t>
      </w:r>
      <w:r w:rsidRPr="00460CA7">
        <w:t xml:space="preserve"> </w:t>
      </w:r>
      <w:r>
        <w:t xml:space="preserve">se recibieron comentarios </w:t>
      </w:r>
      <w:r w:rsidRPr="00460CA7">
        <w:t xml:space="preserve">indicando que lo dispuesto en la Propuesta de Oferta da cumplimiento parcial o no cumple con lo dispuesto en la Medida TRIGÉSIMA CUARTA de las Medidas Fijas en el sentido que la fibra </w:t>
      </w:r>
      <w:r>
        <w:t>obscura</w:t>
      </w:r>
      <w:r w:rsidRPr="00460CA7">
        <w:t xml:space="preserve"> no está incluida como alternativa. De la lectura de la descripción </w:t>
      </w:r>
      <w:r w:rsidRPr="00460CA7">
        <w:lastRenderedPageBreak/>
        <w:t>del servicio se desprende lo siguiente: la solución de canales ópticos de alta capacidad no es extensiva a toda la red del AEP, es decir, no abarca la red de acceso ni la red de larga distancia; no brinda una solución en específico para la red de acceso; acota el servicio a la infraestructura local; impone restricciones adicionales para acceder a los canales ópticos, y en resumen se brinda el servicio de enlaces entre dos centrales.</w:t>
      </w:r>
    </w:p>
    <w:p w:rsidR="007C4016" w:rsidRPr="00460CA7" w:rsidRDefault="007C4016" w:rsidP="007C4016">
      <w:pPr>
        <w:pStyle w:val="IFTnormal"/>
        <w:spacing w:before="240" w:after="0"/>
        <w:rPr>
          <w:b/>
        </w:rPr>
      </w:pPr>
      <w:r w:rsidRPr="00460CA7">
        <w:rPr>
          <w:b/>
        </w:rPr>
        <w:t xml:space="preserve">Redacción </w:t>
      </w:r>
      <w:r>
        <w:rPr>
          <w:b/>
        </w:rPr>
        <w:t>Definitiva</w:t>
      </w:r>
    </w:p>
    <w:p w:rsidR="007C4016" w:rsidRPr="00460CA7" w:rsidRDefault="007C4016" w:rsidP="007C4016">
      <w:pPr>
        <w:pStyle w:val="IFTnormal"/>
        <w:spacing w:before="240" w:after="0"/>
      </w:pPr>
      <w:r w:rsidRPr="00460CA7">
        <w:t xml:space="preserve">Derivado del análisis realizado, el Instituto resuelve que la sección </w:t>
      </w:r>
      <w:r w:rsidRPr="00460CA7">
        <w:rPr>
          <w:lang w:val="es-ES"/>
        </w:rPr>
        <w:t>“</w:t>
      </w:r>
      <w:r w:rsidRPr="00460CA7">
        <w:rPr>
          <w:i/>
          <w:lang w:val="es-ES"/>
        </w:rPr>
        <w:t>2.</w:t>
      </w:r>
      <w:r w:rsidRPr="00460CA7">
        <w:rPr>
          <w:i/>
          <w:lang w:val="es-ES"/>
        </w:rPr>
        <w:tab/>
        <w:t xml:space="preserve"> Servicio de Canales Ópticos de Alta Capacidad de Transporte</w:t>
      </w:r>
      <w:r w:rsidRPr="00460CA7">
        <w:t>” deberá quedar de la siguiente manera:</w:t>
      </w:r>
    </w:p>
    <w:p w:rsidR="007C4016" w:rsidRPr="00031772" w:rsidRDefault="007C4016" w:rsidP="007C4016">
      <w:pPr>
        <w:pStyle w:val="CondicionesFinales"/>
        <w:spacing w:before="240" w:after="0"/>
        <w:rPr>
          <w:b/>
        </w:rPr>
      </w:pPr>
      <w:r w:rsidRPr="00031772">
        <w:rPr>
          <w:b/>
        </w:rPr>
        <w:t xml:space="preserve">2. Servicio de Canales Ópticos de Alta Capacidad de Transporte. </w:t>
      </w:r>
    </w:p>
    <w:p w:rsidR="007C4016" w:rsidRDefault="007C4016" w:rsidP="007C4016">
      <w:pPr>
        <w:pStyle w:val="CondicionesFinales"/>
        <w:spacing w:before="240" w:after="0"/>
      </w:pPr>
      <w:r w:rsidRPr="00031772">
        <w:t>El Servicio de Canales Ópticos de Alta Capacidad de Transporte se pondrá a disposición del CS cuando exista saturación en ductos o postes de una ruta solicitada por el CS y cuando no exista una ruta alterna viable, además que no</w:t>
      </w:r>
      <w:r>
        <w:t xml:space="preserve"> sea posible recuperar espacios o realizar adecuaciones,</w:t>
      </w:r>
      <w:r w:rsidRPr="00031772">
        <w:t xml:space="preserve"> lo cual podrá constatarse a través de la Visita Técnica. </w:t>
      </w:r>
    </w:p>
    <w:p w:rsidR="007C4016" w:rsidRPr="00031772" w:rsidRDefault="007C4016" w:rsidP="007C4016">
      <w:pPr>
        <w:pStyle w:val="CondicionesFinales"/>
        <w:spacing w:before="240" w:after="0"/>
      </w:pPr>
      <w:r>
        <w:t xml:space="preserve">El CS podrá </w:t>
      </w:r>
      <w:r w:rsidRPr="00AE7385">
        <w:t xml:space="preserve">considerar que no existe capacidad en la ruta solicitada cuando la cotización realizada por </w:t>
      </w:r>
      <w:r>
        <w:t>Telnor</w:t>
      </w:r>
      <w:r w:rsidRPr="00AE7385">
        <w:t xml:space="preserve"> asociada a Trabajos Especiales señale que los mismos exceden el 30% al costo del proyecto original de dicha ruta si se requiere realizar, es decir, trabajos de recuperación de espacio o adecuaciones, o en su caso cuando en alguna ruta alternativa propuest</w:t>
      </w:r>
      <w:r>
        <w:t>a por Telnor</w:t>
      </w:r>
      <w:r w:rsidRPr="00AE7385">
        <w:t xml:space="preserve"> el costo para el CS sea de al menos 30% mayor a la ruta originalmente solicitada</w:t>
      </w:r>
      <w:r>
        <w:t>. Quedará a discreción del CS decidir si acepta realizar los trabajos especiales de recuperación de espacio o de adecuaciones, o si en su caso solicita el servicio de canales ópticos de alta capacidad o en su caso el servicio de renta de fibra obscura.</w:t>
      </w:r>
    </w:p>
    <w:p w:rsidR="007C4016" w:rsidRPr="00031772" w:rsidRDefault="007C4016" w:rsidP="007C4016">
      <w:pPr>
        <w:pStyle w:val="CondicionesFinales"/>
        <w:spacing w:before="240" w:after="0"/>
      </w:pPr>
      <w:r w:rsidRPr="00031772">
        <w:t>La provisión de canal óptico se refiere a la asignación de una señal óptica entre dos equipos DWDM conectados para el transporte de señales entre dos edificios (punto</w:t>
      </w:r>
      <w:r>
        <w:t>s de presencia) de Telnor</w:t>
      </w:r>
      <w:r w:rsidRPr="00031772">
        <w:t xml:space="preserve"> solicitados por el CS.</w:t>
      </w:r>
    </w:p>
    <w:p w:rsidR="007C4016" w:rsidRPr="00031772" w:rsidRDefault="007C4016" w:rsidP="007C4016">
      <w:pPr>
        <w:pStyle w:val="CondicionesFinales"/>
        <w:spacing w:before="240" w:after="0"/>
      </w:pPr>
      <w:r w:rsidRPr="00031772">
        <w:lastRenderedPageBreak/>
        <w:t>Este servicio se entrega al CS con una interfaz óptica estándar en gris y del mismo tipo en cada extrem</w:t>
      </w:r>
      <w:r>
        <w:t>o (punto de presencia) de Telnor</w:t>
      </w:r>
      <w:r w:rsidRPr="00031772">
        <w:t xml:space="preserve"> en las coubicaciones del CS.</w:t>
      </w:r>
    </w:p>
    <w:p w:rsidR="007C4016" w:rsidRPr="00031772" w:rsidRDefault="007C4016" w:rsidP="007C4016">
      <w:pPr>
        <w:pStyle w:val="CondicionesFinales"/>
        <w:spacing w:before="240" w:after="0"/>
      </w:pPr>
      <w:r w:rsidRPr="00031772">
        <w:t>El servicio de canal óptico se puede solicitar en las siguientes condiciones:</w:t>
      </w:r>
    </w:p>
    <w:p w:rsidR="007C4016" w:rsidRPr="00055484" w:rsidRDefault="007C4016" w:rsidP="007C4016">
      <w:pPr>
        <w:pStyle w:val="CondicionesFinales"/>
        <w:numPr>
          <w:ilvl w:val="0"/>
          <w:numId w:val="156"/>
        </w:numPr>
        <w:spacing w:before="240" w:after="0"/>
        <w:ind w:left="1276"/>
        <w:rPr>
          <w:lang w:val="es-ES"/>
        </w:rPr>
      </w:pPr>
      <w:r w:rsidRPr="00B50518">
        <w:t xml:space="preserve">Se debe elaborar </w:t>
      </w:r>
      <w:r>
        <w:t>un formato</w:t>
      </w:r>
      <w:r w:rsidRPr="00B50518">
        <w:t xml:space="preserve"> del servicio en donde se incluya el requerimiento del Concesionario Solicitante tales como el tipo de interfaz de interconexión, los puntos A y B, fechas de entrega, etc.</w:t>
      </w:r>
    </w:p>
    <w:p w:rsidR="007C4016" w:rsidRPr="00031772" w:rsidRDefault="007C4016" w:rsidP="007C4016">
      <w:pPr>
        <w:pStyle w:val="CondicionesFinales"/>
        <w:numPr>
          <w:ilvl w:val="0"/>
          <w:numId w:val="156"/>
        </w:numPr>
        <w:spacing w:before="240" w:after="0"/>
        <w:ind w:left="1276"/>
        <w:rPr>
          <w:lang w:val="es-ES"/>
        </w:rPr>
      </w:pPr>
      <w:r w:rsidRPr="00031772">
        <w:rPr>
          <w:lang w:val="es-ES"/>
        </w:rPr>
        <w:t>El servicio de canal óptico se suministra en el segmento del trayecto solicitado por el CS en el que se certifique no que se tiene disponibilidad de infraestructura pasiva. Este segmento está definido como la ruta entre los edificios (puntos de presencia), el primero es el que tiene la cobertura geográfica del inicio de la ruta o del tramo saturado y el segundo edificio es el que tiene la cobertura geográfica de la terminación de la ruta o del tramo saturado, que cuenten con sistemas de transmisión con tecnología DWDM del mismo fabricante.</w:t>
      </w:r>
    </w:p>
    <w:p w:rsidR="007C4016" w:rsidRDefault="007C4016" w:rsidP="007C4016">
      <w:pPr>
        <w:pStyle w:val="CondicionesFinales"/>
        <w:numPr>
          <w:ilvl w:val="0"/>
          <w:numId w:val="156"/>
        </w:numPr>
        <w:spacing w:before="240" w:after="0"/>
        <w:ind w:left="1276"/>
      </w:pPr>
      <w:r w:rsidRPr="00031772">
        <w:t>El CS debe contar con coubicaciones en ambos edificios</w:t>
      </w:r>
      <w:r>
        <w:t xml:space="preserve"> (puntos de presencia) de Telnor</w:t>
      </w:r>
      <w:r w:rsidRPr="00031772">
        <w:t>. En caso de no contar con alguno podrá solicitar el servicio de coubicación siempre y cuando sea técnicamente factible.</w:t>
      </w:r>
    </w:p>
    <w:p w:rsidR="007C4016" w:rsidRPr="00031772" w:rsidRDefault="007C4016" w:rsidP="007C4016">
      <w:pPr>
        <w:pStyle w:val="CondicionesFinales"/>
        <w:numPr>
          <w:ilvl w:val="0"/>
          <w:numId w:val="156"/>
        </w:numPr>
        <w:spacing w:before="240" w:after="0"/>
        <w:ind w:left="1276"/>
      </w:pPr>
      <w:r w:rsidRPr="00D360B7">
        <w:tab/>
        <w:t>Los equipos de transporte a emplear deben ser existentes en la planta instalada.</w:t>
      </w:r>
    </w:p>
    <w:p w:rsidR="007C4016" w:rsidRPr="00031772" w:rsidRDefault="007C4016" w:rsidP="007C4016">
      <w:pPr>
        <w:pStyle w:val="CondicionesFinales"/>
        <w:numPr>
          <w:ilvl w:val="0"/>
          <w:numId w:val="156"/>
        </w:numPr>
        <w:spacing w:before="240" w:after="0"/>
        <w:ind w:left="1276"/>
      </w:pPr>
      <w:r w:rsidRPr="00031772">
        <w:t>El servicio está disponible a través de los siguientes puertos de lado cliente que podrían estar disponibles en los equipos con tecnología DWDM:</w:t>
      </w:r>
    </w:p>
    <w:p w:rsidR="007C4016" w:rsidRPr="00031772" w:rsidRDefault="007C4016" w:rsidP="007C4016">
      <w:pPr>
        <w:pStyle w:val="CondicionesFinales"/>
        <w:numPr>
          <w:ilvl w:val="0"/>
          <w:numId w:val="157"/>
        </w:numPr>
        <w:spacing w:before="240" w:after="0"/>
      </w:pPr>
      <w:r w:rsidRPr="00031772">
        <w:t>STM-16</w:t>
      </w:r>
    </w:p>
    <w:p w:rsidR="007C4016" w:rsidRPr="00031772" w:rsidRDefault="007C4016" w:rsidP="007C4016">
      <w:pPr>
        <w:pStyle w:val="CondicionesFinales"/>
        <w:numPr>
          <w:ilvl w:val="0"/>
          <w:numId w:val="157"/>
        </w:numPr>
        <w:spacing w:after="0"/>
      </w:pPr>
      <w:r w:rsidRPr="00031772">
        <w:t>STM-64</w:t>
      </w:r>
    </w:p>
    <w:p w:rsidR="007C4016" w:rsidRPr="00031772" w:rsidRDefault="007C4016" w:rsidP="007C4016">
      <w:pPr>
        <w:pStyle w:val="CondicionesFinales"/>
        <w:numPr>
          <w:ilvl w:val="0"/>
          <w:numId w:val="157"/>
        </w:numPr>
        <w:spacing w:after="0"/>
      </w:pPr>
      <w:r w:rsidRPr="00031772">
        <w:t>1 GE</w:t>
      </w:r>
    </w:p>
    <w:p w:rsidR="007C4016" w:rsidRPr="00031772" w:rsidRDefault="007C4016" w:rsidP="007C4016">
      <w:pPr>
        <w:pStyle w:val="CondicionesFinales"/>
        <w:numPr>
          <w:ilvl w:val="0"/>
          <w:numId w:val="157"/>
        </w:numPr>
        <w:spacing w:after="0"/>
      </w:pPr>
      <w:r w:rsidRPr="00031772">
        <w:t>10 GE</w:t>
      </w:r>
    </w:p>
    <w:p w:rsidR="007C4016" w:rsidRPr="00031772" w:rsidRDefault="007C4016" w:rsidP="007C4016">
      <w:pPr>
        <w:pStyle w:val="CondicionesFinales"/>
        <w:numPr>
          <w:ilvl w:val="0"/>
          <w:numId w:val="157"/>
        </w:numPr>
        <w:spacing w:after="0"/>
      </w:pPr>
      <w:r>
        <w:t>100 GE</w:t>
      </w:r>
    </w:p>
    <w:p w:rsidR="007C4016" w:rsidRDefault="007C4016" w:rsidP="007C4016">
      <w:pPr>
        <w:pStyle w:val="CondicionesFinales"/>
        <w:numPr>
          <w:ilvl w:val="0"/>
          <w:numId w:val="158"/>
        </w:numPr>
        <w:spacing w:before="240" w:after="0"/>
        <w:ind w:left="1276"/>
      </w:pPr>
      <w:r w:rsidRPr="00031772">
        <w:lastRenderedPageBreak/>
        <w:t>El equipo DWDM debe tener capacidad física disponible de puertos de tarjeta lado cliente y también capacidad disponible en la línea, ya sea para un canal óptico adicional o capacidad en un canal óptico de alto orden existente.</w:t>
      </w:r>
    </w:p>
    <w:p w:rsidR="007C4016" w:rsidRPr="00031772" w:rsidRDefault="007C4016" w:rsidP="007C4016">
      <w:pPr>
        <w:pStyle w:val="CondicionesFinales"/>
        <w:numPr>
          <w:ilvl w:val="0"/>
          <w:numId w:val="158"/>
        </w:numPr>
        <w:spacing w:before="240" w:after="0"/>
        <w:ind w:left="1276"/>
      </w:pPr>
      <w:r w:rsidRPr="00D360B7">
        <w:tab/>
        <w:t>En caso de que no exista capacidad en el lado cliente o lado línea en los equipos de transporte óptico en alguno de los puntos, se debe comunicar al Concesionario Solicitante la</w:t>
      </w:r>
      <w:r>
        <w:t xml:space="preserve"> no factibilidad de la solución.</w:t>
      </w:r>
    </w:p>
    <w:p w:rsidR="007C4016" w:rsidRPr="00031772" w:rsidRDefault="007C4016" w:rsidP="007C4016">
      <w:pPr>
        <w:pStyle w:val="CondicionesFinales"/>
        <w:spacing w:before="240" w:after="0"/>
      </w:pPr>
      <w:r w:rsidRPr="00031772">
        <w:t>Los rubros facturables son:</w:t>
      </w:r>
    </w:p>
    <w:p w:rsidR="007C4016" w:rsidRPr="00031772" w:rsidRDefault="007C4016" w:rsidP="007C4016">
      <w:pPr>
        <w:pStyle w:val="CondicionesFinales"/>
        <w:spacing w:before="240" w:after="0"/>
      </w:pPr>
      <w:r w:rsidRPr="00031772">
        <w:t>Cargos No Recurrentes:</w:t>
      </w:r>
    </w:p>
    <w:p w:rsidR="007C4016" w:rsidRPr="00031772" w:rsidRDefault="007C4016" w:rsidP="007C4016">
      <w:pPr>
        <w:pStyle w:val="CondicionesFinales"/>
        <w:numPr>
          <w:ilvl w:val="0"/>
          <w:numId w:val="158"/>
        </w:numPr>
        <w:spacing w:before="240" w:after="0"/>
      </w:pPr>
      <w:r w:rsidRPr="00031772">
        <w:t>Gastos de Instalación.</w:t>
      </w:r>
    </w:p>
    <w:p w:rsidR="007C4016" w:rsidRPr="00031772" w:rsidRDefault="007C4016" w:rsidP="007C4016">
      <w:pPr>
        <w:pStyle w:val="CondicionesFinales"/>
        <w:spacing w:before="240" w:after="0"/>
      </w:pPr>
      <w:r w:rsidRPr="00031772">
        <w:t>La facturación de las actividades antes mencionadas se realizará posteriormente a su ejecución.</w:t>
      </w:r>
    </w:p>
    <w:p w:rsidR="007C4016" w:rsidRPr="00031772" w:rsidRDefault="007C4016" w:rsidP="007C4016">
      <w:pPr>
        <w:pStyle w:val="CondicionesFinales"/>
        <w:spacing w:before="240" w:after="0"/>
      </w:pPr>
      <w:r w:rsidRPr="00031772">
        <w:t>Cargos Recurrentes:</w:t>
      </w:r>
    </w:p>
    <w:p w:rsidR="007C4016" w:rsidRDefault="007C4016" w:rsidP="007C4016">
      <w:pPr>
        <w:pStyle w:val="CondicionesFinales"/>
        <w:numPr>
          <w:ilvl w:val="0"/>
          <w:numId w:val="158"/>
        </w:numPr>
        <w:pBdr>
          <w:bottom w:val="single" w:sz="6" w:space="1" w:color="auto"/>
        </w:pBdr>
        <w:spacing w:before="240" w:after="0"/>
      </w:pPr>
      <w:r w:rsidRPr="00031772">
        <w:t>Renta mensual de Canal Óptico de Alta Capacidad</w:t>
      </w:r>
      <w:r w:rsidRPr="00031772">
        <w:rPr>
          <w:rStyle w:val="Refdenotaalpie"/>
        </w:rPr>
        <w:t>4</w:t>
      </w:r>
      <w:r w:rsidRPr="00031772">
        <w:t>.</w:t>
      </w:r>
    </w:p>
    <w:p w:rsidR="007C4016" w:rsidRDefault="007C4016" w:rsidP="007C4016">
      <w:pPr>
        <w:pStyle w:val="CondicionesFinales"/>
        <w:spacing w:before="240" w:after="0"/>
        <w:rPr>
          <w:sz w:val="18"/>
          <w:szCs w:val="18"/>
        </w:rPr>
      </w:pPr>
      <w:r w:rsidRPr="006366DE">
        <w:rPr>
          <w:sz w:val="18"/>
          <w:szCs w:val="18"/>
        </w:rPr>
        <w:t>4 El servicio mensual considera: el medio de transmisión, los puertos y la capacidad del canal óptico contratado.</w:t>
      </w:r>
    </w:p>
    <w:p w:rsidR="007C4016" w:rsidRPr="002D16CA" w:rsidRDefault="007C4016" w:rsidP="007C4016">
      <w:pPr>
        <w:pStyle w:val="CondicionesFinales"/>
        <w:spacing w:before="240" w:after="0"/>
        <w:rPr>
          <w:b/>
        </w:rPr>
      </w:pPr>
      <w:r>
        <w:rPr>
          <w:b/>
        </w:rPr>
        <w:t>2.2</w:t>
      </w:r>
      <w:r w:rsidRPr="00031772">
        <w:rPr>
          <w:b/>
        </w:rPr>
        <w:t xml:space="preserve"> Servicio de Renta de Fibra </w:t>
      </w:r>
      <w:bookmarkStart w:id="34" w:name="_Toc436840908"/>
      <w:bookmarkStart w:id="35" w:name="_Toc436846345"/>
      <w:bookmarkStart w:id="36" w:name="_Toc436848295"/>
      <w:bookmarkStart w:id="37" w:name="_Toc436856543"/>
      <w:bookmarkStart w:id="38" w:name="_Toc436862689"/>
      <w:bookmarkStart w:id="39" w:name="_Toc436866339"/>
      <w:bookmarkStart w:id="40" w:name="_Toc436870918"/>
      <w:bookmarkStart w:id="41" w:name="_Toc436875910"/>
      <w:r>
        <w:rPr>
          <w:b/>
        </w:rPr>
        <w:t>Obscura</w:t>
      </w:r>
    </w:p>
    <w:p w:rsidR="007C4016" w:rsidRPr="00C37A9B" w:rsidRDefault="007C4016" w:rsidP="007C4016">
      <w:pPr>
        <w:pStyle w:val="CondicionesFinales"/>
        <w:spacing w:before="240" w:after="0"/>
        <w:rPr>
          <w:rFonts w:cs="Calibri"/>
          <w:b/>
          <w:shd w:val="clear" w:color="auto" w:fill="FFFFFF"/>
        </w:rPr>
      </w:pPr>
      <w:r w:rsidRPr="00C37A9B">
        <w:rPr>
          <w:b/>
          <w:shd w:val="clear" w:color="auto" w:fill="FFFFFF"/>
        </w:rPr>
        <w:t>Descripción del servicio.</w:t>
      </w:r>
    </w:p>
    <w:p w:rsidR="007C4016" w:rsidRPr="00031772" w:rsidRDefault="007C4016" w:rsidP="007C4016">
      <w:pPr>
        <w:pStyle w:val="CondicionesFinales"/>
        <w:spacing w:before="240" w:after="0"/>
      </w:pPr>
      <w:r w:rsidRPr="00031772">
        <w:t xml:space="preserve">El servicio de compartición de fibra óptica obscura será aquél mediante el cual el AEP ponga a disposición de los diferentes concesionarios la fibra óptica de su red </w:t>
      </w:r>
      <w:r>
        <w:t>indistintamente de su denominación de acceso,</w:t>
      </w:r>
      <w:r w:rsidRPr="00031772">
        <w:t xml:space="preserve"> local, metropolitana, regional</w:t>
      </w:r>
      <w:r>
        <w:t xml:space="preserve"> o nacional</w:t>
      </w:r>
      <w:r w:rsidRPr="00031772">
        <w:t>, bajo una configuración punto a punto (P2P).</w:t>
      </w:r>
    </w:p>
    <w:p w:rsidR="007C4016" w:rsidRPr="00031772" w:rsidRDefault="007C4016" w:rsidP="007C4016">
      <w:pPr>
        <w:pStyle w:val="CondicionesFinales"/>
        <w:spacing w:before="240" w:after="0"/>
      </w:pPr>
      <w:r w:rsidRPr="00031772">
        <w:t>El recurso de red fibra óptica, en su modalidad de “Fibra Obscura”, no depende o no está asociada a tecnología alguna. El recurso que se solicita es solamente el elemento de cable óptico en su unidad de hilo.</w:t>
      </w:r>
    </w:p>
    <w:p w:rsidR="007C4016" w:rsidRDefault="007C4016" w:rsidP="007C4016">
      <w:pPr>
        <w:pStyle w:val="CondicionesFinales"/>
        <w:spacing w:before="240" w:after="0"/>
      </w:pPr>
      <w:r w:rsidRPr="00031772">
        <w:lastRenderedPageBreak/>
        <w:t>Lo anterior cuando en la ruta solicitada no exista capacidad excedente en un ducto ni en rutas alternativas al mismo, ni la factibilidad de proveer canales ópticos de alta capacidad, debiendo proporcionar como alternativa de soluci</w:t>
      </w:r>
      <w:r>
        <w:t>ón el recurso de fibra obscura.</w:t>
      </w:r>
    </w:p>
    <w:p w:rsidR="007C4016" w:rsidRPr="00C37A9B" w:rsidRDefault="007C4016" w:rsidP="007C4016">
      <w:pPr>
        <w:pStyle w:val="CondicionesFinales"/>
        <w:spacing w:before="240" w:after="0"/>
        <w:rPr>
          <w:b/>
        </w:rPr>
      </w:pPr>
      <w:r w:rsidRPr="00C37A9B">
        <w:rPr>
          <w:b/>
        </w:rPr>
        <w:t>Los puntos de entrega de la fibra óptica.</w:t>
      </w:r>
    </w:p>
    <w:p w:rsidR="007C4016" w:rsidRPr="00B723DC" w:rsidRDefault="007C4016" w:rsidP="007C4016">
      <w:pPr>
        <w:pStyle w:val="CondicionesFinales"/>
        <w:spacing w:before="240" w:after="0"/>
      </w:pPr>
      <w:r w:rsidRPr="00E348A4">
        <w:t>En el segmento de red local o acceso:</w:t>
      </w:r>
    </w:p>
    <w:p w:rsidR="007C4016" w:rsidRDefault="007C4016" w:rsidP="007C4016">
      <w:pPr>
        <w:pStyle w:val="IFTnormal"/>
        <w:spacing w:before="240" w:after="0"/>
        <w:ind w:left="708"/>
        <w:jc w:val="center"/>
        <w:rPr>
          <w:rFonts w:ascii="Arial" w:eastAsiaTheme="minorHAnsi" w:hAnsi="Arial" w:cs="Arial"/>
          <w:szCs w:val="20"/>
          <w:shd w:val="clear" w:color="auto" w:fill="FFFFFF"/>
        </w:rPr>
      </w:pPr>
      <w:r w:rsidRPr="00031772">
        <w:rPr>
          <w:noProof/>
          <w:sz w:val="24"/>
          <w:lang w:eastAsia="es-MX"/>
        </w:rPr>
        <w:drawing>
          <wp:inline distT="0" distB="0" distL="0" distR="0" wp14:anchorId="67B7C9B9" wp14:editId="10C2A889">
            <wp:extent cx="4965367" cy="1590675"/>
            <wp:effectExtent l="0" t="0" r="6985" b="0"/>
            <wp:docPr id="42" name="Picture 10" descr="Los puntos de entrega de la fibra ópt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1272" cy="1739930"/>
                    </a:xfrm>
                    <a:prstGeom prst="rect">
                      <a:avLst/>
                    </a:prstGeom>
                    <a:noFill/>
                    <a:ln>
                      <a:noFill/>
                    </a:ln>
                  </pic:spPr>
                </pic:pic>
              </a:graphicData>
            </a:graphic>
          </wp:inline>
        </w:drawing>
      </w:r>
    </w:p>
    <w:p w:rsidR="007C4016" w:rsidRDefault="007C4016" w:rsidP="007C4016">
      <w:pPr>
        <w:pStyle w:val="IFTnormal"/>
        <w:spacing w:before="240" w:after="0"/>
        <w:ind w:left="708"/>
        <w:jc w:val="center"/>
        <w:rPr>
          <w:rFonts w:ascii="Arial" w:eastAsiaTheme="minorHAnsi" w:hAnsi="Arial" w:cs="Arial"/>
          <w:szCs w:val="20"/>
          <w:shd w:val="clear" w:color="auto" w:fill="FFFFFF"/>
        </w:rPr>
      </w:pPr>
      <w:r>
        <w:rPr>
          <w:noProof/>
          <w:lang w:eastAsia="es-MX"/>
        </w:rPr>
        <w:drawing>
          <wp:inline distT="0" distB="0" distL="0" distR="0" wp14:anchorId="16C83995" wp14:editId="1A55CA3F">
            <wp:extent cx="5299075" cy="2606675"/>
            <wp:effectExtent l="0" t="0" r="0" b="3175"/>
            <wp:docPr id="14" name="Imagen 14" descr="Segmento de fibra optica obscura desagregad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9075" cy="2606675"/>
                    </a:xfrm>
                    <a:prstGeom prst="rect">
                      <a:avLst/>
                    </a:prstGeom>
                  </pic:spPr>
                </pic:pic>
              </a:graphicData>
            </a:graphic>
          </wp:inline>
        </w:drawing>
      </w:r>
    </w:p>
    <w:p w:rsidR="007C4016" w:rsidRDefault="007C4016" w:rsidP="007C4016">
      <w:pPr>
        <w:pStyle w:val="IFTnormal"/>
        <w:spacing w:before="240" w:after="0"/>
        <w:ind w:left="708"/>
        <w:jc w:val="center"/>
        <w:rPr>
          <w:rFonts w:ascii="Arial" w:eastAsiaTheme="minorHAnsi" w:hAnsi="Arial" w:cs="Arial"/>
          <w:szCs w:val="20"/>
          <w:shd w:val="clear" w:color="auto" w:fill="FFFFFF"/>
        </w:rPr>
      </w:pPr>
      <w:r>
        <w:rPr>
          <w:noProof/>
          <w:lang w:eastAsia="es-MX"/>
        </w:rPr>
        <w:lastRenderedPageBreak/>
        <w:drawing>
          <wp:inline distT="0" distB="0" distL="0" distR="0" wp14:anchorId="683C8071" wp14:editId="741859AC">
            <wp:extent cx="5613400" cy="2407285"/>
            <wp:effectExtent l="0" t="0" r="6350" b="0"/>
            <wp:docPr id="16" name="Imagen 16" descr="Segmento de fibra optica obscur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3400" cy="2407285"/>
                    </a:xfrm>
                    <a:prstGeom prst="rect">
                      <a:avLst/>
                    </a:prstGeom>
                  </pic:spPr>
                </pic:pic>
              </a:graphicData>
            </a:graphic>
          </wp:inline>
        </w:drawing>
      </w:r>
    </w:p>
    <w:p w:rsidR="007C4016" w:rsidRPr="00E348A4" w:rsidRDefault="007C4016" w:rsidP="007C4016">
      <w:pPr>
        <w:pStyle w:val="CondicionesFinales"/>
        <w:spacing w:before="240" w:after="0"/>
        <w:rPr>
          <w:rFonts w:eastAsiaTheme="minorHAnsi"/>
          <w:shd w:val="clear" w:color="auto" w:fill="FFFFFF"/>
        </w:rPr>
      </w:pPr>
      <w:r w:rsidRPr="00A70360">
        <w:rPr>
          <w:rFonts w:eastAsiaTheme="minorHAnsi"/>
          <w:shd w:val="clear" w:color="auto" w:fill="FFFFFF"/>
        </w:rPr>
        <w:t>En el segmento de red metropolitana:</w:t>
      </w:r>
    </w:p>
    <w:p w:rsidR="007C4016" w:rsidRDefault="007C4016" w:rsidP="007C4016">
      <w:pPr>
        <w:pStyle w:val="IFTnormal"/>
        <w:spacing w:before="240" w:after="0"/>
        <w:ind w:left="708"/>
        <w:jc w:val="center"/>
        <w:rPr>
          <w:rFonts w:ascii="Arial" w:eastAsiaTheme="minorHAnsi" w:hAnsi="Arial" w:cs="Arial"/>
          <w:szCs w:val="20"/>
          <w:shd w:val="clear" w:color="auto" w:fill="FFFFFF"/>
        </w:rPr>
      </w:pPr>
      <w:r w:rsidRPr="00A70360">
        <w:rPr>
          <w:noProof/>
          <w:sz w:val="24"/>
          <w:lang w:eastAsia="es-MX"/>
        </w:rPr>
        <w:drawing>
          <wp:inline distT="0" distB="0" distL="0" distR="0" wp14:anchorId="65350787" wp14:editId="3E6EC38C">
            <wp:extent cx="4942936" cy="2283373"/>
            <wp:effectExtent l="0" t="0" r="0" b="3175"/>
            <wp:docPr id="20" name="Picture 12" descr="En el segmento de red metropolitan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5454" cy="2339970"/>
                    </a:xfrm>
                    <a:prstGeom prst="rect">
                      <a:avLst/>
                    </a:prstGeom>
                    <a:noFill/>
                    <a:ln>
                      <a:noFill/>
                    </a:ln>
                  </pic:spPr>
                </pic:pic>
              </a:graphicData>
            </a:graphic>
          </wp:inline>
        </w:drawing>
      </w:r>
    </w:p>
    <w:p w:rsidR="007C4016" w:rsidRDefault="007C4016" w:rsidP="007C4016">
      <w:pPr>
        <w:pStyle w:val="IFTnormal"/>
        <w:spacing w:before="240" w:after="0"/>
        <w:ind w:left="708"/>
        <w:jc w:val="center"/>
        <w:rPr>
          <w:rFonts w:ascii="Arial" w:eastAsiaTheme="minorHAnsi" w:hAnsi="Arial" w:cs="Arial"/>
          <w:szCs w:val="20"/>
          <w:shd w:val="clear" w:color="auto" w:fill="FFFFFF"/>
        </w:rPr>
      </w:pPr>
      <w:r>
        <w:rPr>
          <w:noProof/>
          <w:lang w:eastAsia="es-MX"/>
        </w:rPr>
        <w:drawing>
          <wp:inline distT="0" distB="0" distL="0" distR="0" wp14:anchorId="3A50B537" wp14:editId="4544D346">
            <wp:extent cx="5613400" cy="1969135"/>
            <wp:effectExtent l="0" t="0" r="6350" b="0"/>
            <wp:docPr id="10" name="Imagen 10" descr="Segmento de fibra optica obscur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3400" cy="1969135"/>
                    </a:xfrm>
                    <a:prstGeom prst="rect">
                      <a:avLst/>
                    </a:prstGeom>
                  </pic:spPr>
                </pic:pic>
              </a:graphicData>
            </a:graphic>
          </wp:inline>
        </w:drawing>
      </w:r>
    </w:p>
    <w:p w:rsidR="007C4016" w:rsidRDefault="007C4016" w:rsidP="007C4016">
      <w:pPr>
        <w:pStyle w:val="IFTnormal"/>
        <w:spacing w:before="240" w:after="0"/>
        <w:ind w:left="708"/>
        <w:jc w:val="center"/>
        <w:rPr>
          <w:rFonts w:ascii="Arial" w:eastAsiaTheme="minorHAnsi" w:hAnsi="Arial" w:cs="Arial"/>
          <w:szCs w:val="20"/>
          <w:shd w:val="clear" w:color="auto" w:fill="FFFFFF"/>
        </w:rPr>
      </w:pPr>
      <w:r>
        <w:rPr>
          <w:noProof/>
          <w:lang w:eastAsia="es-MX"/>
        </w:rPr>
        <w:lastRenderedPageBreak/>
        <w:drawing>
          <wp:inline distT="0" distB="0" distL="0" distR="0" wp14:anchorId="7C6A0B87" wp14:editId="0B4937DA">
            <wp:extent cx="5613400" cy="2005965"/>
            <wp:effectExtent l="0" t="0" r="6350" b="0"/>
            <wp:docPr id="29" name="Imagen 29" descr="Segmento de fibra optica obscur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3400" cy="2005965"/>
                    </a:xfrm>
                    <a:prstGeom prst="rect">
                      <a:avLst/>
                    </a:prstGeom>
                  </pic:spPr>
                </pic:pic>
              </a:graphicData>
            </a:graphic>
          </wp:inline>
        </w:drawing>
      </w:r>
    </w:p>
    <w:p w:rsidR="007C4016" w:rsidRDefault="007C4016" w:rsidP="007C4016">
      <w:pPr>
        <w:pStyle w:val="IFTnormal"/>
        <w:spacing w:before="240" w:after="0"/>
        <w:ind w:left="708"/>
        <w:jc w:val="center"/>
        <w:rPr>
          <w:rFonts w:ascii="Arial" w:eastAsiaTheme="minorHAnsi" w:hAnsi="Arial" w:cs="Arial"/>
          <w:szCs w:val="20"/>
          <w:shd w:val="clear" w:color="auto" w:fill="FFFFFF"/>
        </w:rPr>
      </w:pPr>
      <w:r>
        <w:rPr>
          <w:noProof/>
          <w:lang w:eastAsia="es-MX"/>
        </w:rPr>
        <w:drawing>
          <wp:inline distT="0" distB="0" distL="0" distR="0" wp14:anchorId="12F058C6" wp14:editId="298A6EB6">
            <wp:extent cx="5613400" cy="1824355"/>
            <wp:effectExtent l="0" t="0" r="6350" b="4445"/>
            <wp:docPr id="43" name="Imagen 43" descr="Segmento de fibra optica obscur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3400" cy="1824355"/>
                    </a:xfrm>
                    <a:prstGeom prst="rect">
                      <a:avLst/>
                    </a:prstGeom>
                  </pic:spPr>
                </pic:pic>
              </a:graphicData>
            </a:graphic>
          </wp:inline>
        </w:drawing>
      </w:r>
    </w:p>
    <w:p w:rsidR="007C4016" w:rsidRPr="00A70360" w:rsidRDefault="007C4016" w:rsidP="007C4016">
      <w:pPr>
        <w:pStyle w:val="CondicionesFinales"/>
        <w:spacing w:before="240" w:after="0"/>
        <w:rPr>
          <w:rFonts w:eastAsiaTheme="minorHAnsi"/>
          <w:shd w:val="clear" w:color="auto" w:fill="FFFFFF"/>
        </w:rPr>
      </w:pPr>
      <w:r w:rsidRPr="00A70360">
        <w:rPr>
          <w:rFonts w:eastAsiaTheme="minorHAnsi"/>
          <w:shd w:val="clear" w:color="auto" w:fill="FFFFFF"/>
        </w:rPr>
        <w:t>En el segmento de la red regional:</w:t>
      </w:r>
    </w:p>
    <w:p w:rsidR="007C4016" w:rsidRPr="00A70360" w:rsidRDefault="007C4016" w:rsidP="007C4016">
      <w:pPr>
        <w:pStyle w:val="IFTnormal"/>
        <w:spacing w:before="240" w:after="0"/>
        <w:ind w:left="708"/>
        <w:rPr>
          <w:rFonts w:ascii="Arial" w:eastAsiaTheme="minorHAnsi" w:hAnsi="Arial" w:cs="Arial"/>
          <w:szCs w:val="20"/>
          <w:shd w:val="clear" w:color="auto" w:fill="FFFFFF"/>
        </w:rPr>
      </w:pPr>
      <w:r w:rsidRPr="00A70360">
        <w:rPr>
          <w:noProof/>
          <w:sz w:val="24"/>
          <w:lang w:eastAsia="es-MX"/>
        </w:rPr>
        <w:drawing>
          <wp:inline distT="0" distB="0" distL="0" distR="0" wp14:anchorId="3EC5FA3C" wp14:editId="4C1D9987">
            <wp:extent cx="5356496" cy="957532"/>
            <wp:effectExtent l="0" t="0" r="0" b="0"/>
            <wp:docPr id="30" name="Picture 22" descr="En el segmento de la red reg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2849" cy="972968"/>
                    </a:xfrm>
                    <a:prstGeom prst="rect">
                      <a:avLst/>
                    </a:prstGeom>
                    <a:noFill/>
                    <a:ln>
                      <a:noFill/>
                    </a:ln>
                  </pic:spPr>
                </pic:pic>
              </a:graphicData>
            </a:graphic>
          </wp:inline>
        </w:drawing>
      </w:r>
    </w:p>
    <w:p w:rsidR="007C4016" w:rsidRDefault="007C4016" w:rsidP="007C4016">
      <w:pPr>
        <w:pStyle w:val="IFTnormal"/>
        <w:spacing w:before="240" w:after="0"/>
        <w:ind w:left="708"/>
        <w:jc w:val="center"/>
        <w:rPr>
          <w:rFonts w:ascii="Arial" w:eastAsiaTheme="minorHAnsi" w:hAnsi="Arial" w:cs="Arial"/>
          <w:szCs w:val="20"/>
          <w:shd w:val="clear" w:color="auto" w:fill="FFFFFF"/>
        </w:rPr>
      </w:pPr>
      <w:r>
        <w:rPr>
          <w:noProof/>
          <w:lang w:eastAsia="es-MX"/>
        </w:rPr>
        <w:lastRenderedPageBreak/>
        <w:drawing>
          <wp:inline distT="0" distB="0" distL="0" distR="0" wp14:anchorId="26979FB2" wp14:editId="21D6265D">
            <wp:extent cx="5613400" cy="2218690"/>
            <wp:effectExtent l="0" t="0" r="6350" b="0"/>
            <wp:docPr id="31" name="Imagen 31" descr="En el segmento de la red reg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3400" cy="2218690"/>
                    </a:xfrm>
                    <a:prstGeom prst="rect">
                      <a:avLst/>
                    </a:prstGeom>
                  </pic:spPr>
                </pic:pic>
              </a:graphicData>
            </a:graphic>
          </wp:inline>
        </w:drawing>
      </w:r>
    </w:p>
    <w:p w:rsidR="007C4016" w:rsidRPr="00A70360" w:rsidRDefault="007C4016" w:rsidP="007C4016">
      <w:pPr>
        <w:pStyle w:val="CondicionesFinales"/>
        <w:spacing w:before="240" w:after="0"/>
        <w:rPr>
          <w:rFonts w:eastAsiaTheme="minorHAnsi"/>
          <w:shd w:val="clear" w:color="auto" w:fill="FFFFFF"/>
        </w:rPr>
      </w:pPr>
      <w:r w:rsidRPr="00A70360">
        <w:rPr>
          <w:rFonts w:eastAsiaTheme="minorHAnsi"/>
          <w:shd w:val="clear" w:color="auto" w:fill="FFFFFF"/>
        </w:rPr>
        <w:t xml:space="preserve">En el segmento de </w:t>
      </w:r>
      <w:r>
        <w:rPr>
          <w:rFonts w:eastAsiaTheme="minorHAnsi"/>
          <w:shd w:val="clear" w:color="auto" w:fill="FFFFFF"/>
        </w:rPr>
        <w:t>red nacional</w:t>
      </w:r>
      <w:r w:rsidRPr="00A70360">
        <w:rPr>
          <w:rFonts w:eastAsiaTheme="minorHAnsi"/>
          <w:shd w:val="clear" w:color="auto" w:fill="FFFFFF"/>
        </w:rPr>
        <w:t>:</w:t>
      </w:r>
    </w:p>
    <w:p w:rsidR="007C4016" w:rsidRDefault="007C4016" w:rsidP="007C4016">
      <w:pPr>
        <w:pStyle w:val="IFTnormal"/>
        <w:spacing w:before="240" w:after="0"/>
        <w:jc w:val="center"/>
        <w:rPr>
          <w:rFonts w:ascii="Arial" w:eastAsiaTheme="minorHAnsi" w:hAnsi="Arial" w:cs="Arial"/>
          <w:szCs w:val="20"/>
          <w:shd w:val="clear" w:color="auto" w:fill="FFFFFF"/>
        </w:rPr>
      </w:pPr>
      <w:r w:rsidRPr="00A70360">
        <w:rPr>
          <w:noProof/>
          <w:sz w:val="24"/>
          <w:lang w:eastAsia="es-MX"/>
        </w:rPr>
        <w:drawing>
          <wp:inline distT="0" distB="0" distL="0" distR="0" wp14:anchorId="2F8A8831" wp14:editId="7097816F">
            <wp:extent cx="5029200" cy="899025"/>
            <wp:effectExtent l="0" t="0" r="0" b="0"/>
            <wp:docPr id="23" name="Picture 23" descr="En el segmento de red nac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5635" cy="959166"/>
                    </a:xfrm>
                    <a:prstGeom prst="rect">
                      <a:avLst/>
                    </a:prstGeom>
                    <a:noFill/>
                    <a:ln>
                      <a:noFill/>
                    </a:ln>
                  </pic:spPr>
                </pic:pic>
              </a:graphicData>
            </a:graphic>
          </wp:inline>
        </w:drawing>
      </w:r>
    </w:p>
    <w:p w:rsidR="007C4016" w:rsidRPr="00E348A4" w:rsidRDefault="007C4016" w:rsidP="007C4016">
      <w:pPr>
        <w:pStyle w:val="IFTnormal"/>
        <w:spacing w:before="240" w:after="0"/>
        <w:ind w:left="708"/>
        <w:jc w:val="center"/>
        <w:rPr>
          <w:rFonts w:ascii="Arial" w:eastAsiaTheme="minorHAnsi" w:hAnsi="Arial" w:cs="Arial"/>
          <w:szCs w:val="20"/>
          <w:shd w:val="clear" w:color="auto" w:fill="FFFFFF"/>
        </w:rPr>
      </w:pPr>
      <w:r>
        <w:rPr>
          <w:noProof/>
          <w:lang w:eastAsia="es-MX"/>
        </w:rPr>
        <w:drawing>
          <wp:inline distT="0" distB="0" distL="0" distR="0" wp14:anchorId="7F4D8405" wp14:editId="5BCEA807">
            <wp:extent cx="5613400" cy="2245360"/>
            <wp:effectExtent l="0" t="0" r="6350" b="2540"/>
            <wp:docPr id="32" name="Imagen 32" descr="En el segmento de red nac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3400" cy="2245360"/>
                    </a:xfrm>
                    <a:prstGeom prst="rect">
                      <a:avLst/>
                    </a:prstGeom>
                  </pic:spPr>
                </pic:pic>
              </a:graphicData>
            </a:graphic>
          </wp:inline>
        </w:drawing>
      </w:r>
    </w:p>
    <w:p w:rsidR="007C4016" w:rsidRDefault="007C4016" w:rsidP="007C4016">
      <w:pPr>
        <w:pStyle w:val="CondicionesFinales"/>
        <w:spacing w:before="240" w:after="0"/>
      </w:pPr>
      <w:r>
        <w:t>El AEP pondrá</w:t>
      </w:r>
      <w:r w:rsidRPr="00031772">
        <w:t xml:space="preserve"> a disposición de los concesionarios en e</w:t>
      </w:r>
      <w:r>
        <w:t>l SEG</w:t>
      </w:r>
      <w:r w:rsidRPr="00031772">
        <w:t xml:space="preserve"> toda </w:t>
      </w:r>
      <w:r>
        <w:t xml:space="preserve">la </w:t>
      </w:r>
      <w:r w:rsidRPr="00031772">
        <w:t>información sobre los estándares de la fibra óptica que utiliza para sus operaciones en los</w:t>
      </w:r>
      <w:r>
        <w:t xml:space="preserve"> diferentes segmentos de su red</w:t>
      </w:r>
      <w:r w:rsidRPr="00031772">
        <w:t>.</w:t>
      </w:r>
      <w:bookmarkEnd w:id="34"/>
      <w:bookmarkEnd w:id="35"/>
      <w:bookmarkEnd w:id="36"/>
      <w:bookmarkEnd w:id="37"/>
      <w:bookmarkEnd w:id="38"/>
      <w:bookmarkEnd w:id="39"/>
      <w:bookmarkEnd w:id="40"/>
      <w:bookmarkEnd w:id="41"/>
    </w:p>
    <w:p w:rsidR="007C4016" w:rsidRPr="00E47EB0" w:rsidRDefault="007C4016" w:rsidP="007C4016">
      <w:pPr>
        <w:pStyle w:val="CondicionesFinales"/>
        <w:spacing w:before="240" w:after="0"/>
        <w:rPr>
          <w:b/>
        </w:rPr>
      </w:pPr>
      <w:r w:rsidRPr="00E47EB0">
        <w:rPr>
          <w:b/>
        </w:rPr>
        <w:t>Los rubros facturables son:</w:t>
      </w:r>
    </w:p>
    <w:p w:rsidR="007C4016" w:rsidRPr="00031772" w:rsidRDefault="007C4016" w:rsidP="007C4016">
      <w:pPr>
        <w:pStyle w:val="CondicionesFinales"/>
        <w:spacing w:before="240" w:after="0"/>
      </w:pPr>
      <w:r w:rsidRPr="00031772">
        <w:t>Cargos No Recurrentes:</w:t>
      </w:r>
    </w:p>
    <w:p w:rsidR="007C4016" w:rsidRPr="00031772" w:rsidRDefault="007C4016" w:rsidP="007C4016">
      <w:pPr>
        <w:pStyle w:val="CondicionesFinales"/>
        <w:numPr>
          <w:ilvl w:val="0"/>
          <w:numId w:val="158"/>
        </w:numPr>
        <w:spacing w:before="240" w:after="0"/>
      </w:pPr>
      <w:r w:rsidRPr="00031772">
        <w:lastRenderedPageBreak/>
        <w:t>Gastos de Instalación.</w:t>
      </w:r>
    </w:p>
    <w:p w:rsidR="007C4016" w:rsidRDefault="007C4016" w:rsidP="007C4016">
      <w:pPr>
        <w:pStyle w:val="CondicionesFinales"/>
        <w:spacing w:before="240" w:after="0"/>
      </w:pPr>
      <w:r>
        <w:t>Comprende los empalmes y elementos necesarios para la conexión de las puntas de fibra en los puntos de entrega.</w:t>
      </w:r>
    </w:p>
    <w:p w:rsidR="007C4016" w:rsidRPr="00031772" w:rsidRDefault="007C4016" w:rsidP="007C4016">
      <w:pPr>
        <w:pStyle w:val="CondicionesFinales"/>
        <w:spacing w:before="240" w:after="0"/>
      </w:pPr>
      <w:r w:rsidRPr="00031772">
        <w:t>El AEP deberá indicar “n” cantidad de hilos</w:t>
      </w:r>
      <w:r>
        <w:t xml:space="preserve"> </w:t>
      </w:r>
      <w:r w:rsidRPr="00AE7385">
        <w:t>disponibles</w:t>
      </w:r>
      <w:r w:rsidRPr="00031772">
        <w:t xml:space="preserve"> en el o los segmentos de interés.</w:t>
      </w:r>
    </w:p>
    <w:p w:rsidR="007C4016" w:rsidRPr="00031772" w:rsidRDefault="007C4016" w:rsidP="007C4016">
      <w:pPr>
        <w:pStyle w:val="CondicionesFinales"/>
        <w:spacing w:before="240" w:after="0"/>
      </w:pPr>
      <w:r w:rsidRPr="00031772">
        <w:t>Se considerará que la capacidad mínima que debe</w:t>
      </w:r>
      <w:r>
        <w:t>rá ofrecer el AEP,</w:t>
      </w:r>
      <w:r w:rsidRPr="00031772">
        <w:t xml:space="preserve"> será la correspondiente a la capacidad de un hilo de fibra óptica.</w:t>
      </w:r>
    </w:p>
    <w:p w:rsidR="007C4016" w:rsidRPr="00031772" w:rsidRDefault="007C4016" w:rsidP="007C4016">
      <w:pPr>
        <w:pStyle w:val="CondicionesFinales"/>
        <w:spacing w:before="240" w:after="0"/>
      </w:pPr>
      <w:r w:rsidRPr="00031772">
        <w:t>La facturación de las actividades antes mencionadas se realizará posteriormente a su ejecución.</w:t>
      </w:r>
    </w:p>
    <w:p w:rsidR="007C4016" w:rsidRPr="00031772" w:rsidRDefault="007C4016" w:rsidP="007C4016">
      <w:pPr>
        <w:pStyle w:val="CondicionesFinales"/>
        <w:spacing w:before="240" w:after="0"/>
      </w:pPr>
      <w:r w:rsidRPr="00031772">
        <w:t>Cargos Recurrentes:</w:t>
      </w:r>
    </w:p>
    <w:p w:rsidR="007C4016" w:rsidRDefault="007C4016" w:rsidP="007C4016">
      <w:pPr>
        <w:pStyle w:val="CondicionesFinales"/>
        <w:numPr>
          <w:ilvl w:val="0"/>
          <w:numId w:val="158"/>
        </w:numPr>
        <w:spacing w:before="240" w:after="0"/>
      </w:pPr>
      <w:r>
        <w:t>Renta mensual de la fibra óptica</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2.1</w:t>
      </w:r>
      <w:r w:rsidRPr="006A7AA7">
        <w:rPr>
          <w:rFonts w:ascii="ITC Avant Garde" w:hAnsi="ITC Avant Garde"/>
          <w:b/>
          <w:sz w:val="22"/>
          <w:szCs w:val="22"/>
        </w:rPr>
        <w:tab/>
        <w:t>PROCEDIMIENTOS PARA LA CONTRATACIÓN Y BAJA DE LOS SERVICIOS.</w:t>
      </w:r>
    </w:p>
    <w:p w:rsidR="007C4016" w:rsidRPr="00BF4959" w:rsidRDefault="007C4016" w:rsidP="007C4016">
      <w:pPr>
        <w:pStyle w:val="IFTnormal"/>
        <w:spacing w:before="240" w:after="0"/>
        <w:rPr>
          <w:b/>
        </w:rPr>
      </w:pPr>
      <w:r>
        <w:rPr>
          <w:b/>
        </w:rPr>
        <w:t>Consideraciones del Instituto</w:t>
      </w:r>
    </w:p>
    <w:p w:rsidR="007C4016" w:rsidRPr="002802DB"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rPr>
          <w:b/>
          <w:lang w:val="es-ES"/>
        </w:rPr>
      </w:pPr>
      <w:r w:rsidRPr="009270CE">
        <w:rPr>
          <w:lang w:val="es-ES"/>
        </w:rPr>
        <w:t>Derivado del análisis realizado al numeral “</w:t>
      </w:r>
      <w:r w:rsidRPr="00332200">
        <w:rPr>
          <w:i/>
          <w:lang w:val="es-ES"/>
        </w:rPr>
        <w:t>1.1 Procedimiento para la contratación, modificación y baja de servicio</w:t>
      </w:r>
      <w:r w:rsidRPr="009270CE">
        <w:rPr>
          <w:lang w:val="es-ES"/>
        </w:rPr>
        <w:t>”, el Instituto identificó que dicho análisis</w:t>
      </w:r>
      <w:r>
        <w:rPr>
          <w:lang w:val="es-ES"/>
        </w:rPr>
        <w:t xml:space="preserve"> y resolución</w:t>
      </w:r>
      <w:r w:rsidRPr="009270CE">
        <w:rPr>
          <w:lang w:val="es-ES"/>
        </w:rPr>
        <w:t xml:space="preserve"> puede hacerse extensivo a los procedimientos de los demás servicios contemplados en la Propuesta de Oferta de Referencia, con excepción de aquellos temas particulares y exclusivos que deban tratarse de manera específica en su sección correspondiente.</w:t>
      </w:r>
      <w:r>
        <w:rPr>
          <w:lang w:val="es-ES"/>
        </w:rPr>
        <w:t xml:space="preserve"> Por lo tanto y a juicio del Instituto, los procedimientos “</w:t>
      </w:r>
      <w:r w:rsidRPr="00332200">
        <w:rPr>
          <w:i/>
          <w:lang w:val="es-ES"/>
        </w:rPr>
        <w:t>2.1 Procedimientos para la contracción y baja de los servicios</w:t>
      </w:r>
      <w:r>
        <w:rPr>
          <w:lang w:val="es-ES"/>
        </w:rPr>
        <w:t xml:space="preserve">” del </w:t>
      </w:r>
      <w:r w:rsidRPr="00332200">
        <w:rPr>
          <w:i/>
          <w:lang w:val="es-ES"/>
        </w:rPr>
        <w:t>Servicio de Canales Ópticos de Alta Capacidad de Transporte</w:t>
      </w:r>
      <w:r>
        <w:rPr>
          <w:lang w:val="es-ES"/>
        </w:rPr>
        <w:t xml:space="preserve"> deben ser modificados de acuerdo a lo resuelto en el numeral de referencia.</w:t>
      </w:r>
    </w:p>
    <w:p w:rsidR="007C4016" w:rsidRDefault="007C4016" w:rsidP="007C4016">
      <w:pPr>
        <w:spacing w:before="240" w:after="0"/>
        <w:rPr>
          <w:rFonts w:ascii="ITC Avant Garde" w:eastAsia="MS Mincho" w:hAnsi="ITC Avant Garde" w:cs="Calibri"/>
          <w:b/>
          <w:sz w:val="22"/>
          <w:szCs w:val="22"/>
          <w:lang w:val="es-ES" w:eastAsia="en-US"/>
        </w:rPr>
      </w:pPr>
      <w:r>
        <w:rPr>
          <w:rFonts w:ascii="ITC Avant Garde" w:eastAsia="MS Mincho" w:hAnsi="ITC Avant Garde" w:cs="Calibri"/>
          <w:b/>
          <w:sz w:val="22"/>
          <w:szCs w:val="22"/>
          <w:lang w:val="es-ES" w:eastAsia="en-US"/>
        </w:rPr>
        <w:t>Redacción Definitiva.</w:t>
      </w:r>
    </w:p>
    <w:p w:rsidR="007C4016" w:rsidRPr="00AA6DD0" w:rsidRDefault="007C4016" w:rsidP="007C4016">
      <w:pPr>
        <w:pStyle w:val="IFTnormal"/>
        <w:spacing w:before="240" w:after="0"/>
      </w:pPr>
      <w:r w:rsidRPr="00AA6DD0">
        <w:t>Derivado del análisis realizado, el Instituto resuelve que el numeral “</w:t>
      </w:r>
      <w:r w:rsidRPr="00AA6DD0">
        <w:rPr>
          <w:i/>
        </w:rPr>
        <w:t>2.1 Procedimientos para la contratación, modificación y baja de los servicios</w:t>
      </w:r>
      <w:r w:rsidRPr="00AA6DD0">
        <w:t xml:space="preserve">” </w:t>
      </w:r>
      <w:r w:rsidRPr="00AA6DD0">
        <w:lastRenderedPageBreak/>
        <w:t xml:space="preserve">correspondiente al </w:t>
      </w:r>
      <w:r w:rsidRPr="00AA6DD0">
        <w:rPr>
          <w:i/>
        </w:rPr>
        <w:t>“Servicio de Canales Ópticos de Alta Capacidad”</w:t>
      </w:r>
      <w:r w:rsidRPr="00AA6DD0">
        <w:t xml:space="preserve"> deberá quedar de la siguiente manera:</w:t>
      </w:r>
    </w:p>
    <w:p w:rsidR="007C4016" w:rsidRPr="0018193C" w:rsidRDefault="007C4016" w:rsidP="007C4016">
      <w:pPr>
        <w:pStyle w:val="CondicionesFinales"/>
        <w:spacing w:before="240" w:after="0"/>
        <w:rPr>
          <w:b/>
        </w:rPr>
      </w:pPr>
      <w:r w:rsidRPr="0018193C">
        <w:rPr>
          <w:b/>
        </w:rPr>
        <w:t>2.1 PROCEDIMIENTOS PARA LA CONTRATACIÓN Y BAJA DE LOS SERVICIOS.</w:t>
      </w:r>
    </w:p>
    <w:p w:rsidR="007C4016" w:rsidRPr="00716C42" w:rsidRDefault="007C4016" w:rsidP="007C4016">
      <w:pPr>
        <w:pStyle w:val="CondicionesFinales"/>
        <w:spacing w:before="240" w:after="0"/>
        <w:rPr>
          <w:lang w:val="es-ES"/>
        </w:rPr>
      </w:pPr>
      <w:r w:rsidRPr="00716C42">
        <w:rPr>
          <w:lang w:val="es-ES"/>
        </w:rPr>
        <w:t>A continuación se describen los procedimientos a seguir para la contra</w:t>
      </w:r>
      <w:r>
        <w:rPr>
          <w:lang w:val="es-ES"/>
        </w:rPr>
        <w:t xml:space="preserve">tación y baja del servicio de canales ópticos. </w:t>
      </w:r>
      <w:r w:rsidRPr="00716C42">
        <w:rPr>
          <w:lang w:val="es-ES"/>
        </w:rPr>
        <w:t>Los plazos para la realización de estas actividades así como los indicadores de nivel de servicio se encuentran detallados en el Anexo 4 de la Oferta.</w:t>
      </w:r>
    </w:p>
    <w:p w:rsidR="007C4016" w:rsidRPr="0018193C" w:rsidRDefault="007C4016" w:rsidP="007C4016">
      <w:pPr>
        <w:pStyle w:val="CondicionesFinales"/>
        <w:spacing w:before="240" w:after="0"/>
        <w:rPr>
          <w:b/>
        </w:rPr>
      </w:pPr>
      <w:r w:rsidRPr="0018193C">
        <w:rPr>
          <w:b/>
        </w:rPr>
        <w:t xml:space="preserve">a. Contratación </w:t>
      </w:r>
    </w:p>
    <w:p w:rsidR="007C4016" w:rsidRDefault="007C4016" w:rsidP="007C4016">
      <w:pPr>
        <w:pStyle w:val="CondicionesFinales"/>
        <w:spacing w:before="240" w:after="0"/>
      </w:pPr>
      <w:r w:rsidRPr="00716C42">
        <w:t xml:space="preserve">Queda establecido que mediante el envío </w:t>
      </w:r>
      <w:r>
        <w:t xml:space="preserve">del formato con </w:t>
      </w:r>
      <w:r w:rsidRPr="00716C42">
        <w:t xml:space="preserve">la </w:t>
      </w:r>
      <w:r>
        <w:t>información relativa al servicio</w:t>
      </w:r>
      <w:r w:rsidRPr="00716C42">
        <w:t>, el CS consiente realizar el pago por l</w:t>
      </w:r>
      <w:r>
        <w:t>o</w:t>
      </w:r>
      <w:r w:rsidRPr="00716C42">
        <w:t xml:space="preserve">s </w:t>
      </w:r>
      <w:r>
        <w:t xml:space="preserve">cargos no recurrentes </w:t>
      </w:r>
      <w:r w:rsidRPr="00716C42">
        <w:t>así como por los elementos de cobro que conforman el servicio. Asimismo si el CS rechaza el servicio o decide no continuar con el procedimiento deberá liquidar el monto generado por las actividades realizadas hasta el momento que decidió terminar el procedimiento.</w:t>
      </w:r>
    </w:p>
    <w:p w:rsidR="007C4016" w:rsidRDefault="007C4016" w:rsidP="007C4016">
      <w:pPr>
        <w:pStyle w:val="CondicionesFinales"/>
        <w:spacing w:before="240" w:after="0"/>
      </w:pPr>
      <w:r w:rsidRPr="00716C42">
        <w:t xml:space="preserve">Las actividades que conforman el procedimiento de contratación </w:t>
      </w:r>
      <w:r>
        <w:t xml:space="preserve">del servicio </w:t>
      </w:r>
      <w:r w:rsidRPr="00716C42">
        <w:t>son las siguientes</w:t>
      </w:r>
      <w:r>
        <w:t>:</w:t>
      </w:r>
    </w:p>
    <w:tbl>
      <w:tblPr>
        <w:tblStyle w:val="Tablaconcuadrcula"/>
        <w:tblW w:w="3991" w:type="pct"/>
        <w:tblInd w:w="959" w:type="dxa"/>
        <w:tblLook w:val="04A0" w:firstRow="1" w:lastRow="0" w:firstColumn="1" w:lastColumn="0" w:noHBand="0" w:noVBand="1"/>
        <w:tblCaption w:val="Tabla"/>
        <w:tblDescription w:val="Las actividades que conforman el procedimiento de contratación del servicio "/>
      </w:tblPr>
      <w:tblGrid>
        <w:gridCol w:w="1889"/>
        <w:gridCol w:w="5159"/>
      </w:tblGrid>
      <w:tr w:rsidR="007C4016" w:rsidRPr="0018193C" w:rsidTr="005C782A">
        <w:trPr>
          <w:tblHeader/>
        </w:trPr>
        <w:tc>
          <w:tcPr>
            <w:tcW w:w="1340" w:type="pct"/>
            <w:shd w:val="clear" w:color="auto" w:fill="D9D9D9" w:themeFill="background1" w:themeFillShade="D9"/>
          </w:tcPr>
          <w:p w:rsidR="007C4016" w:rsidRPr="00CE5D0C" w:rsidRDefault="007C4016" w:rsidP="005C782A">
            <w:pPr>
              <w:pStyle w:val="IFTnormal"/>
              <w:spacing w:after="0"/>
            </w:pPr>
            <w:r w:rsidRPr="00CE5D0C">
              <w:t>Etapa</w:t>
            </w:r>
          </w:p>
        </w:tc>
        <w:tc>
          <w:tcPr>
            <w:tcW w:w="3660" w:type="pct"/>
            <w:shd w:val="clear" w:color="auto" w:fill="D9D9D9" w:themeFill="background1" w:themeFillShade="D9"/>
          </w:tcPr>
          <w:p w:rsidR="007C4016" w:rsidRPr="00CE5D0C" w:rsidRDefault="007C4016" w:rsidP="005C782A">
            <w:pPr>
              <w:pStyle w:val="IFTnormal"/>
              <w:spacing w:after="0"/>
            </w:pPr>
            <w:r w:rsidRPr="00CE5D0C">
              <w:t>Descripción</w:t>
            </w:r>
          </w:p>
        </w:tc>
      </w:tr>
      <w:tr w:rsidR="007C4016" w:rsidRPr="0018193C" w:rsidTr="005C782A">
        <w:tc>
          <w:tcPr>
            <w:tcW w:w="1340" w:type="pct"/>
          </w:tcPr>
          <w:p w:rsidR="007C4016" w:rsidRPr="00CE5D0C" w:rsidRDefault="007C4016" w:rsidP="005C782A">
            <w:pPr>
              <w:pStyle w:val="IFTnormal"/>
              <w:spacing w:after="0"/>
            </w:pPr>
            <w:r>
              <w:t>Envío de Formato de Servicio de Canal Óptico</w:t>
            </w:r>
          </w:p>
        </w:tc>
        <w:tc>
          <w:tcPr>
            <w:tcW w:w="3660" w:type="pct"/>
          </w:tcPr>
          <w:p w:rsidR="007C4016" w:rsidRPr="00CE5D0C" w:rsidRDefault="007C4016" w:rsidP="005C782A">
            <w:pPr>
              <w:pStyle w:val="IFTnormal"/>
              <w:spacing w:after="0"/>
            </w:pPr>
            <w:r w:rsidRPr="00CE5D0C">
              <w:t xml:space="preserve">El CS </w:t>
            </w:r>
            <w:r>
              <w:t>enviará</w:t>
            </w:r>
            <w:r w:rsidRPr="00CE5D0C">
              <w:t xml:space="preserve"> el formato correspo</w:t>
            </w:r>
            <w:r>
              <w:t>ndiente a través del SEG. Telnor</w:t>
            </w:r>
            <w:r w:rsidRPr="00CE5D0C">
              <w:t xml:space="preserve"> recibirá y determinará</w:t>
            </w:r>
            <w:r>
              <w:t xml:space="preserve"> en 2 días hábiles</w:t>
            </w:r>
            <w:r w:rsidRPr="00CE5D0C">
              <w:t xml:space="preserve"> si </w:t>
            </w:r>
            <w:r>
              <w:t>el Formato</w:t>
            </w:r>
            <w:r w:rsidRPr="00CE5D0C">
              <w:t xml:space="preserve"> es: </w:t>
            </w:r>
          </w:p>
          <w:p w:rsidR="007C4016" w:rsidRPr="00CE5D0C" w:rsidRDefault="007C4016" w:rsidP="005C782A">
            <w:pPr>
              <w:pStyle w:val="IFTnormal"/>
              <w:numPr>
                <w:ilvl w:val="0"/>
                <w:numId w:val="62"/>
              </w:numPr>
              <w:spacing w:after="0"/>
            </w:pPr>
            <w:r>
              <w:t>Aceptado, Telnor</w:t>
            </w:r>
            <w:r w:rsidRPr="00CE5D0C">
              <w:t xml:space="preserve"> valida que la </w:t>
            </w:r>
            <w:r>
              <w:t>información</w:t>
            </w:r>
            <w:r w:rsidRPr="00CE5D0C">
              <w:t xml:space="preserve"> cumple con los requisitos establecidos en los formatos. Se asignará de forma automática un NIS. </w:t>
            </w:r>
          </w:p>
          <w:p w:rsidR="007C4016" w:rsidRPr="00CE5D0C" w:rsidRDefault="007C4016" w:rsidP="005C782A">
            <w:pPr>
              <w:pStyle w:val="IFTnormal"/>
              <w:numPr>
                <w:ilvl w:val="0"/>
                <w:numId w:val="62"/>
              </w:numPr>
              <w:spacing w:after="0"/>
            </w:pPr>
            <w:r w:rsidRPr="00CE5D0C">
              <w:t xml:space="preserve">Rechazado, en caso de que la </w:t>
            </w:r>
            <w:r>
              <w:t>información</w:t>
            </w:r>
            <w:r w:rsidRPr="00CE5D0C">
              <w:t xml:space="preserve"> no cump</w:t>
            </w:r>
            <w:r>
              <w:t>liera con los requisitos, Telnor</w:t>
            </w:r>
            <w:r w:rsidRPr="00CE5D0C">
              <w:t xml:space="preserve"> notificará al CS a través del SEG que ha sido rechazada y el motivo por el cual no se pudo procesar, de tal forma que el CS pueda corregir la información y reenviar la solicitud.</w:t>
            </w:r>
          </w:p>
        </w:tc>
      </w:tr>
      <w:tr w:rsidR="007C4016" w:rsidRPr="0018193C" w:rsidTr="005C782A">
        <w:tc>
          <w:tcPr>
            <w:tcW w:w="1340" w:type="pct"/>
          </w:tcPr>
          <w:p w:rsidR="007C4016" w:rsidRPr="00CE5D0C" w:rsidRDefault="007C4016" w:rsidP="005C782A">
            <w:pPr>
              <w:pStyle w:val="IFTnormal"/>
              <w:spacing w:after="0"/>
            </w:pPr>
            <w:r w:rsidRPr="00CE5D0C">
              <w:lastRenderedPageBreak/>
              <w:t>Proyecto y Cotización</w:t>
            </w:r>
          </w:p>
        </w:tc>
        <w:tc>
          <w:tcPr>
            <w:tcW w:w="3660" w:type="pct"/>
          </w:tcPr>
          <w:p w:rsidR="007C4016" w:rsidRPr="00CE5D0C" w:rsidRDefault="007C4016" w:rsidP="005C782A">
            <w:pPr>
              <w:pStyle w:val="IFTnormal"/>
              <w:spacing w:after="0"/>
            </w:pPr>
            <w:r w:rsidRPr="00CE5D0C">
              <w:t xml:space="preserve">Una vez que se validó la </w:t>
            </w:r>
            <w:r>
              <w:t>información y cuenta con NIS, Telnor</w:t>
            </w:r>
            <w:r w:rsidRPr="00CE5D0C">
              <w:t xml:space="preserve"> presentará la cotización del servicio de canal óptico, y elaborará el proyecto </w:t>
            </w:r>
            <w:r w:rsidRPr="00E93850">
              <w:t>dentro de un plazo de 10</w:t>
            </w:r>
            <w:r>
              <w:t xml:space="preserve"> días hábiles</w:t>
            </w:r>
            <w:r w:rsidRPr="00CE5D0C">
              <w:t>.</w:t>
            </w:r>
          </w:p>
          <w:p w:rsidR="007C4016" w:rsidRPr="00CE5D0C" w:rsidRDefault="007C4016" w:rsidP="005C782A">
            <w:pPr>
              <w:pStyle w:val="IFTnormal"/>
              <w:spacing w:after="0"/>
            </w:pPr>
            <w:r w:rsidRPr="00CE5D0C">
              <w:t>El CS determinará si procede con la aceptación o no de la cotización y el servicio:</w:t>
            </w:r>
          </w:p>
          <w:p w:rsidR="007C4016" w:rsidRPr="00CE5D0C" w:rsidRDefault="007C4016" w:rsidP="005C782A">
            <w:pPr>
              <w:pStyle w:val="IFTnormal"/>
              <w:spacing w:after="0"/>
            </w:pPr>
            <w:r w:rsidRPr="00CE5D0C">
              <w:t xml:space="preserve"> El CS le informará su</w:t>
            </w:r>
            <w:r>
              <w:t xml:space="preserve"> aceptación o negativa  a Telnor</w:t>
            </w:r>
            <w:r w:rsidRPr="00CE5D0C">
              <w:t>:</w:t>
            </w:r>
          </w:p>
          <w:p w:rsidR="007C4016" w:rsidRPr="00CE5D0C" w:rsidRDefault="007C4016" w:rsidP="005C782A">
            <w:pPr>
              <w:pStyle w:val="IFTnormal"/>
              <w:numPr>
                <w:ilvl w:val="1"/>
                <w:numId w:val="73"/>
              </w:numPr>
              <w:spacing w:after="0"/>
            </w:pPr>
            <w:r w:rsidRPr="00CE5D0C">
              <w:t xml:space="preserve">CS acepta y autoriza el Servicio de Canales Ópticos de Alta Capacidad </w:t>
            </w:r>
            <w:r w:rsidRPr="00E93850">
              <w:t>(dentro de un plazo de 10 días hábiles</w:t>
            </w:r>
            <w:r>
              <w:t>). Telnor</w:t>
            </w:r>
            <w:r w:rsidRPr="00CE5D0C">
              <w:t xml:space="preserve"> proporcionará el programa de trabajo necesario con fecha de inicio y fin de actividades.</w:t>
            </w:r>
          </w:p>
          <w:p w:rsidR="007C4016" w:rsidRPr="00E534A7" w:rsidRDefault="007C4016" w:rsidP="005C782A">
            <w:pPr>
              <w:pStyle w:val="IFTnormal"/>
              <w:numPr>
                <w:ilvl w:val="1"/>
                <w:numId w:val="73"/>
              </w:numPr>
              <w:spacing w:after="0"/>
            </w:pPr>
            <w:r w:rsidRPr="00CE5D0C">
              <w:t>En caso de no aceptar el Servicio de Canales Ópticos de Alta Capa</w:t>
            </w:r>
            <w:r>
              <w:t>cidad, el CS notificará a Telnor</w:t>
            </w:r>
            <w:r w:rsidRPr="00CE5D0C">
              <w:t xml:space="preserve"> </w:t>
            </w:r>
            <w:r>
              <w:t>la opción de</w:t>
            </w:r>
            <w:r w:rsidRPr="00CE5D0C">
              <w:t xml:space="preserve"> rechazo del servicio con lo cual concluye el procedimiento</w:t>
            </w:r>
            <w:r>
              <w:t xml:space="preserve"> o que no le</w:t>
            </w:r>
            <w:r w:rsidRPr="00E534A7">
              <w:t xml:space="preserve"> resulta factible.</w:t>
            </w:r>
            <w:r>
              <w:t xml:space="preserve"> En este último caso Telnor</w:t>
            </w:r>
            <w:r w:rsidRPr="00E534A7">
              <w:t xml:space="preserve"> ofrecerá la alternativa del Ser</w:t>
            </w:r>
            <w:r>
              <w:t>vicio de Renta de Fibra Obscura.</w:t>
            </w:r>
          </w:p>
          <w:p w:rsidR="007C4016" w:rsidRPr="00CE5D0C" w:rsidRDefault="007C4016" w:rsidP="005C782A">
            <w:pPr>
              <w:pStyle w:val="IFTnormal"/>
              <w:spacing w:after="0"/>
            </w:pPr>
            <w:r w:rsidRPr="00456214">
              <w:t>Toda la información que se genere del proyecto deberá ser integrada en el SEG.</w:t>
            </w:r>
          </w:p>
        </w:tc>
      </w:tr>
      <w:tr w:rsidR="007C4016" w:rsidRPr="0018193C" w:rsidTr="005C782A">
        <w:tc>
          <w:tcPr>
            <w:tcW w:w="1340" w:type="pct"/>
          </w:tcPr>
          <w:p w:rsidR="007C4016" w:rsidRPr="00CE5D0C" w:rsidRDefault="007C4016" w:rsidP="005C782A">
            <w:pPr>
              <w:pStyle w:val="IFTnormal"/>
              <w:spacing w:after="0"/>
              <w:rPr>
                <w:highlight w:val="cyan"/>
              </w:rPr>
            </w:pPr>
            <w:r w:rsidRPr="00CE5D0C">
              <w:t>Instalación de Infraestructura</w:t>
            </w:r>
          </w:p>
        </w:tc>
        <w:tc>
          <w:tcPr>
            <w:tcW w:w="3660" w:type="pct"/>
          </w:tcPr>
          <w:p w:rsidR="007C4016" w:rsidRPr="00CE5D0C" w:rsidRDefault="007C4016" w:rsidP="005C782A">
            <w:pPr>
              <w:pStyle w:val="IFTnormal"/>
              <w:spacing w:after="0"/>
            </w:pPr>
            <w:r>
              <w:t>Una vez que Telnor</w:t>
            </w:r>
            <w:r w:rsidRPr="00CE5D0C">
              <w:t xml:space="preserve"> recibe el resultado positivo del Servicio de Canales Ópticos de Alta Capacidad, instalará la Infraestructura apegándose al proyecto presentado y aprobado por el CS e informará al propio CS cuando finalice la instalación.</w:t>
            </w:r>
            <w:r>
              <w:t xml:space="preserve"> Los plazos de instalación se fijaran de acuerdo a los tiempos establecidos en la Oferta de Enlaces Dedicados. (A partir de la aceptación de la cotización).</w:t>
            </w:r>
          </w:p>
        </w:tc>
      </w:tr>
      <w:tr w:rsidR="007C4016" w:rsidRPr="0018193C" w:rsidTr="005C782A">
        <w:tc>
          <w:tcPr>
            <w:tcW w:w="1340" w:type="pct"/>
          </w:tcPr>
          <w:p w:rsidR="007C4016" w:rsidRPr="00CE5D0C" w:rsidRDefault="007C4016" w:rsidP="005C782A">
            <w:pPr>
              <w:pStyle w:val="IFTnormal"/>
              <w:spacing w:after="0"/>
            </w:pPr>
            <w:r w:rsidRPr="00CE5D0C">
              <w:lastRenderedPageBreak/>
              <w:t>Verificación de Instalación de Infraestructura</w:t>
            </w:r>
          </w:p>
        </w:tc>
        <w:tc>
          <w:tcPr>
            <w:tcW w:w="3660" w:type="pct"/>
          </w:tcPr>
          <w:p w:rsidR="007C4016" w:rsidRPr="00CE5D0C" w:rsidRDefault="007C4016" w:rsidP="005C782A">
            <w:pPr>
              <w:pStyle w:val="IFTnormal"/>
              <w:spacing w:after="0"/>
            </w:pPr>
            <w:r w:rsidRPr="00CE5D0C">
              <w:t xml:space="preserve">Una vez que el CS recibe la notificación de la </w:t>
            </w:r>
            <w:r>
              <w:t>instalación del servicio, Telnor</w:t>
            </w:r>
            <w:r w:rsidRPr="00CE5D0C">
              <w:t xml:space="preserve"> revisará la disponibilidad de fecha y horarios para llevar a cabo la verificación </w:t>
            </w:r>
            <w:r w:rsidRPr="004621E4">
              <w:t xml:space="preserve">en un máximo de </w:t>
            </w:r>
            <w:r w:rsidRPr="0028329F">
              <w:t>5 días hábiles</w:t>
            </w:r>
            <w:r w:rsidRPr="004621E4">
              <w:t xml:space="preserve"> </w:t>
            </w:r>
            <w:r w:rsidRPr="00CE5D0C">
              <w:t xml:space="preserve">e informará al CS para que acepte o rechace la propuesta.  En caso de no aceptarse la fecha propuesta, el CS podrá solicitar una nueva fecha, con lo que esta actividad </w:t>
            </w:r>
            <w:r>
              <w:t>podrá</w:t>
            </w:r>
            <w:r w:rsidRPr="00CE5D0C">
              <w:t xml:space="preserve"> repetirse hasta </w:t>
            </w:r>
            <w:r>
              <w:t>en 3 ocasiones</w:t>
            </w:r>
            <w:r w:rsidRPr="00CE5D0C">
              <w:t xml:space="preserve">. </w:t>
            </w:r>
            <w:r>
              <w:t>No se podrán acordar fechas de verificación posteriores a 10 días hábiles a partir de que Telnor envíe la fecha de término de la instalación.</w:t>
            </w:r>
          </w:p>
          <w:p w:rsidR="007C4016" w:rsidRPr="00CE5D0C" w:rsidRDefault="007C4016" w:rsidP="005C782A">
            <w:pPr>
              <w:pStyle w:val="IFTnormal"/>
              <w:spacing w:after="0"/>
            </w:pPr>
            <w:r w:rsidRPr="00CE5D0C">
              <w:t>En la fecha acordada, el CS valida que el canal óptico se encuentre funcionando correctamente</w:t>
            </w:r>
            <w:r>
              <w:t xml:space="preserve">, </w:t>
            </w:r>
            <w:r w:rsidRPr="00456214">
              <w:t xml:space="preserve">el CS deberá realizar las pruebas </w:t>
            </w:r>
            <w:r>
              <w:t>que considere pertinentes</w:t>
            </w:r>
            <w:r w:rsidRPr="00456214">
              <w:t xml:space="preserve"> para confirmar la entrega </w:t>
            </w:r>
            <w:r>
              <w:t>del servicio y</w:t>
            </w:r>
            <w:r w:rsidRPr="00CE5D0C">
              <w:t xml:space="preserve"> firma</w:t>
            </w:r>
            <w:r>
              <w:t>rán</w:t>
            </w:r>
            <w:r w:rsidRPr="00CE5D0C">
              <w:t xml:space="preserve"> </w:t>
            </w:r>
            <w:r>
              <w:t>un</w:t>
            </w:r>
            <w:r w:rsidRPr="00CE5D0C">
              <w:t xml:space="preserve"> </w:t>
            </w:r>
            <w:r>
              <w:t>acta</w:t>
            </w:r>
            <w:r w:rsidRPr="00CE5D0C">
              <w:t xml:space="preserve"> </w:t>
            </w:r>
            <w:r>
              <w:t>de</w:t>
            </w:r>
            <w:r w:rsidRPr="00CE5D0C">
              <w:t xml:space="preserve"> </w:t>
            </w:r>
            <w:r>
              <w:t xml:space="preserve">recepción </w:t>
            </w:r>
            <w:r w:rsidRPr="00CE5D0C">
              <w:t>del servicio.</w:t>
            </w:r>
          </w:p>
        </w:tc>
      </w:tr>
      <w:tr w:rsidR="007C4016" w:rsidRPr="0018193C" w:rsidTr="005C782A">
        <w:tc>
          <w:tcPr>
            <w:tcW w:w="1340" w:type="pct"/>
            <w:shd w:val="clear" w:color="auto" w:fill="auto"/>
          </w:tcPr>
          <w:p w:rsidR="007C4016" w:rsidRPr="00CE5D0C" w:rsidRDefault="007C4016" w:rsidP="005C782A">
            <w:pPr>
              <w:pStyle w:val="IFTnormal"/>
              <w:spacing w:after="0"/>
            </w:pPr>
            <w:r w:rsidRPr="00CE5D0C">
              <w:t>Facturación</w:t>
            </w:r>
          </w:p>
        </w:tc>
        <w:tc>
          <w:tcPr>
            <w:tcW w:w="3660" w:type="pct"/>
            <w:shd w:val="clear" w:color="auto" w:fill="auto"/>
          </w:tcPr>
          <w:p w:rsidR="007C4016" w:rsidRPr="00CE5D0C" w:rsidRDefault="007C4016" w:rsidP="005C782A">
            <w:pPr>
              <w:pStyle w:val="IFTnormal"/>
              <w:spacing w:after="0"/>
            </w:pPr>
            <w:r>
              <w:t>Una vez firmada</w:t>
            </w:r>
            <w:r w:rsidRPr="00CE5D0C">
              <w:t xml:space="preserve"> el </w:t>
            </w:r>
            <w:r>
              <w:t>acta</w:t>
            </w:r>
            <w:r w:rsidRPr="00CE5D0C">
              <w:t xml:space="preserve"> de recepción del servicio se inicia</w:t>
            </w:r>
            <w:r>
              <w:t xml:space="preserve"> con la facturación del mismo</w:t>
            </w:r>
            <w:r w:rsidRPr="00CE5D0C">
              <w:t xml:space="preserve">, </w:t>
            </w:r>
            <w:r>
              <w:t>Telnor</w:t>
            </w:r>
            <w:r w:rsidRPr="00CE5D0C">
              <w:t xml:space="preserve"> deberá integrar el Formato </w:t>
            </w:r>
            <w:r>
              <w:t>escaneado</w:t>
            </w:r>
            <w:r w:rsidRPr="00CE5D0C">
              <w:t xml:space="preserve"> al SEG</w:t>
            </w:r>
            <w:r>
              <w:t xml:space="preserve"> a más tardar en 5 días posteriores a la entrega del servicio</w:t>
            </w:r>
            <w:r w:rsidRPr="00CE5D0C">
              <w:t>.</w:t>
            </w:r>
          </w:p>
        </w:tc>
      </w:tr>
    </w:tbl>
    <w:p w:rsidR="007C4016" w:rsidRDefault="007C4016" w:rsidP="007C4016">
      <w:pPr>
        <w:pStyle w:val="IFTnormal"/>
        <w:spacing w:before="240" w:after="0"/>
      </w:pPr>
    </w:p>
    <w:p w:rsidR="007C4016" w:rsidRPr="0018193C" w:rsidRDefault="007C4016" w:rsidP="007C4016">
      <w:pPr>
        <w:pStyle w:val="CondicionesFinales"/>
        <w:spacing w:before="240" w:after="0"/>
        <w:rPr>
          <w:b/>
        </w:rPr>
      </w:pPr>
      <w:r w:rsidRPr="0018193C">
        <w:rPr>
          <w:b/>
        </w:rPr>
        <w:t xml:space="preserve">b. Baja de los servicios </w:t>
      </w:r>
    </w:p>
    <w:p w:rsidR="007C4016" w:rsidRDefault="007C4016" w:rsidP="007C4016">
      <w:pPr>
        <w:pStyle w:val="CondicionesFinales"/>
        <w:spacing w:before="240" w:after="0"/>
      </w:pPr>
      <w:r w:rsidRPr="00716C42">
        <w:t>Las actividades para realizar la baja del servicio son las siguientes</w:t>
      </w:r>
      <w:r>
        <w:t>:</w:t>
      </w:r>
    </w:p>
    <w:tbl>
      <w:tblPr>
        <w:tblStyle w:val="Tablaconcuadrcula"/>
        <w:tblW w:w="3991" w:type="pct"/>
        <w:tblInd w:w="959" w:type="dxa"/>
        <w:tblLook w:val="04A0" w:firstRow="1" w:lastRow="0" w:firstColumn="1" w:lastColumn="0" w:noHBand="0" w:noVBand="1"/>
        <w:tblCaption w:val="Tabla"/>
        <w:tblDescription w:val="Las actividades para realizar la baja del servicio "/>
      </w:tblPr>
      <w:tblGrid>
        <w:gridCol w:w="1897"/>
        <w:gridCol w:w="5151"/>
      </w:tblGrid>
      <w:tr w:rsidR="007C4016" w:rsidRPr="00596F81" w:rsidTr="005C782A">
        <w:trPr>
          <w:tblHeader/>
        </w:trPr>
        <w:tc>
          <w:tcPr>
            <w:tcW w:w="1346" w:type="pct"/>
            <w:shd w:val="clear" w:color="auto" w:fill="D9D9D9" w:themeFill="background1" w:themeFillShade="D9"/>
          </w:tcPr>
          <w:p w:rsidR="007C4016" w:rsidRPr="00456214" w:rsidRDefault="007C4016" w:rsidP="005C782A">
            <w:pPr>
              <w:pStyle w:val="IFTnormal"/>
              <w:spacing w:after="0"/>
            </w:pPr>
            <w:r w:rsidRPr="00456214">
              <w:t>Etapa</w:t>
            </w:r>
          </w:p>
        </w:tc>
        <w:tc>
          <w:tcPr>
            <w:tcW w:w="3654" w:type="pct"/>
            <w:shd w:val="clear" w:color="auto" w:fill="D9D9D9" w:themeFill="background1" w:themeFillShade="D9"/>
          </w:tcPr>
          <w:p w:rsidR="007C4016" w:rsidRPr="00456214" w:rsidRDefault="007C4016" w:rsidP="005C782A">
            <w:pPr>
              <w:pStyle w:val="IFTnormal"/>
              <w:spacing w:after="0"/>
            </w:pPr>
            <w:r w:rsidRPr="00456214">
              <w:t>Descripción</w:t>
            </w:r>
          </w:p>
        </w:tc>
      </w:tr>
      <w:tr w:rsidR="007C4016" w:rsidRPr="00596F81" w:rsidTr="005C782A">
        <w:tc>
          <w:tcPr>
            <w:tcW w:w="1346" w:type="pct"/>
          </w:tcPr>
          <w:p w:rsidR="007C4016" w:rsidRPr="00456214" w:rsidRDefault="007C4016" w:rsidP="005C782A">
            <w:pPr>
              <w:pStyle w:val="IFTnormal"/>
              <w:spacing w:after="0"/>
            </w:pPr>
            <w:r w:rsidRPr="00456214">
              <w:t>Envío y Validación de solicitud</w:t>
            </w:r>
          </w:p>
        </w:tc>
        <w:tc>
          <w:tcPr>
            <w:tcW w:w="3654" w:type="pct"/>
          </w:tcPr>
          <w:p w:rsidR="007C4016" w:rsidRPr="00456214" w:rsidRDefault="007C4016" w:rsidP="005C782A">
            <w:pPr>
              <w:pStyle w:val="IFTnormal"/>
              <w:spacing w:after="0"/>
            </w:pPr>
            <w:r w:rsidRPr="00456214">
              <w:t>El CS presentará la solicitud de baja en el formato correspondiente a través del SEG,</w:t>
            </w:r>
          </w:p>
          <w:p w:rsidR="007C4016" w:rsidRPr="00456214" w:rsidRDefault="007C4016" w:rsidP="005C782A">
            <w:pPr>
              <w:pStyle w:val="IFTnormal"/>
              <w:spacing w:after="0"/>
            </w:pPr>
            <w:r>
              <w:t>Telnor</w:t>
            </w:r>
            <w:r w:rsidRPr="00456214">
              <w:t xml:space="preserve"> recibirá la solicitud y determinará </w:t>
            </w:r>
            <w:r>
              <w:t>en 2 días hábiles</w:t>
            </w:r>
            <w:r w:rsidRPr="00456214">
              <w:t xml:space="preserve"> si la solicitud es: </w:t>
            </w:r>
          </w:p>
          <w:p w:rsidR="007C4016" w:rsidRPr="00456214" w:rsidRDefault="007C4016" w:rsidP="005C782A">
            <w:pPr>
              <w:pStyle w:val="IFTnormal"/>
              <w:numPr>
                <w:ilvl w:val="0"/>
                <w:numId w:val="62"/>
              </w:numPr>
              <w:spacing w:after="0"/>
            </w:pPr>
            <w:r w:rsidRPr="00456214">
              <w:t xml:space="preserve">Aceptada, </w:t>
            </w:r>
            <w:r>
              <w:t>Telnor</w:t>
            </w:r>
            <w:r w:rsidRPr="00456214">
              <w:t xml:space="preserve"> valida que la solicitud cumple con los requisitos </w:t>
            </w:r>
            <w:r w:rsidRPr="00456214">
              <w:lastRenderedPageBreak/>
              <w:t>establecidos en los formatos establecidos (plazo). se asignará de forma automática un NIS.</w:t>
            </w:r>
          </w:p>
          <w:p w:rsidR="007C4016" w:rsidRPr="00456214" w:rsidRDefault="007C4016" w:rsidP="005C782A">
            <w:pPr>
              <w:pStyle w:val="IFTnormal"/>
              <w:numPr>
                <w:ilvl w:val="0"/>
                <w:numId w:val="62"/>
              </w:numPr>
              <w:spacing w:after="0"/>
            </w:pPr>
            <w:r w:rsidRPr="00456214">
              <w:t xml:space="preserve"> Rechazado, en caso de que la solicitud no cumpliera con los requisitos, </w:t>
            </w:r>
            <w:r>
              <w:t>Telnor</w:t>
            </w:r>
            <w:r w:rsidRPr="00456214">
              <w:t xml:space="preserve"> notificará al CS a través del SEG que la solicitud ha sido rechazada y el motivo por el cual no se pudo procesar, de tal forma que el CS pueda corregir la información y reenviar la solicitud.</w:t>
            </w:r>
          </w:p>
        </w:tc>
      </w:tr>
      <w:tr w:rsidR="007C4016" w:rsidRPr="00596F81" w:rsidTr="005C782A">
        <w:tc>
          <w:tcPr>
            <w:tcW w:w="1346" w:type="pct"/>
          </w:tcPr>
          <w:p w:rsidR="007C4016" w:rsidRPr="00456214" w:rsidRDefault="007C4016" w:rsidP="005C782A">
            <w:pPr>
              <w:pStyle w:val="IFTnormal"/>
              <w:spacing w:after="0"/>
            </w:pPr>
            <w:r w:rsidRPr="00456214">
              <w:lastRenderedPageBreak/>
              <w:t>Desinstalación</w:t>
            </w:r>
          </w:p>
        </w:tc>
        <w:tc>
          <w:tcPr>
            <w:tcW w:w="3654" w:type="pct"/>
          </w:tcPr>
          <w:p w:rsidR="007C4016" w:rsidRPr="00456214" w:rsidRDefault="007C4016" w:rsidP="005C782A">
            <w:pPr>
              <w:pStyle w:val="IFTnormal"/>
              <w:spacing w:after="0"/>
            </w:pPr>
            <w:r>
              <w:t>Telnor</w:t>
            </w:r>
            <w:r w:rsidRPr="00456214">
              <w:t xml:space="preserve"> libera el canal óptico de transporte de alta capacidad correspondiente a la solicitud e informará al CS cuando finalice la desinstalación.</w:t>
            </w:r>
          </w:p>
          <w:p w:rsidR="007C4016" w:rsidRDefault="007C4016" w:rsidP="005C782A">
            <w:pPr>
              <w:pStyle w:val="IFTnormal"/>
              <w:spacing w:after="0"/>
            </w:pPr>
            <w:r w:rsidRPr="00456214">
              <w:t>El CS deberá confirmar que el Canal Óptico se desinstaló satisfactoriamente.</w:t>
            </w:r>
          </w:p>
          <w:p w:rsidR="007C4016" w:rsidRPr="00456214" w:rsidRDefault="007C4016" w:rsidP="005C782A">
            <w:pPr>
              <w:pStyle w:val="IFTnormal"/>
              <w:spacing w:after="0"/>
            </w:pPr>
            <w:r>
              <w:t>La baja del servicio incluye el retiro de equipo y cableado que se haya instalado.</w:t>
            </w:r>
          </w:p>
        </w:tc>
      </w:tr>
      <w:tr w:rsidR="007C4016" w:rsidRPr="00596F81" w:rsidTr="005C782A">
        <w:tc>
          <w:tcPr>
            <w:tcW w:w="1346" w:type="pct"/>
            <w:shd w:val="clear" w:color="auto" w:fill="auto"/>
          </w:tcPr>
          <w:p w:rsidR="007C4016" w:rsidRPr="00456214" w:rsidRDefault="007C4016" w:rsidP="005C782A">
            <w:pPr>
              <w:pStyle w:val="IFTnormal"/>
              <w:spacing w:after="0"/>
            </w:pPr>
            <w:r w:rsidRPr="00456214">
              <w:t>Facturación</w:t>
            </w:r>
          </w:p>
        </w:tc>
        <w:tc>
          <w:tcPr>
            <w:tcW w:w="3654" w:type="pct"/>
            <w:shd w:val="clear" w:color="auto" w:fill="auto"/>
          </w:tcPr>
          <w:p w:rsidR="007C4016" w:rsidRPr="00456214" w:rsidRDefault="007C4016" w:rsidP="005C782A">
            <w:pPr>
              <w:pStyle w:val="IFTnormal"/>
              <w:spacing w:after="0"/>
            </w:pPr>
            <w:r w:rsidRPr="00456214">
              <w:t>Una vez que la baja haya sido ejecutada, se notificará al CS que se realizó la baja del servicio y se dejará de facturar el servicio.</w:t>
            </w:r>
          </w:p>
        </w:tc>
      </w:tr>
    </w:tbl>
    <w:p w:rsidR="007C4016" w:rsidRDefault="007C4016" w:rsidP="007C4016">
      <w:pPr>
        <w:pStyle w:val="CitaIFT"/>
        <w:spacing w:before="240" w:after="0"/>
      </w:pPr>
    </w:p>
    <w:p w:rsidR="007C4016" w:rsidRDefault="007C4016" w:rsidP="007C4016">
      <w:pPr>
        <w:pStyle w:val="CondicionesFinales"/>
        <w:spacing w:before="240" w:after="0"/>
      </w:pPr>
      <w:r w:rsidRPr="00716C42">
        <w:t>El procedimiento para la notificación de fallas y gestión de incidencias, así como el procedimiento para Accesos a Infraestructura Compartida se establecen en el Anexo 3 de la Oferta.</w:t>
      </w:r>
    </w:p>
    <w:p w:rsidR="007C4016" w:rsidRDefault="007C4016" w:rsidP="007C4016">
      <w:pPr>
        <w:pStyle w:val="CondicionesFinales"/>
        <w:spacing w:before="240" w:after="0"/>
      </w:pPr>
      <w:r>
        <w:t>Telnor</w:t>
      </w:r>
      <w:r w:rsidRPr="00AE7385">
        <w:t xml:space="preserve"> y el CS deberán realizar la instalación de acuerdo con las características y normatividad técnica que se establecen en el Anexo 2 de la Oferta de Referencia.</w:t>
      </w:r>
    </w:p>
    <w:p w:rsidR="007C4016" w:rsidRPr="0018193C" w:rsidRDefault="007C4016" w:rsidP="007C4016">
      <w:pPr>
        <w:pStyle w:val="CondicionesFinales"/>
        <w:spacing w:before="240" w:after="0"/>
        <w:rPr>
          <w:b/>
        </w:rPr>
      </w:pPr>
      <w:r>
        <w:rPr>
          <w:b/>
        </w:rPr>
        <w:t>2.3</w:t>
      </w:r>
      <w:r w:rsidRPr="002A4183">
        <w:rPr>
          <w:b/>
        </w:rPr>
        <w:t xml:space="preserve"> PROCEDIMIENTOS PARA LA CONTRATACIÓN Y BAJA DE LOS SERVICIOS.</w:t>
      </w:r>
    </w:p>
    <w:p w:rsidR="007C4016" w:rsidRPr="00716C42" w:rsidRDefault="007C4016" w:rsidP="007C4016">
      <w:pPr>
        <w:pStyle w:val="CondicionesFinales"/>
        <w:spacing w:before="240" w:after="0"/>
        <w:rPr>
          <w:lang w:val="es-ES"/>
        </w:rPr>
      </w:pPr>
      <w:r w:rsidRPr="00716C42">
        <w:rPr>
          <w:lang w:val="es-ES"/>
        </w:rPr>
        <w:lastRenderedPageBreak/>
        <w:t>A continuación se describen los procedimientos a seguir para la contra</w:t>
      </w:r>
      <w:r>
        <w:rPr>
          <w:lang w:val="es-ES"/>
        </w:rPr>
        <w:t xml:space="preserve">tación y baja del </w:t>
      </w:r>
      <w:r w:rsidRPr="002A4183">
        <w:rPr>
          <w:lang w:val="es-ES"/>
        </w:rPr>
        <w:t>servicio fibra obscura</w:t>
      </w:r>
      <w:r>
        <w:rPr>
          <w:lang w:val="es-ES"/>
        </w:rPr>
        <w:t xml:space="preserve">. </w:t>
      </w:r>
      <w:r w:rsidRPr="00716C42">
        <w:rPr>
          <w:lang w:val="es-ES"/>
        </w:rPr>
        <w:t xml:space="preserve">Los plazos para la realización de estas actividades así como los </w:t>
      </w:r>
      <w:r w:rsidRPr="002A4183">
        <w:rPr>
          <w:lang w:val="es-ES"/>
        </w:rPr>
        <w:t>indicadores de nivel de servicio se encuentran detallados en el Anexo 4</w:t>
      </w:r>
      <w:r w:rsidRPr="00716C42">
        <w:rPr>
          <w:lang w:val="es-ES"/>
        </w:rPr>
        <w:t xml:space="preserve"> de la Oferta.</w:t>
      </w:r>
    </w:p>
    <w:p w:rsidR="007C4016" w:rsidRPr="0018193C" w:rsidRDefault="007C4016" w:rsidP="007C4016">
      <w:pPr>
        <w:pStyle w:val="CondicionesFinales"/>
        <w:spacing w:before="240" w:after="0"/>
        <w:rPr>
          <w:b/>
        </w:rPr>
      </w:pPr>
      <w:r w:rsidRPr="0018193C">
        <w:rPr>
          <w:b/>
        </w:rPr>
        <w:t xml:space="preserve">a. Contratación </w:t>
      </w:r>
    </w:p>
    <w:p w:rsidR="007C4016" w:rsidRDefault="007C4016" w:rsidP="007C4016">
      <w:pPr>
        <w:pStyle w:val="CondicionesFinales"/>
        <w:spacing w:before="240" w:after="0"/>
      </w:pPr>
      <w:r w:rsidRPr="00716C42">
        <w:t xml:space="preserve">Queda establecido que mediante el envío </w:t>
      </w:r>
      <w:r>
        <w:t xml:space="preserve">del formato con </w:t>
      </w:r>
      <w:r w:rsidRPr="00716C42">
        <w:t xml:space="preserve">la </w:t>
      </w:r>
      <w:r>
        <w:t>información relativa al servicio</w:t>
      </w:r>
      <w:r w:rsidRPr="00716C42">
        <w:t>, el CS consiente realizar el pago por l</w:t>
      </w:r>
      <w:r>
        <w:t>o</w:t>
      </w:r>
      <w:r w:rsidRPr="00716C42">
        <w:t xml:space="preserve">s </w:t>
      </w:r>
      <w:r>
        <w:t xml:space="preserve">cargos no recurrentes </w:t>
      </w:r>
      <w:r w:rsidRPr="00716C42">
        <w:t>así como por los elementos de cobro que conforman el servicio. Asimismo si el CS rechaza el servicio o decide no continuar con el procedimiento deberá liquidar el monto generado por las actividades realizadas hasta el momento que decidió terminar el procedimiento.</w:t>
      </w:r>
    </w:p>
    <w:p w:rsidR="007C4016" w:rsidRDefault="007C4016" w:rsidP="007C4016">
      <w:pPr>
        <w:pStyle w:val="CondicionesFinales"/>
        <w:spacing w:before="240" w:after="0"/>
      </w:pPr>
      <w:r w:rsidRPr="00716C42">
        <w:t xml:space="preserve">Las actividades que conforman el procedimiento de contratación </w:t>
      </w:r>
      <w:r>
        <w:t xml:space="preserve">del servicio </w:t>
      </w:r>
      <w:r w:rsidRPr="00716C42">
        <w:t>son las siguientes</w:t>
      </w:r>
      <w:r>
        <w:t>:</w:t>
      </w:r>
    </w:p>
    <w:tbl>
      <w:tblPr>
        <w:tblStyle w:val="Tablaconcuadrcula"/>
        <w:tblW w:w="3991" w:type="pct"/>
        <w:tblInd w:w="959" w:type="dxa"/>
        <w:tblLook w:val="04A0" w:firstRow="1" w:lastRow="0" w:firstColumn="1" w:lastColumn="0" w:noHBand="0" w:noVBand="1"/>
        <w:tblCaption w:val="Tabla"/>
        <w:tblDescription w:val="Las actividades que conforman el procedimiento de contratación del servicio "/>
      </w:tblPr>
      <w:tblGrid>
        <w:gridCol w:w="1889"/>
        <w:gridCol w:w="5159"/>
      </w:tblGrid>
      <w:tr w:rsidR="007C4016" w:rsidRPr="0018193C" w:rsidTr="005C782A">
        <w:trPr>
          <w:tblHeader/>
        </w:trPr>
        <w:tc>
          <w:tcPr>
            <w:tcW w:w="1340" w:type="pct"/>
            <w:shd w:val="clear" w:color="auto" w:fill="D9D9D9" w:themeFill="background1" w:themeFillShade="D9"/>
          </w:tcPr>
          <w:p w:rsidR="007C4016" w:rsidRPr="00CE5D0C" w:rsidRDefault="007C4016" w:rsidP="005C782A">
            <w:pPr>
              <w:pStyle w:val="IFTnormal"/>
              <w:spacing w:after="0"/>
            </w:pPr>
            <w:r w:rsidRPr="00CE5D0C">
              <w:t>Etapa</w:t>
            </w:r>
          </w:p>
        </w:tc>
        <w:tc>
          <w:tcPr>
            <w:tcW w:w="3660" w:type="pct"/>
            <w:shd w:val="clear" w:color="auto" w:fill="D9D9D9" w:themeFill="background1" w:themeFillShade="D9"/>
          </w:tcPr>
          <w:p w:rsidR="007C4016" w:rsidRPr="00CE5D0C" w:rsidRDefault="007C4016" w:rsidP="005C782A">
            <w:pPr>
              <w:pStyle w:val="IFTnormal"/>
              <w:spacing w:after="0"/>
            </w:pPr>
            <w:r w:rsidRPr="00CE5D0C">
              <w:t>Descripción</w:t>
            </w:r>
          </w:p>
        </w:tc>
      </w:tr>
      <w:tr w:rsidR="007C4016" w:rsidRPr="0018193C" w:rsidTr="005C782A">
        <w:tc>
          <w:tcPr>
            <w:tcW w:w="1340" w:type="pct"/>
          </w:tcPr>
          <w:p w:rsidR="007C4016" w:rsidRPr="00CE5D0C" w:rsidRDefault="007C4016" w:rsidP="005C782A">
            <w:pPr>
              <w:pStyle w:val="IFTnormal"/>
              <w:spacing w:after="0"/>
            </w:pPr>
            <w:r>
              <w:t>Envío de Formato de Servicio de Fibra Obscura</w:t>
            </w:r>
          </w:p>
        </w:tc>
        <w:tc>
          <w:tcPr>
            <w:tcW w:w="3660" w:type="pct"/>
          </w:tcPr>
          <w:p w:rsidR="007C4016" w:rsidRPr="00CE5D0C" w:rsidRDefault="007C4016" w:rsidP="005C782A">
            <w:pPr>
              <w:pStyle w:val="IFTnormal"/>
              <w:spacing w:after="0"/>
            </w:pPr>
            <w:r w:rsidRPr="00CE5D0C">
              <w:t xml:space="preserve">El CS </w:t>
            </w:r>
            <w:r>
              <w:t>enviará</w:t>
            </w:r>
            <w:r w:rsidRPr="00CE5D0C">
              <w:t xml:space="preserve"> el formato correspondiente a través del SEG. </w:t>
            </w:r>
            <w:r>
              <w:t>Telnor</w:t>
            </w:r>
            <w:r w:rsidRPr="00CE5D0C">
              <w:t xml:space="preserve"> recibirá y determinará</w:t>
            </w:r>
            <w:r>
              <w:t xml:space="preserve"> en 2 días hábiles</w:t>
            </w:r>
            <w:r w:rsidRPr="00CE5D0C">
              <w:t xml:space="preserve"> si </w:t>
            </w:r>
            <w:r>
              <w:t>el Formato</w:t>
            </w:r>
            <w:r w:rsidRPr="00CE5D0C">
              <w:t xml:space="preserve"> es: </w:t>
            </w:r>
          </w:p>
          <w:p w:rsidR="007C4016" w:rsidRPr="00CE5D0C" w:rsidRDefault="007C4016" w:rsidP="005C782A">
            <w:pPr>
              <w:pStyle w:val="IFTnormal"/>
              <w:numPr>
                <w:ilvl w:val="0"/>
                <w:numId w:val="62"/>
              </w:numPr>
              <w:spacing w:after="0"/>
            </w:pPr>
            <w:r>
              <w:t>Aceptado</w:t>
            </w:r>
            <w:r w:rsidRPr="00CE5D0C">
              <w:t xml:space="preserve">, </w:t>
            </w:r>
            <w:r>
              <w:t>Telnor</w:t>
            </w:r>
            <w:r w:rsidRPr="00CE5D0C">
              <w:t xml:space="preserve"> valida que la </w:t>
            </w:r>
            <w:r>
              <w:t>información</w:t>
            </w:r>
            <w:r w:rsidRPr="00CE5D0C">
              <w:t xml:space="preserve"> cumple con los requisitos establecidos en los formatos. Se asignará de forma automática un NIS. </w:t>
            </w:r>
          </w:p>
          <w:p w:rsidR="007C4016" w:rsidRPr="00CE5D0C" w:rsidRDefault="007C4016" w:rsidP="005C782A">
            <w:pPr>
              <w:pStyle w:val="IFTnormal"/>
              <w:numPr>
                <w:ilvl w:val="0"/>
                <w:numId w:val="62"/>
              </w:numPr>
              <w:spacing w:after="0"/>
            </w:pPr>
            <w:r w:rsidRPr="00CE5D0C">
              <w:t xml:space="preserve">Rechazado, en caso de que la </w:t>
            </w:r>
            <w:r>
              <w:t>información</w:t>
            </w:r>
            <w:r w:rsidRPr="00CE5D0C">
              <w:t xml:space="preserve"> no cumpliera con los requisitos, </w:t>
            </w:r>
            <w:r>
              <w:t>Telnor</w:t>
            </w:r>
            <w:r w:rsidRPr="00CE5D0C">
              <w:t xml:space="preserve"> notificará al CS a través del SEG que ha sido rechazada y el motivo por el cual no se pudo procesar, de tal forma que el CS pueda corregir la información y reenviar la solicitud.</w:t>
            </w:r>
          </w:p>
        </w:tc>
      </w:tr>
      <w:tr w:rsidR="007C4016" w:rsidRPr="0018193C" w:rsidTr="005C782A">
        <w:tc>
          <w:tcPr>
            <w:tcW w:w="1340" w:type="pct"/>
          </w:tcPr>
          <w:p w:rsidR="007C4016" w:rsidRPr="00CE5D0C" w:rsidRDefault="007C4016" w:rsidP="005C782A">
            <w:pPr>
              <w:pStyle w:val="IFTnormal"/>
              <w:spacing w:after="0"/>
            </w:pPr>
            <w:r w:rsidRPr="00CE5D0C">
              <w:t>Proyecto y Cotización</w:t>
            </w:r>
          </w:p>
        </w:tc>
        <w:tc>
          <w:tcPr>
            <w:tcW w:w="3660" w:type="pct"/>
          </w:tcPr>
          <w:p w:rsidR="007C4016" w:rsidRPr="00CE5D0C" w:rsidRDefault="007C4016" w:rsidP="005C782A">
            <w:pPr>
              <w:pStyle w:val="IFTnormal"/>
              <w:spacing w:after="0"/>
            </w:pPr>
            <w:r w:rsidRPr="00CE5D0C">
              <w:t xml:space="preserve">Una vez que se validó la </w:t>
            </w:r>
            <w:r>
              <w:t>información</w:t>
            </w:r>
            <w:r w:rsidRPr="00CE5D0C">
              <w:t xml:space="preserve"> y cuenta con NIS, </w:t>
            </w:r>
            <w:r>
              <w:t>Telnor</w:t>
            </w:r>
            <w:r w:rsidRPr="00CE5D0C">
              <w:t xml:space="preserve"> presentará la cotización del servicio de </w:t>
            </w:r>
            <w:r>
              <w:t>la Fibra Obscura</w:t>
            </w:r>
            <w:r w:rsidRPr="00CE5D0C">
              <w:t>, y elaborará el proyecto correspondiente</w:t>
            </w:r>
            <w:r>
              <w:t xml:space="preserve"> </w:t>
            </w:r>
            <w:r w:rsidRPr="006B7FE5">
              <w:t>(</w:t>
            </w:r>
            <w:r>
              <w:t>10 días hábiles</w:t>
            </w:r>
            <w:r w:rsidRPr="006B7FE5">
              <w:t>)</w:t>
            </w:r>
            <w:r w:rsidRPr="00CE5D0C">
              <w:t>.</w:t>
            </w:r>
          </w:p>
          <w:p w:rsidR="007C4016" w:rsidRPr="00CE5D0C" w:rsidRDefault="007C4016" w:rsidP="005C782A">
            <w:pPr>
              <w:pStyle w:val="IFTnormal"/>
              <w:spacing w:after="0"/>
            </w:pPr>
            <w:r w:rsidRPr="00CE5D0C">
              <w:lastRenderedPageBreak/>
              <w:t>El CS éste determinará si procede con la aceptación o no de la cotización y el servicio:</w:t>
            </w:r>
          </w:p>
          <w:p w:rsidR="007C4016" w:rsidRPr="00CE5D0C" w:rsidRDefault="007C4016" w:rsidP="005C782A">
            <w:pPr>
              <w:pStyle w:val="IFTnormal"/>
              <w:spacing w:after="0"/>
            </w:pPr>
            <w:r w:rsidRPr="00CE5D0C">
              <w:t xml:space="preserve"> El CS le informará su aceptación o negativa  a </w:t>
            </w:r>
            <w:r>
              <w:t>Telnor</w:t>
            </w:r>
            <w:r w:rsidRPr="00CE5D0C">
              <w:t>:</w:t>
            </w:r>
          </w:p>
          <w:p w:rsidR="007C4016" w:rsidRPr="00CE5D0C" w:rsidRDefault="007C4016" w:rsidP="005C782A">
            <w:pPr>
              <w:pStyle w:val="IFTnormal"/>
              <w:numPr>
                <w:ilvl w:val="1"/>
                <w:numId w:val="73"/>
              </w:numPr>
              <w:spacing w:after="0"/>
            </w:pPr>
            <w:r w:rsidRPr="00CE5D0C">
              <w:t xml:space="preserve">CS acepta y autoriza el Servicio de </w:t>
            </w:r>
            <w:r>
              <w:t>Fibra Obscura</w:t>
            </w:r>
            <w:r w:rsidRPr="00CE5D0C">
              <w:t xml:space="preserve"> </w:t>
            </w:r>
            <w:r w:rsidRPr="00246B4F">
              <w:t>(dentro de un plazo de 10 días hábiles</w:t>
            </w:r>
            <w:r w:rsidRPr="00CE5D0C">
              <w:t xml:space="preserve">). </w:t>
            </w:r>
            <w:r>
              <w:t>Telnor</w:t>
            </w:r>
            <w:r w:rsidRPr="00CE5D0C">
              <w:t xml:space="preserve"> proporcionará el programa de trabajo necesario con fecha de inicio y fin de actividades.</w:t>
            </w:r>
          </w:p>
          <w:p w:rsidR="007C4016" w:rsidRPr="00CE5D0C" w:rsidRDefault="007C4016" w:rsidP="005C782A">
            <w:pPr>
              <w:pStyle w:val="IFTnormal"/>
              <w:numPr>
                <w:ilvl w:val="1"/>
                <w:numId w:val="73"/>
              </w:numPr>
              <w:spacing w:after="0"/>
            </w:pPr>
            <w:r w:rsidRPr="00CE5D0C">
              <w:t xml:space="preserve">En caso de no aceptar el Servicio de Canales Ópticos de Alta Capacidad, el CS notificará a </w:t>
            </w:r>
            <w:r>
              <w:t>Telnor</w:t>
            </w:r>
            <w:r w:rsidRPr="00CE5D0C">
              <w:t xml:space="preserve"> </w:t>
            </w:r>
            <w:r>
              <w:t>la opción de</w:t>
            </w:r>
            <w:r w:rsidRPr="00CE5D0C">
              <w:t xml:space="preserve"> rechazo del servicio con lo cual concluye el procedimiento.</w:t>
            </w:r>
          </w:p>
          <w:p w:rsidR="007C4016" w:rsidRPr="00CE5D0C" w:rsidRDefault="007C4016" w:rsidP="005C782A">
            <w:pPr>
              <w:pStyle w:val="IFTnormal"/>
              <w:spacing w:after="0"/>
            </w:pPr>
            <w:r w:rsidRPr="00456214">
              <w:t>Toda la información que se genere del proyecto deberá ser integrada en el SEG.</w:t>
            </w:r>
          </w:p>
        </w:tc>
      </w:tr>
      <w:tr w:rsidR="007C4016" w:rsidRPr="0018193C" w:rsidTr="005C782A">
        <w:tc>
          <w:tcPr>
            <w:tcW w:w="1340" w:type="pct"/>
          </w:tcPr>
          <w:p w:rsidR="007C4016" w:rsidRPr="00CE5D0C" w:rsidRDefault="007C4016" w:rsidP="005C782A">
            <w:pPr>
              <w:pStyle w:val="IFTnormal"/>
              <w:spacing w:after="0"/>
              <w:rPr>
                <w:highlight w:val="cyan"/>
              </w:rPr>
            </w:pPr>
            <w:r w:rsidRPr="00CE5D0C">
              <w:lastRenderedPageBreak/>
              <w:t>Instalación de Infraestructura</w:t>
            </w:r>
          </w:p>
        </w:tc>
        <w:tc>
          <w:tcPr>
            <w:tcW w:w="3660" w:type="pct"/>
          </w:tcPr>
          <w:p w:rsidR="007C4016" w:rsidRPr="00CE5D0C" w:rsidRDefault="007C4016" w:rsidP="005C782A">
            <w:pPr>
              <w:pStyle w:val="IFTnormal"/>
              <w:spacing w:after="0"/>
            </w:pPr>
            <w:r w:rsidRPr="00CE5D0C">
              <w:t xml:space="preserve">Una vez que </w:t>
            </w:r>
            <w:r>
              <w:t>Telnor</w:t>
            </w:r>
            <w:r w:rsidRPr="00CE5D0C">
              <w:t xml:space="preserve"> recibe el resultado positivo del Servicio de </w:t>
            </w:r>
            <w:r>
              <w:t>Fibra Obscura</w:t>
            </w:r>
            <w:r w:rsidRPr="00CE5D0C">
              <w:t>, instalará la Infraestructura apegándose al proyecto presentado y aprobado por el CS e informará al propio CS cuando finalice la instalación.</w:t>
            </w:r>
          </w:p>
        </w:tc>
      </w:tr>
      <w:tr w:rsidR="007C4016" w:rsidRPr="0018193C" w:rsidTr="005C782A">
        <w:tc>
          <w:tcPr>
            <w:tcW w:w="1340" w:type="pct"/>
          </w:tcPr>
          <w:p w:rsidR="007C4016" w:rsidRPr="00CE5D0C" w:rsidRDefault="007C4016" w:rsidP="005C782A">
            <w:pPr>
              <w:pStyle w:val="IFTnormal"/>
              <w:spacing w:after="0"/>
            </w:pPr>
            <w:r w:rsidRPr="00CE5D0C">
              <w:t>Verificación de Instalación de Infraestructura</w:t>
            </w:r>
          </w:p>
        </w:tc>
        <w:tc>
          <w:tcPr>
            <w:tcW w:w="3660" w:type="pct"/>
          </w:tcPr>
          <w:p w:rsidR="007C4016" w:rsidRDefault="007C4016" w:rsidP="005C782A">
            <w:pPr>
              <w:pStyle w:val="IFTnormal"/>
              <w:spacing w:after="0"/>
            </w:pPr>
            <w:r w:rsidRPr="00CE5D0C">
              <w:t xml:space="preserve">Una vez que el CS recibe la notificación de la instalación del servicio, </w:t>
            </w:r>
            <w:r>
              <w:t>Telnor</w:t>
            </w:r>
            <w:r w:rsidRPr="00CE5D0C">
              <w:t xml:space="preserve"> revisará la disponibilidad de fecha y horarios para llevar a cabo la verificación </w:t>
            </w:r>
            <w:r w:rsidRPr="004621E4">
              <w:t xml:space="preserve">en un máximo de </w:t>
            </w:r>
            <w:r w:rsidRPr="00C05E9F">
              <w:t>5 días hábiles</w:t>
            </w:r>
            <w:r w:rsidRPr="00CE5D0C">
              <w:t xml:space="preserve"> e informará al CS para que acepte o rechace la propuesta</w:t>
            </w:r>
            <w:r w:rsidRPr="00246B4F">
              <w:t>.</w:t>
            </w:r>
            <w:r w:rsidRPr="00CE5D0C">
              <w:t xml:space="preserve">  En caso de no aceptarse la fecha propuesta, el CS podrá solicitar una nueva fecha, con lo qu</w:t>
            </w:r>
            <w:r>
              <w:t>e esta actividad podrá</w:t>
            </w:r>
            <w:r w:rsidRPr="00CE5D0C">
              <w:t xml:space="preserve"> repetirse hasta </w:t>
            </w:r>
            <w:r>
              <w:t>en 3 ocasiones</w:t>
            </w:r>
            <w:r w:rsidRPr="00CE5D0C">
              <w:t xml:space="preserve">. </w:t>
            </w:r>
            <w:r>
              <w:t>No se podrán acordar fechas de verificación posteriores a 10 días hábiles a partir de que Telnor envía las fechas de término de instalación.</w:t>
            </w:r>
          </w:p>
          <w:p w:rsidR="007C4016" w:rsidRPr="00CE5D0C" w:rsidRDefault="007C4016" w:rsidP="005C782A">
            <w:pPr>
              <w:pStyle w:val="IFTnormal"/>
              <w:spacing w:after="0"/>
            </w:pPr>
            <w:r w:rsidRPr="00CE5D0C">
              <w:t xml:space="preserve">En la fecha acordada, el CS valida que el </w:t>
            </w:r>
            <w:r>
              <w:t>Servicio de Fibra Obscura</w:t>
            </w:r>
            <w:r w:rsidRPr="00CE5D0C">
              <w:t xml:space="preserve"> se encuentre funcionando correctamente</w:t>
            </w:r>
            <w:r>
              <w:t xml:space="preserve">, realizando las </w:t>
            </w:r>
            <w:r>
              <w:lastRenderedPageBreak/>
              <w:t xml:space="preserve">pruebas de servicio necesarias </w:t>
            </w:r>
            <w:r w:rsidRPr="00CE5D0C">
              <w:t xml:space="preserve">y firma el </w:t>
            </w:r>
            <w:r>
              <w:t>acta</w:t>
            </w:r>
            <w:r w:rsidRPr="00CE5D0C">
              <w:t xml:space="preserve"> de recepción del servicio.</w:t>
            </w:r>
          </w:p>
        </w:tc>
      </w:tr>
      <w:tr w:rsidR="007C4016" w:rsidRPr="0018193C" w:rsidTr="005C782A">
        <w:tc>
          <w:tcPr>
            <w:tcW w:w="1340" w:type="pct"/>
            <w:shd w:val="clear" w:color="auto" w:fill="auto"/>
          </w:tcPr>
          <w:p w:rsidR="007C4016" w:rsidRPr="00CE5D0C" w:rsidRDefault="007C4016" w:rsidP="005C782A">
            <w:pPr>
              <w:pStyle w:val="IFTnormal"/>
              <w:spacing w:after="0"/>
            </w:pPr>
            <w:r w:rsidRPr="00CE5D0C">
              <w:lastRenderedPageBreak/>
              <w:t>Facturación</w:t>
            </w:r>
          </w:p>
        </w:tc>
        <w:tc>
          <w:tcPr>
            <w:tcW w:w="3660" w:type="pct"/>
            <w:shd w:val="clear" w:color="auto" w:fill="auto"/>
          </w:tcPr>
          <w:p w:rsidR="007C4016" w:rsidRPr="00CE5D0C" w:rsidRDefault="007C4016" w:rsidP="005C782A">
            <w:pPr>
              <w:pStyle w:val="IFTnormal"/>
              <w:spacing w:after="0"/>
            </w:pPr>
            <w:r>
              <w:t>Una vez firmada</w:t>
            </w:r>
            <w:r w:rsidRPr="00CE5D0C">
              <w:t xml:space="preserve"> el </w:t>
            </w:r>
            <w:r>
              <w:t>acta</w:t>
            </w:r>
            <w:r w:rsidRPr="00CE5D0C">
              <w:t xml:space="preserve"> de recepción del servicio se inicia</w:t>
            </w:r>
            <w:r>
              <w:t xml:space="preserve"> con la facturación del mismo</w:t>
            </w:r>
            <w:r w:rsidRPr="00CE5D0C">
              <w:t xml:space="preserve">, </w:t>
            </w:r>
            <w:r>
              <w:t>Telnor</w:t>
            </w:r>
            <w:r w:rsidRPr="00CE5D0C">
              <w:t xml:space="preserve"> deberá integrar el </w:t>
            </w:r>
            <w:r>
              <w:t>acta</w:t>
            </w:r>
            <w:r w:rsidRPr="00CE5D0C">
              <w:t xml:space="preserve"> escaneada al SEG</w:t>
            </w:r>
            <w:r>
              <w:t xml:space="preserve"> a más tardar en 5 días posteriores a la entrega del servicio</w:t>
            </w:r>
            <w:r w:rsidRPr="00CE5D0C">
              <w:t>.</w:t>
            </w:r>
          </w:p>
        </w:tc>
      </w:tr>
    </w:tbl>
    <w:p w:rsidR="007C4016" w:rsidRDefault="007C4016" w:rsidP="007C4016">
      <w:pPr>
        <w:pStyle w:val="IFTnormal"/>
        <w:spacing w:before="240" w:after="0"/>
      </w:pPr>
    </w:p>
    <w:p w:rsidR="007C4016" w:rsidRPr="0018193C" w:rsidRDefault="007C4016" w:rsidP="007C4016">
      <w:pPr>
        <w:pStyle w:val="CondicionesFinales"/>
        <w:spacing w:before="240" w:after="0"/>
        <w:rPr>
          <w:b/>
        </w:rPr>
      </w:pPr>
      <w:r w:rsidRPr="0018193C">
        <w:rPr>
          <w:b/>
        </w:rPr>
        <w:t xml:space="preserve">b. Baja de los servicios </w:t>
      </w:r>
    </w:p>
    <w:p w:rsidR="007C4016" w:rsidRDefault="007C4016" w:rsidP="007C4016">
      <w:pPr>
        <w:pStyle w:val="CondicionesFinales"/>
        <w:spacing w:before="240" w:after="0"/>
      </w:pPr>
      <w:r w:rsidRPr="00716C42">
        <w:t>Las actividades para realizar la baja del servicio son las siguientes</w:t>
      </w:r>
      <w:r>
        <w:t>:</w:t>
      </w:r>
    </w:p>
    <w:tbl>
      <w:tblPr>
        <w:tblStyle w:val="Tablaconcuadrcula"/>
        <w:tblW w:w="3991" w:type="pct"/>
        <w:tblInd w:w="959" w:type="dxa"/>
        <w:tblLook w:val="04A0" w:firstRow="1" w:lastRow="0" w:firstColumn="1" w:lastColumn="0" w:noHBand="0" w:noVBand="1"/>
        <w:tblCaption w:val="Tabla"/>
        <w:tblDescription w:val="Las actividades para realizar la baja del servicio "/>
      </w:tblPr>
      <w:tblGrid>
        <w:gridCol w:w="1897"/>
        <w:gridCol w:w="5151"/>
      </w:tblGrid>
      <w:tr w:rsidR="007C4016" w:rsidRPr="00596F81" w:rsidTr="005C782A">
        <w:trPr>
          <w:tblHeader/>
        </w:trPr>
        <w:tc>
          <w:tcPr>
            <w:tcW w:w="1346" w:type="pct"/>
            <w:shd w:val="clear" w:color="auto" w:fill="D9D9D9" w:themeFill="background1" w:themeFillShade="D9"/>
          </w:tcPr>
          <w:p w:rsidR="007C4016" w:rsidRPr="00456214" w:rsidRDefault="007C4016" w:rsidP="005C782A">
            <w:pPr>
              <w:pStyle w:val="IFTnormal"/>
              <w:spacing w:after="0"/>
            </w:pPr>
            <w:r w:rsidRPr="00456214">
              <w:t>Etapa</w:t>
            </w:r>
          </w:p>
        </w:tc>
        <w:tc>
          <w:tcPr>
            <w:tcW w:w="3654" w:type="pct"/>
            <w:shd w:val="clear" w:color="auto" w:fill="D9D9D9" w:themeFill="background1" w:themeFillShade="D9"/>
          </w:tcPr>
          <w:p w:rsidR="007C4016" w:rsidRPr="00456214" w:rsidRDefault="007C4016" w:rsidP="005C782A">
            <w:pPr>
              <w:pStyle w:val="IFTnormal"/>
              <w:spacing w:after="0"/>
            </w:pPr>
            <w:r w:rsidRPr="00456214">
              <w:t>Descripción</w:t>
            </w:r>
          </w:p>
        </w:tc>
      </w:tr>
      <w:tr w:rsidR="007C4016" w:rsidRPr="00596F81" w:rsidTr="005C782A">
        <w:tc>
          <w:tcPr>
            <w:tcW w:w="1346" w:type="pct"/>
          </w:tcPr>
          <w:p w:rsidR="007C4016" w:rsidRPr="00456214" w:rsidRDefault="007C4016" w:rsidP="005C782A">
            <w:pPr>
              <w:pStyle w:val="IFTnormal"/>
              <w:spacing w:after="0"/>
            </w:pPr>
            <w:r w:rsidRPr="00456214">
              <w:t>Envío y Validación de solicitud</w:t>
            </w:r>
          </w:p>
        </w:tc>
        <w:tc>
          <w:tcPr>
            <w:tcW w:w="3654" w:type="pct"/>
          </w:tcPr>
          <w:p w:rsidR="007C4016" w:rsidRPr="00456214" w:rsidRDefault="007C4016" w:rsidP="005C782A">
            <w:pPr>
              <w:pStyle w:val="IFTnormal"/>
              <w:spacing w:after="0"/>
            </w:pPr>
            <w:r w:rsidRPr="00456214">
              <w:t>El CS presentará la solicitud de baja en el formato correspondiente a través del SEG,</w:t>
            </w:r>
          </w:p>
          <w:p w:rsidR="007C4016" w:rsidRPr="00456214" w:rsidRDefault="007C4016" w:rsidP="005C782A">
            <w:pPr>
              <w:pStyle w:val="IFTnormal"/>
              <w:spacing w:after="0"/>
            </w:pPr>
            <w:r>
              <w:t>Telnor</w:t>
            </w:r>
            <w:r w:rsidRPr="00456214">
              <w:t xml:space="preserve"> recibirá la solicitud y determinará</w:t>
            </w:r>
            <w:r>
              <w:t xml:space="preserve"> en 2 días hábiles</w:t>
            </w:r>
            <w:r w:rsidRPr="00456214">
              <w:t xml:space="preserve"> si la solicitud es: </w:t>
            </w:r>
          </w:p>
          <w:p w:rsidR="007C4016" w:rsidRPr="00456214" w:rsidRDefault="007C4016" w:rsidP="005C782A">
            <w:pPr>
              <w:pStyle w:val="IFTnormal"/>
              <w:numPr>
                <w:ilvl w:val="0"/>
                <w:numId w:val="62"/>
              </w:numPr>
              <w:spacing w:after="0"/>
            </w:pPr>
            <w:r w:rsidRPr="00456214">
              <w:t xml:space="preserve">Aceptada, </w:t>
            </w:r>
            <w:r>
              <w:t>Telnor</w:t>
            </w:r>
            <w:r w:rsidRPr="00456214">
              <w:t xml:space="preserve"> valida que la solicitud cumple con los requisitos establecidos en los formatos establecidos </w:t>
            </w:r>
            <w:r>
              <w:t>y</w:t>
            </w:r>
            <w:r w:rsidRPr="00456214">
              <w:t xml:space="preserve"> se asignará de forma automática un NIS.</w:t>
            </w:r>
          </w:p>
          <w:p w:rsidR="007C4016" w:rsidRPr="00456214" w:rsidRDefault="007C4016" w:rsidP="005C782A">
            <w:pPr>
              <w:pStyle w:val="IFTnormal"/>
              <w:numPr>
                <w:ilvl w:val="0"/>
                <w:numId w:val="62"/>
              </w:numPr>
              <w:spacing w:after="0"/>
            </w:pPr>
            <w:r w:rsidRPr="00456214">
              <w:t xml:space="preserve"> Rechazado, en caso de que la solicitud no cumpliera con los requisitos, </w:t>
            </w:r>
            <w:r>
              <w:t>Telnor</w:t>
            </w:r>
            <w:r w:rsidRPr="00456214">
              <w:t xml:space="preserve"> notificará al CS a través del SEG que la solicitud ha sido rechazada y el motivo por el cual no se pudo procesar, de tal forma que el CS pueda corregir la información y reenviar la solicitud.</w:t>
            </w:r>
          </w:p>
        </w:tc>
      </w:tr>
      <w:tr w:rsidR="007C4016" w:rsidRPr="00596F81" w:rsidTr="005C782A">
        <w:tc>
          <w:tcPr>
            <w:tcW w:w="1346" w:type="pct"/>
          </w:tcPr>
          <w:p w:rsidR="007C4016" w:rsidRPr="00456214" w:rsidRDefault="007C4016" w:rsidP="005C782A">
            <w:pPr>
              <w:pStyle w:val="IFTnormal"/>
              <w:spacing w:after="0"/>
            </w:pPr>
            <w:r w:rsidRPr="00456214">
              <w:t>Desinstalación</w:t>
            </w:r>
          </w:p>
        </w:tc>
        <w:tc>
          <w:tcPr>
            <w:tcW w:w="3654" w:type="pct"/>
          </w:tcPr>
          <w:p w:rsidR="007C4016" w:rsidRPr="00456214" w:rsidRDefault="007C4016" w:rsidP="005C782A">
            <w:pPr>
              <w:pStyle w:val="IFTnormal"/>
              <w:spacing w:after="0"/>
            </w:pPr>
            <w:r>
              <w:t>Telnor</w:t>
            </w:r>
            <w:r w:rsidRPr="00456214">
              <w:t xml:space="preserve"> libera el </w:t>
            </w:r>
            <w:r>
              <w:t>Servicio</w:t>
            </w:r>
            <w:r w:rsidRPr="00456214">
              <w:t xml:space="preserve"> de </w:t>
            </w:r>
            <w:r>
              <w:t>Fibra Obscura</w:t>
            </w:r>
            <w:r w:rsidRPr="00456214">
              <w:t xml:space="preserve"> correspondiente a la solicitud e informará al CS cuando finalice la desinstalación.</w:t>
            </w:r>
          </w:p>
          <w:p w:rsidR="007C4016" w:rsidRDefault="007C4016" w:rsidP="005C782A">
            <w:pPr>
              <w:pStyle w:val="IFTnormal"/>
              <w:spacing w:after="0"/>
            </w:pPr>
            <w:r w:rsidRPr="00456214">
              <w:t xml:space="preserve">El CS deberá confirmar que el </w:t>
            </w:r>
            <w:r>
              <w:t>Servicio</w:t>
            </w:r>
            <w:r w:rsidRPr="00456214">
              <w:t xml:space="preserve"> se desinstaló satisfactoriamente.</w:t>
            </w:r>
          </w:p>
          <w:p w:rsidR="007C4016" w:rsidRPr="00456214" w:rsidRDefault="007C4016" w:rsidP="005C782A">
            <w:pPr>
              <w:pStyle w:val="IFTnormal"/>
              <w:spacing w:after="0"/>
            </w:pPr>
            <w:r>
              <w:lastRenderedPageBreak/>
              <w:t>La baja del servicio incluye el retiro de equipo y cableado que se haya instalado.</w:t>
            </w:r>
          </w:p>
        </w:tc>
      </w:tr>
      <w:tr w:rsidR="007C4016" w:rsidRPr="00596F81" w:rsidTr="005C782A">
        <w:tc>
          <w:tcPr>
            <w:tcW w:w="1346" w:type="pct"/>
            <w:shd w:val="clear" w:color="auto" w:fill="auto"/>
          </w:tcPr>
          <w:p w:rsidR="007C4016" w:rsidRPr="00456214" w:rsidRDefault="007C4016" w:rsidP="005C782A">
            <w:pPr>
              <w:pStyle w:val="IFTnormal"/>
              <w:spacing w:after="0"/>
            </w:pPr>
            <w:r w:rsidRPr="00456214">
              <w:lastRenderedPageBreak/>
              <w:t>Facturación</w:t>
            </w:r>
          </w:p>
        </w:tc>
        <w:tc>
          <w:tcPr>
            <w:tcW w:w="3654" w:type="pct"/>
            <w:shd w:val="clear" w:color="auto" w:fill="auto"/>
          </w:tcPr>
          <w:p w:rsidR="007C4016" w:rsidRPr="00456214" w:rsidRDefault="007C4016" w:rsidP="005C782A">
            <w:pPr>
              <w:pStyle w:val="IFTnormal"/>
              <w:spacing w:after="0"/>
            </w:pPr>
            <w:r w:rsidRPr="00456214">
              <w:t>Una vez que la baja haya sido ejecutada, se notificará al CS que se realizó la baja del servicio y se dejará de facturar el servicio.</w:t>
            </w:r>
          </w:p>
        </w:tc>
      </w:tr>
    </w:tbl>
    <w:p w:rsidR="007C4016" w:rsidRDefault="007C4016" w:rsidP="007C4016">
      <w:pPr>
        <w:pStyle w:val="CitaIFT"/>
        <w:spacing w:before="240" w:after="0"/>
      </w:pPr>
    </w:p>
    <w:p w:rsidR="007C4016" w:rsidRDefault="007C4016" w:rsidP="007C4016">
      <w:pPr>
        <w:pStyle w:val="CondicionesFinales"/>
        <w:spacing w:before="240" w:after="0"/>
      </w:pPr>
      <w:r w:rsidRPr="00716C42">
        <w:t>El procedimiento para la notificación de fallas y gestión de incidencias, así como el procedimiento para Accesos a Infraestructura Compartida se establecen en el Anexo 3 de la Oferta.</w:t>
      </w:r>
    </w:p>
    <w:p w:rsidR="007C4016" w:rsidRDefault="007C4016" w:rsidP="007C4016">
      <w:pPr>
        <w:pStyle w:val="CondicionesFinales"/>
        <w:spacing w:before="240" w:after="0"/>
      </w:pPr>
      <w:r>
        <w:t>Telnor</w:t>
      </w:r>
      <w:r w:rsidRPr="00AE7385">
        <w:t xml:space="preserve"> y el CS deberán realizar la instalación de acuerdo con las características y normatividad técnica que se establecen en el Anexo 2 de la Oferta de Referencia.</w:t>
      </w:r>
    </w:p>
    <w:p w:rsidR="007C4016" w:rsidRPr="006A7AA7" w:rsidRDefault="007C4016" w:rsidP="006A7AA7">
      <w:pPr>
        <w:spacing w:before="240"/>
        <w:rPr>
          <w:rFonts w:ascii="ITC Avant Garde" w:hAnsi="ITC Avant Garde"/>
          <w:b/>
          <w:sz w:val="22"/>
          <w:szCs w:val="22"/>
        </w:rPr>
      </w:pPr>
      <w:r w:rsidRPr="006A7AA7">
        <w:rPr>
          <w:rFonts w:ascii="ITC Avant Garde" w:hAnsi="ITC Avant Garde"/>
          <w:b/>
          <w:sz w:val="22"/>
          <w:szCs w:val="22"/>
        </w:rPr>
        <w:t xml:space="preserve">3. </w:t>
      </w:r>
      <w:r w:rsidRPr="006A7AA7">
        <w:rPr>
          <w:rFonts w:ascii="ITC Avant Garde" w:hAnsi="ITC Avant Garde"/>
          <w:b/>
          <w:sz w:val="22"/>
          <w:szCs w:val="22"/>
        </w:rPr>
        <w:tab/>
        <w:t>SERVICIO DE ACCESO Y USO COMPARTIDO DE TORRES.</w:t>
      </w:r>
    </w:p>
    <w:p w:rsidR="007C4016" w:rsidRPr="00BF4959" w:rsidRDefault="007C4016" w:rsidP="007C4016">
      <w:pPr>
        <w:pStyle w:val="IFTnormal"/>
        <w:spacing w:before="240" w:after="0"/>
        <w:rPr>
          <w:b/>
        </w:rPr>
      </w:pPr>
      <w:r w:rsidRPr="00BF4959">
        <w:rPr>
          <w:b/>
        </w:rPr>
        <w:t>Consideraciones del Instituto</w:t>
      </w:r>
    </w:p>
    <w:p w:rsidR="007C4016" w:rsidRDefault="007C4016" w:rsidP="007C4016">
      <w:pPr>
        <w:pStyle w:val="IFTnormal"/>
        <w:spacing w:before="240" w:after="0"/>
        <w:rPr>
          <w:b/>
          <w:lang w:val="es-ES"/>
        </w:rPr>
      </w:pPr>
      <w:r w:rsidRPr="002802DB">
        <w:rPr>
          <w:b/>
          <w:lang w:val="es-ES"/>
        </w:rPr>
        <w:t xml:space="preserve">CASO 1. </w:t>
      </w:r>
      <w:r w:rsidRPr="002802DB">
        <w:rPr>
          <w:b/>
        </w:rPr>
        <w:t>Cambios que recuperan la redacción de la Oferta de Referencia Vigente</w:t>
      </w:r>
      <w:r w:rsidRPr="002802DB">
        <w:rPr>
          <w:b/>
          <w:lang w:val="es-ES"/>
        </w:rPr>
        <w:t>.</w:t>
      </w:r>
    </w:p>
    <w:p w:rsidR="007C4016" w:rsidRPr="0048535A" w:rsidRDefault="007C4016" w:rsidP="007C4016">
      <w:pPr>
        <w:pStyle w:val="IFTnormal"/>
        <w:spacing w:before="240" w:after="0"/>
      </w:pPr>
      <w:r w:rsidRPr="00460CA7">
        <w:rPr>
          <w:lang w:val="es-ES"/>
        </w:rPr>
        <w:t xml:space="preserve">De la lectura del contenido </w:t>
      </w:r>
      <w:r>
        <w:rPr>
          <w:lang w:val="es-ES"/>
        </w:rPr>
        <w:t xml:space="preserve">del numeral “3. </w:t>
      </w:r>
      <w:r>
        <w:rPr>
          <w:i/>
          <w:lang w:val="es-ES"/>
        </w:rPr>
        <w:t>Servicio de Acceso y Uso Compartido de T</w:t>
      </w:r>
      <w:r w:rsidRPr="00D05FDB">
        <w:rPr>
          <w:i/>
          <w:lang w:val="es-ES"/>
        </w:rPr>
        <w:t>orres.</w:t>
      </w:r>
      <w:r>
        <w:rPr>
          <w:lang w:val="es-ES"/>
        </w:rPr>
        <w:t xml:space="preserve">” de la propuesta de Oferta de Referencia del AEP </w:t>
      </w:r>
      <w:r w:rsidRPr="00460CA7">
        <w:rPr>
          <w:lang w:val="es-ES"/>
        </w:rPr>
        <w:t>el Instituto realiza las consideraciones</w:t>
      </w:r>
      <w:r w:rsidRPr="00D05FDB">
        <w:rPr>
          <w:lang w:val="es-ES"/>
        </w:rPr>
        <w:t xml:space="preserve"> </w:t>
      </w:r>
      <w:r w:rsidRPr="00460CA7">
        <w:rPr>
          <w:lang w:val="es-ES"/>
        </w:rPr>
        <w:t>siguientes.</w:t>
      </w:r>
    </w:p>
    <w:p w:rsidR="007C4016" w:rsidRDefault="007C4016" w:rsidP="007C4016">
      <w:pPr>
        <w:pStyle w:val="IFTnormal"/>
        <w:spacing w:before="240" w:after="0"/>
        <w:rPr>
          <w:lang w:val="es-ES"/>
        </w:rPr>
      </w:pPr>
      <w:r>
        <w:rPr>
          <w:lang w:val="es-ES"/>
        </w:rPr>
        <w:t>Los cambios presentados por el AEP en el numeral “</w:t>
      </w:r>
      <w:r>
        <w:rPr>
          <w:i/>
          <w:lang w:val="es-ES"/>
        </w:rPr>
        <w:t>3</w:t>
      </w:r>
      <w:r w:rsidRPr="00C25D42">
        <w:rPr>
          <w:i/>
          <w:lang w:val="es-ES"/>
        </w:rPr>
        <w:t>.</w:t>
      </w:r>
      <w:r w:rsidRPr="00C25D42">
        <w:rPr>
          <w:i/>
          <w:lang w:val="es-ES"/>
        </w:rPr>
        <w:tab/>
        <w:t>Servicio de Acceso y Uso compartido d</w:t>
      </w:r>
      <w:r>
        <w:rPr>
          <w:i/>
          <w:lang w:val="es-ES"/>
        </w:rPr>
        <w:t>e Torres</w:t>
      </w:r>
      <w:r>
        <w:rPr>
          <w:lang w:val="es-ES"/>
        </w:rPr>
        <w:t xml:space="preserve">” no son aceptables debido a que no se apegan a la Medida </w:t>
      </w:r>
      <w:r w:rsidRPr="00D74881">
        <w:t>CUADRAGÉSIMA PRIMERA</w:t>
      </w:r>
      <w:r>
        <w:rPr>
          <w:b/>
        </w:rPr>
        <w:t xml:space="preserve"> </w:t>
      </w:r>
      <w:r>
        <w:t>de las Medidas Fijas, que establece que l</w:t>
      </w:r>
      <w:r w:rsidRPr="00185221">
        <w:t xml:space="preserve">a propuesta </w:t>
      </w:r>
      <w:r>
        <w:t>d</w:t>
      </w:r>
      <w:r w:rsidRPr="00185221">
        <w:t xml:space="preserve">el </w:t>
      </w:r>
      <w:r>
        <w:t>AEP</w:t>
      </w:r>
      <w:r w:rsidRPr="00185221">
        <w:t xml:space="preserve"> deberá reflejar, al menos, condiciones equivalentes a </w:t>
      </w:r>
      <w:r>
        <w:t>las de la Oferta de Referencia V</w:t>
      </w:r>
      <w:r w:rsidRPr="00185221">
        <w:t>igente</w:t>
      </w:r>
      <w:r>
        <w:t xml:space="preserve"> </w:t>
      </w:r>
      <w:r w:rsidRPr="0083509C">
        <w:t xml:space="preserve">y </w:t>
      </w:r>
      <w:r>
        <w:t>que se cita a continuación</w:t>
      </w:r>
      <w:r>
        <w:rPr>
          <w:lang w:val="es-ES"/>
        </w:rPr>
        <w:t>:</w:t>
      </w:r>
    </w:p>
    <w:p w:rsidR="007C4016" w:rsidRPr="00185221" w:rsidRDefault="007C4016" w:rsidP="007C4016">
      <w:pPr>
        <w:pStyle w:val="IFTcita"/>
        <w:spacing w:before="240" w:after="0"/>
        <w:rPr>
          <w:b w:val="0"/>
        </w:rPr>
      </w:pPr>
      <w:r w:rsidRPr="00185221">
        <w:rPr>
          <w:b w:val="0"/>
        </w:rPr>
        <w:t xml:space="preserve"> “</w:t>
      </w:r>
      <w:r w:rsidRPr="00A327B5">
        <w:t xml:space="preserve">CUADRAGÉSIMA PRIMERA.- </w:t>
      </w:r>
      <w:r>
        <w:rPr>
          <w:b w:val="0"/>
        </w:rPr>
        <w:t>(…)</w:t>
      </w:r>
    </w:p>
    <w:p w:rsidR="007C4016" w:rsidRPr="00445AC6" w:rsidRDefault="007C4016" w:rsidP="007C4016">
      <w:pPr>
        <w:pStyle w:val="IFTcita"/>
        <w:spacing w:before="240" w:after="0"/>
        <w:rPr>
          <w:b w:val="0"/>
        </w:rPr>
      </w:pPr>
      <w:r>
        <w:rPr>
          <w:b w:val="0"/>
        </w:rPr>
        <w:t xml:space="preserve"> (…)</w:t>
      </w:r>
    </w:p>
    <w:p w:rsidR="007C4016" w:rsidRPr="00597FAD" w:rsidRDefault="007C4016" w:rsidP="007C4016">
      <w:pPr>
        <w:pStyle w:val="IFTcita"/>
        <w:spacing w:before="240" w:after="0"/>
        <w:rPr>
          <w:u w:val="single"/>
        </w:rPr>
      </w:pPr>
      <w:r w:rsidRPr="00597FAD">
        <w:rPr>
          <w:u w:val="single"/>
        </w:rPr>
        <w:t>La propuesta que presente el Agente Económico Preponderante deberá reflejar, al menos, condiciones equivalentes a las de la Oferta de Referencia vigente.</w:t>
      </w:r>
    </w:p>
    <w:p w:rsidR="007C4016" w:rsidRPr="004E7744" w:rsidRDefault="007C4016" w:rsidP="007C4016">
      <w:pPr>
        <w:pStyle w:val="IFTcita"/>
        <w:spacing w:before="240" w:after="0"/>
        <w:rPr>
          <w:b w:val="0"/>
        </w:rPr>
      </w:pPr>
      <w:r>
        <w:rPr>
          <w:b w:val="0"/>
        </w:rPr>
        <w:lastRenderedPageBreak/>
        <w:t>(…)</w:t>
      </w:r>
      <w:r w:rsidRPr="004E7744">
        <w:rPr>
          <w:b w:val="0"/>
        </w:rPr>
        <w:t xml:space="preserve">” </w:t>
      </w:r>
    </w:p>
    <w:p w:rsidR="007C4016" w:rsidRPr="00F7739D" w:rsidRDefault="007C4016" w:rsidP="007C4016">
      <w:pPr>
        <w:pStyle w:val="IFTcita"/>
        <w:spacing w:before="240" w:after="0"/>
        <w:jc w:val="right"/>
        <w:rPr>
          <w:b w:val="0"/>
        </w:rPr>
      </w:pPr>
      <w:r w:rsidRPr="00185221">
        <w:t xml:space="preserve"> </w:t>
      </w:r>
      <w:r w:rsidRPr="00F7739D">
        <w:rPr>
          <w:b w:val="0"/>
        </w:rPr>
        <w:t>(Énfasis añadido)</w:t>
      </w:r>
    </w:p>
    <w:p w:rsidR="007C4016" w:rsidRDefault="007C4016" w:rsidP="007C4016">
      <w:pPr>
        <w:pStyle w:val="IFTnormal"/>
        <w:spacing w:before="240" w:after="0"/>
        <w:rPr>
          <w:lang w:val="es-ES"/>
        </w:rPr>
      </w:pPr>
      <w:r>
        <w:t xml:space="preserve">Tal es el caso de aspectos que </w:t>
      </w:r>
      <w:r>
        <w:rPr>
          <w:lang w:val="es-ES"/>
        </w:rPr>
        <w:t>fueron eliminados de la Oferta de Referencia Vigente que permitían dar claridad al documento y certeza al CS en la contratación de los servicios, y que se cita a continuación:</w:t>
      </w:r>
    </w:p>
    <w:p w:rsidR="007C4016" w:rsidRDefault="007C4016" w:rsidP="007C4016">
      <w:pPr>
        <w:pStyle w:val="CitaIFT"/>
        <w:spacing w:before="240" w:after="0"/>
      </w:pPr>
      <w:r>
        <w:t>“</w:t>
      </w:r>
      <w:r w:rsidRPr="00910710">
        <w:t>3. Servicio de Acceso y Uso Compartido de Torres.</w:t>
      </w:r>
    </w:p>
    <w:p w:rsidR="007C4016" w:rsidRDefault="007C4016" w:rsidP="007C4016">
      <w:pPr>
        <w:pStyle w:val="CitaIFT"/>
        <w:spacing w:before="240" w:after="0"/>
      </w:pPr>
      <w:r w:rsidRPr="00716C42">
        <w:t xml:space="preserve">El Servicio de Acceso y Uso Compartido de Torres propiedad de </w:t>
      </w:r>
      <w:r>
        <w:t>Telnor por cualquier título legal</w:t>
      </w:r>
      <w:r w:rsidRPr="00716C42">
        <w:t xml:space="preserve"> o cedidas en comodato</w:t>
      </w:r>
      <w:r w:rsidRPr="00716C42" w:rsidDel="00DF7E98">
        <w:t xml:space="preserve"> </w:t>
      </w:r>
      <w:r w:rsidRPr="00716C42">
        <w:t>permite a los CS desplegar sistemas de radiofrecuencia en bandas autorizadas para la provisión de servicios de telecomunicaciones.</w:t>
      </w:r>
    </w:p>
    <w:p w:rsidR="007C4016" w:rsidRDefault="007C4016" w:rsidP="007C4016">
      <w:pPr>
        <w:pStyle w:val="CitaIFT"/>
        <w:spacing w:before="240" w:after="0"/>
        <w:rPr>
          <w:b/>
        </w:rPr>
      </w:pPr>
      <w:r w:rsidRPr="00D74881">
        <w:rPr>
          <w:b/>
          <w:u w:val="single"/>
        </w:rPr>
        <w:t xml:space="preserve">El servicio de Acceso y Uso Compartido de Torres incluye todas los tipos de torres y mástiles definidos en el apartado de prerrequisitos dentro del apartado de la información que </w:t>
      </w:r>
      <w:r>
        <w:rPr>
          <w:b/>
          <w:u w:val="single"/>
        </w:rPr>
        <w:t>Telnor</w:t>
      </w:r>
      <w:r w:rsidRPr="00D74881">
        <w:rPr>
          <w:b/>
          <w:u w:val="single"/>
        </w:rPr>
        <w:t xml:space="preserve"> proveerá.</w:t>
      </w:r>
      <w:r>
        <w:rPr>
          <w:b/>
        </w:rPr>
        <w:t>”</w:t>
      </w:r>
    </w:p>
    <w:p w:rsidR="007C4016" w:rsidRPr="009C14C4" w:rsidRDefault="007C4016" w:rsidP="007C4016">
      <w:pPr>
        <w:pStyle w:val="CitaIFT"/>
        <w:spacing w:before="240" w:after="0"/>
        <w:jc w:val="right"/>
      </w:pPr>
      <w:r w:rsidRPr="009C14C4">
        <w:t>(Énfasis añadida)</w:t>
      </w:r>
    </w:p>
    <w:p w:rsidR="007C4016" w:rsidRDefault="007C4016" w:rsidP="007C4016">
      <w:pPr>
        <w:pStyle w:val="IFTnormal"/>
        <w:spacing w:before="240" w:after="0"/>
        <w:rPr>
          <w:lang w:val="es-ES_tradnl"/>
        </w:rPr>
      </w:pPr>
      <w:r>
        <w:rPr>
          <w:lang w:val="es-ES_tradnl"/>
        </w:rPr>
        <w:t>Asimismo se cita la redacción propuesta del AEP:</w:t>
      </w:r>
    </w:p>
    <w:p w:rsidR="007C4016" w:rsidRPr="00716C42" w:rsidRDefault="007C4016" w:rsidP="007C4016">
      <w:pPr>
        <w:pStyle w:val="CitaIFT"/>
        <w:spacing w:before="240" w:after="0"/>
      </w:pPr>
      <w:r>
        <w:t xml:space="preserve">“3. </w:t>
      </w:r>
      <w:bookmarkStart w:id="42" w:name="_Toc385190446"/>
      <w:bookmarkStart w:id="43" w:name="_Toc388972123"/>
      <w:bookmarkStart w:id="44" w:name="_Toc388869599"/>
      <w:bookmarkStart w:id="45" w:name="_Toc398890436"/>
      <w:bookmarkStart w:id="46" w:name="_Toc400610126"/>
      <w:bookmarkStart w:id="47" w:name="_Toc423018240"/>
      <w:bookmarkStart w:id="48" w:name="_Toc433915551"/>
      <w:bookmarkStart w:id="49" w:name="_Toc435555541"/>
      <w:bookmarkStart w:id="50" w:name="_Toc436229695"/>
      <w:bookmarkStart w:id="51" w:name="_Toc436230610"/>
      <w:bookmarkStart w:id="52" w:name="_Toc488945224"/>
      <w:r w:rsidRPr="00716C42">
        <w:t>Servicio de Acceso y Uso Compartido de Torres.</w:t>
      </w:r>
      <w:bookmarkEnd w:id="42"/>
      <w:bookmarkEnd w:id="43"/>
      <w:bookmarkEnd w:id="44"/>
      <w:bookmarkEnd w:id="45"/>
      <w:bookmarkEnd w:id="46"/>
      <w:bookmarkEnd w:id="47"/>
      <w:bookmarkEnd w:id="48"/>
      <w:bookmarkEnd w:id="49"/>
      <w:bookmarkEnd w:id="50"/>
      <w:bookmarkEnd w:id="51"/>
      <w:bookmarkEnd w:id="52"/>
    </w:p>
    <w:p w:rsidR="007C4016" w:rsidRPr="00716C42" w:rsidRDefault="007C4016" w:rsidP="007C4016">
      <w:pPr>
        <w:pStyle w:val="CitaIFT"/>
        <w:spacing w:before="240" w:after="0"/>
        <w:rPr>
          <w:lang w:val="es-ES"/>
        </w:rPr>
      </w:pPr>
      <w:r w:rsidRPr="00716C42">
        <w:rPr>
          <w:lang w:val="es-ES"/>
        </w:rPr>
        <w:t xml:space="preserve">El </w:t>
      </w:r>
      <w:r w:rsidRPr="00716C42">
        <w:t xml:space="preserve">Servicio de Acceso y Uso Compartido de Torres propiedad de </w:t>
      </w:r>
      <w:r>
        <w:t>Telnor por cualquier título legal</w:t>
      </w:r>
      <w:r w:rsidRPr="00716C42">
        <w:t xml:space="preserve"> o cedidas en comodato</w:t>
      </w:r>
      <w:r>
        <w:t>,</w:t>
      </w:r>
      <w:r w:rsidRPr="00716C42" w:rsidDel="00DF7E98">
        <w:rPr>
          <w:lang w:val="es-ES"/>
        </w:rPr>
        <w:t xml:space="preserve"> </w:t>
      </w:r>
      <w:r w:rsidRPr="00716C42">
        <w:rPr>
          <w:lang w:val="es-ES"/>
        </w:rPr>
        <w:t>permite a los CS desplegar sistemas de radiofrecuencia en bandas autorizadas para la provisión de servicios de telecomunicaciones.</w:t>
      </w:r>
    </w:p>
    <w:p w:rsidR="007C4016" w:rsidRPr="0031718C" w:rsidRDefault="007C4016" w:rsidP="007C4016">
      <w:pPr>
        <w:pStyle w:val="CitaIFT"/>
        <w:spacing w:before="240" w:after="0"/>
        <w:rPr>
          <w:lang w:val="es-ES_tradnl"/>
        </w:rPr>
      </w:pPr>
      <w:r w:rsidRPr="0031718C">
        <w:rPr>
          <w:b/>
          <w:lang w:val="es-ES"/>
        </w:rPr>
        <w:t xml:space="preserve">El servicio de Acceso y Uso Compartido de Torres incluye todos los tipos de torres y mástiles con los que cuenta </w:t>
      </w:r>
      <w:r>
        <w:rPr>
          <w:b/>
          <w:lang w:val="es-ES"/>
        </w:rPr>
        <w:t>Telnor</w:t>
      </w:r>
      <w:r w:rsidRPr="0031718C">
        <w:rPr>
          <w:b/>
          <w:lang w:val="es-ES"/>
        </w:rPr>
        <w:t>.</w:t>
      </w:r>
      <w:r>
        <w:t>”</w:t>
      </w:r>
    </w:p>
    <w:p w:rsidR="007C4016" w:rsidRPr="00161C50" w:rsidRDefault="007C4016" w:rsidP="007C4016">
      <w:pPr>
        <w:pStyle w:val="IFTnormal"/>
        <w:spacing w:before="240" w:after="0"/>
        <w:rPr>
          <w:lang w:val="es-ES"/>
        </w:rPr>
      </w:pPr>
      <w:r>
        <w:rPr>
          <w:lang w:val="es-ES"/>
        </w:rPr>
        <w:t xml:space="preserve">A este respecto, </w:t>
      </w:r>
      <w:r w:rsidRPr="00161C50">
        <w:rPr>
          <w:lang w:val="es-ES"/>
        </w:rPr>
        <w:t xml:space="preserve">el Instituto considera </w:t>
      </w:r>
      <w:r>
        <w:rPr>
          <w:lang w:val="es-ES"/>
        </w:rPr>
        <w:t xml:space="preserve">que los cambios </w:t>
      </w:r>
      <w:r>
        <w:t xml:space="preserve">establecidos por el AEP en el punto mencionado anteriormente </w:t>
      </w:r>
      <w:r>
        <w:rPr>
          <w:lang w:val="es-ES"/>
        </w:rPr>
        <w:t xml:space="preserve">derivarían en condiciones de falta de información precisa que podrían inhibir la competencia </w:t>
      </w:r>
      <w:r w:rsidRPr="00D94409">
        <w:rPr>
          <w:lang w:val="es-ES"/>
        </w:rPr>
        <w:t>en la prestación de</w:t>
      </w:r>
      <w:r>
        <w:rPr>
          <w:lang w:val="es-ES"/>
        </w:rPr>
        <w:t xml:space="preserve"> los servicios, por lo que el Instituto considera </w:t>
      </w:r>
      <w:r w:rsidRPr="00161C50">
        <w:rPr>
          <w:lang w:val="es-ES"/>
        </w:rPr>
        <w:t>conveniente retomar la redacción de la Oferta de Referencia Vigente</w:t>
      </w:r>
      <w:r>
        <w:rPr>
          <w:lang w:val="es-ES"/>
        </w:rPr>
        <w:t>.</w:t>
      </w:r>
    </w:p>
    <w:p w:rsidR="007C4016" w:rsidRPr="002802DB"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Pr="00FF3AC6" w:rsidRDefault="007C4016" w:rsidP="007C4016">
      <w:pPr>
        <w:pStyle w:val="IFTnormal"/>
        <w:spacing w:before="240" w:after="0"/>
      </w:pPr>
      <w:r>
        <w:rPr>
          <w:lang w:val="es-ES"/>
        </w:rPr>
        <w:t xml:space="preserve">Por otro lado, el Instituto también identificó que el AEP introduce conceptos a los procedimientos, imponiendo cobros adicionales, dichos conceptos son los siguientes: </w:t>
      </w:r>
    </w:p>
    <w:p w:rsidR="007C4016" w:rsidRDefault="007C4016" w:rsidP="007C4016">
      <w:pPr>
        <w:pStyle w:val="IFTnormal"/>
        <w:numPr>
          <w:ilvl w:val="0"/>
          <w:numId w:val="160"/>
        </w:numPr>
        <w:spacing w:before="240" w:after="0"/>
        <w:rPr>
          <w:i/>
          <w:lang w:val="es-ES"/>
        </w:rPr>
      </w:pPr>
      <w:r>
        <w:rPr>
          <w:lang w:val="es-ES"/>
        </w:rPr>
        <w:t>S</w:t>
      </w:r>
      <w:r w:rsidRPr="009660F3">
        <w:rPr>
          <w:i/>
          <w:lang w:val="es-ES"/>
        </w:rPr>
        <w:t>olicitud de acceso a la información de infraestructura de red</w:t>
      </w:r>
    </w:p>
    <w:p w:rsidR="007C4016" w:rsidRDefault="007C4016" w:rsidP="007C4016">
      <w:pPr>
        <w:pStyle w:val="IFTnormal"/>
        <w:numPr>
          <w:ilvl w:val="0"/>
          <w:numId w:val="160"/>
        </w:numPr>
        <w:spacing w:after="0"/>
        <w:rPr>
          <w:i/>
          <w:lang w:val="es-ES"/>
        </w:rPr>
      </w:pPr>
      <w:r>
        <w:rPr>
          <w:lang w:val="es-ES"/>
        </w:rPr>
        <w:t>Análisis de disponibilidad</w:t>
      </w:r>
    </w:p>
    <w:p w:rsidR="007C4016" w:rsidRPr="00372DCE" w:rsidRDefault="007C4016" w:rsidP="007C4016">
      <w:pPr>
        <w:pStyle w:val="IFTnormal"/>
        <w:numPr>
          <w:ilvl w:val="0"/>
          <w:numId w:val="160"/>
        </w:numPr>
        <w:spacing w:after="0"/>
        <w:rPr>
          <w:i/>
          <w:lang w:val="es-ES"/>
        </w:rPr>
      </w:pPr>
      <w:r>
        <w:rPr>
          <w:i/>
          <w:lang w:val="es-ES"/>
        </w:rPr>
        <w:lastRenderedPageBreak/>
        <w:t>I</w:t>
      </w:r>
      <w:r w:rsidRPr="00372DCE">
        <w:rPr>
          <w:i/>
          <w:lang w:val="es-ES"/>
        </w:rPr>
        <w:t>nspección</w:t>
      </w:r>
    </w:p>
    <w:p w:rsidR="007C4016" w:rsidRDefault="007C4016" w:rsidP="007C4016">
      <w:pPr>
        <w:pStyle w:val="IFTnormal"/>
        <w:spacing w:before="240" w:after="0"/>
        <w:rPr>
          <w:lang w:val="es-ES"/>
        </w:rPr>
      </w:pPr>
      <w:r>
        <w:t xml:space="preserve">Los conceptos establecidos por el AEP en los procedimientos </w:t>
      </w:r>
      <w:r>
        <w:rPr>
          <w:lang w:val="es-ES"/>
        </w:rPr>
        <w:t xml:space="preserve">podrían derivar en condiciones que inhiben la competencia </w:t>
      </w:r>
      <w:r w:rsidRPr="00D94409">
        <w:rPr>
          <w:lang w:val="es-ES"/>
        </w:rPr>
        <w:t xml:space="preserve">en la prestación de los servicios </w:t>
      </w:r>
      <w:r>
        <w:rPr>
          <w:lang w:val="es-ES"/>
        </w:rPr>
        <w:t>o en</w:t>
      </w:r>
      <w:r w:rsidRPr="00D94409">
        <w:rPr>
          <w:lang w:val="es-ES"/>
        </w:rPr>
        <w:t xml:space="preserve"> requisito que </w:t>
      </w:r>
      <w:r>
        <w:rPr>
          <w:lang w:val="es-ES"/>
        </w:rPr>
        <w:t>i</w:t>
      </w:r>
      <w:r w:rsidRPr="00D94409">
        <w:rPr>
          <w:lang w:val="es-ES"/>
        </w:rPr>
        <w:t>nnecesario</w:t>
      </w:r>
      <w:r>
        <w:rPr>
          <w:lang w:val="es-ES"/>
        </w:rPr>
        <w:t>s</w:t>
      </w:r>
      <w:r w:rsidRPr="00D94409">
        <w:rPr>
          <w:lang w:val="es-ES"/>
        </w:rPr>
        <w:t xml:space="preserve"> para la eficiente prestación del servicio</w:t>
      </w:r>
      <w:r>
        <w:rPr>
          <w:lang w:val="es-ES"/>
        </w:rPr>
        <w:t xml:space="preserve">, siendo contrario a lo establecido en la Medida </w:t>
      </w:r>
      <w:r w:rsidRPr="00D94409">
        <w:t>CUADRAGÉSIMA PRIMERA</w:t>
      </w:r>
      <w:r>
        <w:t xml:space="preserve"> de las Medidas Fijas, que a la letra dice lo siguiente:</w:t>
      </w:r>
      <w:r>
        <w:rPr>
          <w:lang w:val="es-ES"/>
        </w:rPr>
        <w:t xml:space="preserve"> </w:t>
      </w:r>
    </w:p>
    <w:p w:rsidR="007C4016" w:rsidRPr="00185221" w:rsidRDefault="007C4016" w:rsidP="007C4016">
      <w:pPr>
        <w:pStyle w:val="IFTcita"/>
        <w:spacing w:before="240" w:after="0"/>
      </w:pPr>
      <w:r w:rsidRPr="00185221">
        <w:rPr>
          <w:b w:val="0"/>
        </w:rPr>
        <w:t xml:space="preserve"> “</w:t>
      </w:r>
      <w:r w:rsidRPr="003B6C39">
        <w:t>CUADRAGÉSIMA PRIMERA.-</w:t>
      </w:r>
      <w:r w:rsidRPr="00185221">
        <w:rPr>
          <w:b w:val="0"/>
        </w:rPr>
        <w:t xml:space="preserve"> </w:t>
      </w:r>
      <w:r>
        <w:rPr>
          <w:b w:val="0"/>
        </w:rPr>
        <w:t>(…)</w:t>
      </w:r>
    </w:p>
    <w:p w:rsidR="007C4016" w:rsidRPr="004E7744" w:rsidRDefault="007C4016" w:rsidP="007C4016">
      <w:pPr>
        <w:pStyle w:val="IFTcita"/>
        <w:spacing w:before="240" w:after="0"/>
        <w:rPr>
          <w:b w:val="0"/>
        </w:rPr>
      </w:pPr>
      <w:r w:rsidRPr="004E7744">
        <w:rPr>
          <w:b w:val="0"/>
        </w:rPr>
        <w:t>(…)</w:t>
      </w:r>
    </w:p>
    <w:p w:rsidR="007C4016" w:rsidRPr="003B6C39" w:rsidRDefault="007C4016" w:rsidP="007C4016">
      <w:pPr>
        <w:pStyle w:val="Citaift0"/>
        <w:spacing w:before="240" w:after="0"/>
        <w:rPr>
          <w:color w:val="auto"/>
          <w:lang w:val="es-ES"/>
        </w:rPr>
      </w:pPr>
      <w:r w:rsidRPr="003B6C39">
        <w:rPr>
          <w:color w:val="auto"/>
          <w:lang w:val="es-ES"/>
        </w:rPr>
        <w:t>El Agente Económico Preponderante no podrá establecer condiciones que inhiban la competencia en la prestación de los servicios objeto de las Ofertas de Referencia, cualquier requisito que no sea necesario para la eficiente prestación del servicio, ni:</w:t>
      </w:r>
    </w:p>
    <w:p w:rsidR="007C4016" w:rsidRPr="004E7744" w:rsidRDefault="007C4016" w:rsidP="007C4016">
      <w:pPr>
        <w:pStyle w:val="IFTcita"/>
        <w:spacing w:before="240" w:after="0"/>
        <w:rPr>
          <w:b w:val="0"/>
        </w:rPr>
      </w:pPr>
      <w:r>
        <w:t xml:space="preserve"> </w:t>
      </w:r>
      <w:r w:rsidRPr="004E7744">
        <w:rPr>
          <w:b w:val="0"/>
        </w:rPr>
        <w:t xml:space="preserve">[…]” </w:t>
      </w:r>
    </w:p>
    <w:p w:rsidR="007C4016" w:rsidRPr="003B6C39" w:rsidRDefault="007C4016" w:rsidP="007C4016">
      <w:pPr>
        <w:pStyle w:val="IFTcita"/>
        <w:spacing w:before="240" w:after="0"/>
        <w:jc w:val="right"/>
        <w:rPr>
          <w:b w:val="0"/>
        </w:rPr>
      </w:pPr>
      <w:r w:rsidRPr="003B6C39">
        <w:rPr>
          <w:b w:val="0"/>
        </w:rPr>
        <w:t xml:space="preserve"> (Énfasis añadido)</w:t>
      </w:r>
    </w:p>
    <w:p w:rsidR="007C4016" w:rsidRDefault="007C4016" w:rsidP="007C4016">
      <w:pPr>
        <w:pStyle w:val="IFTnormal"/>
        <w:spacing w:before="240" w:after="0"/>
      </w:pPr>
      <w:r>
        <w:rPr>
          <w:lang w:val="es-ES"/>
        </w:rPr>
        <w:t xml:space="preserve"> </w:t>
      </w:r>
      <w:r>
        <w:t>Por otra parte el AEP establece e</w:t>
      </w:r>
      <w:r>
        <w:rPr>
          <w:lang w:val="es-ES"/>
        </w:rPr>
        <w:t xml:space="preserve">l numeral “3. </w:t>
      </w:r>
      <w:r>
        <w:rPr>
          <w:i/>
          <w:lang w:val="es-ES"/>
        </w:rPr>
        <w:t>Servicio de Acceso y Uso Compartido de T</w:t>
      </w:r>
      <w:r w:rsidRPr="00D05FDB">
        <w:rPr>
          <w:i/>
          <w:lang w:val="es-ES"/>
        </w:rPr>
        <w:t>orres.</w:t>
      </w:r>
      <w:r>
        <w:rPr>
          <w:lang w:val="es-ES"/>
        </w:rPr>
        <w:t>” de la propuesta de Oferta de Referencia lo siguiente:</w:t>
      </w:r>
    </w:p>
    <w:p w:rsidR="007C4016" w:rsidRPr="002427A1" w:rsidRDefault="007C4016" w:rsidP="007C4016">
      <w:pPr>
        <w:pStyle w:val="Citaift0"/>
        <w:spacing w:before="240" w:after="0"/>
        <w:rPr>
          <w:b/>
        </w:rPr>
      </w:pPr>
      <w:bookmarkStart w:id="53" w:name="_Toc433915554"/>
      <w:r w:rsidRPr="002427A1">
        <w:t>“</w:t>
      </w:r>
      <w:r w:rsidRPr="002427A1">
        <w:rPr>
          <w:b/>
        </w:rPr>
        <w:t>Cargos Recurrentes</w:t>
      </w:r>
      <w:bookmarkEnd w:id="53"/>
      <w:r w:rsidRPr="002427A1">
        <w:rPr>
          <w:b/>
        </w:rPr>
        <w:t>:</w:t>
      </w:r>
    </w:p>
    <w:p w:rsidR="007C4016" w:rsidRDefault="007C4016" w:rsidP="007C4016">
      <w:pPr>
        <w:pStyle w:val="Citaift0"/>
        <w:spacing w:before="240" w:after="0"/>
      </w:pPr>
      <w:r w:rsidRPr="00716C42">
        <w:t>Mensualmente se cobrará las siguientes contraprestaciones por el uso de Espacio Aprobado</w:t>
      </w:r>
      <w:r>
        <w:t>:</w:t>
      </w:r>
    </w:p>
    <w:p w:rsidR="007C4016" w:rsidRDefault="007C4016" w:rsidP="007C4016">
      <w:pPr>
        <w:pStyle w:val="Citaift0"/>
        <w:numPr>
          <w:ilvl w:val="0"/>
          <w:numId w:val="188"/>
        </w:numPr>
        <w:spacing w:before="240" w:after="0"/>
      </w:pPr>
      <w:r>
        <w:t>E</w:t>
      </w:r>
      <w:r w:rsidRPr="00716C42">
        <w:t>n Torre</w:t>
      </w:r>
      <w:r>
        <w:t>;</w:t>
      </w:r>
      <w:r w:rsidRPr="00716C42">
        <w:t xml:space="preserve"> exclusivamente para antenas de radio frecuencia (RF) o de microondas (MW), siempre y cuando la superficie utilizada no exceda de 8.5 m2. La franja de utilización en el cuerpo vertical de la Torre es de 4 metros lineales (ml)</w:t>
      </w:r>
      <w:r>
        <w:t xml:space="preserve">, </w:t>
      </w:r>
    </w:p>
    <w:p w:rsidR="007C4016" w:rsidRDefault="007C4016" w:rsidP="007C4016">
      <w:pPr>
        <w:pStyle w:val="Citaift0"/>
        <w:numPr>
          <w:ilvl w:val="0"/>
          <w:numId w:val="188"/>
        </w:numPr>
        <w:spacing w:before="240" w:after="0"/>
      </w:pPr>
      <w:r w:rsidRPr="00716C42">
        <w:t>Por el acceso y uso de Espacio Aprobado en Piso</w:t>
      </w:r>
      <w:r>
        <w:t>.</w:t>
      </w:r>
    </w:p>
    <w:p w:rsidR="007C4016" w:rsidRDefault="007C4016" w:rsidP="007C4016">
      <w:pPr>
        <w:pStyle w:val="Citaift0"/>
        <w:numPr>
          <w:ilvl w:val="0"/>
          <w:numId w:val="188"/>
        </w:numPr>
        <w:spacing w:before="240" w:after="0"/>
      </w:pPr>
      <w:r>
        <w:t>La tarifa mensual por cada elemento fuera de la franja de los 4 ml será calculada como sigue:</w:t>
      </w:r>
      <w:r>
        <w:tab/>
      </w:r>
    </w:p>
    <w:p w:rsidR="007C4016" w:rsidRDefault="007C4016" w:rsidP="007C4016">
      <w:pPr>
        <w:pStyle w:val="Citaift0"/>
        <w:numPr>
          <w:ilvl w:val="0"/>
          <w:numId w:val="188"/>
        </w:numPr>
        <w:spacing w:before="240" w:after="0"/>
      </w:pPr>
      <w:r w:rsidRPr="002B7F2A">
        <w:t>Costo Adicional Mensual = Área de Antena * Altura NCR *Factor de cobro</w:t>
      </w:r>
    </w:p>
    <w:p w:rsidR="007C4016" w:rsidRDefault="007C4016" w:rsidP="007C4016">
      <w:pPr>
        <w:pStyle w:val="Citaift0"/>
        <w:spacing w:before="240" w:after="0"/>
      </w:pPr>
      <w:r>
        <w:t>Donde:</w:t>
      </w:r>
    </w:p>
    <w:p w:rsidR="007C4016" w:rsidRDefault="007C4016" w:rsidP="007C4016">
      <w:pPr>
        <w:pStyle w:val="Citaift0"/>
        <w:numPr>
          <w:ilvl w:val="0"/>
          <w:numId w:val="189"/>
        </w:numPr>
        <w:spacing w:before="240" w:after="0"/>
      </w:pPr>
      <w:r>
        <w:t>Área de Antena, se refiere al área de la antena, en metros cuadrados, fuera de la franja.</w:t>
      </w:r>
    </w:p>
    <w:p w:rsidR="007C4016" w:rsidRDefault="007C4016" w:rsidP="007C4016">
      <w:pPr>
        <w:pStyle w:val="Citaift0"/>
        <w:numPr>
          <w:ilvl w:val="0"/>
          <w:numId w:val="189"/>
        </w:numPr>
        <w:spacing w:before="240" w:after="0"/>
      </w:pPr>
      <w:r>
        <w:lastRenderedPageBreak/>
        <w:t>Altura NCR, se refiere a la altura del centro de radiación de la antena (NCR), es decir la distancia del punto medio de la antena al suelo, medida en metros.</w:t>
      </w:r>
    </w:p>
    <w:p w:rsidR="007C4016" w:rsidRDefault="007C4016" w:rsidP="007C4016">
      <w:pPr>
        <w:pStyle w:val="Citaift0"/>
        <w:numPr>
          <w:ilvl w:val="0"/>
          <w:numId w:val="189"/>
        </w:numPr>
        <w:spacing w:before="240" w:after="0"/>
      </w:pPr>
      <w:r>
        <w:t>Factor de cobro, resulta del cociente entre la tarifa para el acceso y uso de espacio en torre por geotipo (M.N.), y el producto de la altura promedio ponderada de las torres por geotipo y el factor de utilización superficial (8.5 m</w:t>
      </w:r>
      <w:r w:rsidRPr="009D58E4">
        <w:t>2</w:t>
      </w:r>
      <w:r>
        <w:t>)</w:t>
      </w:r>
    </w:p>
    <w:p w:rsidR="007C4016" w:rsidRDefault="007C4016" w:rsidP="007C4016">
      <w:pPr>
        <w:pStyle w:val="Citaift0"/>
        <w:spacing w:before="240" w:after="0"/>
      </w:pPr>
      <m:oMathPara>
        <m:oMath>
          <m:r>
            <w:rPr>
              <w:rFonts w:ascii="Cambria Math" w:hAnsi="Cambria Math"/>
              <w:sz w:val="20"/>
            </w:rPr>
            <m:t>Factor de cobro =</m:t>
          </m:r>
          <m:f>
            <m:fPr>
              <m:ctrlPr>
                <w:rPr>
                  <w:rFonts w:ascii="Cambria Math" w:hAnsi="Cambria Math"/>
                  <w:sz w:val="20"/>
                </w:rPr>
              </m:ctrlPr>
            </m:fPr>
            <m:num>
              <m:r>
                <w:rPr>
                  <w:rFonts w:ascii="Cambria Math" w:hAnsi="Cambria Math"/>
                  <w:sz w:val="20"/>
                </w:rPr>
                <m:t>Tarifa para el acceso y uso de espacio en torre</m:t>
              </m:r>
            </m:num>
            <m:den>
              <m:r>
                <w:rPr>
                  <w:rFonts w:ascii="Cambria Math" w:hAnsi="Cambria Math"/>
                  <w:sz w:val="20"/>
                </w:rPr>
                <m:t xml:space="preserve">Altura promedio ponderada de torre × 8.5 </m:t>
              </m:r>
              <m:sSup>
                <m:sSupPr>
                  <m:ctrlPr>
                    <w:rPr>
                      <w:rFonts w:ascii="Cambria Math" w:hAnsi="Cambria Math"/>
                      <w:sz w:val="20"/>
                    </w:rPr>
                  </m:ctrlPr>
                </m:sSupPr>
                <m:e>
                  <m:r>
                    <w:rPr>
                      <w:rFonts w:ascii="Cambria Math" w:hAnsi="Cambria Math"/>
                      <w:sz w:val="20"/>
                    </w:rPr>
                    <m:t>m</m:t>
                  </m:r>
                </m:e>
                <m:sup>
                  <m:r>
                    <w:rPr>
                      <w:rFonts w:ascii="Cambria Math" w:hAnsi="Cambria Math"/>
                      <w:sz w:val="20"/>
                    </w:rPr>
                    <m:t>2</m:t>
                  </m:r>
                </m:sup>
              </m:sSup>
            </m:den>
          </m:f>
        </m:oMath>
      </m:oMathPara>
    </w:p>
    <w:p w:rsidR="007C4016" w:rsidRPr="00716C42" w:rsidRDefault="007C4016" w:rsidP="007C4016">
      <w:pPr>
        <w:pStyle w:val="Citaift0"/>
        <w:spacing w:before="240" w:after="0"/>
      </w:pPr>
      <w:r>
        <w:t>Las contraprestaciones se aplicarán considerando el tipo ubicación (azotea o predio) y zona  donde se proporcione el servicio, de acuerdo  a la siguiente clasificación:</w:t>
      </w:r>
    </w:p>
    <w:p w:rsidR="007C4016" w:rsidRPr="00716C42" w:rsidRDefault="007C4016" w:rsidP="007C4016">
      <w:pPr>
        <w:pStyle w:val="Citaift0"/>
        <w:numPr>
          <w:ilvl w:val="0"/>
          <w:numId w:val="190"/>
        </w:numPr>
        <w:spacing w:before="240" w:after="0"/>
      </w:pPr>
      <w:r w:rsidRPr="002427A1">
        <w:rPr>
          <w:b/>
        </w:rPr>
        <w:t>Por Zona AAA (Nivel Alto):</w:t>
      </w:r>
      <w:r w:rsidRPr="00716C42">
        <w:t xml:space="preserve"> Se trata de sitios ubicados en zonas urbanas, habitacionales o comerciales, cuya población percibe el ingreso promedio más alto en el país. </w:t>
      </w:r>
    </w:p>
    <w:p w:rsidR="007C4016" w:rsidRPr="00716C42" w:rsidRDefault="007C4016" w:rsidP="007C4016">
      <w:pPr>
        <w:pStyle w:val="Citaift0"/>
        <w:numPr>
          <w:ilvl w:val="0"/>
          <w:numId w:val="190"/>
        </w:numPr>
        <w:spacing w:before="240" w:after="0"/>
      </w:pPr>
      <w:r w:rsidRPr="002427A1">
        <w:rPr>
          <w:b/>
        </w:rPr>
        <w:t>Por Zona AA (Nivel Medio Alto):</w:t>
      </w:r>
      <w:r w:rsidRPr="00716C42">
        <w:t xml:space="preserve"> Se trata de sitios ubicados en zonas urbanas, habitacionales o comerciales, cuya población percibe el ingreso promedio siguiente al ingreso promedio más alto en el país.</w:t>
      </w:r>
    </w:p>
    <w:p w:rsidR="007C4016" w:rsidRPr="00716C42" w:rsidRDefault="007C4016" w:rsidP="007C4016">
      <w:pPr>
        <w:pStyle w:val="Citaift0"/>
        <w:numPr>
          <w:ilvl w:val="0"/>
          <w:numId w:val="190"/>
        </w:numPr>
        <w:spacing w:before="240" w:after="0"/>
      </w:pPr>
      <w:r w:rsidRPr="002427A1">
        <w:rPr>
          <w:b/>
        </w:rPr>
        <w:t>Por Zona A (Nivel Medio):</w:t>
      </w:r>
      <w:r w:rsidRPr="00716C42">
        <w:t xml:space="preserve"> Se trata de sitios ubicados en zonas urbanas, habitacionales o comerciales, cuya población percibe el ingreso promedio en el país.</w:t>
      </w:r>
    </w:p>
    <w:p w:rsidR="007C4016" w:rsidRPr="00716C42" w:rsidRDefault="007C4016" w:rsidP="007C4016">
      <w:pPr>
        <w:pStyle w:val="Citaift0"/>
        <w:numPr>
          <w:ilvl w:val="0"/>
          <w:numId w:val="190"/>
        </w:numPr>
        <w:spacing w:before="240" w:after="0"/>
      </w:pPr>
      <w:r w:rsidRPr="002427A1">
        <w:rPr>
          <w:b/>
        </w:rPr>
        <w:t>Zona Industrial:</w:t>
      </w:r>
      <w:r w:rsidRPr="00716C42">
        <w:t xml:space="preserve"> Se trata de sitios ubicados en zonas o parques industriales.</w:t>
      </w:r>
    </w:p>
    <w:p w:rsidR="007C4016" w:rsidRDefault="007C4016" w:rsidP="007C4016">
      <w:pPr>
        <w:pStyle w:val="Citaift0"/>
        <w:numPr>
          <w:ilvl w:val="0"/>
          <w:numId w:val="190"/>
        </w:numPr>
        <w:spacing w:before="240" w:after="0"/>
      </w:pPr>
      <w:r w:rsidRPr="002427A1">
        <w:rPr>
          <w:b/>
        </w:rPr>
        <w:t>Zona B (Nivel Bajo/Rural):</w:t>
      </w:r>
      <w:r w:rsidRPr="00716C42">
        <w:t xml:space="preserve"> Se trata de sitios ubicados en zonas suburbanas, habitacionales o comerciales, cuya población percibe el ingreso promedio más bajo en el país, o bien sitios ubicados en zonas rurales o de cultivo. </w:t>
      </w:r>
    </w:p>
    <w:p w:rsidR="007C4016" w:rsidRPr="00716C42" w:rsidRDefault="007C4016" w:rsidP="007C4016">
      <w:pPr>
        <w:pStyle w:val="Citaift0"/>
        <w:spacing w:before="240" w:after="0"/>
      </w:pPr>
      <w:r>
        <w:t xml:space="preserve">Adicionalmente a las contraprestaciones anteriores se tienen que cubrir los cargos por los servicios siguientes: </w:t>
      </w:r>
    </w:p>
    <w:p w:rsidR="007C4016" w:rsidRPr="00716C42" w:rsidRDefault="007C4016" w:rsidP="007C4016">
      <w:pPr>
        <w:pStyle w:val="Citaift0"/>
        <w:numPr>
          <w:ilvl w:val="0"/>
          <w:numId w:val="191"/>
        </w:numPr>
        <w:spacing w:before="240" w:after="0"/>
      </w:pPr>
      <w:r w:rsidRPr="00716C42">
        <w:t>Servicio de alimentación eléctrica.</w:t>
      </w:r>
    </w:p>
    <w:p w:rsidR="007C4016" w:rsidRPr="00716C42" w:rsidRDefault="007C4016" w:rsidP="007C4016">
      <w:pPr>
        <w:pStyle w:val="Citaift0"/>
        <w:numPr>
          <w:ilvl w:val="0"/>
          <w:numId w:val="191"/>
        </w:numPr>
        <w:spacing w:before="240" w:after="0"/>
      </w:pPr>
      <w:r w:rsidRPr="00716C42">
        <w:t>Servicio de Aire Acondicionado.</w:t>
      </w:r>
      <w:r>
        <w:t>”</w:t>
      </w:r>
    </w:p>
    <w:p w:rsidR="007C4016" w:rsidRDefault="007C4016" w:rsidP="007C4016">
      <w:pPr>
        <w:pStyle w:val="IFTnormal"/>
        <w:spacing w:before="240" w:after="0"/>
      </w:pPr>
      <w:r w:rsidRPr="002427A1">
        <w:t>Al respecto el Instituto señala que la estructura tarifaria propuesta</w:t>
      </w:r>
      <w:r>
        <w:t>,</w:t>
      </w:r>
      <w:r w:rsidRPr="002427A1">
        <w:t xml:space="preserve"> se basa en clasificaciones denominadas “AAA – Nivel Alto”, “Sitios AA – Nivel Medio Alto”, “Sitios A – Nivel Medio”, “</w:t>
      </w:r>
      <w:r>
        <w:t>Zona</w:t>
      </w:r>
      <w:r w:rsidRPr="002427A1">
        <w:t xml:space="preserve"> Industrial” y “</w:t>
      </w:r>
      <w:r>
        <w:t>Zona</w:t>
      </w:r>
      <w:r w:rsidRPr="002427A1">
        <w:t xml:space="preserve"> B – Nivel Bajo/Rural”, las cuales </w:t>
      </w:r>
      <w:r w:rsidRPr="002427A1">
        <w:lastRenderedPageBreak/>
        <w:t xml:space="preserve">aparentemente se asocian a criterios que consideran las características </w:t>
      </w:r>
      <w:r>
        <w:t xml:space="preserve">urbanas </w:t>
      </w:r>
      <w:r w:rsidRPr="002427A1">
        <w:t>de las zonas donde se ubica un sitio y el nivel de ingreso que percibe la población.</w:t>
      </w:r>
    </w:p>
    <w:p w:rsidR="007C4016" w:rsidRPr="00982DA0" w:rsidRDefault="007C4016" w:rsidP="007C4016">
      <w:pPr>
        <w:pStyle w:val="IFTnormal"/>
        <w:spacing w:before="240" w:after="0"/>
      </w:pPr>
      <w:r w:rsidRPr="00AE7385">
        <w:t xml:space="preserve">En este sentido se considera relevante citar lo presentado por </w:t>
      </w:r>
      <w:r>
        <w:t>Telnor</w:t>
      </w:r>
      <w:r w:rsidRPr="00AE7385">
        <w:t xml:space="preserve"> en su Respuesta al Oficio de Requerimiento pregunta treinta y ocho (38), donde indica lo siguiente:</w:t>
      </w:r>
    </w:p>
    <w:p w:rsidR="007C4016" w:rsidRPr="00E27D26" w:rsidRDefault="007C4016" w:rsidP="007C4016">
      <w:pPr>
        <w:pStyle w:val="CitaIFT"/>
        <w:spacing w:before="240" w:after="0"/>
      </w:pPr>
      <w:r>
        <w:t>“</w:t>
      </w:r>
      <w:r w:rsidRPr="00E27D26">
        <w:t xml:space="preserve">En lo relativo al encabezado denominado </w:t>
      </w:r>
      <w:r w:rsidRPr="00E27D26">
        <w:rPr>
          <w:iCs/>
        </w:rPr>
        <w:t xml:space="preserve">"SOBRE EL ESQUEMA TARIFARIO", </w:t>
      </w:r>
      <w:r>
        <w:t>numeral 3</w:t>
      </w:r>
      <w:r w:rsidRPr="00E27D26">
        <w:t xml:space="preserve">8, de conformidad con lo solicitado la clasificación de los sitios a los que se refiere el numeral que se responde, </w:t>
      </w:r>
      <w:r w:rsidRPr="00E27D26">
        <w:rPr>
          <w:b/>
          <w:u w:val="single"/>
        </w:rPr>
        <w:t>es una clasificación que fue desarrollada con anterioridad a la escisión y que Telesites adoptó en su totalidad para los más de 11 ,000 sitios que fueron transferidos como parte de la escisión</w:t>
      </w:r>
      <w:r w:rsidRPr="00E27D26">
        <w:t xml:space="preserve">. De esta manera, </w:t>
      </w:r>
      <w:r w:rsidRPr="00E27D26">
        <w:rPr>
          <w:b/>
          <w:u w:val="single"/>
        </w:rPr>
        <w:t>Telesites no participó directamente en el proceso de clasificación de dichos sitios y tampoco actualizó o modificó dicha clasificación</w:t>
      </w:r>
      <w:r w:rsidRPr="00E27D26">
        <w:t xml:space="preserve">. En razón de lo anterior </w:t>
      </w:r>
      <w:r w:rsidRPr="00E27D26">
        <w:rPr>
          <w:b/>
          <w:u w:val="single"/>
        </w:rPr>
        <w:t>esta clasificación, en su caso, habrá de estar relacionada con los resultados de las bases de datos o variables vigentes al momento de su categorización y no bases de datos o variables actuales</w:t>
      </w:r>
      <w:r w:rsidRPr="00E27D26">
        <w:t>.</w:t>
      </w:r>
    </w:p>
    <w:p w:rsidR="007C4016" w:rsidRPr="00E27D26" w:rsidRDefault="007C4016" w:rsidP="007C4016">
      <w:pPr>
        <w:pStyle w:val="CitaIFT"/>
        <w:spacing w:before="240" w:after="0"/>
      </w:pPr>
      <w:r w:rsidRPr="00E27D26">
        <w:rPr>
          <w:b/>
          <w:u w:val="single"/>
        </w:rPr>
        <w:t>Esta clasificación depende por una parte del nivel socio económico de la localidad donde se encuentre erguído el sitio</w:t>
      </w:r>
      <w:r w:rsidRPr="00E27D26">
        <w:t xml:space="preserve">. </w:t>
      </w:r>
      <w:r w:rsidRPr="00E27D26">
        <w:rPr>
          <w:b/>
          <w:u w:val="single"/>
        </w:rPr>
        <w:t>Las razones</w:t>
      </w:r>
      <w:r w:rsidRPr="00E27D26">
        <w:t xml:space="preserve"> de lo anterior </w:t>
      </w:r>
      <w:r w:rsidRPr="00E27D26">
        <w:rPr>
          <w:b/>
          <w:u w:val="single"/>
        </w:rPr>
        <w:t>son</w:t>
      </w:r>
      <w:r w:rsidRPr="00E27D26">
        <w:t>, principalmente:</w:t>
      </w:r>
    </w:p>
    <w:p w:rsidR="007C4016" w:rsidRPr="00E27D26" w:rsidRDefault="007C4016" w:rsidP="007C4016">
      <w:pPr>
        <w:pStyle w:val="CitaIFT"/>
        <w:spacing w:before="240" w:after="0"/>
        <w:ind w:left="1418"/>
      </w:pPr>
      <w:r w:rsidRPr="00E27D26">
        <w:t xml:space="preserve">i) </w:t>
      </w:r>
      <w:r w:rsidRPr="00E27D26">
        <w:rPr>
          <w:b/>
          <w:u w:val="single"/>
        </w:rPr>
        <w:t>Que los costos de desarrollo del sitio: arrendamiento de espacios, obra civil, entre otros, tienden a ser más onerosos en zonas de mayor desarrollo socioeconómico, lo cual incrementa los costos de instalación y, por ende, lleva a incrementar a su vez los costos por arrendamiento</w:t>
      </w:r>
      <w:r w:rsidRPr="00E27D26">
        <w:t>;</w:t>
      </w:r>
    </w:p>
    <w:p w:rsidR="007C4016" w:rsidRPr="00E27D26" w:rsidRDefault="007C4016" w:rsidP="007C4016">
      <w:pPr>
        <w:pStyle w:val="CitaIFT"/>
        <w:spacing w:before="240" w:after="0"/>
        <w:ind w:left="1418"/>
      </w:pPr>
      <w:r w:rsidRPr="00E27D26">
        <w:t xml:space="preserve">ii) </w:t>
      </w:r>
      <w:r w:rsidRPr="00E27D26">
        <w:rPr>
          <w:b/>
          <w:u w:val="single"/>
        </w:rPr>
        <w:t>Que la demanda por servicios de telecomunicaciones tiende a ser mayor y más rentable en zonas de mayor desarrollo, lo cual permite realizar un cobro mayor a los operadores o agentes económicos que arriendan en dichos sitios cuya demanda es mayor y que, en consecuencia, tienen un costo de oportunidad mayor</w:t>
      </w:r>
      <w:r w:rsidRPr="00E27D26">
        <w:t>.</w:t>
      </w:r>
    </w:p>
    <w:p w:rsidR="007C4016" w:rsidRPr="00E27D26" w:rsidRDefault="007C4016" w:rsidP="007C4016">
      <w:pPr>
        <w:pStyle w:val="CitaIFT"/>
        <w:spacing w:before="240" w:after="0"/>
      </w:pPr>
      <w:r w:rsidRPr="00E27D26">
        <w:t xml:space="preserve">Es por lo anterior que </w:t>
      </w:r>
      <w:r w:rsidRPr="00E27D26">
        <w:rPr>
          <w:b/>
          <w:u w:val="single"/>
        </w:rPr>
        <w:t>la variable principal que determina la categoría a la que habrán de pertenecer los sitios de Telesites es la localidad donde se encuentren los mismos y el nivel socioeconómico a la cual pertenece la misma.</w:t>
      </w:r>
      <w:r w:rsidRPr="00E27D26">
        <w:t xml:space="preserve"> Sin embargo, </w:t>
      </w:r>
      <w:r w:rsidRPr="00E27D26">
        <w:rPr>
          <w:b/>
          <w:u w:val="single"/>
        </w:rPr>
        <w:t>situaciones en particular como; facilidad o</w:t>
      </w:r>
      <w:r w:rsidRPr="00E27D26">
        <w:rPr>
          <w:rFonts w:ascii="Times New Roman" w:hAnsi="Times New Roman" w:cs="Times New Roman"/>
          <w:b/>
          <w:iCs/>
          <w:sz w:val="23"/>
          <w:szCs w:val="23"/>
          <w:u w:val="single"/>
        </w:rPr>
        <w:t xml:space="preserve"> </w:t>
      </w:r>
      <w:r w:rsidRPr="00E27D26">
        <w:rPr>
          <w:b/>
          <w:u w:val="single"/>
        </w:rPr>
        <w:t xml:space="preserve">dificultad de acceso a un sitio, la demanda de servicios de voz y datos en zonas densamente pobladas que no necesariamente se encuentren en zonas de mayor desarrollo, facilidad o dificultad de instalar sitios (por ejemplo los ubicados en centros históricos), tiempo para la obtención de licencias o permisos para la instalación de un sitio nuevo, vandalismo, quejas </w:t>
      </w:r>
      <w:r w:rsidRPr="00E27D26">
        <w:rPr>
          <w:b/>
          <w:sz w:val="17"/>
          <w:szCs w:val="17"/>
          <w:u w:val="single"/>
        </w:rPr>
        <w:t xml:space="preserve">u </w:t>
      </w:r>
      <w:r w:rsidRPr="00E27D26">
        <w:rPr>
          <w:b/>
          <w:u w:val="single"/>
        </w:rPr>
        <w:t>oposición de vecinos para la instalación o permanencia de un sitio, condiciones de mantenimiento, son solo algunos de otros factores que ocasionan que algunos sitios se encuentren en otras categorías distintas a las que podrían pertenecer.</w:t>
      </w:r>
    </w:p>
    <w:p w:rsidR="007C4016" w:rsidRPr="00E27D26" w:rsidRDefault="007C4016" w:rsidP="007C4016">
      <w:pPr>
        <w:pStyle w:val="CitaIFT"/>
        <w:spacing w:before="240" w:after="0"/>
      </w:pPr>
      <w:r w:rsidRPr="00E27D26">
        <w:t xml:space="preserve">Ahora bien </w:t>
      </w:r>
      <w:r w:rsidRPr="00E27D26">
        <w:rPr>
          <w:b/>
          <w:u w:val="single"/>
        </w:rPr>
        <w:t>para determinar el nivel socioeconómico de dichas localidades, en su momento se recurrió a la clasificación socio económica de la ''Asociación Mexicana de Agencias de Investigación de Mercados y Opinión Pública" (en adelante "AMAI").</w:t>
      </w:r>
    </w:p>
    <w:p w:rsidR="007C4016" w:rsidRPr="00E27D26" w:rsidRDefault="007C4016" w:rsidP="007C4016">
      <w:pPr>
        <w:pStyle w:val="CitaIFT"/>
        <w:spacing w:before="240" w:after="0"/>
      </w:pPr>
      <w:r>
        <w:lastRenderedPageBreak/>
        <w:t>Desde el año 1994 la AMAI</w:t>
      </w:r>
      <w:r w:rsidRPr="00E27D26">
        <w:t xml:space="preserve"> se ha convertido en una referencia "válida" de criterio de clasificación socioeconómíca, comparando sus propios datos con fuentes públicas como el Instituto Nacional de Estadistica y Geografá (INEGI). </w:t>
      </w:r>
      <w:r w:rsidRPr="00E27D26">
        <w:rPr>
          <w:b/>
          <w:u w:val="single"/>
        </w:rPr>
        <w:t>La metodología utilizada por esta Asociación y la cual fue utilizada como marco de referencia es la que sé conoce. como "Regla 13 X 6" la cual se construyó con un índice de 6 niveles (A/B, C+, C, D+, D y E) basado en 13 variables que van desde la escolaridad del jefe de familia hasta las características físicas del hogar y los enseres dentro de éste. Esto es, una estructura jerárquica basada en la acumulación de capital social y economíco</w:t>
      </w:r>
      <w:r w:rsidRPr="00E27D26">
        <w:t xml:space="preserve">. </w:t>
      </w:r>
    </w:p>
    <w:p w:rsidR="007C4016" w:rsidRDefault="007C4016" w:rsidP="007C4016">
      <w:pPr>
        <w:pStyle w:val="CitaIFT"/>
        <w:spacing w:before="240" w:after="0"/>
      </w:pPr>
      <w:r w:rsidRPr="00E27D26">
        <w:t>Con base en lo anterior los sitios ahora operados por Telesítesse clasificaron como sigue:</w:t>
      </w:r>
    </w:p>
    <w:p w:rsidR="007C4016" w:rsidRDefault="007C4016" w:rsidP="007C4016">
      <w:pPr>
        <w:pStyle w:val="CitaIFT"/>
        <w:spacing w:before="240" w:after="0"/>
      </w:pPr>
      <w:r w:rsidRPr="00E27D26">
        <w:rPr>
          <w:noProof/>
          <w:lang w:eastAsia="es-MX"/>
        </w:rPr>
        <w:drawing>
          <wp:inline distT="0" distB="0" distL="0" distR="0" wp14:anchorId="22110A42" wp14:editId="02C3472B">
            <wp:extent cx="4595854" cy="2024114"/>
            <wp:effectExtent l="0" t="0" r="0" b="0"/>
            <wp:docPr id="3" name="Imagen 3" descr="Tipo de sitio y nive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cesar.zamora\Desktop\ShareX\ShareX\Screenshots\2017-10\2017-10-09_17-16-4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1670" cy="2026675"/>
                    </a:xfrm>
                    <a:prstGeom prst="rect">
                      <a:avLst/>
                    </a:prstGeom>
                    <a:noFill/>
                    <a:ln>
                      <a:noFill/>
                    </a:ln>
                  </pic:spPr>
                </pic:pic>
              </a:graphicData>
            </a:graphic>
          </wp:inline>
        </w:drawing>
      </w:r>
    </w:p>
    <w:p w:rsidR="007C4016" w:rsidRPr="00E27D26" w:rsidRDefault="007C4016" w:rsidP="007C4016">
      <w:pPr>
        <w:pStyle w:val="CitaIFT"/>
        <w:spacing w:before="240" w:after="0"/>
      </w:pPr>
      <w:r w:rsidRPr="00E27D26">
        <w:rPr>
          <w:b/>
          <w:u w:val="single"/>
        </w:rPr>
        <w:t>Como se explicaba con anterioridad la clasificación no es absoluta debido a que por ejemplo, las localidades D+ y D, correspondiente al nivel medio bajo, pueden ser catalogadas como medio (A) o como Bajo (B) dependiendo, entre otras cosas, sí se trata de zonas comerciales o residenciales y su nivel de urbanización o bien localidades C+ y C, pueden ser catalogadas como alto (AA o AAA) atendiendo a las particularidades del</w:t>
      </w:r>
      <w:r w:rsidRPr="00E27D26">
        <w:rPr>
          <w:rFonts w:ascii="HiddenHorzOCR" w:eastAsia="HiddenHorzOCR" w:cs="HiddenHorzOCR"/>
          <w:b/>
          <w:u w:val="single"/>
        </w:rPr>
        <w:t xml:space="preserve"> </w:t>
      </w:r>
      <w:r w:rsidRPr="00E27D26">
        <w:rPr>
          <w:b/>
          <w:u w:val="single"/>
        </w:rPr>
        <w:t>sitio.</w:t>
      </w:r>
      <w:r w:rsidRPr="00E27D26">
        <w:t>”</w:t>
      </w:r>
    </w:p>
    <w:p w:rsidR="007C4016" w:rsidRPr="00E27D26" w:rsidRDefault="007C4016" w:rsidP="007C4016">
      <w:pPr>
        <w:pStyle w:val="CitaIFT"/>
        <w:spacing w:before="240" w:after="0"/>
        <w:ind w:left="1418" w:hanging="567"/>
        <w:jc w:val="right"/>
      </w:pPr>
      <w:r w:rsidRPr="00E27D26">
        <w:t>(Énfasis añadido)</w:t>
      </w:r>
    </w:p>
    <w:p w:rsidR="007C4016" w:rsidRDefault="007C4016" w:rsidP="007C4016">
      <w:pPr>
        <w:pStyle w:val="IFTnormal"/>
        <w:spacing w:before="240" w:after="0"/>
      </w:pPr>
      <w:r>
        <w:t xml:space="preserve">En primer lugar, en su respuesta Telnor hace referencia a la empresa Telesites y a su escisión, por lo que no resulta clara su exposición. </w:t>
      </w:r>
    </w:p>
    <w:p w:rsidR="007C4016" w:rsidRPr="00E27D26" w:rsidRDefault="007C4016" w:rsidP="007C4016">
      <w:pPr>
        <w:pStyle w:val="IFTnormal"/>
        <w:spacing w:before="240" w:after="0"/>
        <w:rPr>
          <w:lang w:val="es-ES_tradnl"/>
        </w:rPr>
      </w:pPr>
      <w:r w:rsidRPr="00AE7385">
        <w:t>Con independencia de lo anterior,</w:t>
      </w:r>
      <w:r w:rsidRPr="00AE7385">
        <w:rPr>
          <w:lang w:val="es-ES_tradnl"/>
        </w:rPr>
        <w:t xml:space="preserve"> el Instituto considera que si bien la Medida CUADRAGÉSIMA PRIMERA de las Medidas Fijas establece que el AEP incluirá las tarifas aplicables al Servicio de Acceso y Uso Compartido de Infraestructura Pasiva, el AEP no ha aportado elementos sólidos que permitan establecer por qué su propuesta de clasificación es adecuada en términos del tipo de infraestructura que se involucra para la prestación de los servicios mayoristas en cuestión</w:t>
      </w:r>
      <w:r w:rsidRPr="00AE7385">
        <w:t xml:space="preserve"> </w:t>
      </w:r>
      <w:r w:rsidRPr="00AE7385">
        <w:rPr>
          <w:lang w:val="es-ES_tradnl"/>
        </w:rPr>
        <w:t>y que tampoco ha provisto información suficiente para que el Instituto pueda replicar la clasificación pretendida, en términos de los criterios que aparentemente sustenta la asociación de un sitio a las diferentes clasificaciones del AEP.</w:t>
      </w:r>
      <w:r w:rsidRPr="00E27D26">
        <w:rPr>
          <w:lang w:val="es-ES_tradnl"/>
        </w:rPr>
        <w:t xml:space="preserve"> </w:t>
      </w:r>
    </w:p>
    <w:p w:rsidR="007C4016" w:rsidRPr="00E27D26" w:rsidRDefault="007C4016" w:rsidP="007C4016">
      <w:pPr>
        <w:pStyle w:val="IFTnormal"/>
        <w:spacing w:before="240" w:after="0"/>
        <w:rPr>
          <w:lang w:val="es-ES_tradnl"/>
        </w:rPr>
      </w:pPr>
      <w:r w:rsidRPr="00E27D26">
        <w:rPr>
          <w:lang w:val="es-ES_tradnl"/>
        </w:rPr>
        <w:lastRenderedPageBreak/>
        <w:t>A mayor abundamiento</w:t>
      </w:r>
      <w:r w:rsidRPr="00E27D26">
        <w:t xml:space="preserve"> y </w:t>
      </w:r>
      <w:r w:rsidRPr="00E27D26">
        <w:rPr>
          <w:lang w:val="es-ES_tradnl"/>
        </w:rPr>
        <w:t xml:space="preserve">como el propio AEP reconoce, </w:t>
      </w:r>
      <w:r w:rsidRPr="00F536EE">
        <w:rPr>
          <w:i/>
          <w:lang w:val="es-ES_tradnl"/>
        </w:rPr>
        <w:t>“la clasificación no es absoluta debido a que por ejemplo, las localidades D+ y D, correspondiente al nivel medio bajo, pueden ser catalogadas como medio (A) o como Bajo (B)”</w:t>
      </w:r>
      <w:r>
        <w:rPr>
          <w:lang w:val="es-ES_tradnl"/>
        </w:rPr>
        <w:t>. Es decir, pareciera que el AEP utiliza en algunos casos particulares criterios discrecionales</w:t>
      </w:r>
      <w:r w:rsidRPr="00E27D26">
        <w:rPr>
          <w:lang w:val="es-ES_tradnl"/>
        </w:rPr>
        <w:t xml:space="preserve"> que se traslada</w:t>
      </w:r>
      <w:r>
        <w:rPr>
          <w:lang w:val="es-ES_tradnl"/>
        </w:rPr>
        <w:t>n</w:t>
      </w:r>
      <w:r w:rsidRPr="00E27D26">
        <w:rPr>
          <w:lang w:val="es-ES_tradnl"/>
        </w:rPr>
        <w:t xml:space="preserve"> a </w:t>
      </w:r>
      <w:r>
        <w:rPr>
          <w:lang w:val="es-ES_tradnl"/>
        </w:rPr>
        <w:t xml:space="preserve">posibles ineficiencias en la determinación de las </w:t>
      </w:r>
      <w:r w:rsidRPr="00E27D26">
        <w:rPr>
          <w:lang w:val="es-ES_tradnl"/>
        </w:rPr>
        <w:t>tarifas que los CS deben pagar al AEP.</w:t>
      </w:r>
    </w:p>
    <w:p w:rsidR="007C4016" w:rsidRPr="00E27D26" w:rsidRDefault="007C4016" w:rsidP="007C4016">
      <w:pPr>
        <w:pStyle w:val="IFTnormal"/>
        <w:spacing w:before="240" w:after="0"/>
        <w:rPr>
          <w:lang w:val="es-ES_tradnl"/>
        </w:rPr>
      </w:pPr>
      <w:r w:rsidRPr="00E27D26">
        <w:rPr>
          <w:color w:val="000000" w:themeColor="text1"/>
        </w:rPr>
        <w:t>En mérito de lo anterior, el Instituto considera necesario replantear la estructura tarifaria</w:t>
      </w:r>
      <w:r w:rsidRPr="00E27D26">
        <w:rPr>
          <w:lang w:val="es-ES_tradnl"/>
        </w:rPr>
        <w:t xml:space="preserve">, a efecto de que obedezca a criterios </w:t>
      </w:r>
      <w:r>
        <w:rPr>
          <w:lang w:val="es-ES_tradnl"/>
        </w:rPr>
        <w:t xml:space="preserve">claros y </w:t>
      </w:r>
      <w:r w:rsidRPr="00E27D26">
        <w:rPr>
          <w:lang w:val="es-ES_tradnl"/>
        </w:rPr>
        <w:t>objetivos</w:t>
      </w:r>
      <w:r>
        <w:rPr>
          <w:lang w:val="es-ES_tradnl"/>
        </w:rPr>
        <w:t>,</w:t>
      </w:r>
      <w:r w:rsidRPr="00E27D26">
        <w:rPr>
          <w:lang w:val="es-ES_tradnl"/>
        </w:rPr>
        <w:t xml:space="preserve"> que permitan a los CS la identificación precisa del nivel tarifario al que corresponde las características de la infraestructura sobre la que tienen interés de solicitar </w:t>
      </w:r>
      <w:r>
        <w:rPr>
          <w:lang w:val="es-ES_tradnl"/>
        </w:rPr>
        <w:t xml:space="preserve">los </w:t>
      </w:r>
      <w:r w:rsidRPr="00E27D26">
        <w:rPr>
          <w:lang w:val="es-ES_tradnl"/>
        </w:rPr>
        <w:t>servicios de compartición.</w:t>
      </w:r>
      <w:r>
        <w:rPr>
          <w:lang w:val="es-ES_tradnl"/>
        </w:rPr>
        <w:t xml:space="preserve"> En este sentido, una segmentación de las tarifas por tipo de infraestructura podría resultar más apropiada ya que le permitiría a los CS identificar de manera más precisa la contraprestación a pagar.</w:t>
      </w:r>
    </w:p>
    <w:p w:rsidR="007C4016" w:rsidRPr="00E27D26" w:rsidRDefault="007C4016" w:rsidP="007C4016">
      <w:pPr>
        <w:pStyle w:val="IFTnormal"/>
        <w:spacing w:before="240" w:after="0"/>
        <w:rPr>
          <w:lang w:val="es-ES_tradnl"/>
        </w:rPr>
      </w:pPr>
      <w:r w:rsidRPr="00E27D26">
        <w:rPr>
          <w:color w:val="000000" w:themeColor="text1"/>
        </w:rPr>
        <w:t>Por otra parte, el Instituto señala que la estructura tarifa de la Propuesta de Oferta de Referencia</w:t>
      </w:r>
      <w:r w:rsidRPr="00E27D26">
        <w:rPr>
          <w:lang w:val="es-ES_tradnl"/>
        </w:rPr>
        <w:t xml:space="preserve"> se basa en la asignación de un s</w:t>
      </w:r>
      <w:r>
        <w:rPr>
          <w:lang w:val="es-ES_tradnl"/>
        </w:rPr>
        <w:t>egmento de espacio en la torre</w:t>
      </w:r>
      <w:r w:rsidRPr="00E27D26">
        <w:rPr>
          <w:lang w:val="es-ES_tradnl"/>
        </w:rPr>
        <w:t xml:space="preserve"> delimitado a través de 8.5 metros cuadrados y una franja de 4 metros lineales, donde el CS debe colocar antenas de radiofrecuencia o de microondas, independientemente de sus dimensiones. En complemento, en el caso de que los elementos a instalar por el concesionario excedan dicho segmento, se plantea un cobro adicional dependiente del nivel del centro de radiación y el área de la antena.</w:t>
      </w:r>
    </w:p>
    <w:p w:rsidR="007C4016" w:rsidRPr="00E27D26" w:rsidRDefault="007C4016" w:rsidP="007C4016">
      <w:pPr>
        <w:pStyle w:val="IFTnormal"/>
        <w:spacing w:before="240" w:after="0"/>
        <w:rPr>
          <w:lang w:val="es-ES_tradnl"/>
        </w:rPr>
      </w:pPr>
      <w:r w:rsidRPr="00E27D26">
        <w:rPr>
          <w:lang w:val="es-ES_tradnl"/>
        </w:rPr>
        <w:t xml:space="preserve">A este respecto, el Instituto considera que si bien la estructura tarifaria propuesta permite a los CS la instalación de diferentes configuraciones de antenas, </w:t>
      </w:r>
      <w:r>
        <w:rPr>
          <w:lang w:val="es-ES_tradnl"/>
        </w:rPr>
        <w:t xml:space="preserve">se considera que otorgar </w:t>
      </w:r>
      <w:r w:rsidRPr="00E27D26">
        <w:rPr>
          <w:lang w:val="es-ES_tradnl"/>
        </w:rPr>
        <w:t xml:space="preserve">mayor flexibilidad en cuanto a la configuración del espacio que un CS puede ocupar </w:t>
      </w:r>
      <w:r w:rsidRPr="00E27D26">
        <w:t xml:space="preserve">en </w:t>
      </w:r>
      <w:r w:rsidRPr="00E27D26">
        <w:rPr>
          <w:lang w:val="es-ES_tradnl"/>
        </w:rPr>
        <w:t>una torre</w:t>
      </w:r>
      <w:r>
        <w:rPr>
          <w:lang w:val="es-ES_tradnl"/>
        </w:rPr>
        <w:t xml:space="preserve"> pudiera contribuir a un mejor aprovechamiento de los espacios disponibles en la infraestructura</w:t>
      </w:r>
      <w:r w:rsidRPr="00E27D26">
        <w:rPr>
          <w:lang w:val="es-ES_tradnl"/>
        </w:rPr>
        <w:t>. Lo anterior en el entendido, de que los CS podrían tener interés en distintos segmentos de una torre, para la colocación de arreglos de antenas con alcances y especificaciones diversos. A este respecto, el Instituto considera que la introducción del uso discontinuo del segmento de espacio contratado en las torres</w:t>
      </w:r>
      <w:r>
        <w:rPr>
          <w:lang w:val="es-ES_tradnl"/>
        </w:rPr>
        <w:t xml:space="preserve"> podría </w:t>
      </w:r>
      <w:r w:rsidRPr="00E27D26">
        <w:rPr>
          <w:lang w:val="es-ES_tradnl"/>
        </w:rPr>
        <w:t>permitir a los CS aprovechar el servicio de manera acorde a sus necesidades.</w:t>
      </w:r>
    </w:p>
    <w:p w:rsidR="007C4016" w:rsidRPr="00E27D26" w:rsidRDefault="007C4016" w:rsidP="007C4016">
      <w:pPr>
        <w:pStyle w:val="IFTnormal"/>
        <w:spacing w:before="240" w:after="0"/>
        <w:rPr>
          <w:lang w:val="es-ES_tradnl"/>
        </w:rPr>
      </w:pPr>
      <w:r w:rsidRPr="00E27D26">
        <w:rPr>
          <w:lang w:val="es-ES_tradnl"/>
        </w:rPr>
        <w:t xml:space="preserve">Sin embargo, se deben establecer condiciones claras respecto a cómo se efectuará dicho uso discontinuo del espacio contratado, a efecto de que las partes involucradas, tanto el AEP como los distintos CS que quieran hacer uso del </w:t>
      </w:r>
      <w:r w:rsidRPr="00E27D26">
        <w:rPr>
          <w:lang w:val="es-ES_tradnl"/>
        </w:rPr>
        <w:lastRenderedPageBreak/>
        <w:t>espacio de una torre específica, tengan conocimiento sobre las reglas aplicables al espacio considerado en la tarifa correspondiente, y los términos de uso.</w:t>
      </w:r>
    </w:p>
    <w:p w:rsidR="007C4016" w:rsidRPr="00E27D26" w:rsidRDefault="007C4016" w:rsidP="007C4016">
      <w:pPr>
        <w:pStyle w:val="IFTnormal"/>
        <w:spacing w:before="240" w:after="0"/>
        <w:rPr>
          <w:lang w:val="es-ES_tradnl"/>
        </w:rPr>
      </w:pPr>
      <w:r w:rsidRPr="00E27D26">
        <w:rPr>
          <w:lang w:val="es-ES_tradnl"/>
        </w:rPr>
        <w:t xml:space="preserve">En este sentido, el Instituto considera que el contenido del apartado </w:t>
      </w:r>
      <w:r>
        <w:rPr>
          <w:lang w:val="es-ES_tradnl"/>
        </w:rPr>
        <w:t>“</w:t>
      </w:r>
      <w:r w:rsidRPr="00842C1C">
        <w:rPr>
          <w:i/>
          <w:lang w:val="es-ES_tradnl"/>
        </w:rPr>
        <w:t>Cargos Recurrentes</w:t>
      </w:r>
      <w:r>
        <w:rPr>
          <w:lang w:val="es-ES_tradnl"/>
        </w:rPr>
        <w:t>”</w:t>
      </w:r>
      <w:r w:rsidRPr="00842C1C">
        <w:rPr>
          <w:lang w:val="es-ES_tradnl"/>
        </w:rPr>
        <w:t xml:space="preserve"> </w:t>
      </w:r>
      <w:r>
        <w:rPr>
          <w:lang w:val="es-ES_tradnl"/>
        </w:rPr>
        <w:t>d</w:t>
      </w:r>
      <w:r w:rsidRPr="00842C1C">
        <w:rPr>
          <w:lang w:val="es-ES_tradnl"/>
        </w:rPr>
        <w:t>el numeral “3. Servicio de Acceso y Uso Compartido de Torres.” de la pro</w:t>
      </w:r>
      <w:r>
        <w:rPr>
          <w:lang w:val="es-ES_tradnl"/>
        </w:rPr>
        <w:t xml:space="preserve">puesta de Oferta de Referencia </w:t>
      </w:r>
      <w:r w:rsidRPr="00E27D26">
        <w:rPr>
          <w:lang w:val="es-ES_tradnl"/>
        </w:rPr>
        <w:t>debe adoptar el siguiente mecanismo a efecto de propiciar el aprovechamiento eficiente de la infraestructura en torres susceptible de ser compartida:</w:t>
      </w:r>
    </w:p>
    <w:p w:rsidR="007C4016" w:rsidRPr="00EF35B0" w:rsidRDefault="007C4016" w:rsidP="007C4016">
      <w:pPr>
        <w:pStyle w:val="IFTnormal"/>
        <w:numPr>
          <w:ilvl w:val="0"/>
          <w:numId w:val="192"/>
        </w:numPr>
        <w:spacing w:before="240" w:after="0"/>
      </w:pPr>
      <w:r w:rsidRPr="00EF35B0">
        <w:t xml:space="preserve">El CS podrá solicitar el uso discontinuo del segmento de espacio en torre y se podrá llevar a cabo sólo si </w:t>
      </w:r>
      <w:r>
        <w:t>Telnor</w:t>
      </w:r>
      <w:r w:rsidRPr="00EF35B0">
        <w:t xml:space="preserve"> así lo </w:t>
      </w:r>
      <w:r>
        <w:t>acepta</w:t>
      </w:r>
      <w:r w:rsidRPr="00EF35B0">
        <w:t>.</w:t>
      </w:r>
    </w:p>
    <w:p w:rsidR="007C4016" w:rsidRPr="00E27D26" w:rsidRDefault="007C4016" w:rsidP="007C4016">
      <w:pPr>
        <w:pStyle w:val="IFTnormal"/>
        <w:numPr>
          <w:ilvl w:val="0"/>
          <w:numId w:val="192"/>
        </w:numPr>
        <w:spacing w:before="240" w:after="0"/>
        <w:rPr>
          <w:lang w:val="es-ES_tradnl"/>
        </w:rPr>
      </w:pPr>
      <w:r w:rsidRPr="00E27D26">
        <w:rPr>
          <w:lang w:val="es-ES_tradnl"/>
        </w:rPr>
        <w:t>Se debe limitar el uso discontinuo del segmento de espacio en torre a un máximo de dos componentes.</w:t>
      </w:r>
    </w:p>
    <w:p w:rsidR="007C4016" w:rsidRPr="00E27D26" w:rsidRDefault="007C4016" w:rsidP="007C4016">
      <w:pPr>
        <w:pStyle w:val="IFTnormal"/>
        <w:numPr>
          <w:ilvl w:val="0"/>
          <w:numId w:val="192"/>
        </w:numPr>
        <w:spacing w:before="240" w:after="0"/>
        <w:rPr>
          <w:lang w:val="es-ES_tradnl"/>
        </w:rPr>
      </w:pPr>
      <w:r w:rsidRPr="00E27D26">
        <w:rPr>
          <w:lang w:val="es-ES_tradnl"/>
        </w:rPr>
        <w:t xml:space="preserve">La suma del espacio ocupada por las dos componentes no podrá exceder 8.5 metros cuadrados y una franja de 4 metros lineales. En caso contrario, el CS deberá cubrir el cargo correspondiente por elemento adicional o en su defecto contrata un nuevo segmento de espacio en torre, según las especificaciones de espacio de superficie y espacio lineal de la torre. </w:t>
      </w:r>
    </w:p>
    <w:p w:rsidR="007C4016" w:rsidRDefault="007C4016" w:rsidP="007C4016">
      <w:pPr>
        <w:pStyle w:val="IFTnormal"/>
        <w:numPr>
          <w:ilvl w:val="0"/>
          <w:numId w:val="192"/>
        </w:numPr>
        <w:spacing w:before="240" w:after="0"/>
      </w:pPr>
      <w:r w:rsidRPr="00E27D26">
        <w:rPr>
          <w:rFonts w:cs="Arial"/>
          <w:lang w:val="es-ES_tradnl" w:eastAsia="es-ES"/>
        </w:rPr>
        <w:t>En caso de que el CS decida ocupar solo uno de los dos componentes del segmento de espacio en torre, con dimensiones menores a 8.5 metros cuadrados y a  4 metros lineales, podrá emplear en el futuro el componente restante, en el entendido de que en caso de que otro CS tenga interés en solicitar espacio en la torre donde se tienen contratados los servicios, el AEP notificará al CS que tiene contratados los servicios para que ocupe en un plazo no mayor a 20 días hábiles el espacio residual al que puede acceder en la torre, o bien que manifieste que no tiene interés</w:t>
      </w:r>
      <w:r w:rsidRPr="00E27D26">
        <w:rPr>
          <w:rFonts w:cs="Arial"/>
          <w:lang w:eastAsia="es-ES"/>
        </w:rPr>
        <w:t>, renunciando a su uso y aceptando seguir pagando por el espacio total contratado</w:t>
      </w:r>
      <w:r w:rsidRPr="00E27D26">
        <w:rPr>
          <w:rFonts w:cs="Arial"/>
          <w:lang w:val="es-ES_tradnl" w:eastAsia="es-ES"/>
        </w:rPr>
        <w:t>.</w:t>
      </w:r>
    </w:p>
    <w:p w:rsidR="007C4016" w:rsidRDefault="007C4016" w:rsidP="007C4016">
      <w:pPr>
        <w:pStyle w:val="IFTnormal"/>
        <w:spacing w:before="240" w:after="0"/>
        <w:rPr>
          <w:lang w:val="es-ES"/>
        </w:rPr>
      </w:pPr>
      <w:r>
        <w:rPr>
          <w:lang w:val="es-ES"/>
        </w:rPr>
        <w:t xml:space="preserve">Por otra parte, </w:t>
      </w:r>
      <w:r w:rsidRPr="002B7230">
        <w:rPr>
          <w:lang w:val="es-ES"/>
        </w:rPr>
        <w:t>el Ins</w:t>
      </w:r>
      <w:r>
        <w:rPr>
          <w:lang w:val="es-ES"/>
        </w:rPr>
        <w:t>tituto observa que en el</w:t>
      </w:r>
      <w:r w:rsidRPr="002B7230">
        <w:rPr>
          <w:lang w:val="es-ES"/>
        </w:rPr>
        <w:t xml:space="preserve"> </w:t>
      </w:r>
      <w:r>
        <w:rPr>
          <w:lang w:val="es-ES"/>
        </w:rPr>
        <w:t>“</w:t>
      </w:r>
      <w:r w:rsidRPr="00C165B1">
        <w:rPr>
          <w:i/>
          <w:lang w:val="es-ES"/>
        </w:rPr>
        <w:t>ANEXO 2 NORMATIVIDAD TECNICA</w:t>
      </w:r>
      <w:r>
        <w:rPr>
          <w:lang w:val="es-ES"/>
        </w:rPr>
        <w:t xml:space="preserve">” </w:t>
      </w:r>
      <w:r w:rsidRPr="00373903">
        <w:rPr>
          <w:lang w:val="es-ES"/>
        </w:rPr>
        <w:tab/>
      </w:r>
      <w:r>
        <w:rPr>
          <w:lang w:val="es-ES"/>
        </w:rPr>
        <w:t>“</w:t>
      </w:r>
      <w:r w:rsidRPr="00C165B1">
        <w:rPr>
          <w:i/>
          <w:lang w:val="es-ES"/>
        </w:rPr>
        <w:t>NORMA PARA LA COMPARTICION DE INFRAESTRUCTURA PASIVA EN TORRES</w:t>
      </w:r>
      <w:r>
        <w:rPr>
          <w:lang w:val="es-ES"/>
        </w:rPr>
        <w:t xml:space="preserve">” </w:t>
      </w:r>
      <w:r w:rsidRPr="002B7230">
        <w:rPr>
          <w:lang w:val="es-ES"/>
        </w:rPr>
        <w:t xml:space="preserve">el AEP integra condiciones fuera de </w:t>
      </w:r>
      <w:r>
        <w:rPr>
          <w:lang w:val="es-ES"/>
        </w:rPr>
        <w:t xml:space="preserve">la </w:t>
      </w:r>
      <w:r w:rsidRPr="002B7230">
        <w:rPr>
          <w:lang w:val="es-ES"/>
        </w:rPr>
        <w:t>Normativa Técnica, esto es, se establecen cuestiones que obedecen al alcance, procedimiento, términos y condiciones par</w:t>
      </w:r>
      <w:r>
        <w:rPr>
          <w:lang w:val="es-ES"/>
        </w:rPr>
        <w:t>a la prestación de los</w:t>
      </w:r>
      <w:r w:rsidRPr="00291DBC">
        <w:rPr>
          <w:lang w:val="es-ES"/>
        </w:rPr>
        <w:t xml:space="preserve"> servicio</w:t>
      </w:r>
      <w:r>
        <w:rPr>
          <w:lang w:val="es-ES"/>
        </w:rPr>
        <w:t>s, lo cual no es consistente con la Medida VIGÉSIMA SÉPTIMA que se cita a continuación:</w:t>
      </w:r>
    </w:p>
    <w:p w:rsidR="007C4016" w:rsidRPr="00291DBC" w:rsidRDefault="007C4016" w:rsidP="007C4016">
      <w:pPr>
        <w:pStyle w:val="Citaift0"/>
        <w:spacing w:before="240" w:after="0"/>
        <w:rPr>
          <w:lang w:val="es-ES_tradnl"/>
        </w:rPr>
      </w:pPr>
      <w:r w:rsidRPr="00291DBC">
        <w:rPr>
          <w:b/>
          <w:lang w:val="es-ES_tradnl"/>
        </w:rPr>
        <w:t xml:space="preserve">“VIGÉSIMA SÉPTIMA. </w:t>
      </w:r>
      <w:r w:rsidRPr="00291DBC">
        <w:rPr>
          <w:lang w:val="es-ES_tradnl"/>
        </w:rPr>
        <w:t xml:space="preserve">El Agente Económico Preponderante deberá proporcionar al Instituto, y a los Concesionarios Solicitantes, a través del Sistema Electrónico de </w:t>
      </w:r>
      <w:r w:rsidRPr="00291DBC">
        <w:rPr>
          <w:lang w:val="es-ES_tradnl"/>
        </w:rPr>
        <w:lastRenderedPageBreak/>
        <w:t xml:space="preserve">Gestión, la normativa técnica, aprobada por el Instituto mediante el procedimiento previsto en la Medida Cuadragésima Primera, </w:t>
      </w:r>
      <w:r w:rsidRPr="00291DBC">
        <w:rPr>
          <w:b/>
          <w:u w:val="single"/>
          <w:lang w:val="es-ES_tradnl"/>
        </w:rPr>
        <w:t>que contenga los criterios técnicos para la utilización y acceso a la infraestructura que se pone a disposición de otros concesionarios,</w:t>
      </w:r>
      <w:r w:rsidRPr="00291DBC">
        <w:rPr>
          <w:lang w:val="es-ES_tradnl"/>
        </w:rPr>
        <w:t xml:space="preserve"> así como para la instalación de cables y de otros elementos de red que sean necesarios para la eficiente prestación de los servicios de telecomunicaciones, y todas las demás que sean relevantes.  </w:t>
      </w:r>
    </w:p>
    <w:p w:rsidR="007C4016" w:rsidRPr="00291DBC" w:rsidRDefault="007C4016" w:rsidP="007C4016">
      <w:pPr>
        <w:pStyle w:val="Citaift0"/>
        <w:spacing w:before="240" w:after="0"/>
        <w:rPr>
          <w:b/>
          <w:u w:val="single"/>
          <w:lang w:val="es-ES_tradnl"/>
        </w:rPr>
      </w:pPr>
      <w:r w:rsidRPr="00291DBC">
        <w:rPr>
          <w:b/>
          <w:u w:val="single"/>
          <w:lang w:val="es-ES_tradnl"/>
        </w:rPr>
        <w:t>Los Concesionarios Solicitantes deberán observar la normativa técnica cuando hagan uso del servicio de Acceso y Uso Compartido de Infraestructura Pasiva, prevista en la Oferta Pública de Referencia.”</w:t>
      </w:r>
    </w:p>
    <w:p w:rsidR="007C4016" w:rsidRPr="00291DBC" w:rsidRDefault="007C4016" w:rsidP="007C4016">
      <w:pPr>
        <w:pStyle w:val="Citaift0"/>
        <w:spacing w:before="240" w:after="0"/>
        <w:jc w:val="right"/>
      </w:pPr>
      <w:r w:rsidRPr="00291DBC">
        <w:t>(Énfasis añadido)</w:t>
      </w:r>
    </w:p>
    <w:p w:rsidR="007C4016" w:rsidRPr="00291DBC" w:rsidRDefault="007C4016" w:rsidP="007C4016">
      <w:pPr>
        <w:pStyle w:val="IFTnormal"/>
        <w:spacing w:before="240" w:after="0"/>
      </w:pPr>
      <w:r w:rsidRPr="00291DBC">
        <w:t>De lo anterior se desprende que el AEP deberá proporcionar la normativa técnica que contenga criterios técnicos para la utilización</w:t>
      </w:r>
      <w:r>
        <w:t xml:space="preserve"> y acceso a la infraestructura</w:t>
      </w:r>
      <w:r w:rsidRPr="00291DBC">
        <w:t xml:space="preserve"> y de otros elementos necesarios para la eficiente prestación de los servicios de telecomunicaciones. En este sentido, el contener la normativa técnica con cuestiones diferentes a las establecidas por la Medida anterior</w:t>
      </w:r>
      <w:r>
        <w:t>mente</w:t>
      </w:r>
      <w:r w:rsidRPr="00291DBC">
        <w:t xml:space="preserve"> citada, no dota claridad al documento de la ORCI, ni da certeza a los CS sobre los alcances del servicio.</w:t>
      </w:r>
    </w:p>
    <w:p w:rsidR="007C4016" w:rsidRPr="00291DBC" w:rsidRDefault="007C4016" w:rsidP="007C4016">
      <w:pPr>
        <w:pStyle w:val="IFTnormal"/>
        <w:spacing w:before="240" w:after="0"/>
      </w:pPr>
      <w:r>
        <w:t>Por consiguiente</w:t>
      </w:r>
      <w:r w:rsidRPr="00291DBC">
        <w:t xml:space="preserve">, a juicio del Instituto, en </w:t>
      </w:r>
      <w:r>
        <w:t>la “</w:t>
      </w:r>
      <w:r w:rsidRPr="00824F74">
        <w:rPr>
          <w:i/>
        </w:rPr>
        <w:t>NORMA PARA LA COMPARTICION DE INFRAESTRUCTURA PASIVA EN TORRES</w:t>
      </w:r>
      <w:r>
        <w:t>”, correspondiente al “</w:t>
      </w:r>
      <w:r w:rsidRPr="00824F74">
        <w:rPr>
          <w:i/>
          <w:lang w:val="es-ES"/>
        </w:rPr>
        <w:t>3.</w:t>
      </w:r>
      <w:r w:rsidRPr="00824F74">
        <w:rPr>
          <w:i/>
          <w:lang w:val="es-ES"/>
        </w:rPr>
        <w:tab/>
        <w:t xml:space="preserve"> SERVICIO DE ACCESO Y USO COMPARTIDO DE TORRES</w:t>
      </w:r>
      <w:r>
        <w:rPr>
          <w:bCs w:val="0"/>
          <w:lang w:val="es-ES"/>
        </w:rPr>
        <w:t>”,</w:t>
      </w:r>
      <w:r w:rsidRPr="00291DBC">
        <w:t xml:space="preserve"> existen diversas cuestiones fuera de los criterios técnicos </w:t>
      </w:r>
      <w:r>
        <w:t>que</w:t>
      </w:r>
      <w:r w:rsidRPr="00291DBC">
        <w:t xml:space="preserve"> obedecen al alcance o al procedimiento para la prestación del servicio. A continuación se citan estas cuestiones:</w:t>
      </w:r>
    </w:p>
    <w:p w:rsidR="007C4016" w:rsidRDefault="007C4016" w:rsidP="007C4016">
      <w:pPr>
        <w:pStyle w:val="Citaift0"/>
        <w:spacing w:before="240" w:after="0"/>
        <w:rPr>
          <w:b/>
        </w:rPr>
      </w:pPr>
      <w:r>
        <w:rPr>
          <w:b/>
        </w:rPr>
        <w:t xml:space="preserve"> “</w:t>
      </w:r>
      <w:r w:rsidRPr="001C15D8">
        <w:rPr>
          <w:b/>
        </w:rPr>
        <w:t>NORMA PARA LA COMPARTICION DE INFRAESTRUCTURA PASIVA EN TORRES</w:t>
      </w:r>
    </w:p>
    <w:p w:rsidR="007C4016" w:rsidRPr="00D73D98" w:rsidRDefault="007C4016" w:rsidP="007C4016">
      <w:pPr>
        <w:pStyle w:val="Citaift0"/>
        <w:spacing w:before="240" w:after="0"/>
      </w:pPr>
      <w:r w:rsidRPr="00D73D98">
        <w:t>[…]</w:t>
      </w:r>
    </w:p>
    <w:p w:rsidR="007C4016" w:rsidRPr="001C15D8" w:rsidRDefault="007C4016" w:rsidP="007C4016">
      <w:pPr>
        <w:pStyle w:val="Citaift0"/>
        <w:spacing w:before="240" w:after="0"/>
        <w:rPr>
          <w:b/>
        </w:rPr>
      </w:pPr>
      <w:r w:rsidRPr="001C15D8">
        <w:rPr>
          <w:b/>
        </w:rPr>
        <w:t>6.2.-</w:t>
      </w:r>
      <w:r w:rsidRPr="001C15D8">
        <w:rPr>
          <w:b/>
        </w:rPr>
        <w:tab/>
        <w:t xml:space="preserve">CONDICIONES Y REQUISITOS PARA EL USO DE INFRAESTRUCTURA </w:t>
      </w:r>
      <w:r>
        <w:rPr>
          <w:b/>
        </w:rPr>
        <w:t>TELNOR</w:t>
      </w:r>
      <w:r w:rsidRPr="001C15D8">
        <w:rPr>
          <w:b/>
        </w:rPr>
        <w:t>.</w:t>
      </w:r>
    </w:p>
    <w:p w:rsidR="007C4016" w:rsidRPr="00650F99" w:rsidRDefault="007C4016" w:rsidP="007C4016">
      <w:pPr>
        <w:pStyle w:val="Citaift0"/>
        <w:spacing w:before="240" w:after="0"/>
        <w:rPr>
          <w:b/>
        </w:rPr>
      </w:pPr>
      <w:r w:rsidRPr="00650F99">
        <w:rPr>
          <w:b/>
        </w:rPr>
        <w:t>6.2.1.-</w:t>
      </w:r>
      <w:r w:rsidRPr="00650F99">
        <w:rPr>
          <w:b/>
        </w:rPr>
        <w:tab/>
        <w:t>Condición para instalación de equipos de microondas.</w:t>
      </w:r>
    </w:p>
    <w:p w:rsidR="007C4016" w:rsidRPr="00650F99" w:rsidRDefault="007C4016" w:rsidP="007C4016">
      <w:pPr>
        <w:pStyle w:val="Citaift0"/>
        <w:spacing w:before="240" w:after="0"/>
      </w:pPr>
      <w:r w:rsidRPr="00650F99">
        <w:t xml:space="preserve">Todo sistema radiante que un Concesionario Solicitante requiera instalar en infraestructura </w:t>
      </w:r>
      <w:r>
        <w:t>TELNOR</w:t>
      </w:r>
      <w:r w:rsidRPr="00650F99">
        <w:t xml:space="preserve"> debe contar con la homologación oficial por parte de la SCT y/o IFT, por lo tanto, para el uso de la infraestructura de </w:t>
      </w:r>
      <w:r>
        <w:t>TELNOR</w:t>
      </w:r>
      <w:r w:rsidRPr="00650F99">
        <w:t xml:space="preserve">, el Concesionario Solicitante debe proporcionar el Certificado de Homologación del equipo a instalar. </w:t>
      </w:r>
    </w:p>
    <w:p w:rsidR="007C4016" w:rsidRPr="00650F99" w:rsidRDefault="007C4016" w:rsidP="007C4016">
      <w:pPr>
        <w:pStyle w:val="Citaift0"/>
        <w:spacing w:before="240" w:after="0"/>
      </w:pPr>
      <w:r w:rsidRPr="00650F99">
        <w:t xml:space="preserve">La compartición de la infraestructura pasiva está referida únicamente al uso de la torre por un sistema radiante. Para la instalación del equipo de radio asociado a dicho sistema radiante, el uso de coubicación o uso de espacio físico, se atenderán </w:t>
      </w:r>
      <w:r w:rsidRPr="00650F99">
        <w:lastRenderedPageBreak/>
        <w:t>de manera integral o parcial en el anteproyecto de uso de infraestructura pasiva en torres.</w:t>
      </w:r>
    </w:p>
    <w:p w:rsidR="007C4016" w:rsidRPr="00650F99" w:rsidRDefault="007C4016" w:rsidP="007C4016">
      <w:pPr>
        <w:pStyle w:val="Citaift0"/>
        <w:spacing w:before="240" w:after="0"/>
        <w:rPr>
          <w:b/>
        </w:rPr>
      </w:pPr>
      <w:r w:rsidRPr="00650F99">
        <w:rPr>
          <w:b/>
        </w:rPr>
        <w:t>6.2.2.-</w:t>
      </w:r>
      <w:r w:rsidRPr="00650F99">
        <w:rPr>
          <w:b/>
        </w:rPr>
        <w:tab/>
        <w:t>Capacidad excedente.</w:t>
      </w:r>
    </w:p>
    <w:p w:rsidR="007C4016" w:rsidRPr="00650F99" w:rsidRDefault="007C4016" w:rsidP="007C4016">
      <w:pPr>
        <w:pStyle w:val="Citaift0"/>
        <w:spacing w:before="240" w:after="0"/>
      </w:pPr>
      <w:r w:rsidRPr="00650F99">
        <w:t xml:space="preserve">La determinación de Capacidad Excedente para la instalación de los equipos del Concesionario Solicitante en la torre, estará basada en el número de franjas sobre la torre que no sean utilizadas por </w:t>
      </w:r>
      <w:r>
        <w:t>TELNOR</w:t>
      </w:r>
      <w:r w:rsidRPr="00650F99">
        <w:t xml:space="preserve"> o por algún otro Concesionario Solicitante sobre la misma. Dichas franjas ocuparan 4 metros lineales en el cuerpo vertical en la torre con una superficie máxima de 8.5 m2. </w:t>
      </w:r>
      <w:r>
        <w:t>TELNOR</w:t>
      </w:r>
      <w:r w:rsidRPr="00650F99">
        <w:t xml:space="preserve"> ofrecerá la posibilidad de reorganizar los espacios y/o equipos instalados para liberar franjas adicionales y lograr un mejor aprovechamiento de la Infraestructura Pasiva.</w:t>
      </w:r>
    </w:p>
    <w:p w:rsidR="007C4016" w:rsidRPr="00650F99" w:rsidRDefault="007C4016" w:rsidP="007C4016">
      <w:pPr>
        <w:pStyle w:val="Citaift0"/>
        <w:spacing w:before="240" w:after="0"/>
      </w:pPr>
      <w:r w:rsidRPr="00650F99">
        <w:t xml:space="preserve">Independientemente de la disponibilidad de franjas, se deberán realizar los cálculos y análisis pertinentes para asegurar que la potencial instalación cumpla </w:t>
      </w:r>
      <w:r>
        <w:t>con la normativa técnica sobre:</w:t>
      </w:r>
    </w:p>
    <w:p w:rsidR="007C4016" w:rsidRPr="00650F99" w:rsidRDefault="007C4016" w:rsidP="007C4016">
      <w:pPr>
        <w:pStyle w:val="Citaift0"/>
        <w:numPr>
          <w:ilvl w:val="0"/>
          <w:numId w:val="183"/>
        </w:numPr>
        <w:spacing w:before="240" w:after="0"/>
      </w:pPr>
      <w:r w:rsidRPr="00650F99">
        <w:t>Cargas gravitacionales sobre la estructura de la torre</w:t>
      </w:r>
    </w:p>
    <w:p w:rsidR="007C4016" w:rsidRPr="00650F99" w:rsidRDefault="007C4016" w:rsidP="007C4016">
      <w:pPr>
        <w:pStyle w:val="Citaift0"/>
        <w:numPr>
          <w:ilvl w:val="0"/>
          <w:numId w:val="183"/>
        </w:numPr>
        <w:spacing w:after="0"/>
      </w:pPr>
      <w:r w:rsidRPr="00650F99">
        <w:t>Fuerzas del Viento</w:t>
      </w:r>
    </w:p>
    <w:p w:rsidR="007C4016" w:rsidRPr="00650F99" w:rsidRDefault="007C4016" w:rsidP="007C4016">
      <w:pPr>
        <w:pStyle w:val="Citaift0"/>
        <w:numPr>
          <w:ilvl w:val="0"/>
          <w:numId w:val="183"/>
        </w:numPr>
        <w:spacing w:after="0"/>
      </w:pPr>
      <w:r w:rsidRPr="00650F99">
        <w:t>Fuerzas de Sismo</w:t>
      </w:r>
    </w:p>
    <w:p w:rsidR="007C4016" w:rsidRPr="00650F99" w:rsidRDefault="007C4016" w:rsidP="007C4016">
      <w:pPr>
        <w:pStyle w:val="Citaift0"/>
        <w:spacing w:before="240" w:after="0"/>
      </w:pPr>
      <w:r w:rsidRPr="00650F99">
        <w:t>La saturación del espacio en las torres estará determinada por la combinación de estos dos factores, es decir la ocupación de todas las franjas disponibles y los límites establecidos para el cumplim</w:t>
      </w:r>
      <w:r>
        <w:t xml:space="preserve">iento de la normativa técnica. </w:t>
      </w:r>
    </w:p>
    <w:p w:rsidR="007C4016" w:rsidRPr="00650F99" w:rsidRDefault="007C4016" w:rsidP="007C4016">
      <w:pPr>
        <w:pStyle w:val="Citaift0"/>
        <w:spacing w:before="240" w:after="0"/>
      </w:pPr>
      <w:r w:rsidRPr="00650F99">
        <w:t>Tanto la capacidad total en la torre, como el punto de saturación de dicha capacidad, son específicas para cada tipo de torre de acuerdo con las características de su construcción.</w:t>
      </w:r>
    </w:p>
    <w:p w:rsidR="007C4016" w:rsidRPr="00650F99" w:rsidRDefault="007C4016" w:rsidP="007C4016">
      <w:pPr>
        <w:pStyle w:val="Citaift0"/>
        <w:spacing w:before="240" w:after="0"/>
        <w:rPr>
          <w:b/>
        </w:rPr>
      </w:pPr>
      <w:r w:rsidRPr="00650F99">
        <w:rPr>
          <w:b/>
        </w:rPr>
        <w:t>6.2.3.-</w:t>
      </w:r>
      <w:r w:rsidRPr="00650F99">
        <w:rPr>
          <w:b/>
        </w:rPr>
        <w:tab/>
        <w:t>Visita Técnica</w:t>
      </w:r>
    </w:p>
    <w:p w:rsidR="007C4016" w:rsidRPr="00650F99" w:rsidRDefault="007C4016" w:rsidP="007C4016">
      <w:pPr>
        <w:pStyle w:val="Citaift0"/>
        <w:spacing w:before="240" w:after="0"/>
      </w:pPr>
      <w:r w:rsidRPr="00650F99">
        <w:t xml:space="preserve">Durante la visita técnica el personal de </w:t>
      </w:r>
      <w:r>
        <w:t>TELNOR</w:t>
      </w:r>
      <w:r w:rsidRPr="00650F99">
        <w:t xml:space="preserve"> y el personal del Concesionario Solicitante revisarán y validarán en conjunto, la posibilidad de la compartición de la infraestructura de torres mediante un trabajo especial, cuando no haya existido capacidad excedente de manera inicial, considerando los siguientes elementos:</w:t>
      </w:r>
    </w:p>
    <w:p w:rsidR="007C4016" w:rsidRPr="00650F99" w:rsidRDefault="007C4016" w:rsidP="007C4016">
      <w:pPr>
        <w:pStyle w:val="Citaift0"/>
        <w:numPr>
          <w:ilvl w:val="0"/>
          <w:numId w:val="184"/>
        </w:numPr>
        <w:spacing w:before="240" w:after="0"/>
      </w:pPr>
      <w:r w:rsidRPr="00650F99">
        <w:t>El espacio disponible para compartir es  de 4 metros lineales en el cuerpo vertical en la torre para una superficie máxima de 8.5 m².</w:t>
      </w:r>
    </w:p>
    <w:p w:rsidR="007C4016" w:rsidRPr="00650F99" w:rsidRDefault="007C4016" w:rsidP="007C4016">
      <w:pPr>
        <w:pStyle w:val="Citaift0"/>
        <w:numPr>
          <w:ilvl w:val="0"/>
          <w:numId w:val="184"/>
        </w:numPr>
        <w:spacing w:after="0"/>
      </w:pPr>
      <w:r w:rsidRPr="00650F99">
        <w:t>El peso y dimensiones de las antenas a instalar.</w:t>
      </w:r>
    </w:p>
    <w:p w:rsidR="007C4016" w:rsidRPr="00650F99" w:rsidRDefault="007C4016" w:rsidP="007C4016">
      <w:pPr>
        <w:pStyle w:val="Citaift0"/>
        <w:numPr>
          <w:ilvl w:val="0"/>
          <w:numId w:val="184"/>
        </w:numPr>
        <w:spacing w:after="0"/>
      </w:pPr>
      <w:r w:rsidRPr="00650F99">
        <w:t>Altura propuesta para la instalación de sus antenas.</w:t>
      </w:r>
    </w:p>
    <w:p w:rsidR="007C4016" w:rsidRPr="00650F99" w:rsidRDefault="007C4016" w:rsidP="007C4016">
      <w:pPr>
        <w:pStyle w:val="Citaift0"/>
        <w:numPr>
          <w:ilvl w:val="0"/>
          <w:numId w:val="184"/>
        </w:numPr>
        <w:spacing w:after="0"/>
      </w:pPr>
      <w:r w:rsidRPr="00650F99">
        <w:t>Tipos de herrajes a utilizar</w:t>
      </w:r>
    </w:p>
    <w:p w:rsidR="007C4016" w:rsidRPr="00650F99" w:rsidRDefault="007C4016" w:rsidP="007C4016">
      <w:pPr>
        <w:pStyle w:val="Citaift0"/>
        <w:numPr>
          <w:ilvl w:val="0"/>
          <w:numId w:val="184"/>
        </w:numPr>
        <w:spacing w:after="0"/>
      </w:pPr>
      <w:r w:rsidRPr="00650F99">
        <w:t>Tipo y características del radio a instalar.</w:t>
      </w:r>
    </w:p>
    <w:p w:rsidR="007C4016" w:rsidRPr="00650F99" w:rsidRDefault="007C4016" w:rsidP="007C4016">
      <w:pPr>
        <w:pStyle w:val="Citaift0"/>
        <w:numPr>
          <w:ilvl w:val="0"/>
          <w:numId w:val="184"/>
        </w:numPr>
        <w:spacing w:after="0"/>
      </w:pPr>
      <w:r w:rsidRPr="00650F99">
        <w:t>Espacios existentes en torre.</w:t>
      </w:r>
    </w:p>
    <w:p w:rsidR="007C4016" w:rsidRPr="00650F99" w:rsidRDefault="007C4016" w:rsidP="007C4016">
      <w:pPr>
        <w:pStyle w:val="Citaift0"/>
        <w:numPr>
          <w:ilvl w:val="0"/>
          <w:numId w:val="184"/>
        </w:numPr>
        <w:spacing w:after="0"/>
      </w:pPr>
      <w:r w:rsidRPr="00650F99">
        <w:t>Uso de escalerillas.</w:t>
      </w:r>
    </w:p>
    <w:p w:rsidR="007C4016" w:rsidRPr="00650F99" w:rsidRDefault="007C4016" w:rsidP="007C4016">
      <w:pPr>
        <w:pStyle w:val="Citaift0"/>
        <w:numPr>
          <w:ilvl w:val="0"/>
          <w:numId w:val="184"/>
        </w:numPr>
        <w:spacing w:after="0"/>
      </w:pPr>
      <w:r w:rsidRPr="00650F99">
        <w:t>Análisis estructural de torre.</w:t>
      </w:r>
    </w:p>
    <w:p w:rsidR="007C4016" w:rsidRPr="00650F99" w:rsidRDefault="007C4016" w:rsidP="007C4016">
      <w:pPr>
        <w:pStyle w:val="Citaift0"/>
        <w:numPr>
          <w:ilvl w:val="0"/>
          <w:numId w:val="184"/>
        </w:numPr>
        <w:spacing w:after="0"/>
      </w:pPr>
      <w:r w:rsidRPr="00650F99">
        <w:t>Sistemas de Tierra.</w:t>
      </w:r>
    </w:p>
    <w:p w:rsidR="007C4016" w:rsidRDefault="007C4016" w:rsidP="007C4016">
      <w:pPr>
        <w:pStyle w:val="Citaift0"/>
        <w:numPr>
          <w:ilvl w:val="0"/>
          <w:numId w:val="184"/>
        </w:numPr>
        <w:spacing w:after="0"/>
      </w:pPr>
      <w:r w:rsidRPr="00650F99">
        <w:t>Espacio físico  o coubicación para alojar el radio.</w:t>
      </w:r>
    </w:p>
    <w:p w:rsidR="007C4016" w:rsidRPr="001C15D8" w:rsidRDefault="007C4016" w:rsidP="007C4016">
      <w:pPr>
        <w:pStyle w:val="Citaift0"/>
        <w:spacing w:before="240" w:after="0"/>
      </w:pPr>
      <w:r w:rsidRPr="00650F99">
        <w:lastRenderedPageBreak/>
        <w:t xml:space="preserve">En caso de concluir que la compartición es factible, </w:t>
      </w:r>
      <w:r>
        <w:t>TELNOR</w:t>
      </w:r>
      <w:r w:rsidRPr="00650F99">
        <w:t xml:space="preserve"> deberá ofrecer la posibilidad de trabajo especial, y entregar el proyecto y presupuesto del mismo.”</w:t>
      </w:r>
    </w:p>
    <w:p w:rsidR="007C4016" w:rsidRPr="009C14C4" w:rsidRDefault="007C4016" w:rsidP="007C4016">
      <w:pPr>
        <w:pStyle w:val="Citaift0"/>
        <w:spacing w:before="240" w:after="0"/>
        <w:ind w:left="1341"/>
        <w:jc w:val="right"/>
      </w:pPr>
      <w:r w:rsidRPr="009C14C4">
        <w:t>(Énfasis añadido)</w:t>
      </w:r>
    </w:p>
    <w:p w:rsidR="007C4016" w:rsidRPr="00266443" w:rsidRDefault="007C4016" w:rsidP="007C4016">
      <w:pPr>
        <w:pStyle w:val="IFTnormal"/>
        <w:spacing w:before="240" w:after="0"/>
      </w:pPr>
      <w:r w:rsidRPr="00266443">
        <w:t>De lo anterior, a juicio del Instituto, las condiciones para la prestación del servicio deben situarse en su correspondiente descripción del servicio, con la finalidad de que su respectivo anexo se enfoque en cuestiones técnicas. En este sentido, la Medida VIGÉSIMA SÉPTIMA indica que la normativa técnica deberá contener los criterios técnicos para la utilización y acceso a la infraestructura, mientras que de acuerdo a la Medida CUADRAGÉSIMA PRIMERA, las Ofertas de Referencia deberán establecer las condiciones aplicables a los servicios de telecomunicaciones como se muestra a continuación:</w:t>
      </w:r>
    </w:p>
    <w:p w:rsidR="007C4016" w:rsidRPr="00266443" w:rsidRDefault="007C4016" w:rsidP="007C4016">
      <w:pPr>
        <w:pStyle w:val="Citaift0"/>
        <w:spacing w:before="240" w:after="0"/>
      </w:pPr>
      <w:r w:rsidRPr="00266443">
        <w:rPr>
          <w:b/>
        </w:rPr>
        <w:t xml:space="preserve"> “CUADRAGÉSIMA PRIMERA.-</w:t>
      </w:r>
      <w:r w:rsidRPr="00266443">
        <w:t xml:space="preserve"> 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7C4016" w:rsidRPr="00266443" w:rsidRDefault="007C4016" w:rsidP="007C4016">
      <w:pPr>
        <w:pStyle w:val="Citaift0"/>
        <w:spacing w:before="240" w:after="0"/>
        <w:jc w:val="right"/>
      </w:pPr>
      <w:r w:rsidRPr="00266443">
        <w:t>Párrafo modificado Resolución P/IFT/EXT/270217/119</w:t>
      </w:r>
    </w:p>
    <w:p w:rsidR="007C4016" w:rsidRPr="00266443" w:rsidRDefault="007C4016" w:rsidP="007C4016">
      <w:pPr>
        <w:pStyle w:val="Citaift0"/>
        <w:spacing w:before="240" w:after="0"/>
        <w:rPr>
          <w:b/>
          <w:u w:val="single"/>
        </w:rPr>
      </w:pPr>
      <w:r w:rsidRPr="00266443">
        <w:rPr>
          <w:b/>
          <w:u w:val="single"/>
        </w:rPr>
        <w:t>Cada oferta deberá contener cuando menos lo siguiente:</w:t>
      </w:r>
    </w:p>
    <w:p w:rsidR="007C4016" w:rsidRPr="00266443" w:rsidRDefault="007C4016" w:rsidP="007C4016">
      <w:pPr>
        <w:pStyle w:val="Citaift0"/>
        <w:spacing w:before="240" w:after="0"/>
        <w:jc w:val="right"/>
      </w:pPr>
      <w:r w:rsidRPr="00266443">
        <w:t>Párrafo adicionado Resolución P/IFT/EXT/270217/119</w:t>
      </w:r>
    </w:p>
    <w:p w:rsidR="007C4016" w:rsidRPr="00266443" w:rsidRDefault="007C4016" w:rsidP="007C4016">
      <w:pPr>
        <w:pStyle w:val="Citaift0"/>
        <w:numPr>
          <w:ilvl w:val="2"/>
          <w:numId w:val="73"/>
        </w:numPr>
        <w:spacing w:before="240" w:after="0"/>
        <w:rPr>
          <w:b/>
          <w:u w:val="single"/>
        </w:rPr>
      </w:pPr>
      <w:r w:rsidRPr="00266443">
        <w:rPr>
          <w:b/>
          <w:u w:val="single"/>
        </w:rPr>
        <w:t>Servicios establecidos de manera específica y condiciones aplicables a los mismos;</w:t>
      </w:r>
    </w:p>
    <w:p w:rsidR="007C4016" w:rsidRPr="00266443" w:rsidRDefault="007C4016" w:rsidP="007C4016">
      <w:pPr>
        <w:pStyle w:val="Citaift0"/>
        <w:spacing w:before="240" w:after="0"/>
      </w:pPr>
      <w:r w:rsidRPr="00266443">
        <w:t>[…]”</w:t>
      </w:r>
    </w:p>
    <w:p w:rsidR="007C4016" w:rsidRDefault="007C4016" w:rsidP="007C4016">
      <w:pPr>
        <w:pStyle w:val="Citaift0"/>
        <w:spacing w:before="240" w:after="0"/>
        <w:jc w:val="right"/>
      </w:pPr>
      <w:r w:rsidRPr="00266443">
        <w:t>(Énfasis añadido)</w:t>
      </w:r>
    </w:p>
    <w:p w:rsidR="007C4016" w:rsidRPr="005B43A1" w:rsidRDefault="007C4016" w:rsidP="007C4016">
      <w:pPr>
        <w:pStyle w:val="IFTnormal"/>
        <w:spacing w:before="240" w:after="0"/>
      </w:pPr>
      <w:r w:rsidRPr="00266443">
        <w:t xml:space="preserve">De lo anterior, a juicio del Instituto, los criterios descriptivos del alcance para la prestación del servicio, así como las condiciones de los servicios se deben situar en su correspondiente descripción del servicio, con la finalidad de que su respectivo anexo se enfoque en cuestiones técnicas. Por consiguiente, con </w:t>
      </w:r>
      <w:r>
        <w:t>el objetivo</w:t>
      </w:r>
      <w:r w:rsidRPr="00266443">
        <w:t xml:space="preserve"> de brindar mayor certeza a los CS sobre lo descrito en el “</w:t>
      </w:r>
      <w:r w:rsidRPr="008A4A3F">
        <w:t>3.</w:t>
      </w:r>
      <w:r w:rsidRPr="008A4A3F">
        <w:tab/>
        <w:t xml:space="preserve"> SERVICIO DE ACCESO Y USO COMPARTIDO DE TORRES</w:t>
      </w:r>
      <w:r w:rsidRPr="00291DBC">
        <w:t xml:space="preserve">”, es necesario </w:t>
      </w:r>
      <w:r>
        <w:t>modificarlo</w:t>
      </w:r>
      <w:r w:rsidRPr="00291DBC">
        <w:t xml:space="preserve"> para que </w:t>
      </w:r>
      <w:r>
        <w:t xml:space="preserve">incluya las </w:t>
      </w:r>
      <w:r>
        <w:lastRenderedPageBreak/>
        <w:t>condiciones pertenecientes al servicio, con la finalidad de que en su respectivo anexo solamente se encuentren</w:t>
      </w:r>
      <w:r w:rsidRPr="00291DBC">
        <w:t xml:space="preserve"> cuestiones de criterios técnicos y su normativa. </w:t>
      </w:r>
    </w:p>
    <w:p w:rsidR="007C4016" w:rsidRDefault="007C4016" w:rsidP="007C4016">
      <w:pPr>
        <w:pStyle w:val="IFTnormal"/>
        <w:spacing w:before="240" w:after="0"/>
        <w:rPr>
          <w:lang w:val="es-ES"/>
        </w:rPr>
      </w:pPr>
      <w:r>
        <w:rPr>
          <w:lang w:val="es-ES"/>
        </w:rPr>
        <w:t>Adicionalmente, en el apartado “</w:t>
      </w:r>
      <w:r w:rsidRPr="00D73D98">
        <w:rPr>
          <w:lang w:val="es-ES"/>
        </w:rPr>
        <w:t>6.2.1.-</w:t>
      </w:r>
      <w:r w:rsidRPr="00D73D98">
        <w:rPr>
          <w:lang w:val="es-ES"/>
        </w:rPr>
        <w:tab/>
        <w:t>Condición para insta</w:t>
      </w:r>
      <w:r>
        <w:rPr>
          <w:lang w:val="es-ES"/>
        </w:rPr>
        <w:t xml:space="preserve">lación de equipos de microondas” de la </w:t>
      </w:r>
      <w:r w:rsidRPr="00D73D98">
        <w:rPr>
          <w:lang w:val="es-ES"/>
        </w:rPr>
        <w:t>“NORMA PARA LA COMPARTICION DE I</w:t>
      </w:r>
      <w:r>
        <w:rPr>
          <w:lang w:val="es-ES"/>
        </w:rPr>
        <w:t>NFRAESTRUCTURA PASIVA EN TORRES”, el AEP limita la compartición de infraestructura de las torres a los sistemas radiantes, como se muestra a  continuación:</w:t>
      </w:r>
    </w:p>
    <w:p w:rsidR="007C4016" w:rsidRDefault="007C4016" w:rsidP="007C4016">
      <w:pPr>
        <w:pStyle w:val="Citaift0"/>
        <w:spacing w:before="240" w:after="0"/>
        <w:rPr>
          <w:b/>
        </w:rPr>
      </w:pPr>
      <w:r>
        <w:rPr>
          <w:b/>
        </w:rPr>
        <w:t>“</w:t>
      </w:r>
      <w:r w:rsidRPr="001C15D8">
        <w:rPr>
          <w:b/>
        </w:rPr>
        <w:t>NORMA PARA LA COMPARTICION DE INFRAESTRUCTURA PASIVA EN TORRES</w:t>
      </w:r>
    </w:p>
    <w:p w:rsidR="007C4016" w:rsidRPr="00D73D98" w:rsidRDefault="007C4016" w:rsidP="007C4016">
      <w:pPr>
        <w:pStyle w:val="Citaift0"/>
        <w:spacing w:before="240" w:after="0"/>
      </w:pPr>
      <w:r w:rsidRPr="00D73D98">
        <w:t>[…]</w:t>
      </w:r>
    </w:p>
    <w:p w:rsidR="007C4016" w:rsidRPr="001C15D8" w:rsidRDefault="007C4016" w:rsidP="007C4016">
      <w:pPr>
        <w:pStyle w:val="Citaift0"/>
        <w:spacing w:before="240" w:after="0"/>
        <w:rPr>
          <w:b/>
        </w:rPr>
      </w:pPr>
      <w:r w:rsidRPr="001C15D8">
        <w:rPr>
          <w:b/>
        </w:rPr>
        <w:t>6.2.-</w:t>
      </w:r>
      <w:r w:rsidRPr="001C15D8">
        <w:rPr>
          <w:b/>
        </w:rPr>
        <w:tab/>
        <w:t xml:space="preserve">CONDICIONES Y REQUISITOS PARA EL USO DE INFRAESTRUCTURA </w:t>
      </w:r>
      <w:r>
        <w:rPr>
          <w:b/>
        </w:rPr>
        <w:t>TELNOR</w:t>
      </w:r>
      <w:r w:rsidRPr="001C15D8">
        <w:rPr>
          <w:b/>
        </w:rPr>
        <w:t>.</w:t>
      </w:r>
    </w:p>
    <w:p w:rsidR="007C4016" w:rsidRDefault="007C4016" w:rsidP="007C4016">
      <w:pPr>
        <w:pStyle w:val="Citaift0"/>
        <w:spacing w:before="240" w:after="0"/>
        <w:rPr>
          <w:b/>
        </w:rPr>
      </w:pPr>
      <w:r w:rsidRPr="00D73D98">
        <w:rPr>
          <w:b/>
        </w:rPr>
        <w:t>6.2.1.-</w:t>
      </w:r>
      <w:r w:rsidRPr="00D73D98">
        <w:rPr>
          <w:b/>
        </w:rPr>
        <w:tab/>
        <w:t>Condición para instalación de equipos de microondas.</w:t>
      </w:r>
    </w:p>
    <w:p w:rsidR="007C4016" w:rsidRPr="00D73D98" w:rsidRDefault="007C4016" w:rsidP="007C4016">
      <w:pPr>
        <w:pStyle w:val="Citaift0"/>
        <w:spacing w:before="240" w:after="0"/>
      </w:pPr>
      <w:r w:rsidRPr="00D73D98">
        <w:t>[…]</w:t>
      </w:r>
    </w:p>
    <w:p w:rsidR="007C4016" w:rsidRPr="00497522" w:rsidRDefault="007C4016" w:rsidP="007C4016">
      <w:pPr>
        <w:pStyle w:val="Citaift0"/>
        <w:spacing w:before="240" w:after="0"/>
        <w:rPr>
          <w:b/>
          <w:u w:val="single"/>
        </w:rPr>
      </w:pPr>
      <w:r w:rsidRPr="00497522">
        <w:rPr>
          <w:b/>
          <w:u w:val="single"/>
        </w:rPr>
        <w:t xml:space="preserve">La compartición de la infraestructura pasiva está referida únicamente al uso de la torre por un sistema radiante. </w:t>
      </w:r>
      <w:r w:rsidRPr="00D73D98">
        <w:t>Para la instalación del equipo de radio asociado a dicho sistema radiante, el uso de coubicación o uso de espacio físico, se atenderán de manera integral o parcial en el anteproyecto de uso de infraestructura pasiva en torres.</w:t>
      </w:r>
    </w:p>
    <w:p w:rsidR="007C4016" w:rsidRPr="001C15D8" w:rsidRDefault="007C4016" w:rsidP="007C4016">
      <w:pPr>
        <w:pStyle w:val="Citaift0"/>
        <w:spacing w:before="240" w:after="0"/>
      </w:pPr>
      <w:r>
        <w:t>[…]”</w:t>
      </w:r>
    </w:p>
    <w:p w:rsidR="007C4016" w:rsidRPr="009C14C4" w:rsidRDefault="007C4016" w:rsidP="007C4016">
      <w:pPr>
        <w:pStyle w:val="Citaift0"/>
        <w:spacing w:before="240" w:after="0"/>
        <w:ind w:left="1341"/>
        <w:jc w:val="right"/>
      </w:pPr>
      <w:r w:rsidRPr="009C14C4">
        <w:t>(Énfasis añadido)</w:t>
      </w:r>
    </w:p>
    <w:p w:rsidR="007C4016" w:rsidRDefault="007C4016" w:rsidP="007C4016">
      <w:pPr>
        <w:pStyle w:val="IFTnormal"/>
        <w:spacing w:before="240" w:after="0"/>
        <w:rPr>
          <w:lang w:val="es-ES"/>
        </w:rPr>
      </w:pPr>
      <w:r>
        <w:rPr>
          <w:lang w:val="es-ES"/>
        </w:rPr>
        <w:t>De lo anterior el Instituto considera que el texto anteriormente citado es contradictorio a lo establecido en el “</w:t>
      </w:r>
      <w:r w:rsidRPr="0021455B">
        <w:rPr>
          <w:lang w:val="es-ES"/>
        </w:rPr>
        <w:t>3.</w:t>
      </w:r>
      <w:r w:rsidRPr="0021455B">
        <w:rPr>
          <w:lang w:val="es-ES"/>
        </w:rPr>
        <w:tab/>
      </w:r>
      <w:r>
        <w:rPr>
          <w:lang w:val="es-ES"/>
        </w:rPr>
        <w:t xml:space="preserve"> </w:t>
      </w:r>
      <w:r w:rsidRPr="0021455B">
        <w:rPr>
          <w:lang w:val="es-ES"/>
        </w:rPr>
        <w:t>Servicio de Ac</w:t>
      </w:r>
      <w:r>
        <w:rPr>
          <w:lang w:val="es-ES"/>
        </w:rPr>
        <w:t>ceso y Uso Compartido de Torres” de la Propuesta de Oferta de Referencia, la cual indica dentro del apartado de cargos recurrentes que en las torres se podrán instalar antenas de radio frecuencia o de microondas, como se muestra a continuación:</w:t>
      </w:r>
    </w:p>
    <w:p w:rsidR="007C4016" w:rsidRPr="004E6F44" w:rsidRDefault="007C4016" w:rsidP="007C4016">
      <w:pPr>
        <w:pStyle w:val="Citaift0"/>
        <w:spacing w:before="240" w:after="0"/>
        <w:rPr>
          <w:b/>
          <w:lang w:val="es-ES"/>
        </w:rPr>
      </w:pPr>
      <w:r w:rsidRPr="004E6F44">
        <w:rPr>
          <w:b/>
          <w:lang w:val="es-ES"/>
        </w:rPr>
        <w:t>“3.</w:t>
      </w:r>
      <w:r w:rsidRPr="004E6F44">
        <w:rPr>
          <w:b/>
          <w:lang w:val="es-ES"/>
        </w:rPr>
        <w:tab/>
        <w:t>Servicio de Acceso y Uso Compartido de Torres.</w:t>
      </w:r>
    </w:p>
    <w:p w:rsidR="007C4016" w:rsidRDefault="007C4016" w:rsidP="007C4016">
      <w:pPr>
        <w:pStyle w:val="Citaift0"/>
        <w:spacing w:before="240" w:after="0"/>
        <w:rPr>
          <w:lang w:val="es-ES"/>
        </w:rPr>
      </w:pPr>
      <w:r>
        <w:rPr>
          <w:lang w:val="es-ES"/>
        </w:rPr>
        <w:t>[…]</w:t>
      </w:r>
    </w:p>
    <w:p w:rsidR="007C4016" w:rsidRPr="004E6F44" w:rsidRDefault="007C4016" w:rsidP="007C4016">
      <w:pPr>
        <w:pStyle w:val="Citaift0"/>
        <w:spacing w:before="240" w:after="0"/>
        <w:rPr>
          <w:b/>
          <w:lang w:val="es-ES"/>
        </w:rPr>
      </w:pPr>
      <w:r w:rsidRPr="004E6F44">
        <w:rPr>
          <w:b/>
          <w:lang w:val="es-ES"/>
        </w:rPr>
        <w:t>Cargos Recurrentes:</w:t>
      </w:r>
    </w:p>
    <w:p w:rsidR="007C4016" w:rsidRPr="004E6F44" w:rsidRDefault="007C4016" w:rsidP="007C4016">
      <w:pPr>
        <w:pStyle w:val="Citaift0"/>
        <w:spacing w:before="240" w:after="0"/>
        <w:rPr>
          <w:lang w:val="es-ES"/>
        </w:rPr>
      </w:pPr>
      <w:r w:rsidRPr="004E6F44">
        <w:rPr>
          <w:lang w:val="es-ES"/>
        </w:rPr>
        <w:t>Mensualmente se cobrará las siguientes contraprestaciones por el uso de Espacio Aprobado:</w:t>
      </w:r>
    </w:p>
    <w:p w:rsidR="007C4016" w:rsidRPr="004E6F44" w:rsidRDefault="007C4016" w:rsidP="007C4016">
      <w:pPr>
        <w:pStyle w:val="Citaift0"/>
        <w:spacing w:before="240" w:after="0"/>
        <w:rPr>
          <w:lang w:val="es-ES"/>
        </w:rPr>
      </w:pPr>
      <w:r w:rsidRPr="004E6F44">
        <w:rPr>
          <w:lang w:val="es-ES"/>
        </w:rPr>
        <w:lastRenderedPageBreak/>
        <w:t>•</w:t>
      </w:r>
      <w:r w:rsidRPr="004E6F44">
        <w:rPr>
          <w:lang w:val="es-ES"/>
        </w:rPr>
        <w:tab/>
      </w:r>
      <w:r w:rsidRPr="004E6F44">
        <w:rPr>
          <w:b/>
          <w:lang w:val="es-ES"/>
        </w:rPr>
        <w:t>En Torre; exclusivamente para antenas de radio frecuencia (RF) o de microondas (MW),</w:t>
      </w:r>
      <w:r w:rsidRPr="004E6F44">
        <w:rPr>
          <w:lang w:val="es-ES"/>
        </w:rPr>
        <w:t xml:space="preserve"> siempre y cuando la superficie utilizada no exceda de 8.5 m2. La franja de utilización en el cuerpo vertical de la Torre es de 4 metros lineales (ml), </w:t>
      </w:r>
    </w:p>
    <w:p w:rsidR="007C4016" w:rsidRPr="004E6F44" w:rsidRDefault="007C4016" w:rsidP="007C4016">
      <w:pPr>
        <w:pStyle w:val="Citaift0"/>
        <w:spacing w:before="240" w:after="0"/>
        <w:rPr>
          <w:lang w:val="es-ES"/>
        </w:rPr>
      </w:pPr>
      <w:r w:rsidRPr="004E6F44">
        <w:rPr>
          <w:lang w:val="es-ES"/>
        </w:rPr>
        <w:t>•</w:t>
      </w:r>
      <w:r w:rsidRPr="004E6F44">
        <w:rPr>
          <w:lang w:val="es-ES"/>
        </w:rPr>
        <w:tab/>
        <w:t>Por el acceso y uso de Espacio Aprobado en Piso.</w:t>
      </w:r>
    </w:p>
    <w:p w:rsidR="007C4016" w:rsidRPr="004E6F44" w:rsidRDefault="007C4016" w:rsidP="007C4016">
      <w:pPr>
        <w:pStyle w:val="Citaift0"/>
        <w:spacing w:before="240" w:after="0"/>
        <w:rPr>
          <w:lang w:val="es-ES"/>
        </w:rPr>
      </w:pPr>
      <w:r w:rsidRPr="004E6F44">
        <w:rPr>
          <w:lang w:val="es-ES"/>
        </w:rPr>
        <w:t>•</w:t>
      </w:r>
      <w:r w:rsidRPr="004E6F44">
        <w:rPr>
          <w:lang w:val="es-ES"/>
        </w:rPr>
        <w:tab/>
        <w:t>La tarifa mensual por cada elemento fuera de la franja de los 4 ml será calculada como sigue:</w:t>
      </w:r>
    </w:p>
    <w:p w:rsidR="007C4016" w:rsidRDefault="007C4016" w:rsidP="007C4016">
      <w:pPr>
        <w:pStyle w:val="Citaift0"/>
        <w:spacing w:before="240" w:after="0"/>
        <w:rPr>
          <w:lang w:val="es-ES"/>
        </w:rPr>
      </w:pPr>
      <w:r w:rsidRPr="004E6F44">
        <w:rPr>
          <w:lang w:val="es-ES"/>
        </w:rPr>
        <w:t>Costo Adicional Mensual = Área de Antena * Altura NCR *Factor de cobro</w:t>
      </w:r>
    </w:p>
    <w:p w:rsidR="007C4016" w:rsidRDefault="007C4016" w:rsidP="007C4016">
      <w:pPr>
        <w:pStyle w:val="Citaift0"/>
        <w:spacing w:before="240" w:after="0"/>
        <w:rPr>
          <w:lang w:val="es-ES"/>
        </w:rPr>
      </w:pPr>
      <w:r>
        <w:rPr>
          <w:lang w:val="es-ES"/>
        </w:rPr>
        <w:t>[…]”</w:t>
      </w:r>
    </w:p>
    <w:p w:rsidR="007C4016" w:rsidRDefault="007C4016" w:rsidP="007C4016">
      <w:pPr>
        <w:pStyle w:val="Citaift0"/>
        <w:spacing w:before="240" w:after="0"/>
        <w:jc w:val="right"/>
        <w:rPr>
          <w:lang w:val="es-ES"/>
        </w:rPr>
      </w:pPr>
      <w:r>
        <w:rPr>
          <w:lang w:val="es-ES"/>
        </w:rPr>
        <w:t>(Énfasis añadido)</w:t>
      </w:r>
    </w:p>
    <w:p w:rsidR="007C4016" w:rsidRDefault="007C4016" w:rsidP="007C4016">
      <w:pPr>
        <w:pStyle w:val="IFTnormal"/>
        <w:spacing w:before="240" w:after="0"/>
        <w:rPr>
          <w:lang w:val="es-ES"/>
        </w:rPr>
      </w:pPr>
      <w:r>
        <w:rPr>
          <w:lang w:val="es-ES"/>
        </w:rPr>
        <w:t>De lo anterior, a juicio del Instituto, se deben de realizar las modificaciones pertinentes a la Oferta de Referencia para indicar la posibilidad de instalación de antenas de radio frecuencia (RF) o de microondas (MW) en torres para los servicios de compartición de infraestructura.</w:t>
      </w:r>
    </w:p>
    <w:p w:rsidR="007C4016" w:rsidRDefault="007C4016" w:rsidP="007C4016">
      <w:pPr>
        <w:pStyle w:val="IFTnormal"/>
        <w:spacing w:before="240" w:after="0"/>
      </w:pPr>
      <w:r>
        <w:rPr>
          <w:lang w:val="es-ES"/>
        </w:rPr>
        <w:t>Por lo antes mencionado en el Caso 1 y Caso 2, el Instituto resuelve modificar la redacción de la ORCI propuesta por el AEP. Quedando de la manera siguiente:</w:t>
      </w:r>
    </w:p>
    <w:p w:rsidR="007C4016" w:rsidRDefault="007C4016" w:rsidP="007C4016">
      <w:pPr>
        <w:spacing w:before="240" w:after="0"/>
        <w:rPr>
          <w:rFonts w:ascii="ITC Avant Garde" w:eastAsia="MS Mincho" w:hAnsi="ITC Avant Garde" w:cs="Calibri"/>
          <w:b/>
          <w:bCs/>
          <w:sz w:val="22"/>
          <w:szCs w:val="22"/>
          <w:lang w:val="es-ES" w:eastAsia="en-US"/>
        </w:rPr>
      </w:pPr>
      <w:r>
        <w:rPr>
          <w:rFonts w:ascii="ITC Avant Garde" w:eastAsia="MS Mincho" w:hAnsi="ITC Avant Garde" w:cs="Calibri"/>
          <w:b/>
          <w:bCs/>
          <w:sz w:val="22"/>
          <w:szCs w:val="22"/>
          <w:lang w:val="es-ES" w:eastAsia="en-US"/>
        </w:rPr>
        <w:t>Redacción Definitiva</w:t>
      </w:r>
    </w:p>
    <w:p w:rsidR="007C4016" w:rsidRDefault="007C4016" w:rsidP="007C4016">
      <w:pPr>
        <w:pStyle w:val="IFTnormal"/>
        <w:spacing w:before="240" w:after="0"/>
        <w:rPr>
          <w:b/>
          <w:lang w:val="es-ES"/>
        </w:rPr>
      </w:pPr>
      <w:r w:rsidRPr="0026393D">
        <w:t>Derivado del an</w:t>
      </w:r>
      <w:r>
        <w:t>álisis realizado</w:t>
      </w:r>
      <w:r w:rsidRPr="0026393D">
        <w:t xml:space="preserve">, el Instituto resuelve que el numeral “1.1 Procedimientos para la contratación, modificación y baja de los servicios” correspondiente al “Servicio de Acceso y Uso compartido de </w:t>
      </w:r>
      <w:r>
        <w:t>Torres</w:t>
      </w:r>
      <w:r w:rsidRPr="0026393D">
        <w:t>” deberá quedar de la siguiente manera:</w:t>
      </w:r>
    </w:p>
    <w:p w:rsidR="007C4016" w:rsidRPr="00910710" w:rsidRDefault="007C4016" w:rsidP="007C4016">
      <w:pPr>
        <w:pStyle w:val="CondicionesFinales"/>
        <w:spacing w:before="240" w:after="0"/>
        <w:rPr>
          <w:b/>
        </w:rPr>
      </w:pPr>
      <w:bookmarkStart w:id="54" w:name="_Toc436230704"/>
      <w:r w:rsidRPr="00910710">
        <w:rPr>
          <w:b/>
        </w:rPr>
        <w:t>3. Servicio de Acceso y Uso Compartido de Torres.</w:t>
      </w:r>
      <w:bookmarkEnd w:id="54"/>
    </w:p>
    <w:p w:rsidR="007C4016" w:rsidRPr="00716C42" w:rsidRDefault="007C4016" w:rsidP="007C4016">
      <w:pPr>
        <w:pStyle w:val="CondicionesFinales"/>
        <w:spacing w:before="240" w:after="0"/>
      </w:pPr>
      <w:r w:rsidRPr="00716C42">
        <w:t xml:space="preserve">El Servicio de Acceso y Uso Compartido de Torres propiedad de </w:t>
      </w:r>
      <w:r>
        <w:t>Telnor por cualquier título legal</w:t>
      </w:r>
      <w:r w:rsidRPr="00716C42">
        <w:t xml:space="preserve"> o cedidas en comodato</w:t>
      </w:r>
      <w:r w:rsidRPr="00716C42" w:rsidDel="00DF7E98">
        <w:t xml:space="preserve"> </w:t>
      </w:r>
      <w:r w:rsidRPr="00716C42">
        <w:t>permite a los CS desplegar sistemas de radiofrecuencia en bandas autorizadas para la provisión de servicios de telecomunicaciones.</w:t>
      </w:r>
    </w:p>
    <w:p w:rsidR="007C4016" w:rsidRPr="00716C42" w:rsidRDefault="007C4016" w:rsidP="007C4016">
      <w:pPr>
        <w:pStyle w:val="CondicionesFinales"/>
        <w:spacing w:before="240" w:after="0"/>
      </w:pPr>
      <w:r w:rsidRPr="00716C42">
        <w:t xml:space="preserve">El servicio de Acceso y Uso Compartido de Torres incluye todas los tipos de torres definidos en el apartado de prerrequisitos dentro del apartado de la información que </w:t>
      </w:r>
      <w:r>
        <w:t>Telnor</w:t>
      </w:r>
      <w:r w:rsidRPr="00716C42">
        <w:t xml:space="preserve"> proveerá.</w:t>
      </w:r>
    </w:p>
    <w:p w:rsidR="007C4016" w:rsidRPr="00716C42" w:rsidRDefault="007C4016" w:rsidP="007C4016">
      <w:pPr>
        <w:pStyle w:val="CitaIFT"/>
        <w:spacing w:before="240" w:after="0"/>
      </w:pPr>
      <w:r w:rsidRPr="00716C42">
        <w:rPr>
          <w:noProof/>
          <w:lang w:eastAsia="es-MX"/>
        </w:rPr>
        <w:lastRenderedPageBreak/>
        <w:drawing>
          <wp:inline distT="0" distB="0" distL="0" distR="0" wp14:anchorId="188DF126" wp14:editId="1868FEF3">
            <wp:extent cx="2053087" cy="2195662"/>
            <wp:effectExtent l="0" t="0" r="4445" b="0"/>
            <wp:docPr id="21" name="Imagen 8" descr="Figura 3. Torre de Teln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0"/>
                    <a:srcRect r="34508" b="22614"/>
                    <a:stretch>
                      <a:fillRect/>
                    </a:stretch>
                  </pic:blipFill>
                  <pic:spPr bwMode="auto">
                    <a:xfrm>
                      <a:off x="0" y="0"/>
                      <a:ext cx="2055956" cy="2198730"/>
                    </a:xfrm>
                    <a:prstGeom prst="rect">
                      <a:avLst/>
                    </a:prstGeom>
                    <a:noFill/>
                    <a:ln w="9525">
                      <a:noFill/>
                      <a:miter lim="800000"/>
                      <a:headEnd/>
                      <a:tailEnd/>
                    </a:ln>
                  </pic:spPr>
                </pic:pic>
              </a:graphicData>
            </a:graphic>
          </wp:inline>
        </w:drawing>
      </w:r>
    </w:p>
    <w:p w:rsidR="007C4016" w:rsidRPr="006E7222" w:rsidRDefault="007C4016" w:rsidP="007C4016">
      <w:pPr>
        <w:pStyle w:val="Fig"/>
        <w:spacing w:before="240" w:after="0"/>
        <w:rPr>
          <w:lang w:val="es-MX"/>
        </w:rPr>
      </w:pPr>
      <w:r w:rsidRPr="006E7222">
        <w:rPr>
          <w:lang w:val="es-MX"/>
        </w:rPr>
        <w:t xml:space="preserve">Figura 3. Torre de </w:t>
      </w:r>
      <w:r>
        <w:rPr>
          <w:lang w:val="es-MX"/>
        </w:rPr>
        <w:t>Telnor</w:t>
      </w:r>
      <w:r w:rsidRPr="006E7222">
        <w:rPr>
          <w:lang w:val="es-MX"/>
        </w:rPr>
        <w:t>.</w:t>
      </w:r>
    </w:p>
    <w:p w:rsidR="007C4016" w:rsidRPr="00B73007" w:rsidRDefault="007C4016" w:rsidP="007C4016">
      <w:pPr>
        <w:pStyle w:val="CitaIFT"/>
        <w:spacing w:before="240" w:after="0"/>
        <w:rPr>
          <w:i w:val="0"/>
          <w:sz w:val="22"/>
          <w:szCs w:val="22"/>
          <w:lang w:val="es-ES_tradnl"/>
        </w:rPr>
      </w:pPr>
      <w:r w:rsidRPr="00B73007">
        <w:rPr>
          <w:i w:val="0"/>
          <w:sz w:val="22"/>
          <w:szCs w:val="22"/>
          <w:lang w:val="es-ES_tradnl"/>
        </w:rPr>
        <w:t xml:space="preserve">El Servicio de Acceso y Uso Compartido de Torres contiene los siguientes elementos: </w:t>
      </w:r>
    </w:p>
    <w:p w:rsidR="007C4016" w:rsidRPr="00716C42" w:rsidRDefault="007C4016" w:rsidP="007C4016">
      <w:pPr>
        <w:pStyle w:val="CondicionesFinales"/>
        <w:numPr>
          <w:ilvl w:val="0"/>
          <w:numId w:val="144"/>
        </w:numPr>
        <w:spacing w:before="240" w:after="0"/>
      </w:pPr>
      <w:r w:rsidRPr="00716C42">
        <w:t>Espacio en la torre: Espacio con una superficie máxima de 8.5 m</w:t>
      </w:r>
      <w:r w:rsidRPr="00716C42">
        <w:rPr>
          <w:vertAlign w:val="superscript"/>
        </w:rPr>
        <w:t>2</w:t>
      </w:r>
      <w:r w:rsidRPr="00716C42">
        <w:t xml:space="preserve"> para que el CS instale un sistema radiante. La franja de utilización en el cuerpo vertical de la torre es de 4 metros lineales </w:t>
      </w:r>
    </w:p>
    <w:p w:rsidR="007C4016" w:rsidRPr="00716C42" w:rsidRDefault="007C4016" w:rsidP="007C4016">
      <w:pPr>
        <w:pStyle w:val="CondicionesFinales"/>
        <w:numPr>
          <w:ilvl w:val="0"/>
          <w:numId w:val="144"/>
        </w:numPr>
        <w:spacing w:after="0"/>
      </w:pPr>
      <w:r w:rsidRPr="00716C42">
        <w:t>Trayectoria del cable: Es la trayectoria física conformada por escalerilla vacante, donde corren los cableados del sistema radiante a los equipos de transmisión.</w:t>
      </w:r>
    </w:p>
    <w:p w:rsidR="007C4016" w:rsidRPr="00716C42" w:rsidRDefault="007C4016" w:rsidP="007C4016">
      <w:pPr>
        <w:pStyle w:val="CondicionesFinales"/>
        <w:numPr>
          <w:ilvl w:val="0"/>
          <w:numId w:val="144"/>
        </w:numPr>
        <w:spacing w:after="0"/>
      </w:pPr>
      <w:r w:rsidRPr="00716C42">
        <w:t>Sistemas físicos de tierra: Es el acceso al sistema de aterrizamiento de la torre donde el CS debe conectarse.</w:t>
      </w:r>
    </w:p>
    <w:p w:rsidR="007C4016" w:rsidRPr="00716C42" w:rsidRDefault="007C4016" w:rsidP="007C4016">
      <w:pPr>
        <w:pStyle w:val="CondicionesFinales"/>
        <w:numPr>
          <w:ilvl w:val="0"/>
          <w:numId w:val="144"/>
        </w:numPr>
        <w:spacing w:after="0"/>
      </w:pPr>
      <w:r w:rsidRPr="00716C42">
        <w:t>Alimentación</w:t>
      </w:r>
      <w:r w:rsidRPr="007F00F4">
        <w:rPr>
          <w:vertAlign w:val="superscript"/>
        </w:rPr>
        <w:t>5</w:t>
      </w:r>
      <w:r w:rsidRPr="00716C42">
        <w:t>: Ductos, conductos y canalizaciones, elementos de seguridad (restrictores de acceso), instalaciones de equipo y alimentaciones conexas, existentes en el Sitio.</w:t>
      </w:r>
    </w:p>
    <w:p w:rsidR="007C4016" w:rsidRPr="00716C42" w:rsidRDefault="007C4016" w:rsidP="007C4016">
      <w:pPr>
        <w:pStyle w:val="CondicionesFinales"/>
        <w:numPr>
          <w:ilvl w:val="0"/>
          <w:numId w:val="144"/>
        </w:numPr>
        <w:spacing w:after="0"/>
      </w:pPr>
      <w:r w:rsidRPr="00716C42">
        <w:t>Espacio en piso: Espacios Físicos en sitios diversos a las Torres, tales como azoteas y suelo para la instalación de equipos transceptores, así como sus auxiliares (tales como sistema de fuerza y/ o bancos de batería de respaldo, sistemas de aire acondicionado, alarmas y demás elementos activos). Incluye los espacios para gabinetes, para maniobras y pasos de personas.</w:t>
      </w:r>
    </w:p>
    <w:p w:rsidR="007C4016" w:rsidRDefault="007C4016" w:rsidP="007C4016">
      <w:pPr>
        <w:pStyle w:val="CondicionesFinales"/>
        <w:numPr>
          <w:ilvl w:val="0"/>
          <w:numId w:val="144"/>
        </w:numPr>
        <w:spacing w:after="0"/>
      </w:pPr>
      <w:r w:rsidRPr="00716C42">
        <w:t>Sistemas de Aire Acondicionado</w:t>
      </w:r>
      <w:r w:rsidRPr="007F00F4">
        <w:rPr>
          <w:vertAlign w:val="superscript"/>
        </w:rPr>
        <w:t>6</w:t>
      </w:r>
      <w:r w:rsidRPr="00716C42">
        <w:t xml:space="preserve">: Constituido por aquellos que se encuentren al interior del Sitio y que no formen parte </w:t>
      </w:r>
      <w:r w:rsidRPr="00716C42">
        <w:lastRenderedPageBreak/>
        <w:t>o se encuentren integrados a cualquier elemento activo en el Sitio.</w:t>
      </w:r>
    </w:p>
    <w:p w:rsidR="007C4016" w:rsidRPr="00716C42" w:rsidRDefault="007C4016" w:rsidP="007C4016">
      <w:pPr>
        <w:pStyle w:val="CondicionesFinales"/>
        <w:spacing w:before="240" w:after="0"/>
      </w:pPr>
      <w:r w:rsidRPr="00716C42">
        <w:t>El CS deberá instalar la Guía de onda o cables de Frecuencia Intermedia (Banda Base) correspondientes a los sistemas de microondas que desee instalar en la Torre, y en su caso, los cables de alimentación correspondientes</w:t>
      </w:r>
      <w:r>
        <w:t>,</w:t>
      </w:r>
      <w:r w:rsidRPr="00716C42">
        <w:t xml:space="preserve"> de acuerdo con la Normatividad.</w:t>
      </w:r>
    </w:p>
    <w:p w:rsidR="007C4016" w:rsidRPr="00821A07" w:rsidRDefault="007C4016" w:rsidP="007C4016">
      <w:pPr>
        <w:pStyle w:val="CondicionesFinales"/>
        <w:spacing w:before="240" w:after="0"/>
        <w:rPr>
          <w:b/>
          <w:u w:val="single"/>
        </w:rPr>
      </w:pPr>
      <w:r>
        <w:rPr>
          <w:b/>
        </w:rPr>
        <w:tab/>
      </w:r>
      <w:r w:rsidRPr="00821A07">
        <w:rPr>
          <w:b/>
          <w:u w:val="single"/>
        </w:rPr>
        <w:t xml:space="preserve">Condiciones y Requisitos para el Uso de Infraestructura </w:t>
      </w:r>
      <w:r>
        <w:rPr>
          <w:b/>
          <w:u w:val="single"/>
        </w:rPr>
        <w:t>Telnor</w:t>
      </w:r>
      <w:r w:rsidRPr="00821A07">
        <w:rPr>
          <w:b/>
          <w:u w:val="single"/>
        </w:rPr>
        <w:t>.</w:t>
      </w:r>
    </w:p>
    <w:p w:rsidR="007C4016" w:rsidRPr="00266443" w:rsidRDefault="007C4016" w:rsidP="007C4016">
      <w:pPr>
        <w:pStyle w:val="CondicionesFinales"/>
        <w:spacing w:before="240" w:after="0"/>
        <w:rPr>
          <w:b/>
        </w:rPr>
      </w:pPr>
      <w:r w:rsidRPr="00266443">
        <w:rPr>
          <w:b/>
        </w:rPr>
        <w:t>Condición para instalación de equipos de microondas.</w:t>
      </w:r>
    </w:p>
    <w:p w:rsidR="007C4016" w:rsidRPr="00B73007" w:rsidRDefault="007C4016" w:rsidP="007C4016">
      <w:pPr>
        <w:pStyle w:val="CondicionesFinales"/>
        <w:spacing w:before="240" w:after="0"/>
      </w:pPr>
      <w:r w:rsidRPr="00B73007">
        <w:t xml:space="preserve">Todo sistema radiante que un Concesionario Solicitante requiera instalar en infraestructura </w:t>
      </w:r>
      <w:r>
        <w:t>TELNOR</w:t>
      </w:r>
      <w:r w:rsidRPr="00B73007">
        <w:t xml:space="preserve"> debe contar con la homologación oficial por parte de la SCT y/o IFT, por lo tanto, para el uso de la infraestructura de </w:t>
      </w:r>
      <w:r>
        <w:t>TELNOR</w:t>
      </w:r>
      <w:r w:rsidRPr="00B73007">
        <w:t xml:space="preserve">, el Concesionario Solicitante debe proporcionar el Certificado de Homologación del equipo a instalar. </w:t>
      </w:r>
    </w:p>
    <w:p w:rsidR="007C4016" w:rsidRPr="00B73007" w:rsidRDefault="007C4016" w:rsidP="007C4016">
      <w:pPr>
        <w:pStyle w:val="CondicionesFinales"/>
        <w:spacing w:before="240" w:after="0"/>
      </w:pPr>
      <w:r w:rsidRPr="009A590C">
        <w:t>La compartición de la infraestructura pasiva está referida únicamente al uso de la torre por un sistema de microondas o de radio frecuencia.</w:t>
      </w:r>
      <w:r w:rsidRPr="00B73007">
        <w:t xml:space="preserve"> Para la instalación del equipo de radio asociado a dicho sistema radiante, el uso de coubicación o uso de espacio físico, se atenderán de manera integral o parcial en el anteproyecto de uso de infraestructura pasiva en torres.</w:t>
      </w:r>
    </w:p>
    <w:p w:rsidR="007C4016" w:rsidRPr="00266443" w:rsidRDefault="007C4016" w:rsidP="007C4016">
      <w:pPr>
        <w:pStyle w:val="CondicionesFinales"/>
        <w:spacing w:before="240" w:after="0"/>
        <w:rPr>
          <w:b/>
        </w:rPr>
      </w:pPr>
      <w:r w:rsidRPr="00266443">
        <w:rPr>
          <w:b/>
        </w:rPr>
        <w:t>Capacidad excedente.</w:t>
      </w:r>
    </w:p>
    <w:p w:rsidR="007C4016" w:rsidRDefault="007C4016" w:rsidP="007C4016">
      <w:pPr>
        <w:pStyle w:val="CondicionesFinales"/>
        <w:spacing w:before="240" w:after="0"/>
      </w:pPr>
      <w:r>
        <w:t>La determinación de Capacidad Excedente para la instalación de los equipos del Concesionario Solicitante en la torre, estará basada en el número de franjas sobre la torre que no sean utilizadas por TELNOR o por algún otro Concesionario Solicitante sobre la misma. Dichas franjas ocuparan 4 metros lineales en el cuerpo vertical en la torre con una superficie máxima de 8.5 m2. TELNOR ofrecerá la posibilidad de reorganizar los espacios y/o equipos instalados para liberar franjas adicionales y lograr un mejor aprovechamiento de la Infraestructura Pasiva.</w:t>
      </w:r>
    </w:p>
    <w:p w:rsidR="007C4016" w:rsidRDefault="007C4016" w:rsidP="007C4016">
      <w:pPr>
        <w:pStyle w:val="CondicionesFinales"/>
        <w:spacing w:before="240" w:after="0"/>
      </w:pPr>
      <w:r>
        <w:lastRenderedPageBreak/>
        <w:t>Independientemente de la disponibilidad de franjas, se deberán realizar los cálculos y análisis pertinentes para asegurar que la potencial instalación cumpla con la normativa técnica sobre:</w:t>
      </w:r>
    </w:p>
    <w:p w:rsidR="007C4016" w:rsidRDefault="007C4016" w:rsidP="007C4016">
      <w:pPr>
        <w:pStyle w:val="CondicionesFinales"/>
        <w:numPr>
          <w:ilvl w:val="0"/>
          <w:numId w:val="185"/>
        </w:numPr>
        <w:spacing w:before="240" w:after="0"/>
      </w:pPr>
      <w:r>
        <w:t>Cargas gravitacionales sobre la estructura de la torre</w:t>
      </w:r>
    </w:p>
    <w:p w:rsidR="007C4016" w:rsidRDefault="007C4016" w:rsidP="007C4016">
      <w:pPr>
        <w:pStyle w:val="CondicionesFinales"/>
        <w:numPr>
          <w:ilvl w:val="0"/>
          <w:numId w:val="185"/>
        </w:numPr>
        <w:spacing w:after="0"/>
      </w:pPr>
      <w:r>
        <w:t>Fuerzas del Viento</w:t>
      </w:r>
    </w:p>
    <w:p w:rsidR="007C4016" w:rsidRDefault="007C4016" w:rsidP="007C4016">
      <w:pPr>
        <w:pStyle w:val="CondicionesFinales"/>
        <w:numPr>
          <w:ilvl w:val="0"/>
          <w:numId w:val="185"/>
        </w:numPr>
        <w:spacing w:after="0"/>
      </w:pPr>
      <w:r>
        <w:t>Fuerzas de Sismo</w:t>
      </w:r>
    </w:p>
    <w:p w:rsidR="007C4016" w:rsidRDefault="007C4016" w:rsidP="007C4016">
      <w:pPr>
        <w:pStyle w:val="CondicionesFinales"/>
        <w:spacing w:before="240" w:after="0"/>
      </w:pPr>
      <w:r>
        <w:t xml:space="preserve">La saturación del espacio en las torres estará determinada por la combinación de estos dos factores, es decir la ocupación de todas las franjas disponibles y los límites establecidos para el cumplimiento de la normativa técnica. </w:t>
      </w:r>
    </w:p>
    <w:p w:rsidR="007C4016" w:rsidRDefault="007C4016" w:rsidP="007C4016">
      <w:pPr>
        <w:pStyle w:val="CondicionesFinales"/>
        <w:spacing w:before="240" w:after="0"/>
      </w:pPr>
      <w:r>
        <w:t>Tanto la capacidad total en la torre, como el punto de saturación de dicha capacidad, son específicas para cada tipo de torre de acuerdo con las características de su construcción.</w:t>
      </w:r>
    </w:p>
    <w:p w:rsidR="007C4016" w:rsidRPr="00266443" w:rsidRDefault="007C4016" w:rsidP="007C4016">
      <w:pPr>
        <w:pStyle w:val="CondicionesFinales"/>
        <w:spacing w:before="240" w:after="0"/>
        <w:rPr>
          <w:b/>
        </w:rPr>
      </w:pPr>
      <w:r w:rsidRPr="00266443">
        <w:rPr>
          <w:b/>
        </w:rPr>
        <w:t>Visita Técnica</w:t>
      </w:r>
    </w:p>
    <w:p w:rsidR="007C4016" w:rsidRDefault="007C4016" w:rsidP="007C4016">
      <w:pPr>
        <w:pStyle w:val="CondicionesFinales"/>
        <w:spacing w:before="240" w:after="0"/>
      </w:pPr>
      <w:r>
        <w:t>Durante la visita técnica el personal de TELNOR y el personal del Concesionario Solicitante revisarán y validarán en conjunto, la posibilidad de la compartición de la infraestructura de torres mediante un trabajo especial, cuando no haya existido capacidad excedente de manera inicial, considerando los siguientes elementos:</w:t>
      </w:r>
    </w:p>
    <w:p w:rsidR="007C4016" w:rsidRDefault="007C4016" w:rsidP="007C4016">
      <w:pPr>
        <w:pStyle w:val="CondicionesFinales"/>
        <w:numPr>
          <w:ilvl w:val="0"/>
          <w:numId w:val="186"/>
        </w:numPr>
        <w:spacing w:before="240" w:after="0"/>
      </w:pPr>
      <w:r>
        <w:t>El espacio disponible para compartir es  de 4 metros lineales en el cuerpo vertical en la torre para una superficie máxima de 8.5 m².</w:t>
      </w:r>
    </w:p>
    <w:p w:rsidR="007C4016" w:rsidRDefault="007C4016" w:rsidP="007C4016">
      <w:pPr>
        <w:pStyle w:val="CondicionesFinales"/>
        <w:numPr>
          <w:ilvl w:val="0"/>
          <w:numId w:val="186"/>
        </w:numPr>
        <w:spacing w:after="0"/>
      </w:pPr>
      <w:r>
        <w:t>El peso y dimensiones de las antenas a instalar.</w:t>
      </w:r>
    </w:p>
    <w:p w:rsidR="007C4016" w:rsidRDefault="007C4016" w:rsidP="007C4016">
      <w:pPr>
        <w:pStyle w:val="CondicionesFinales"/>
        <w:numPr>
          <w:ilvl w:val="0"/>
          <w:numId w:val="186"/>
        </w:numPr>
        <w:spacing w:after="0"/>
      </w:pPr>
      <w:r>
        <w:t>Altura propuesta para la instalación de sus antenas.</w:t>
      </w:r>
    </w:p>
    <w:p w:rsidR="007C4016" w:rsidRDefault="007C4016" w:rsidP="007C4016">
      <w:pPr>
        <w:pStyle w:val="CondicionesFinales"/>
        <w:numPr>
          <w:ilvl w:val="0"/>
          <w:numId w:val="186"/>
        </w:numPr>
        <w:spacing w:after="0"/>
      </w:pPr>
      <w:r>
        <w:t>Tipos de herrajes a utilizar</w:t>
      </w:r>
    </w:p>
    <w:p w:rsidR="007C4016" w:rsidRDefault="007C4016" w:rsidP="007C4016">
      <w:pPr>
        <w:pStyle w:val="CondicionesFinales"/>
        <w:numPr>
          <w:ilvl w:val="0"/>
          <w:numId w:val="186"/>
        </w:numPr>
        <w:spacing w:after="0"/>
      </w:pPr>
      <w:r>
        <w:t>Tipo y características del radio a instalar.</w:t>
      </w:r>
    </w:p>
    <w:p w:rsidR="007C4016" w:rsidRDefault="007C4016" w:rsidP="007C4016">
      <w:pPr>
        <w:pStyle w:val="CondicionesFinales"/>
        <w:numPr>
          <w:ilvl w:val="0"/>
          <w:numId w:val="186"/>
        </w:numPr>
        <w:spacing w:after="0"/>
      </w:pPr>
      <w:r>
        <w:t>Espacios existentes en torre.</w:t>
      </w:r>
    </w:p>
    <w:p w:rsidR="007C4016" w:rsidRDefault="007C4016" w:rsidP="007C4016">
      <w:pPr>
        <w:pStyle w:val="CondicionesFinales"/>
        <w:numPr>
          <w:ilvl w:val="0"/>
          <w:numId w:val="186"/>
        </w:numPr>
        <w:spacing w:after="0"/>
      </w:pPr>
      <w:r>
        <w:t>Uso de escalerillas.</w:t>
      </w:r>
    </w:p>
    <w:p w:rsidR="007C4016" w:rsidRDefault="007C4016" w:rsidP="007C4016">
      <w:pPr>
        <w:pStyle w:val="CondicionesFinales"/>
        <w:numPr>
          <w:ilvl w:val="0"/>
          <w:numId w:val="186"/>
        </w:numPr>
        <w:spacing w:after="0"/>
      </w:pPr>
      <w:r>
        <w:t>Análisis estructural de torre.</w:t>
      </w:r>
    </w:p>
    <w:p w:rsidR="007C4016" w:rsidRDefault="007C4016" w:rsidP="007C4016">
      <w:pPr>
        <w:pStyle w:val="CondicionesFinales"/>
        <w:numPr>
          <w:ilvl w:val="0"/>
          <w:numId w:val="186"/>
        </w:numPr>
        <w:spacing w:after="0"/>
      </w:pPr>
      <w:r>
        <w:t>Sistemas de Tierra.</w:t>
      </w:r>
    </w:p>
    <w:p w:rsidR="007C4016" w:rsidRDefault="007C4016" w:rsidP="007C4016">
      <w:pPr>
        <w:pStyle w:val="CondicionesFinales"/>
        <w:numPr>
          <w:ilvl w:val="0"/>
          <w:numId w:val="186"/>
        </w:numPr>
        <w:spacing w:after="0"/>
      </w:pPr>
      <w:r>
        <w:t>Espacio físico o coubicación para alojar el radio.</w:t>
      </w:r>
    </w:p>
    <w:p w:rsidR="007C4016" w:rsidRPr="00716C42" w:rsidRDefault="007C4016" w:rsidP="007C4016">
      <w:pPr>
        <w:pStyle w:val="CondicionesFinales"/>
        <w:spacing w:before="240" w:after="0"/>
      </w:pPr>
      <w:r>
        <w:lastRenderedPageBreak/>
        <w:t>En caso de concluir que la compartición es factible, TELNOR deberá ofrecer la posibilidad de trabajo especial, y entregar el proyecto y presupuesto del mismo.</w:t>
      </w:r>
    </w:p>
    <w:p w:rsidR="007C4016" w:rsidRPr="004E6F44" w:rsidRDefault="007C4016" w:rsidP="007C4016">
      <w:pPr>
        <w:pStyle w:val="CondicionesFinales"/>
        <w:spacing w:before="240" w:after="0"/>
        <w:rPr>
          <w:b/>
          <w:u w:val="single"/>
        </w:rPr>
      </w:pPr>
      <w:r w:rsidRPr="004E6F44">
        <w:rPr>
          <w:b/>
          <w:u w:val="single"/>
        </w:rPr>
        <w:t>Los conceptos facturables son:</w:t>
      </w:r>
    </w:p>
    <w:p w:rsidR="007C4016" w:rsidRPr="004E6F44" w:rsidRDefault="007C4016" w:rsidP="007C4016">
      <w:pPr>
        <w:pStyle w:val="CondicionesFinales"/>
        <w:spacing w:before="240" w:after="0"/>
        <w:rPr>
          <w:b/>
        </w:rPr>
      </w:pPr>
      <w:r w:rsidRPr="004E6F44">
        <w:rPr>
          <w:b/>
        </w:rPr>
        <w:t>Cargos No Recurrentes:</w:t>
      </w:r>
    </w:p>
    <w:p w:rsidR="007C4016" w:rsidRPr="00716C42" w:rsidRDefault="007C4016" w:rsidP="007C4016">
      <w:pPr>
        <w:pStyle w:val="CondicionesFinales"/>
        <w:spacing w:before="240" w:after="0"/>
      </w:pPr>
      <w:r w:rsidRPr="007F00F4">
        <w:t>Para</w:t>
      </w:r>
      <w:r w:rsidRPr="00716C42">
        <w:t xml:space="preserve"> la Solicitud de Servicio de Acceso y Uso Compartido de Torres se contabiliza:</w:t>
      </w:r>
    </w:p>
    <w:p w:rsidR="007C4016" w:rsidRPr="00716C42" w:rsidRDefault="007C4016" w:rsidP="007C4016">
      <w:pPr>
        <w:pStyle w:val="CondicionesFinales"/>
        <w:numPr>
          <w:ilvl w:val="0"/>
          <w:numId w:val="145"/>
        </w:numPr>
        <w:spacing w:before="240" w:after="0"/>
      </w:pPr>
      <w:r w:rsidRPr="00716C42">
        <w:t>Visita Técnica para el Servicio de Acceso y Uso Compartido de Torres, en caso de haber sido solicitada por el CS.</w:t>
      </w:r>
    </w:p>
    <w:p w:rsidR="007C4016" w:rsidRPr="00716C42" w:rsidRDefault="007C4016" w:rsidP="007C4016">
      <w:pPr>
        <w:pStyle w:val="CondicionesFinales"/>
        <w:numPr>
          <w:ilvl w:val="0"/>
          <w:numId w:val="145"/>
        </w:numPr>
        <w:spacing w:after="0"/>
      </w:pPr>
      <w:r w:rsidRPr="00716C42">
        <w:t>Trabajos requeridos dentro de la visita técnica.</w:t>
      </w:r>
    </w:p>
    <w:p w:rsidR="007C4016" w:rsidRPr="00716C42" w:rsidRDefault="007C4016" w:rsidP="007C4016">
      <w:pPr>
        <w:pStyle w:val="CondicionesFinales"/>
        <w:numPr>
          <w:ilvl w:val="0"/>
          <w:numId w:val="145"/>
        </w:numPr>
        <w:spacing w:after="0"/>
      </w:pPr>
      <w:r w:rsidRPr="00716C42">
        <w:t>Análisis de Factibilidad, en caso de no contratar el servicio por parte del CS.</w:t>
      </w:r>
    </w:p>
    <w:p w:rsidR="007C4016" w:rsidRPr="00716C42" w:rsidRDefault="007C4016" w:rsidP="007C4016">
      <w:pPr>
        <w:pStyle w:val="CondicionesFinales"/>
        <w:numPr>
          <w:ilvl w:val="0"/>
          <w:numId w:val="145"/>
        </w:numPr>
        <w:spacing w:after="0"/>
      </w:pPr>
      <w:r w:rsidRPr="00716C42">
        <w:t>Acondicionamiento de Infraestructura Pasiva, en caso de que se requiera.</w:t>
      </w:r>
    </w:p>
    <w:p w:rsidR="007C4016" w:rsidRPr="00716C42" w:rsidRDefault="007C4016" w:rsidP="007C4016">
      <w:pPr>
        <w:pStyle w:val="CondicionesFinales"/>
        <w:numPr>
          <w:ilvl w:val="0"/>
          <w:numId w:val="145"/>
        </w:numPr>
        <w:spacing w:after="0"/>
      </w:pPr>
      <w:r w:rsidRPr="00716C42">
        <w:t>Recuperación de espacio, en caso de que se requiera.</w:t>
      </w:r>
    </w:p>
    <w:p w:rsidR="007C4016" w:rsidRPr="00C66F61" w:rsidRDefault="007C4016" w:rsidP="007C4016">
      <w:pPr>
        <w:pStyle w:val="CondicionesFinales"/>
        <w:numPr>
          <w:ilvl w:val="0"/>
          <w:numId w:val="145"/>
        </w:numPr>
        <w:spacing w:after="0"/>
      </w:pPr>
      <w:r w:rsidRPr="00C66F61">
        <w:t>Verificación de Instalación de Infraestructura.</w:t>
      </w:r>
    </w:p>
    <w:p w:rsidR="007C4016" w:rsidRDefault="007C4016" w:rsidP="007C4016">
      <w:pPr>
        <w:spacing w:before="240" w:after="0"/>
      </w:pPr>
      <w:r>
        <w:t>_____________</w:t>
      </w:r>
    </w:p>
    <w:p w:rsidR="007C4016" w:rsidRPr="00D021F6" w:rsidRDefault="007C4016" w:rsidP="007C4016">
      <w:pPr>
        <w:spacing w:before="240" w:after="0"/>
        <w:rPr>
          <w:rFonts w:ascii="ITC Avant Garde" w:hAnsi="ITC Avant Garde"/>
          <w:sz w:val="18"/>
          <w:szCs w:val="18"/>
        </w:rPr>
      </w:pPr>
      <w:r w:rsidRPr="00D021F6">
        <w:rPr>
          <w:rFonts w:ascii="ITC Avant Garde" w:hAnsi="ITC Avant Garde"/>
          <w:sz w:val="18"/>
          <w:szCs w:val="18"/>
          <w:vertAlign w:val="superscript"/>
        </w:rPr>
        <w:t>5</w:t>
      </w:r>
      <w:r w:rsidRPr="00D021F6">
        <w:rPr>
          <w:rFonts w:ascii="ITC Avant Garde" w:hAnsi="ITC Avant Garde"/>
          <w:sz w:val="18"/>
          <w:szCs w:val="18"/>
        </w:rPr>
        <w:t xml:space="preserve"> La alimentación eléctrica estará sujeta a la disponibilidad en cada sitio.</w:t>
      </w:r>
    </w:p>
    <w:p w:rsidR="007C4016" w:rsidRPr="00D021F6" w:rsidRDefault="007C4016" w:rsidP="007C4016">
      <w:pPr>
        <w:spacing w:before="240" w:after="0"/>
        <w:rPr>
          <w:rFonts w:ascii="ITC Avant Garde" w:hAnsi="ITC Avant Garde"/>
          <w:sz w:val="18"/>
          <w:szCs w:val="18"/>
        </w:rPr>
      </w:pPr>
      <w:r w:rsidRPr="00D021F6">
        <w:rPr>
          <w:rFonts w:ascii="ITC Avant Garde" w:hAnsi="ITC Avant Garde"/>
          <w:sz w:val="18"/>
          <w:szCs w:val="18"/>
          <w:vertAlign w:val="superscript"/>
        </w:rPr>
        <w:t>6</w:t>
      </w:r>
      <w:r w:rsidRPr="00D021F6">
        <w:rPr>
          <w:rFonts w:ascii="ITC Avant Garde" w:hAnsi="ITC Avant Garde"/>
          <w:sz w:val="18"/>
          <w:szCs w:val="18"/>
        </w:rPr>
        <w:t xml:space="preserve"> El aire acondicionado estará sujeto a la disponibilidad en cada sitio.</w:t>
      </w:r>
    </w:p>
    <w:p w:rsidR="007C4016" w:rsidRPr="00716C42" w:rsidRDefault="007C4016" w:rsidP="007C4016">
      <w:pPr>
        <w:pStyle w:val="CondicionesFinales"/>
        <w:spacing w:before="240" w:after="0"/>
      </w:pPr>
      <w:r w:rsidRPr="00716C42">
        <w:t>La facturación de las actividades antes mencionadas se realizará posteriormente a su ejecución.</w:t>
      </w:r>
    </w:p>
    <w:p w:rsidR="007C4016" w:rsidRPr="004E6F44" w:rsidRDefault="007C4016" w:rsidP="007C4016">
      <w:pPr>
        <w:pStyle w:val="CondicionesFinales"/>
        <w:spacing w:before="240" w:after="0"/>
        <w:rPr>
          <w:b/>
        </w:rPr>
      </w:pPr>
      <w:r>
        <w:rPr>
          <w:b/>
        </w:rPr>
        <w:t>Cargos Recurrentes</w:t>
      </w:r>
    </w:p>
    <w:p w:rsidR="007C4016" w:rsidRPr="00390B03" w:rsidRDefault="007C4016" w:rsidP="007C4016">
      <w:pPr>
        <w:pStyle w:val="Prrafodelista"/>
        <w:numPr>
          <w:ilvl w:val="0"/>
          <w:numId w:val="224"/>
        </w:numPr>
        <w:suppressAutoHyphens w:val="0"/>
        <w:spacing w:before="240" w:after="0" w:line="276" w:lineRule="auto"/>
        <w:jc w:val="left"/>
        <w:rPr>
          <w:rStyle w:val="Ttulo3Car"/>
          <w:rFonts w:ascii="ITC Avant Garde" w:hAnsi="ITC Avant Garde"/>
          <w:sz w:val="22"/>
          <w:szCs w:val="22"/>
        </w:rPr>
      </w:pPr>
      <w:r w:rsidRPr="000F01D0">
        <w:t xml:space="preserve"> </w:t>
      </w:r>
      <w:r w:rsidRPr="00390B03">
        <w:rPr>
          <w:rFonts w:ascii="ITC Avant Garde" w:hAnsi="ITC Avant Garde"/>
          <w:b/>
          <w:sz w:val="22"/>
          <w:szCs w:val="22"/>
        </w:rPr>
        <w:t>Estructura situada en una azotea</w:t>
      </w:r>
      <w:r w:rsidRPr="00390B03">
        <w:rPr>
          <w:rFonts w:ascii="ITC Avant Garde" w:hAnsi="ITC Avant Garde"/>
          <w:sz w:val="22"/>
          <w:szCs w:val="22"/>
        </w:rPr>
        <w:t xml:space="preserve"> </w:t>
      </w:r>
    </w:p>
    <w:p w:rsidR="007C4016" w:rsidRDefault="007C4016" w:rsidP="007C4016">
      <w:pPr>
        <w:pStyle w:val="CondicionesFinales"/>
        <w:spacing w:before="240" w:after="0"/>
      </w:pPr>
      <w:r w:rsidRPr="000A7D68">
        <w:t>La tarifa mensual por el uso de Espacio Aprobado en Torre de 8.5 metros cuadrados (m</w:t>
      </w:r>
      <w:r w:rsidRPr="000A7D68">
        <w:rPr>
          <w:vertAlign w:val="superscript"/>
        </w:rPr>
        <w:t>2</w:t>
      </w:r>
      <w:r w:rsidRPr="000A7D68">
        <w:t>) y una franja de 4 metros lineales (ml); exclusivamente para antenas de radiofrecuencia (RF) o de microondas (MW), independientemente de sus dimensiones, de acuerdo a las características de las torres instaladas en azoteas se describe a continuación:</w:t>
      </w:r>
    </w:p>
    <w:tbl>
      <w:tblPr>
        <w:tblStyle w:val="Tablaconcuadrcula2"/>
        <w:tblW w:w="7132" w:type="dxa"/>
        <w:jc w:val="center"/>
        <w:tblLook w:val="04A0" w:firstRow="1" w:lastRow="0" w:firstColumn="1" w:lastColumn="0" w:noHBand="0" w:noVBand="1"/>
        <w:tblCaption w:val="Tabla"/>
        <w:tblDescription w:val="Tipo de Estructura"/>
      </w:tblPr>
      <w:tblGrid>
        <w:gridCol w:w="2830"/>
        <w:gridCol w:w="1596"/>
        <w:gridCol w:w="2706"/>
      </w:tblGrid>
      <w:tr w:rsidR="007C4016" w:rsidRPr="00390B03" w:rsidTr="005C782A">
        <w:trPr>
          <w:tblHeader/>
          <w:jc w:val="center"/>
        </w:trPr>
        <w:tc>
          <w:tcPr>
            <w:tcW w:w="2830" w:type="dxa"/>
            <w:shd w:val="clear" w:color="auto" w:fill="E7E6E6"/>
            <w:vAlign w:val="center"/>
          </w:tcPr>
          <w:p w:rsidR="007C4016" w:rsidRPr="00390B03" w:rsidRDefault="007C4016" w:rsidP="005C782A">
            <w:pPr>
              <w:spacing w:before="240" w:after="0"/>
              <w:jc w:val="center"/>
              <w:rPr>
                <w:rFonts w:ascii="ITC Avant Garde" w:hAnsi="ITC Avant Garde"/>
                <w:b/>
                <w:sz w:val="18"/>
                <w:szCs w:val="18"/>
              </w:rPr>
            </w:pPr>
            <w:r w:rsidRPr="00390B03">
              <w:rPr>
                <w:rFonts w:ascii="ITC Avant Garde" w:hAnsi="ITC Avant Garde"/>
                <w:b/>
                <w:sz w:val="18"/>
                <w:szCs w:val="18"/>
              </w:rPr>
              <w:lastRenderedPageBreak/>
              <w:t>Tipo de Estructura</w:t>
            </w:r>
          </w:p>
        </w:tc>
        <w:tc>
          <w:tcPr>
            <w:tcW w:w="1596" w:type="dxa"/>
            <w:shd w:val="clear" w:color="auto" w:fill="E7E6E6"/>
            <w:vAlign w:val="center"/>
          </w:tcPr>
          <w:p w:rsidR="007C4016" w:rsidRPr="00390B03" w:rsidRDefault="007C4016" w:rsidP="005C782A">
            <w:pPr>
              <w:spacing w:before="240" w:after="0"/>
              <w:jc w:val="center"/>
              <w:rPr>
                <w:rFonts w:ascii="ITC Avant Garde" w:hAnsi="ITC Avant Garde"/>
                <w:b/>
                <w:sz w:val="18"/>
                <w:szCs w:val="18"/>
              </w:rPr>
            </w:pPr>
            <w:r w:rsidRPr="00390B03">
              <w:rPr>
                <w:rFonts w:ascii="ITC Avant Garde" w:hAnsi="ITC Avant Garde"/>
                <w:b/>
                <w:sz w:val="18"/>
                <w:szCs w:val="18"/>
              </w:rPr>
              <w:t>Unidad</w:t>
            </w:r>
          </w:p>
        </w:tc>
        <w:tc>
          <w:tcPr>
            <w:tcW w:w="2706" w:type="dxa"/>
            <w:shd w:val="clear" w:color="auto" w:fill="E7E6E6"/>
            <w:vAlign w:val="center"/>
          </w:tcPr>
          <w:p w:rsidR="007C4016" w:rsidRPr="00390B03" w:rsidRDefault="007C4016" w:rsidP="005C782A">
            <w:pPr>
              <w:spacing w:before="240" w:after="0"/>
              <w:jc w:val="center"/>
              <w:rPr>
                <w:rFonts w:ascii="ITC Avant Garde" w:hAnsi="ITC Avant Garde"/>
                <w:b/>
                <w:sz w:val="18"/>
                <w:szCs w:val="18"/>
              </w:rPr>
            </w:pPr>
            <w:r w:rsidRPr="00390B03">
              <w:rPr>
                <w:rFonts w:ascii="ITC Avant Garde" w:hAnsi="ITC Avant Garde"/>
                <w:b/>
                <w:sz w:val="18"/>
                <w:szCs w:val="18"/>
              </w:rPr>
              <w:t>Valor</w:t>
            </w:r>
          </w:p>
        </w:tc>
      </w:tr>
      <w:tr w:rsidR="007C4016" w:rsidRPr="00390B03" w:rsidTr="005C782A">
        <w:trPr>
          <w:jc w:val="center"/>
        </w:trPr>
        <w:tc>
          <w:tcPr>
            <w:tcW w:w="2830" w:type="dxa"/>
            <w:shd w:val="clear" w:color="auto" w:fill="auto"/>
            <w:vAlign w:val="center"/>
          </w:tcPr>
          <w:p w:rsidR="007C4016" w:rsidRPr="00390B03" w:rsidRDefault="007C4016" w:rsidP="005C782A">
            <w:pPr>
              <w:spacing w:before="240" w:after="0"/>
              <w:rPr>
                <w:rFonts w:ascii="ITC Avant Garde" w:hAnsi="ITC Avant Garde"/>
                <w:sz w:val="18"/>
                <w:szCs w:val="18"/>
              </w:rPr>
            </w:pPr>
            <w:r w:rsidRPr="00390B03">
              <w:rPr>
                <w:rFonts w:ascii="ITC Avant Garde" w:hAnsi="ITC Avant Garde"/>
                <w:sz w:val="18"/>
                <w:szCs w:val="18"/>
              </w:rPr>
              <w:t>Torre Arriostrada</w:t>
            </w:r>
          </w:p>
        </w:tc>
        <w:tc>
          <w:tcPr>
            <w:tcW w:w="1596" w:type="dxa"/>
            <w:vAlign w:val="center"/>
          </w:tcPr>
          <w:p w:rsidR="007C4016" w:rsidRPr="00390B03" w:rsidRDefault="007C4016" w:rsidP="005C782A">
            <w:pPr>
              <w:spacing w:before="240" w:after="0"/>
              <w:rPr>
                <w:rFonts w:ascii="ITC Avant Garde" w:hAnsi="ITC Avant Garde"/>
                <w:sz w:val="18"/>
                <w:szCs w:val="18"/>
              </w:rPr>
            </w:pPr>
            <w:r w:rsidRPr="00390B03">
              <w:rPr>
                <w:rFonts w:ascii="ITC Avant Garde" w:hAnsi="ITC Avant Garde"/>
                <w:sz w:val="18"/>
                <w:szCs w:val="18"/>
              </w:rPr>
              <w:t xml:space="preserve">MXN / Mes </w:t>
            </w:r>
          </w:p>
        </w:tc>
        <w:tc>
          <w:tcPr>
            <w:tcW w:w="2706" w:type="dxa"/>
            <w:shd w:val="clear" w:color="auto" w:fill="auto"/>
            <w:vAlign w:val="center"/>
          </w:tcPr>
          <w:p w:rsidR="007C4016" w:rsidRPr="00390B03" w:rsidRDefault="007C4016" w:rsidP="005C782A">
            <w:pPr>
              <w:spacing w:before="240" w:after="0"/>
              <w:jc w:val="center"/>
              <w:rPr>
                <w:rFonts w:ascii="ITC Avant Garde" w:hAnsi="ITC Avant Garde"/>
                <w:sz w:val="18"/>
                <w:szCs w:val="18"/>
              </w:rPr>
            </w:pPr>
            <w:r w:rsidRPr="00390B03">
              <w:rPr>
                <w:rFonts w:ascii="ITC Avant Garde" w:hAnsi="ITC Avant Garde"/>
                <w:sz w:val="18"/>
                <w:szCs w:val="18"/>
              </w:rPr>
              <w:t>$ 9,510.31 M.N.</w:t>
            </w:r>
          </w:p>
        </w:tc>
      </w:tr>
      <w:tr w:rsidR="007C4016" w:rsidRPr="00390B03" w:rsidTr="005C782A">
        <w:trPr>
          <w:jc w:val="center"/>
        </w:trPr>
        <w:tc>
          <w:tcPr>
            <w:tcW w:w="2830" w:type="dxa"/>
            <w:shd w:val="clear" w:color="auto" w:fill="auto"/>
            <w:vAlign w:val="center"/>
          </w:tcPr>
          <w:p w:rsidR="007C4016" w:rsidRPr="00390B03" w:rsidRDefault="007C4016" w:rsidP="005C782A">
            <w:pPr>
              <w:spacing w:before="240" w:after="0"/>
              <w:rPr>
                <w:rFonts w:ascii="ITC Avant Garde" w:hAnsi="ITC Avant Garde"/>
                <w:sz w:val="18"/>
                <w:szCs w:val="18"/>
              </w:rPr>
            </w:pPr>
            <w:r w:rsidRPr="00390B03">
              <w:rPr>
                <w:rFonts w:ascii="ITC Avant Garde" w:hAnsi="ITC Avant Garde"/>
                <w:sz w:val="18"/>
                <w:szCs w:val="18"/>
              </w:rPr>
              <w:t>Torre Autosoportada</w:t>
            </w:r>
          </w:p>
        </w:tc>
        <w:tc>
          <w:tcPr>
            <w:tcW w:w="1596" w:type="dxa"/>
            <w:vAlign w:val="center"/>
          </w:tcPr>
          <w:p w:rsidR="007C4016" w:rsidRPr="00390B03" w:rsidRDefault="007C4016" w:rsidP="005C782A">
            <w:pPr>
              <w:spacing w:before="240" w:after="0"/>
              <w:rPr>
                <w:rFonts w:ascii="ITC Avant Garde" w:hAnsi="ITC Avant Garde"/>
                <w:sz w:val="18"/>
                <w:szCs w:val="18"/>
              </w:rPr>
            </w:pPr>
            <w:r w:rsidRPr="00390B03">
              <w:rPr>
                <w:rFonts w:ascii="ITC Avant Garde" w:hAnsi="ITC Avant Garde"/>
                <w:sz w:val="18"/>
                <w:szCs w:val="18"/>
              </w:rPr>
              <w:t xml:space="preserve">MXN / Mes </w:t>
            </w:r>
          </w:p>
        </w:tc>
        <w:tc>
          <w:tcPr>
            <w:tcW w:w="2706" w:type="dxa"/>
            <w:shd w:val="clear" w:color="auto" w:fill="auto"/>
            <w:vAlign w:val="center"/>
          </w:tcPr>
          <w:p w:rsidR="007C4016" w:rsidRPr="00390B03" w:rsidRDefault="007C4016" w:rsidP="005C782A">
            <w:pPr>
              <w:spacing w:before="240" w:after="0"/>
              <w:jc w:val="center"/>
              <w:rPr>
                <w:rFonts w:ascii="ITC Avant Garde" w:hAnsi="ITC Avant Garde"/>
                <w:sz w:val="18"/>
                <w:szCs w:val="18"/>
              </w:rPr>
            </w:pPr>
            <w:r w:rsidRPr="00390B03">
              <w:rPr>
                <w:rFonts w:ascii="ITC Avant Garde" w:hAnsi="ITC Avant Garde"/>
                <w:sz w:val="18"/>
                <w:szCs w:val="18"/>
              </w:rPr>
              <w:t>$ 6,520.49 M.N.</w:t>
            </w:r>
          </w:p>
        </w:tc>
      </w:tr>
    </w:tbl>
    <w:p w:rsidR="007C4016" w:rsidRDefault="007C4016" w:rsidP="007C4016">
      <w:pPr>
        <w:pStyle w:val="CondicionesFinales"/>
        <w:spacing w:before="240" w:after="0"/>
      </w:pPr>
    </w:p>
    <w:p w:rsidR="007C4016" w:rsidRDefault="007C4016" w:rsidP="007C4016">
      <w:pPr>
        <w:pStyle w:val="CondicionesFinales"/>
        <w:spacing w:before="240" w:after="0"/>
      </w:pPr>
      <w:r w:rsidRPr="008C3352">
        <w:t xml:space="preserve">A través de la tarifa mensual por el </w:t>
      </w:r>
      <w:r>
        <w:t xml:space="preserve">acceso y </w:t>
      </w:r>
      <w:r w:rsidRPr="008C3352">
        <w:t>uso de Espacio Aprobado en Torre</w:t>
      </w:r>
      <w:r>
        <w:t xml:space="preserve"> en una estructura situada en una azotea</w:t>
      </w:r>
      <w:r w:rsidRPr="008C3352">
        <w:t xml:space="preserve">, el </w:t>
      </w:r>
      <w:r>
        <w:t>Concesionario Solicitante</w:t>
      </w:r>
      <w:r w:rsidRPr="008C3352">
        <w:t xml:space="preserve"> podrá solicitar el uso discontinuo del espacio en la torre (necesidades que deberán estar reflejadas en la </w:t>
      </w:r>
      <w:r w:rsidRPr="00A41DFE">
        <w:t>Solicitud de Factibilidad y de colocación</w:t>
      </w:r>
      <w:r w:rsidRPr="008C3352">
        <w:t xml:space="preserve"> indicando cuál sería el centro de radiación principal y secundario) a través de su división en hasta un máximo de dos componentes, siempre y cuando: 1) la suma del uso del espacio en ambas componentes no exceda de 8.5 m</w:t>
      </w:r>
      <w:r w:rsidRPr="005C0862">
        <w:rPr>
          <w:vertAlign w:val="superscript"/>
        </w:rPr>
        <w:t>2</w:t>
      </w:r>
      <w:r w:rsidRPr="008C3352">
        <w:t xml:space="preserve"> y 4 ml, 2) el </w:t>
      </w:r>
      <w:r>
        <w:t>Concesionario Solicitante</w:t>
      </w:r>
      <w:r w:rsidRPr="008C3352">
        <w:t xml:space="preserve"> haga uso de al menos una de los componentes para la colocación de equipos, y 3) no existirán ajustes de niveles tarifarios derivados del uso parcial del espacio de 8.5 m</w:t>
      </w:r>
      <w:r w:rsidRPr="005C0862">
        <w:rPr>
          <w:vertAlign w:val="superscript"/>
        </w:rPr>
        <w:t>2</w:t>
      </w:r>
      <w:r w:rsidRPr="008C3352">
        <w:t xml:space="preserve"> y 4 ml, a través de la división en las co</w:t>
      </w:r>
      <w:r>
        <w:t>mponentes en cuestión. Telnor</w:t>
      </w:r>
      <w:r w:rsidRPr="008C3352">
        <w:t xml:space="preserve"> en su respuesta a la </w:t>
      </w:r>
      <w:r w:rsidRPr="00A41DFE">
        <w:t>Solicitud de Factibilidad</w:t>
      </w:r>
      <w:r w:rsidRPr="008C3352">
        <w:t xml:space="preserve"> indicara sobre la posibilidad del uso discontinuo de la franja y en caso de determinar que no es posible sólo presentará el resultado de </w:t>
      </w:r>
      <w:r w:rsidRPr="00A41DFE">
        <w:t>Factibilidad</w:t>
      </w:r>
      <w:r w:rsidRPr="008C3352">
        <w:t xml:space="preserve"> sobre una franja de 4 ml con referencia al centro de radiación principal.</w:t>
      </w:r>
    </w:p>
    <w:p w:rsidR="007C4016" w:rsidRDefault="007C4016" w:rsidP="007C4016">
      <w:pPr>
        <w:pStyle w:val="CondicionesFinales"/>
        <w:spacing w:before="240" w:after="0"/>
      </w:pPr>
      <w:r>
        <w:t>En caso de que Telnor</w:t>
      </w:r>
      <w:r w:rsidRPr="008C3352">
        <w:t xml:space="preserve"> permita hacer uso de franjas discontinuas y que se pudiera hacer uso de la segunda componente de manera posterior, si otro </w:t>
      </w:r>
      <w:r>
        <w:t>Concesionario Solicitante</w:t>
      </w:r>
      <w:r w:rsidRPr="008C3352">
        <w:t xml:space="preserve"> solicita el </w:t>
      </w:r>
      <w:r w:rsidRPr="00A41DFE">
        <w:t>Servicio de Acceso y Uso Compartido en la torre</w:t>
      </w:r>
      <w:r>
        <w:t xml:space="preserve"> en cuestión, Telnor</w:t>
      </w:r>
      <w:r w:rsidRPr="008C3352">
        <w:t xml:space="preserve"> notificará al primero para que decida ocupar a la brevedad el espacio correspondiente en la torre o en su defecto manifieste que no cuenta con interés (el </w:t>
      </w:r>
      <w:r>
        <w:t>Concesionario Solicitante</w:t>
      </w:r>
      <w:r w:rsidRPr="008C3352">
        <w:t xml:space="preserve"> contará con un plazo de 10 días hábiles para ocupar el sitio conforme a la </w:t>
      </w:r>
      <w:r w:rsidRPr="00A41DFE">
        <w:t>solicitud de ocupación original)</w:t>
      </w:r>
      <w:r w:rsidRPr="008C3352">
        <w:t>, teniendo claro que de no ocupar el espacio se le podrá dar acceso a otro Concesionario sin que existirán ajustes de niveles tarifarios derivad</w:t>
      </w:r>
      <w:r>
        <w:t>os del uso parcial del espacio.</w:t>
      </w:r>
    </w:p>
    <w:p w:rsidR="007C4016" w:rsidRPr="007A1EE0" w:rsidRDefault="007C4016" w:rsidP="007C4016">
      <w:pPr>
        <w:pStyle w:val="CondicionesFinales"/>
        <w:spacing w:before="240" w:after="0"/>
      </w:pPr>
      <w:r w:rsidRPr="007A1EE0">
        <w:t>En complemento, cualquier excedente de los 8.5 m</w:t>
      </w:r>
      <w:r w:rsidRPr="001E0B0E">
        <w:rPr>
          <w:vertAlign w:val="superscript"/>
        </w:rPr>
        <w:t>2</w:t>
      </w:r>
      <w:r w:rsidRPr="007A1EE0">
        <w:t xml:space="preserve"> o de la franja de los 4 ml, será pagado de acuerdo a la cantidad que resulte de </w:t>
      </w:r>
      <w:r w:rsidRPr="007A1EE0">
        <w:lastRenderedPageBreak/>
        <w:t>multiplicar el Área de antena en m</w:t>
      </w:r>
      <w:r w:rsidRPr="001E0B0E">
        <w:rPr>
          <w:vertAlign w:val="superscript"/>
        </w:rPr>
        <w:t>2</w:t>
      </w:r>
      <w:r w:rsidRPr="007A1EE0">
        <w:t>, por la Altura del centro de radiación (NCR) que es la distancia del punto medio de la antena al suelo en metros, por la cantidad de:</w:t>
      </w:r>
    </w:p>
    <w:tbl>
      <w:tblPr>
        <w:tblStyle w:val="Tablaconcuadrcula"/>
        <w:tblW w:w="3475" w:type="pct"/>
        <w:jc w:val="center"/>
        <w:tblLayout w:type="fixed"/>
        <w:tblLook w:val="04A0" w:firstRow="1" w:lastRow="0" w:firstColumn="1" w:lastColumn="0" w:noHBand="0" w:noVBand="1"/>
        <w:tblCaption w:val="Tabla"/>
        <w:tblDescription w:val="Elemento"/>
      </w:tblPr>
      <w:tblGrid>
        <w:gridCol w:w="1849"/>
        <w:gridCol w:w="998"/>
        <w:gridCol w:w="1645"/>
        <w:gridCol w:w="1645"/>
      </w:tblGrid>
      <w:tr w:rsidR="007C4016" w:rsidRPr="003253D4" w:rsidTr="005C782A">
        <w:trPr>
          <w:trHeight w:val="460"/>
          <w:tblHeader/>
          <w:jc w:val="center"/>
        </w:trPr>
        <w:tc>
          <w:tcPr>
            <w:tcW w:w="1507" w:type="pct"/>
            <w:shd w:val="clear" w:color="auto" w:fill="D9D9D9" w:themeFill="background1" w:themeFillShade="D9"/>
            <w:noWrap/>
            <w:vAlign w:val="center"/>
          </w:tcPr>
          <w:p w:rsidR="007C4016" w:rsidRPr="00B17D04" w:rsidRDefault="007C4016" w:rsidP="005C782A">
            <w:pPr>
              <w:spacing w:before="240" w:after="0"/>
              <w:jc w:val="center"/>
              <w:rPr>
                <w:rFonts w:ascii="ITC Avant Garde" w:hAnsi="ITC Avant Garde" w:cs="Arial"/>
                <w:b/>
                <w:sz w:val="18"/>
                <w:szCs w:val="18"/>
              </w:rPr>
            </w:pPr>
            <w:r w:rsidRPr="00B17D04">
              <w:rPr>
                <w:rFonts w:ascii="ITC Avant Garde" w:hAnsi="ITC Avant Garde" w:cs="Arial"/>
                <w:b/>
                <w:sz w:val="18"/>
                <w:szCs w:val="18"/>
              </w:rPr>
              <w:t>Elemento</w:t>
            </w:r>
          </w:p>
        </w:tc>
        <w:tc>
          <w:tcPr>
            <w:tcW w:w="813" w:type="pct"/>
            <w:shd w:val="clear" w:color="auto" w:fill="D9D9D9" w:themeFill="background1" w:themeFillShade="D9"/>
            <w:noWrap/>
            <w:vAlign w:val="center"/>
          </w:tcPr>
          <w:p w:rsidR="007C4016" w:rsidRPr="00B17D04" w:rsidRDefault="007C4016" w:rsidP="005C782A">
            <w:pPr>
              <w:spacing w:before="240" w:after="0"/>
              <w:jc w:val="center"/>
              <w:rPr>
                <w:rFonts w:ascii="ITC Avant Garde" w:hAnsi="ITC Avant Garde" w:cs="Arial"/>
                <w:b/>
                <w:sz w:val="18"/>
                <w:szCs w:val="18"/>
              </w:rPr>
            </w:pPr>
            <w:r w:rsidRPr="00B17D04">
              <w:rPr>
                <w:rFonts w:ascii="ITC Avant Garde" w:hAnsi="ITC Avant Garde" w:cs="Arial"/>
                <w:b/>
                <w:sz w:val="18"/>
                <w:szCs w:val="18"/>
              </w:rPr>
              <w:t>Unidad</w:t>
            </w:r>
          </w:p>
        </w:tc>
        <w:tc>
          <w:tcPr>
            <w:tcW w:w="1340" w:type="pct"/>
            <w:shd w:val="clear" w:color="auto" w:fill="D9D9D9" w:themeFill="background1" w:themeFillShade="D9"/>
            <w:noWrap/>
            <w:vAlign w:val="center"/>
          </w:tcPr>
          <w:p w:rsidR="007C4016" w:rsidRPr="00B17D04" w:rsidRDefault="007C4016" w:rsidP="005C782A">
            <w:pPr>
              <w:spacing w:before="240" w:after="0"/>
              <w:jc w:val="center"/>
              <w:rPr>
                <w:rFonts w:ascii="ITC Avant Garde" w:hAnsi="ITC Avant Garde"/>
                <w:b/>
                <w:sz w:val="18"/>
              </w:rPr>
            </w:pPr>
            <w:r>
              <w:rPr>
                <w:rFonts w:ascii="ITC Avant Garde" w:hAnsi="ITC Avant Garde"/>
                <w:b/>
                <w:sz w:val="18"/>
              </w:rPr>
              <w:t>Torre Arriostrada</w:t>
            </w:r>
          </w:p>
        </w:tc>
        <w:tc>
          <w:tcPr>
            <w:tcW w:w="1340" w:type="pct"/>
            <w:shd w:val="clear" w:color="auto" w:fill="D9D9D9" w:themeFill="background1" w:themeFillShade="D9"/>
            <w:noWrap/>
            <w:vAlign w:val="center"/>
          </w:tcPr>
          <w:p w:rsidR="007C4016" w:rsidRPr="00B17D04" w:rsidRDefault="007C4016" w:rsidP="005C782A">
            <w:pPr>
              <w:spacing w:before="240" w:after="0"/>
              <w:jc w:val="center"/>
              <w:rPr>
                <w:rFonts w:ascii="ITC Avant Garde" w:hAnsi="ITC Avant Garde"/>
                <w:b/>
                <w:sz w:val="18"/>
              </w:rPr>
            </w:pPr>
            <w:r>
              <w:rPr>
                <w:rFonts w:ascii="ITC Avant Garde" w:hAnsi="ITC Avant Garde"/>
                <w:b/>
                <w:sz w:val="18"/>
              </w:rPr>
              <w:t>Torre Autosoportada</w:t>
            </w:r>
          </w:p>
        </w:tc>
      </w:tr>
      <w:tr w:rsidR="007C4016" w:rsidRPr="003253D4" w:rsidTr="005C782A">
        <w:trPr>
          <w:trHeight w:val="283"/>
          <w:jc w:val="center"/>
        </w:trPr>
        <w:tc>
          <w:tcPr>
            <w:tcW w:w="1507" w:type="pct"/>
            <w:noWrap/>
            <w:vAlign w:val="center"/>
            <w:hideMark/>
          </w:tcPr>
          <w:p w:rsidR="007C4016" w:rsidRPr="003253D4" w:rsidRDefault="007C4016" w:rsidP="005C782A">
            <w:pPr>
              <w:spacing w:before="240" w:after="0"/>
              <w:jc w:val="center"/>
              <w:rPr>
                <w:rFonts w:ascii="ITC Avant Garde" w:hAnsi="ITC Avant Garde" w:cs="Arial"/>
                <w:b/>
                <w:sz w:val="18"/>
                <w:szCs w:val="18"/>
              </w:rPr>
            </w:pPr>
            <w:r w:rsidRPr="003253D4">
              <w:rPr>
                <w:rFonts w:ascii="ITC Avant Garde" w:hAnsi="ITC Avant Garde" w:cs="Arial"/>
                <w:sz w:val="18"/>
                <w:szCs w:val="18"/>
              </w:rPr>
              <w:t>Factor de cobro</w:t>
            </w:r>
          </w:p>
        </w:tc>
        <w:tc>
          <w:tcPr>
            <w:tcW w:w="813" w:type="pct"/>
            <w:noWrap/>
            <w:vAlign w:val="center"/>
            <w:hideMark/>
          </w:tcPr>
          <w:p w:rsidR="007C4016" w:rsidRPr="003253D4" w:rsidRDefault="007C4016" w:rsidP="005C782A">
            <w:pPr>
              <w:spacing w:before="240" w:after="0"/>
              <w:jc w:val="center"/>
              <w:rPr>
                <w:rFonts w:ascii="ITC Avant Garde" w:hAnsi="ITC Avant Garde" w:cs="Arial"/>
                <w:b/>
                <w:sz w:val="18"/>
                <w:szCs w:val="18"/>
                <w:vertAlign w:val="superscript"/>
              </w:rPr>
            </w:pPr>
            <w:r w:rsidRPr="003253D4">
              <w:rPr>
                <w:rFonts w:ascii="ITC Avant Garde" w:hAnsi="ITC Avant Garde" w:cs="Arial"/>
                <w:sz w:val="18"/>
                <w:szCs w:val="18"/>
              </w:rPr>
              <w:t>M.N./m</w:t>
            </w:r>
            <w:r w:rsidRPr="003253D4">
              <w:rPr>
                <w:rFonts w:ascii="ITC Avant Garde" w:hAnsi="ITC Avant Garde" w:cs="Arial"/>
                <w:sz w:val="18"/>
                <w:szCs w:val="18"/>
                <w:vertAlign w:val="superscript"/>
              </w:rPr>
              <w:t>3</w:t>
            </w:r>
          </w:p>
        </w:tc>
        <w:tc>
          <w:tcPr>
            <w:tcW w:w="1340" w:type="pct"/>
            <w:noWrap/>
          </w:tcPr>
          <w:p w:rsidR="007C4016" w:rsidRPr="003253D4" w:rsidRDefault="007C4016" w:rsidP="005C782A">
            <w:pPr>
              <w:spacing w:before="240" w:after="0"/>
              <w:jc w:val="center"/>
              <w:rPr>
                <w:rFonts w:ascii="ITC Avant Garde" w:hAnsi="ITC Avant Garde" w:cs="Arial"/>
                <w:sz w:val="18"/>
                <w:szCs w:val="18"/>
              </w:rPr>
            </w:pPr>
            <w:r w:rsidRPr="003253D4">
              <w:rPr>
                <w:rFonts w:ascii="ITC Avant Garde" w:hAnsi="ITC Avant Garde" w:cs="Arial"/>
                <w:sz w:val="18"/>
                <w:szCs w:val="18"/>
              </w:rPr>
              <w:t>4</w:t>
            </w:r>
            <w:r>
              <w:rPr>
                <w:rFonts w:ascii="ITC Avant Garde" w:hAnsi="ITC Avant Garde" w:cs="Arial"/>
                <w:sz w:val="18"/>
                <w:szCs w:val="18"/>
              </w:rPr>
              <w:t>9.01</w:t>
            </w:r>
          </w:p>
        </w:tc>
        <w:tc>
          <w:tcPr>
            <w:tcW w:w="1340" w:type="pct"/>
            <w:noWrap/>
          </w:tcPr>
          <w:p w:rsidR="007C4016" w:rsidRPr="003253D4" w:rsidRDefault="007C4016" w:rsidP="005C782A">
            <w:pPr>
              <w:spacing w:before="240" w:after="0"/>
              <w:jc w:val="center"/>
              <w:rPr>
                <w:rFonts w:ascii="ITC Avant Garde" w:hAnsi="ITC Avant Garde" w:cs="Arial"/>
                <w:sz w:val="18"/>
                <w:szCs w:val="18"/>
              </w:rPr>
            </w:pPr>
            <w:r>
              <w:rPr>
                <w:rFonts w:ascii="ITC Avant Garde" w:hAnsi="ITC Avant Garde" w:cs="Arial"/>
                <w:sz w:val="18"/>
                <w:szCs w:val="18"/>
              </w:rPr>
              <w:t>19.61</w:t>
            </w:r>
          </w:p>
        </w:tc>
      </w:tr>
    </w:tbl>
    <w:p w:rsidR="007C4016" w:rsidRDefault="007C4016" w:rsidP="007C4016">
      <w:pPr>
        <w:spacing w:before="240" w:after="0"/>
        <w:rPr>
          <w:rFonts w:ascii="ITC Avant Garde" w:hAnsi="ITC Avant Garde"/>
        </w:rPr>
      </w:pPr>
    </w:p>
    <w:p w:rsidR="007C4016" w:rsidRPr="008C5EB8" w:rsidRDefault="007C4016" w:rsidP="007C4016">
      <w:pPr>
        <w:pStyle w:val="CondicionesFinales"/>
        <w:spacing w:before="240" w:after="0"/>
      </w:pPr>
      <w:r>
        <w:t>Para ello, se seguirá el siguiente procedimiento de cálculo de acuerdo al tipo de estructura que corresponda:</w:t>
      </w:r>
      <w:r w:rsidRPr="008C5EB8">
        <w:t xml:space="preserve"> </w:t>
      </w:r>
    </w:p>
    <w:p w:rsidR="007C4016" w:rsidRPr="00F9467F" w:rsidDel="00D66974" w:rsidRDefault="007C4016" w:rsidP="007C4016">
      <w:pPr>
        <w:pStyle w:val="CondicionesFinales"/>
        <w:spacing w:before="240" w:after="0"/>
      </w:pPr>
      <w:r w:rsidRPr="008C5EB8">
        <w:t>Costo Adicional = Área de Antena m</w:t>
      </w:r>
      <w:r w:rsidRPr="005E2135">
        <w:rPr>
          <w:vertAlign w:val="superscript"/>
        </w:rPr>
        <w:t>2</w:t>
      </w:r>
      <w:r w:rsidRPr="008C5EB8">
        <w:t xml:space="preserve"> * Altura NCR en metros * </w:t>
      </w:r>
      <w:r w:rsidRPr="00DA1DFC">
        <w:t>Factor de cobro</w:t>
      </w:r>
      <w:r w:rsidRPr="008C5EB8">
        <w:t xml:space="preserve"> </w:t>
      </w:r>
    </w:p>
    <w:p w:rsidR="007C4016" w:rsidRPr="00390B03" w:rsidRDefault="007C4016" w:rsidP="007C4016">
      <w:pPr>
        <w:pStyle w:val="Prrafodelista"/>
        <w:numPr>
          <w:ilvl w:val="0"/>
          <w:numId w:val="224"/>
        </w:numPr>
        <w:suppressAutoHyphens w:val="0"/>
        <w:spacing w:before="240" w:after="0" w:line="276" w:lineRule="auto"/>
        <w:jc w:val="left"/>
        <w:rPr>
          <w:rFonts w:ascii="ITC Avant Garde" w:hAnsi="ITC Avant Garde"/>
          <w:b/>
          <w:sz w:val="22"/>
          <w:szCs w:val="22"/>
        </w:rPr>
      </w:pPr>
      <w:r w:rsidRPr="00390B03">
        <w:rPr>
          <w:rFonts w:ascii="ITC Avant Garde" w:hAnsi="ITC Avant Garde"/>
          <w:b/>
          <w:sz w:val="22"/>
          <w:szCs w:val="22"/>
        </w:rPr>
        <w:t>Estructura situada en al nivel del suelo</w:t>
      </w:r>
    </w:p>
    <w:p w:rsidR="007C4016" w:rsidRDefault="007C4016" w:rsidP="007C4016">
      <w:pPr>
        <w:pStyle w:val="CondicionesFinales"/>
        <w:spacing w:before="240" w:after="0"/>
      </w:pPr>
      <w:r w:rsidRPr="008C5EB8">
        <w:t>La tarifa mensual por el uso de Espacio Aprobado en Torre de 8.5 metros cuadrados (m</w:t>
      </w:r>
      <w:r w:rsidRPr="005E2135">
        <w:rPr>
          <w:vertAlign w:val="superscript"/>
        </w:rPr>
        <w:t>2</w:t>
      </w:r>
      <w:r w:rsidRPr="008C5EB8">
        <w:t>) y una franja de 4 metros lineales (ml); exclusivamente para antenas de radiofrecuencia (RF) o de microondas (MW), independientemente de sus dimensiones, de acuerdo a las características de las torres no instaladas en azoteas se describe a continuación:</w:t>
      </w:r>
    </w:p>
    <w:tbl>
      <w:tblPr>
        <w:tblStyle w:val="Tablaconcuadrcula2"/>
        <w:tblW w:w="6491" w:type="dxa"/>
        <w:jc w:val="center"/>
        <w:tblLook w:val="04A0" w:firstRow="1" w:lastRow="0" w:firstColumn="1" w:lastColumn="0" w:noHBand="0" w:noVBand="1"/>
        <w:tblCaption w:val="Tabla"/>
        <w:tblDescription w:val="Tipo de Estructura"/>
      </w:tblPr>
      <w:tblGrid>
        <w:gridCol w:w="2277"/>
        <w:gridCol w:w="2205"/>
        <w:gridCol w:w="2009"/>
      </w:tblGrid>
      <w:tr w:rsidR="007C4016" w:rsidRPr="00390B03" w:rsidTr="005C782A">
        <w:trPr>
          <w:tblHeader/>
          <w:jc w:val="center"/>
        </w:trPr>
        <w:tc>
          <w:tcPr>
            <w:tcW w:w="2277" w:type="dxa"/>
            <w:shd w:val="clear" w:color="auto" w:fill="E7E6E6"/>
          </w:tcPr>
          <w:p w:rsidR="007C4016" w:rsidRPr="00390B03" w:rsidRDefault="007C4016" w:rsidP="005C782A">
            <w:pPr>
              <w:spacing w:before="240" w:after="0"/>
              <w:jc w:val="center"/>
              <w:rPr>
                <w:rFonts w:ascii="ITC Avant Garde" w:hAnsi="ITC Avant Garde"/>
                <w:b/>
                <w:sz w:val="18"/>
                <w:szCs w:val="18"/>
              </w:rPr>
            </w:pPr>
            <w:r w:rsidRPr="00390B03">
              <w:rPr>
                <w:rFonts w:ascii="ITC Avant Garde" w:hAnsi="ITC Avant Garde"/>
                <w:b/>
                <w:sz w:val="18"/>
                <w:szCs w:val="18"/>
              </w:rPr>
              <w:t>Tipo de Estructura</w:t>
            </w:r>
          </w:p>
        </w:tc>
        <w:tc>
          <w:tcPr>
            <w:tcW w:w="2205" w:type="dxa"/>
            <w:shd w:val="clear" w:color="auto" w:fill="E7E6E6"/>
          </w:tcPr>
          <w:p w:rsidR="007C4016" w:rsidRPr="00390B03" w:rsidRDefault="007C4016" w:rsidP="005C782A">
            <w:pPr>
              <w:spacing w:before="240" w:after="0"/>
              <w:jc w:val="center"/>
              <w:rPr>
                <w:rFonts w:ascii="ITC Avant Garde" w:hAnsi="ITC Avant Garde"/>
                <w:b/>
                <w:sz w:val="18"/>
                <w:szCs w:val="18"/>
              </w:rPr>
            </w:pPr>
            <w:r w:rsidRPr="00390B03">
              <w:rPr>
                <w:rFonts w:ascii="ITC Avant Garde" w:hAnsi="ITC Avant Garde"/>
                <w:b/>
                <w:sz w:val="18"/>
                <w:szCs w:val="18"/>
              </w:rPr>
              <w:t>Unidad</w:t>
            </w:r>
          </w:p>
        </w:tc>
        <w:tc>
          <w:tcPr>
            <w:tcW w:w="2009" w:type="dxa"/>
            <w:shd w:val="clear" w:color="auto" w:fill="E7E6E6"/>
          </w:tcPr>
          <w:p w:rsidR="007C4016" w:rsidRPr="00390B03" w:rsidRDefault="007C4016" w:rsidP="005C782A">
            <w:pPr>
              <w:spacing w:before="240" w:after="0"/>
              <w:jc w:val="center"/>
              <w:rPr>
                <w:rFonts w:ascii="ITC Avant Garde" w:hAnsi="ITC Avant Garde"/>
                <w:b/>
                <w:sz w:val="18"/>
                <w:szCs w:val="18"/>
              </w:rPr>
            </w:pPr>
            <w:r w:rsidRPr="00390B03">
              <w:rPr>
                <w:rFonts w:ascii="ITC Avant Garde" w:hAnsi="ITC Avant Garde"/>
                <w:b/>
                <w:sz w:val="18"/>
                <w:szCs w:val="18"/>
              </w:rPr>
              <w:t>Valor</w:t>
            </w:r>
          </w:p>
        </w:tc>
      </w:tr>
      <w:tr w:rsidR="007C4016" w:rsidRPr="00390B03" w:rsidTr="005C782A">
        <w:trPr>
          <w:jc w:val="center"/>
        </w:trPr>
        <w:tc>
          <w:tcPr>
            <w:tcW w:w="2277" w:type="dxa"/>
            <w:shd w:val="clear" w:color="auto" w:fill="auto"/>
          </w:tcPr>
          <w:p w:rsidR="007C4016" w:rsidRPr="00390B03" w:rsidRDefault="007C4016" w:rsidP="005C782A">
            <w:pPr>
              <w:spacing w:before="240" w:after="0"/>
              <w:rPr>
                <w:rFonts w:ascii="ITC Avant Garde" w:hAnsi="ITC Avant Garde"/>
                <w:sz w:val="18"/>
                <w:szCs w:val="18"/>
              </w:rPr>
            </w:pPr>
            <w:r w:rsidRPr="00390B03">
              <w:rPr>
                <w:rFonts w:ascii="ITC Avant Garde" w:hAnsi="ITC Avant Garde"/>
                <w:sz w:val="18"/>
                <w:szCs w:val="18"/>
              </w:rPr>
              <w:t>Torre Arriostrada</w:t>
            </w:r>
          </w:p>
        </w:tc>
        <w:tc>
          <w:tcPr>
            <w:tcW w:w="2205" w:type="dxa"/>
          </w:tcPr>
          <w:p w:rsidR="007C4016" w:rsidRPr="00390B03" w:rsidRDefault="007C4016" w:rsidP="005C782A">
            <w:pPr>
              <w:spacing w:before="240" w:after="0"/>
              <w:jc w:val="center"/>
              <w:rPr>
                <w:rFonts w:ascii="ITC Avant Garde" w:hAnsi="ITC Avant Garde"/>
                <w:sz w:val="18"/>
                <w:szCs w:val="18"/>
              </w:rPr>
            </w:pPr>
            <w:r w:rsidRPr="00390B03">
              <w:rPr>
                <w:rFonts w:ascii="ITC Avant Garde" w:hAnsi="ITC Avant Garde"/>
                <w:sz w:val="18"/>
                <w:szCs w:val="18"/>
              </w:rPr>
              <w:t xml:space="preserve">MXN / Mes </w:t>
            </w:r>
          </w:p>
        </w:tc>
        <w:tc>
          <w:tcPr>
            <w:tcW w:w="2009" w:type="dxa"/>
            <w:shd w:val="clear" w:color="auto" w:fill="auto"/>
          </w:tcPr>
          <w:p w:rsidR="007C4016" w:rsidRPr="00390B03" w:rsidRDefault="007C4016" w:rsidP="005C782A">
            <w:pPr>
              <w:spacing w:before="240" w:after="0"/>
              <w:jc w:val="center"/>
              <w:rPr>
                <w:rFonts w:ascii="ITC Avant Garde" w:hAnsi="ITC Avant Garde"/>
                <w:sz w:val="18"/>
                <w:szCs w:val="18"/>
              </w:rPr>
            </w:pPr>
            <w:r w:rsidRPr="00390B03">
              <w:rPr>
                <w:rFonts w:ascii="ITC Avant Garde" w:hAnsi="ITC Avant Garde"/>
                <w:sz w:val="18"/>
                <w:szCs w:val="18"/>
              </w:rPr>
              <w:t>$ 7,764.21 M.N.</w:t>
            </w:r>
          </w:p>
        </w:tc>
      </w:tr>
      <w:tr w:rsidR="007C4016" w:rsidRPr="00390B03" w:rsidTr="005C782A">
        <w:trPr>
          <w:jc w:val="center"/>
        </w:trPr>
        <w:tc>
          <w:tcPr>
            <w:tcW w:w="2277" w:type="dxa"/>
            <w:shd w:val="clear" w:color="auto" w:fill="auto"/>
          </w:tcPr>
          <w:p w:rsidR="007C4016" w:rsidRPr="00390B03" w:rsidRDefault="007C4016" w:rsidP="005C782A">
            <w:pPr>
              <w:spacing w:before="240" w:after="0"/>
              <w:rPr>
                <w:rFonts w:ascii="ITC Avant Garde" w:hAnsi="ITC Avant Garde"/>
                <w:sz w:val="18"/>
                <w:szCs w:val="18"/>
              </w:rPr>
            </w:pPr>
            <w:r w:rsidRPr="00390B03">
              <w:rPr>
                <w:rFonts w:ascii="ITC Avant Garde" w:hAnsi="ITC Avant Garde"/>
                <w:sz w:val="18"/>
                <w:szCs w:val="18"/>
              </w:rPr>
              <w:t>Torre Autosoportada</w:t>
            </w:r>
          </w:p>
        </w:tc>
        <w:tc>
          <w:tcPr>
            <w:tcW w:w="2205" w:type="dxa"/>
          </w:tcPr>
          <w:p w:rsidR="007C4016" w:rsidRPr="00390B03" w:rsidRDefault="007C4016" w:rsidP="005C782A">
            <w:pPr>
              <w:spacing w:before="240" w:after="0"/>
              <w:jc w:val="center"/>
              <w:rPr>
                <w:rFonts w:ascii="ITC Avant Garde" w:hAnsi="ITC Avant Garde"/>
                <w:sz w:val="18"/>
                <w:szCs w:val="18"/>
              </w:rPr>
            </w:pPr>
            <w:r w:rsidRPr="00390B03">
              <w:rPr>
                <w:rFonts w:ascii="ITC Avant Garde" w:hAnsi="ITC Avant Garde"/>
                <w:sz w:val="18"/>
                <w:szCs w:val="18"/>
              </w:rPr>
              <w:t xml:space="preserve">MXN / Mes </w:t>
            </w:r>
          </w:p>
        </w:tc>
        <w:tc>
          <w:tcPr>
            <w:tcW w:w="2009" w:type="dxa"/>
            <w:shd w:val="clear" w:color="auto" w:fill="auto"/>
          </w:tcPr>
          <w:p w:rsidR="007C4016" w:rsidRPr="00390B03" w:rsidRDefault="007C4016" w:rsidP="005C782A">
            <w:pPr>
              <w:spacing w:before="240" w:after="0"/>
              <w:jc w:val="center"/>
              <w:rPr>
                <w:rFonts w:ascii="ITC Avant Garde" w:hAnsi="ITC Avant Garde"/>
                <w:sz w:val="18"/>
                <w:szCs w:val="18"/>
              </w:rPr>
            </w:pPr>
            <w:r w:rsidRPr="00390B03">
              <w:rPr>
                <w:rFonts w:ascii="ITC Avant Garde" w:hAnsi="ITC Avant Garde"/>
                <w:sz w:val="18"/>
                <w:szCs w:val="18"/>
              </w:rPr>
              <w:t>$ 7,271.18 M.N.</w:t>
            </w:r>
          </w:p>
        </w:tc>
      </w:tr>
    </w:tbl>
    <w:p w:rsidR="007C4016" w:rsidRDefault="007C4016" w:rsidP="007C4016">
      <w:pPr>
        <w:pStyle w:val="CondicionesFinales"/>
        <w:spacing w:before="240" w:after="0"/>
        <w:ind w:left="0" w:right="49"/>
      </w:pPr>
    </w:p>
    <w:p w:rsidR="007C4016" w:rsidRDefault="007C4016" w:rsidP="007C4016">
      <w:pPr>
        <w:pStyle w:val="CondicionesFinales"/>
        <w:spacing w:before="240" w:after="0"/>
      </w:pPr>
      <w:r w:rsidRPr="008C3352">
        <w:t xml:space="preserve">A través de la tarifa mensual por el uso de Espacio Aprobado en Torre, el </w:t>
      </w:r>
      <w:r>
        <w:t>Concesionario Solicitante</w:t>
      </w:r>
      <w:r w:rsidRPr="008C3352">
        <w:t xml:space="preserve"> podrá solicitar el uso discontinuo del espacio en la torre (necesidades que deberán estar reflejadas en la </w:t>
      </w:r>
      <w:r w:rsidRPr="00A41DFE">
        <w:t>Solicitud de Factibilidad y de colocación</w:t>
      </w:r>
      <w:r w:rsidRPr="008C3352">
        <w:t xml:space="preserve"> indicando cuál sería el centro de radiación principal y secundario) a través de su división en hasta un máximo de dos componentes, siempre y cuando: 1) la suma del uso del espacio en ambas componentes no exceda de 8.5 m</w:t>
      </w:r>
      <w:r w:rsidRPr="005C0862">
        <w:rPr>
          <w:vertAlign w:val="superscript"/>
        </w:rPr>
        <w:t>2</w:t>
      </w:r>
      <w:r w:rsidRPr="008C3352">
        <w:t xml:space="preserve"> y 4 ml, 2) el </w:t>
      </w:r>
      <w:r>
        <w:t>Concesionario Solicitante</w:t>
      </w:r>
      <w:r w:rsidRPr="008C3352">
        <w:t xml:space="preserve"> haga uso de al menos una de los componentes para la colocación de equipos, y 3) no existirán ajustes de niveles tarifarios derivados del uso parcial del </w:t>
      </w:r>
      <w:r w:rsidRPr="008C3352">
        <w:lastRenderedPageBreak/>
        <w:t>espacio de 8.5 m</w:t>
      </w:r>
      <w:r w:rsidRPr="005C0862">
        <w:rPr>
          <w:vertAlign w:val="superscript"/>
        </w:rPr>
        <w:t>2</w:t>
      </w:r>
      <w:r w:rsidRPr="008C3352">
        <w:t xml:space="preserve"> y 4 ml, a través de la división en las co</w:t>
      </w:r>
      <w:r>
        <w:t>mponentes en cuestión. Telnor</w:t>
      </w:r>
      <w:r w:rsidRPr="008C3352">
        <w:t xml:space="preserve"> en su respuesta a la </w:t>
      </w:r>
      <w:r w:rsidRPr="00A41DFE">
        <w:t>Solicitud de Factibilidad</w:t>
      </w:r>
      <w:r w:rsidRPr="008C3352">
        <w:t xml:space="preserve"> indicara sobre la posibilidad del uso discontinuo de la franja y en caso de determinar que no es posible sólo presentará el resultado de </w:t>
      </w:r>
      <w:r w:rsidRPr="00A41DFE">
        <w:t>Factibilidad</w:t>
      </w:r>
      <w:r w:rsidRPr="008C3352">
        <w:t xml:space="preserve"> sobre una franja de 4 ml con referencia al centro de radiación principal.</w:t>
      </w:r>
    </w:p>
    <w:p w:rsidR="007C4016" w:rsidRPr="00392897" w:rsidRDefault="007C4016" w:rsidP="007C4016">
      <w:pPr>
        <w:pStyle w:val="CondicionesFinales"/>
        <w:spacing w:before="240" w:after="0"/>
      </w:pPr>
      <w:r>
        <w:t>En caso de que Telnor</w:t>
      </w:r>
      <w:r w:rsidRPr="008C3352">
        <w:t xml:space="preserve"> permita hacer uso de franjas discontinuas y que se pudiera hacer uso de la segunda componente de manera posterior, si otro </w:t>
      </w:r>
      <w:r>
        <w:t>Concesionario Solicitante</w:t>
      </w:r>
      <w:r w:rsidRPr="008C3352">
        <w:t xml:space="preserve"> solicita el Servicio de Acceso y Uso Compartido en</w:t>
      </w:r>
      <w:r>
        <w:t xml:space="preserve"> la torre en cuestión, Telnor</w:t>
      </w:r>
      <w:r w:rsidRPr="008C3352">
        <w:t xml:space="preserve"> notificará al primero para que decida ocupar a la brevedad el espacio correspondiente en la torre o en su defecto manifieste que no cuenta con interés (el </w:t>
      </w:r>
      <w:r>
        <w:t>Concesionario Solicitante</w:t>
      </w:r>
      <w:r w:rsidRPr="008C3352">
        <w:t xml:space="preserve"> contará con un plazo de 10 días hábiles para ocupar el sitio conforme a la </w:t>
      </w:r>
      <w:r w:rsidRPr="00A41DFE">
        <w:t>solicitud de ocupación original)</w:t>
      </w:r>
      <w:r w:rsidRPr="008C3352">
        <w:t>, teniendo claro que de no ocupar el espacio se le podrá dar acceso a otro Concesionario sin que existirán ajustes de niveles tarifarios derivad</w:t>
      </w:r>
      <w:r>
        <w:t>os del uso parcial del espacio.</w:t>
      </w:r>
      <w:r w:rsidRPr="00392897">
        <w:t xml:space="preserve"> </w:t>
      </w:r>
    </w:p>
    <w:p w:rsidR="007C4016" w:rsidRDefault="007C4016" w:rsidP="007C4016">
      <w:pPr>
        <w:pStyle w:val="CondicionesFinales"/>
        <w:spacing w:before="240" w:after="0"/>
      </w:pPr>
      <w:r w:rsidRPr="004C2FED">
        <w:t>En complemento, cualquier excedente de los 8.5 m</w:t>
      </w:r>
      <w:r w:rsidRPr="00344CBA">
        <w:rPr>
          <w:vertAlign w:val="superscript"/>
        </w:rPr>
        <w:t>2</w:t>
      </w:r>
      <w:r w:rsidRPr="005C0862">
        <w:rPr>
          <w:vertAlign w:val="superscript"/>
        </w:rPr>
        <w:t xml:space="preserve"> </w:t>
      </w:r>
      <w:r w:rsidRPr="004C2FED">
        <w:t>o de la franja de los 4 ml, será pagado de acuerdo a la cantidad que resulte de multiplicar el Área de antena en m2, por la Altura del centro de radiación (NCR) que es la distancia del punto medio de la antena al suelo en metros, por la cantidad de</w:t>
      </w:r>
      <w:r>
        <w:t>:</w:t>
      </w:r>
    </w:p>
    <w:tbl>
      <w:tblPr>
        <w:tblStyle w:val="Tablaconcuadrcula"/>
        <w:tblW w:w="3475" w:type="pct"/>
        <w:jc w:val="center"/>
        <w:tblLayout w:type="fixed"/>
        <w:tblLook w:val="04A0" w:firstRow="1" w:lastRow="0" w:firstColumn="1" w:lastColumn="0" w:noHBand="0" w:noVBand="1"/>
        <w:tblCaption w:val="Tabla"/>
        <w:tblDescription w:val="Elemento"/>
      </w:tblPr>
      <w:tblGrid>
        <w:gridCol w:w="1849"/>
        <w:gridCol w:w="998"/>
        <w:gridCol w:w="1645"/>
        <w:gridCol w:w="1645"/>
      </w:tblGrid>
      <w:tr w:rsidR="007C4016" w:rsidRPr="003253D4" w:rsidTr="005C782A">
        <w:trPr>
          <w:trHeight w:val="460"/>
          <w:tblHeader/>
          <w:jc w:val="center"/>
        </w:trPr>
        <w:tc>
          <w:tcPr>
            <w:tcW w:w="1507" w:type="pct"/>
            <w:shd w:val="clear" w:color="auto" w:fill="D9D9D9" w:themeFill="background1" w:themeFillShade="D9"/>
            <w:noWrap/>
            <w:vAlign w:val="center"/>
          </w:tcPr>
          <w:p w:rsidR="007C4016" w:rsidRPr="00B17D04" w:rsidRDefault="007C4016" w:rsidP="005C782A">
            <w:pPr>
              <w:spacing w:before="240" w:after="0"/>
              <w:jc w:val="center"/>
              <w:rPr>
                <w:rFonts w:ascii="ITC Avant Garde" w:hAnsi="ITC Avant Garde" w:cs="Arial"/>
                <w:b/>
                <w:sz w:val="18"/>
                <w:szCs w:val="18"/>
              </w:rPr>
            </w:pPr>
            <w:r w:rsidRPr="00B17D04">
              <w:rPr>
                <w:rFonts w:ascii="ITC Avant Garde" w:hAnsi="ITC Avant Garde" w:cs="Arial"/>
                <w:b/>
                <w:sz w:val="18"/>
                <w:szCs w:val="18"/>
              </w:rPr>
              <w:t>Elemento</w:t>
            </w:r>
          </w:p>
        </w:tc>
        <w:tc>
          <w:tcPr>
            <w:tcW w:w="813" w:type="pct"/>
            <w:shd w:val="clear" w:color="auto" w:fill="D9D9D9" w:themeFill="background1" w:themeFillShade="D9"/>
            <w:noWrap/>
            <w:vAlign w:val="center"/>
          </w:tcPr>
          <w:p w:rsidR="007C4016" w:rsidRPr="00B17D04" w:rsidRDefault="007C4016" w:rsidP="005C782A">
            <w:pPr>
              <w:spacing w:before="240" w:after="0"/>
              <w:jc w:val="center"/>
              <w:rPr>
                <w:rFonts w:ascii="ITC Avant Garde" w:hAnsi="ITC Avant Garde" w:cs="Arial"/>
                <w:b/>
                <w:sz w:val="18"/>
                <w:szCs w:val="18"/>
              </w:rPr>
            </w:pPr>
            <w:r w:rsidRPr="00B17D04">
              <w:rPr>
                <w:rFonts w:ascii="ITC Avant Garde" w:hAnsi="ITC Avant Garde" w:cs="Arial"/>
                <w:b/>
                <w:sz w:val="18"/>
                <w:szCs w:val="18"/>
              </w:rPr>
              <w:t>Unidad</w:t>
            </w:r>
          </w:p>
        </w:tc>
        <w:tc>
          <w:tcPr>
            <w:tcW w:w="1340" w:type="pct"/>
            <w:shd w:val="clear" w:color="auto" w:fill="D9D9D9" w:themeFill="background1" w:themeFillShade="D9"/>
            <w:noWrap/>
            <w:vAlign w:val="center"/>
          </w:tcPr>
          <w:p w:rsidR="007C4016" w:rsidRPr="00B17D04" w:rsidRDefault="007C4016" w:rsidP="005C782A">
            <w:pPr>
              <w:spacing w:before="240" w:after="0"/>
              <w:jc w:val="center"/>
              <w:rPr>
                <w:rFonts w:ascii="ITC Avant Garde" w:hAnsi="ITC Avant Garde"/>
                <w:b/>
                <w:sz w:val="18"/>
              </w:rPr>
            </w:pPr>
            <w:r>
              <w:rPr>
                <w:rFonts w:ascii="ITC Avant Garde" w:hAnsi="ITC Avant Garde"/>
                <w:b/>
                <w:sz w:val="18"/>
              </w:rPr>
              <w:t>Torre Arriostrada</w:t>
            </w:r>
          </w:p>
        </w:tc>
        <w:tc>
          <w:tcPr>
            <w:tcW w:w="1340" w:type="pct"/>
            <w:shd w:val="clear" w:color="auto" w:fill="D9D9D9" w:themeFill="background1" w:themeFillShade="D9"/>
            <w:noWrap/>
            <w:vAlign w:val="center"/>
          </w:tcPr>
          <w:p w:rsidR="007C4016" w:rsidRPr="00B17D04" w:rsidRDefault="007C4016" w:rsidP="005C782A">
            <w:pPr>
              <w:spacing w:before="240" w:after="0"/>
              <w:jc w:val="center"/>
              <w:rPr>
                <w:rFonts w:ascii="ITC Avant Garde" w:hAnsi="ITC Avant Garde"/>
                <w:b/>
                <w:sz w:val="18"/>
              </w:rPr>
            </w:pPr>
            <w:r>
              <w:rPr>
                <w:rFonts w:ascii="ITC Avant Garde" w:hAnsi="ITC Avant Garde"/>
                <w:b/>
                <w:sz w:val="18"/>
              </w:rPr>
              <w:t>Torre Autosoportada</w:t>
            </w:r>
          </w:p>
        </w:tc>
      </w:tr>
      <w:tr w:rsidR="007C4016" w:rsidRPr="003253D4" w:rsidTr="005C782A">
        <w:trPr>
          <w:trHeight w:val="283"/>
          <w:jc w:val="center"/>
        </w:trPr>
        <w:tc>
          <w:tcPr>
            <w:tcW w:w="1507" w:type="pct"/>
            <w:noWrap/>
            <w:vAlign w:val="center"/>
            <w:hideMark/>
          </w:tcPr>
          <w:p w:rsidR="007C4016" w:rsidRPr="003253D4" w:rsidRDefault="007C4016" w:rsidP="005C782A">
            <w:pPr>
              <w:spacing w:before="240" w:after="0"/>
              <w:jc w:val="center"/>
              <w:rPr>
                <w:rFonts w:ascii="ITC Avant Garde" w:hAnsi="ITC Avant Garde" w:cs="Arial"/>
                <w:b/>
                <w:sz w:val="18"/>
                <w:szCs w:val="18"/>
              </w:rPr>
            </w:pPr>
            <w:r w:rsidRPr="003253D4">
              <w:rPr>
                <w:rFonts w:ascii="ITC Avant Garde" w:hAnsi="ITC Avant Garde" w:cs="Arial"/>
                <w:sz w:val="18"/>
                <w:szCs w:val="18"/>
              </w:rPr>
              <w:t>Factor de cobro</w:t>
            </w:r>
          </w:p>
        </w:tc>
        <w:tc>
          <w:tcPr>
            <w:tcW w:w="813" w:type="pct"/>
            <w:noWrap/>
            <w:vAlign w:val="center"/>
            <w:hideMark/>
          </w:tcPr>
          <w:p w:rsidR="007C4016" w:rsidRPr="003253D4" w:rsidRDefault="007C4016" w:rsidP="005C782A">
            <w:pPr>
              <w:spacing w:before="240" w:after="0"/>
              <w:jc w:val="center"/>
              <w:rPr>
                <w:rFonts w:ascii="ITC Avant Garde" w:hAnsi="ITC Avant Garde" w:cs="Arial"/>
                <w:b/>
                <w:sz w:val="18"/>
                <w:szCs w:val="18"/>
                <w:vertAlign w:val="superscript"/>
              </w:rPr>
            </w:pPr>
            <w:r w:rsidRPr="003253D4">
              <w:rPr>
                <w:rFonts w:ascii="ITC Avant Garde" w:hAnsi="ITC Avant Garde" w:cs="Arial"/>
                <w:sz w:val="18"/>
                <w:szCs w:val="18"/>
              </w:rPr>
              <w:t>M.N./m</w:t>
            </w:r>
            <w:r w:rsidRPr="003253D4">
              <w:rPr>
                <w:rFonts w:ascii="ITC Avant Garde" w:hAnsi="ITC Avant Garde" w:cs="Arial"/>
                <w:sz w:val="18"/>
                <w:szCs w:val="18"/>
                <w:vertAlign w:val="superscript"/>
              </w:rPr>
              <w:t>3</w:t>
            </w:r>
          </w:p>
        </w:tc>
        <w:tc>
          <w:tcPr>
            <w:tcW w:w="1340" w:type="pct"/>
            <w:noWrap/>
          </w:tcPr>
          <w:p w:rsidR="007C4016" w:rsidRPr="003253D4" w:rsidRDefault="007C4016" w:rsidP="005C782A">
            <w:pPr>
              <w:spacing w:before="240" w:after="0"/>
              <w:jc w:val="center"/>
              <w:rPr>
                <w:rFonts w:ascii="ITC Avant Garde" w:hAnsi="ITC Avant Garde" w:cs="Arial"/>
                <w:sz w:val="18"/>
                <w:szCs w:val="18"/>
              </w:rPr>
            </w:pPr>
            <w:r>
              <w:rPr>
                <w:rFonts w:ascii="ITC Avant Garde" w:hAnsi="ITC Avant Garde" w:cs="Arial"/>
                <w:sz w:val="18"/>
                <w:szCs w:val="18"/>
              </w:rPr>
              <w:t>25.90</w:t>
            </w:r>
          </w:p>
        </w:tc>
        <w:tc>
          <w:tcPr>
            <w:tcW w:w="1340" w:type="pct"/>
            <w:noWrap/>
          </w:tcPr>
          <w:p w:rsidR="007C4016" w:rsidRPr="003253D4" w:rsidRDefault="007C4016" w:rsidP="005C782A">
            <w:pPr>
              <w:spacing w:before="240" w:after="0"/>
              <w:jc w:val="center"/>
              <w:rPr>
                <w:rFonts w:ascii="ITC Avant Garde" w:hAnsi="ITC Avant Garde" w:cs="Arial"/>
                <w:sz w:val="18"/>
                <w:szCs w:val="18"/>
              </w:rPr>
            </w:pPr>
            <w:r>
              <w:rPr>
                <w:rFonts w:ascii="ITC Avant Garde" w:hAnsi="ITC Avant Garde" w:cs="Arial"/>
                <w:sz w:val="18"/>
                <w:szCs w:val="18"/>
              </w:rPr>
              <w:t>26.45</w:t>
            </w:r>
          </w:p>
        </w:tc>
      </w:tr>
    </w:tbl>
    <w:p w:rsidR="007C4016" w:rsidRDefault="007C4016" w:rsidP="007C4016">
      <w:pPr>
        <w:spacing w:before="240" w:after="0"/>
        <w:rPr>
          <w:rFonts w:ascii="ITC Avant Garde" w:hAnsi="ITC Avant Garde"/>
        </w:rPr>
      </w:pPr>
    </w:p>
    <w:p w:rsidR="007C4016" w:rsidRPr="000F01D0" w:rsidRDefault="007C4016" w:rsidP="007C4016">
      <w:pPr>
        <w:pStyle w:val="CondicionesFinales"/>
        <w:spacing w:before="240" w:after="0"/>
      </w:pPr>
      <w:r>
        <w:t>Para ello, se seguirá el siguiente procedimiento de cálculo</w:t>
      </w:r>
      <w:r w:rsidRPr="00DA1DFC">
        <w:t xml:space="preserve"> </w:t>
      </w:r>
      <w:r>
        <w:t>de acuerdo al tipo de estructura que corresponda:</w:t>
      </w:r>
      <w:r w:rsidRPr="000F01D0">
        <w:t xml:space="preserve"> </w:t>
      </w:r>
    </w:p>
    <w:p w:rsidR="007C4016" w:rsidRPr="000F01D0" w:rsidRDefault="007C4016" w:rsidP="007C4016">
      <w:pPr>
        <w:pStyle w:val="CondicionesFinales"/>
        <w:spacing w:before="240" w:after="0"/>
      </w:pPr>
      <w:r w:rsidRPr="000F01D0">
        <w:t>Costo Adicional = Área de Antena m</w:t>
      </w:r>
      <w:r w:rsidRPr="005E2135">
        <w:rPr>
          <w:vertAlign w:val="superscript"/>
        </w:rPr>
        <w:t>2</w:t>
      </w:r>
      <w:r w:rsidRPr="000F01D0">
        <w:t xml:space="preserve"> * Altura NCR en metros * </w:t>
      </w:r>
      <w:r>
        <w:t xml:space="preserve">Factor de cobro </w:t>
      </w:r>
    </w:p>
    <w:p w:rsidR="007C4016" w:rsidRPr="000F01D0" w:rsidRDefault="007C4016" w:rsidP="007C4016">
      <w:pPr>
        <w:pStyle w:val="CondicionesFinales"/>
        <w:spacing w:before="240" w:after="0"/>
        <w:rPr>
          <w:b/>
        </w:rPr>
      </w:pPr>
      <w:r w:rsidRPr="000F01D0">
        <w:rPr>
          <w:b/>
        </w:rPr>
        <w:t>1.2</w:t>
      </w:r>
      <w:r w:rsidRPr="000F01D0">
        <w:rPr>
          <w:b/>
        </w:rPr>
        <w:tab/>
      </w:r>
      <w:r>
        <w:rPr>
          <w:b/>
        </w:rPr>
        <w:t xml:space="preserve"> </w:t>
      </w:r>
      <w:r w:rsidRPr="000F01D0">
        <w:rPr>
          <w:b/>
        </w:rPr>
        <w:t>Por el acceso y uso de Espacio Aprobado en Piso.</w:t>
      </w:r>
    </w:p>
    <w:p w:rsidR="007C4016" w:rsidRDefault="007C4016" w:rsidP="007C4016">
      <w:pPr>
        <w:pStyle w:val="CondicionesFinales"/>
        <w:spacing w:before="240"/>
      </w:pPr>
      <w:r w:rsidRPr="00B23798">
        <w:t xml:space="preserve">La tarifa por el acceso y uso de Espacio Aprobado en Piso en el cual el Agente Económico Preponderante tenga propiedad, o aquella </w:t>
      </w:r>
      <w:r w:rsidRPr="00B23798">
        <w:lastRenderedPageBreak/>
        <w:t>por cuya propiedad sean causahabientes o cesionarios de sus derechos o que resulten de reestructuras corporativas o modificaciones accionarias derivadas de concentraciones de cualquier tipo a agentes vinculados con el Agente Económico Preponderante, se seguirá el siguiente esquema de cobro</w:t>
      </w:r>
      <w:r w:rsidRPr="00727314">
        <w:t>:</w:t>
      </w:r>
    </w:p>
    <w:p w:rsidR="007C4016" w:rsidRPr="00727314" w:rsidRDefault="007C4016" w:rsidP="007C4016">
      <w:pPr>
        <w:pStyle w:val="CondicionesFinales"/>
        <w:spacing w:before="240"/>
        <w:jc w:val="center"/>
      </w:pPr>
      <w:r w:rsidRPr="009730F2">
        <w:rPr>
          <w:b/>
          <w:sz w:val="18"/>
          <w:szCs w:val="18"/>
        </w:rPr>
        <w:t>Tipo de Espacio en Piso</w:t>
      </w:r>
      <w:r w:rsidRPr="005F68C9">
        <w:rPr>
          <w:b/>
          <w:sz w:val="18"/>
          <w:szCs w:val="18"/>
          <w:vertAlign w:val="superscript"/>
        </w:rPr>
        <w:t>5</w:t>
      </w:r>
    </w:p>
    <w:tbl>
      <w:tblPr>
        <w:tblStyle w:val="Tablaconcuadrcula2"/>
        <w:tblW w:w="7410" w:type="dxa"/>
        <w:jc w:val="center"/>
        <w:tblLook w:val="04A0" w:firstRow="1" w:lastRow="0" w:firstColumn="1" w:lastColumn="0" w:noHBand="0" w:noVBand="1"/>
        <w:tblCaption w:val="Tabla"/>
        <w:tblDescription w:val="Tipo de Espacio en Piso5"/>
      </w:tblPr>
      <w:tblGrid>
        <w:gridCol w:w="1402"/>
        <w:gridCol w:w="1178"/>
        <w:gridCol w:w="1610"/>
        <w:gridCol w:w="1610"/>
        <w:gridCol w:w="1610"/>
      </w:tblGrid>
      <w:tr w:rsidR="007C4016" w:rsidRPr="00B23798" w:rsidTr="005C782A">
        <w:trPr>
          <w:trHeight w:val="508"/>
          <w:tblHeader/>
          <w:jc w:val="center"/>
        </w:trPr>
        <w:tc>
          <w:tcPr>
            <w:tcW w:w="1402" w:type="dxa"/>
            <w:shd w:val="clear" w:color="auto" w:fill="E7E6E6"/>
          </w:tcPr>
          <w:p w:rsidR="007C4016" w:rsidRPr="009730F2" w:rsidRDefault="007C4016" w:rsidP="005C782A">
            <w:pPr>
              <w:spacing w:before="240" w:after="0"/>
              <w:jc w:val="center"/>
              <w:rPr>
                <w:rFonts w:ascii="ITC Avant Garde" w:hAnsi="ITC Avant Garde"/>
                <w:b/>
                <w:sz w:val="18"/>
                <w:szCs w:val="18"/>
              </w:rPr>
            </w:pPr>
            <w:r w:rsidRPr="00727314">
              <w:rPr>
                <w:rFonts w:ascii="ITC Avant Garde" w:hAnsi="ITC Avant Garde"/>
                <w:b/>
                <w:sz w:val="18"/>
                <w:szCs w:val="18"/>
              </w:rPr>
              <w:t>Clasificación</w:t>
            </w:r>
            <w:r>
              <w:rPr>
                <w:rFonts w:ascii="ITC Avant Garde" w:hAnsi="ITC Avant Garde"/>
                <w:b/>
                <w:sz w:val="18"/>
                <w:szCs w:val="18"/>
                <w:vertAlign w:val="superscript"/>
              </w:rPr>
              <w:t>6</w:t>
            </w:r>
          </w:p>
        </w:tc>
        <w:tc>
          <w:tcPr>
            <w:tcW w:w="1178" w:type="dxa"/>
            <w:shd w:val="clear" w:color="auto" w:fill="E7E6E6"/>
          </w:tcPr>
          <w:p w:rsidR="007C4016" w:rsidRPr="009730F2" w:rsidRDefault="007C4016" w:rsidP="005C782A">
            <w:pPr>
              <w:spacing w:before="240" w:after="0"/>
              <w:jc w:val="center"/>
              <w:rPr>
                <w:rFonts w:ascii="ITC Avant Garde" w:hAnsi="ITC Avant Garde"/>
                <w:b/>
                <w:sz w:val="18"/>
                <w:szCs w:val="18"/>
              </w:rPr>
            </w:pPr>
            <w:r w:rsidRPr="009730F2">
              <w:rPr>
                <w:rFonts w:ascii="ITC Avant Garde" w:hAnsi="ITC Avant Garde"/>
                <w:b/>
                <w:sz w:val="18"/>
                <w:szCs w:val="18"/>
              </w:rPr>
              <w:t>Unidad</w:t>
            </w:r>
          </w:p>
        </w:tc>
        <w:tc>
          <w:tcPr>
            <w:tcW w:w="1610" w:type="dxa"/>
            <w:shd w:val="clear" w:color="auto" w:fill="E7E6E6"/>
          </w:tcPr>
          <w:p w:rsidR="007C4016" w:rsidRPr="009730F2" w:rsidRDefault="007C4016" w:rsidP="005C782A">
            <w:pPr>
              <w:spacing w:before="240" w:after="0"/>
              <w:jc w:val="center"/>
              <w:rPr>
                <w:rFonts w:ascii="ITC Avant Garde" w:hAnsi="ITC Avant Garde"/>
                <w:b/>
                <w:sz w:val="18"/>
                <w:szCs w:val="18"/>
              </w:rPr>
            </w:pPr>
            <w:r w:rsidRPr="009730F2">
              <w:rPr>
                <w:rFonts w:ascii="ITC Avant Garde" w:hAnsi="ITC Avant Garde"/>
                <w:b/>
                <w:sz w:val="18"/>
                <w:szCs w:val="18"/>
              </w:rPr>
              <w:t>En Predio</w:t>
            </w:r>
          </w:p>
        </w:tc>
        <w:tc>
          <w:tcPr>
            <w:tcW w:w="1610" w:type="dxa"/>
            <w:shd w:val="clear" w:color="auto" w:fill="E7E6E6"/>
          </w:tcPr>
          <w:p w:rsidR="007C4016" w:rsidRPr="009730F2" w:rsidRDefault="007C4016" w:rsidP="005C782A">
            <w:pPr>
              <w:spacing w:before="240" w:after="0"/>
              <w:jc w:val="center"/>
              <w:rPr>
                <w:rFonts w:ascii="ITC Avant Garde" w:hAnsi="ITC Avant Garde"/>
                <w:b/>
                <w:sz w:val="18"/>
                <w:szCs w:val="18"/>
              </w:rPr>
            </w:pPr>
            <w:r w:rsidRPr="009730F2">
              <w:rPr>
                <w:rFonts w:ascii="ITC Avant Garde" w:hAnsi="ITC Avant Garde"/>
                <w:b/>
                <w:sz w:val="18"/>
                <w:szCs w:val="18"/>
              </w:rPr>
              <w:t>En Azotea</w:t>
            </w:r>
          </w:p>
        </w:tc>
        <w:tc>
          <w:tcPr>
            <w:tcW w:w="1610" w:type="dxa"/>
            <w:shd w:val="clear" w:color="auto" w:fill="E7E6E6"/>
          </w:tcPr>
          <w:p w:rsidR="007C4016" w:rsidRPr="009730F2" w:rsidRDefault="007C4016" w:rsidP="005C782A">
            <w:pPr>
              <w:spacing w:before="240" w:after="0"/>
              <w:jc w:val="center"/>
              <w:rPr>
                <w:rFonts w:ascii="ITC Avant Garde" w:hAnsi="ITC Avant Garde"/>
                <w:b/>
                <w:sz w:val="18"/>
                <w:szCs w:val="18"/>
              </w:rPr>
            </w:pPr>
            <w:r w:rsidRPr="009730F2">
              <w:rPr>
                <w:rFonts w:ascii="ITC Avant Garde" w:hAnsi="ITC Avant Garde"/>
                <w:b/>
                <w:sz w:val="18"/>
                <w:szCs w:val="18"/>
              </w:rPr>
              <w:t>En Caseta</w:t>
            </w:r>
          </w:p>
        </w:tc>
      </w:tr>
      <w:tr w:rsidR="007C4016" w:rsidRPr="00B23798" w:rsidTr="005C782A">
        <w:trPr>
          <w:trHeight w:val="321"/>
          <w:jc w:val="center"/>
        </w:trPr>
        <w:tc>
          <w:tcPr>
            <w:tcW w:w="1402" w:type="dxa"/>
            <w:shd w:val="clear" w:color="auto" w:fill="auto"/>
          </w:tcPr>
          <w:p w:rsidR="007C4016" w:rsidRPr="00727314" w:rsidRDefault="007C4016" w:rsidP="005C782A">
            <w:pPr>
              <w:spacing w:before="240" w:after="0"/>
              <w:jc w:val="center"/>
              <w:rPr>
                <w:rFonts w:ascii="ITC Avant Garde" w:hAnsi="ITC Avant Garde"/>
                <w:sz w:val="18"/>
                <w:szCs w:val="18"/>
              </w:rPr>
            </w:pPr>
            <w:r w:rsidRPr="00727314">
              <w:rPr>
                <w:rFonts w:ascii="ITC Avant Garde" w:hAnsi="ITC Avant Garde"/>
                <w:sz w:val="18"/>
                <w:szCs w:val="18"/>
              </w:rPr>
              <w:t>7 y 6</w:t>
            </w:r>
          </w:p>
        </w:tc>
        <w:tc>
          <w:tcPr>
            <w:tcW w:w="1178" w:type="dxa"/>
          </w:tcPr>
          <w:p w:rsidR="007C4016" w:rsidRPr="00727314" w:rsidRDefault="007C4016" w:rsidP="005C782A">
            <w:pPr>
              <w:spacing w:before="240" w:after="0"/>
              <w:jc w:val="center"/>
              <w:rPr>
                <w:rFonts w:ascii="ITC Avant Garde" w:hAnsi="ITC Avant Garde"/>
                <w:sz w:val="18"/>
                <w:szCs w:val="18"/>
              </w:rPr>
            </w:pPr>
            <w:r w:rsidRPr="00727314">
              <w:rPr>
                <w:rFonts w:ascii="ITC Avant Garde" w:hAnsi="ITC Avant Garde"/>
                <w:sz w:val="18"/>
                <w:szCs w:val="18"/>
              </w:rPr>
              <w:t xml:space="preserve">MXN / Mes </w:t>
            </w:r>
          </w:p>
        </w:tc>
        <w:tc>
          <w:tcPr>
            <w:tcW w:w="1610" w:type="dxa"/>
            <w:shd w:val="clear" w:color="auto" w:fill="auto"/>
          </w:tcPr>
          <w:p w:rsidR="007C4016" w:rsidRPr="003B0B98"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$15,001.67 M.N.</w:t>
            </w:r>
          </w:p>
        </w:tc>
        <w:tc>
          <w:tcPr>
            <w:tcW w:w="1610" w:type="dxa"/>
          </w:tcPr>
          <w:p w:rsidR="007C4016" w:rsidRPr="003B0B98" w:rsidRDefault="007C4016" w:rsidP="005C782A">
            <w:pPr>
              <w:spacing w:before="240" w:after="0"/>
              <w:jc w:val="center"/>
              <w:rPr>
                <w:rFonts w:ascii="ITC Avant Garde" w:hAnsi="ITC Avant Garde" w:cs="Arial"/>
                <w:sz w:val="18"/>
                <w:szCs w:val="18"/>
              </w:rPr>
            </w:pPr>
            <w:r w:rsidRPr="003B0B98">
              <w:rPr>
                <w:rFonts w:ascii="ITC Avant Garde" w:hAnsi="ITC Avant Garde" w:cs="Arial"/>
                <w:sz w:val="18"/>
                <w:szCs w:val="18"/>
              </w:rPr>
              <w:t>$15,365.86 M.N.</w:t>
            </w:r>
            <w:r w:rsidRPr="00727314">
              <w:rPr>
                <w:rFonts w:ascii="ITC Avant Garde" w:hAnsi="ITC Avant Garde"/>
                <w:sz w:val="18"/>
                <w:szCs w:val="18"/>
              </w:rPr>
              <w:t xml:space="preserve"> </w:t>
            </w:r>
          </w:p>
        </w:tc>
        <w:tc>
          <w:tcPr>
            <w:tcW w:w="1610" w:type="dxa"/>
          </w:tcPr>
          <w:p w:rsidR="007C4016" w:rsidRPr="003B0B98" w:rsidRDefault="007C4016" w:rsidP="005C782A">
            <w:pPr>
              <w:spacing w:before="240" w:after="0"/>
              <w:jc w:val="center"/>
              <w:rPr>
                <w:rFonts w:ascii="ITC Avant Garde" w:hAnsi="ITC Avant Garde" w:cs="Arial"/>
                <w:sz w:val="18"/>
                <w:szCs w:val="18"/>
              </w:rPr>
            </w:pPr>
            <w:r w:rsidRPr="003B0B98">
              <w:rPr>
                <w:rFonts w:ascii="ITC Avant Garde" w:hAnsi="ITC Avant Garde" w:cs="Arial"/>
                <w:sz w:val="18"/>
                <w:szCs w:val="18"/>
              </w:rPr>
              <w:t>$16,409.65 M.N.</w:t>
            </w:r>
            <w:r w:rsidRPr="009730F2">
              <w:rPr>
                <w:rFonts w:ascii="ITC Avant Garde" w:hAnsi="ITC Avant Garde"/>
                <w:sz w:val="18"/>
                <w:szCs w:val="18"/>
              </w:rPr>
              <w:t xml:space="preserve"> </w:t>
            </w:r>
          </w:p>
        </w:tc>
      </w:tr>
      <w:tr w:rsidR="007C4016" w:rsidRPr="00B23798" w:rsidTr="005C782A">
        <w:trPr>
          <w:trHeight w:val="331"/>
          <w:jc w:val="center"/>
        </w:trPr>
        <w:tc>
          <w:tcPr>
            <w:tcW w:w="1402" w:type="dxa"/>
            <w:shd w:val="clear" w:color="auto" w:fill="auto"/>
          </w:tcPr>
          <w:p w:rsidR="007C4016" w:rsidRPr="009730F2" w:rsidRDefault="007C4016" w:rsidP="005C782A">
            <w:pPr>
              <w:spacing w:before="240" w:after="0"/>
              <w:jc w:val="center"/>
              <w:rPr>
                <w:rFonts w:ascii="ITC Avant Garde" w:hAnsi="ITC Avant Garde"/>
                <w:sz w:val="18"/>
                <w:szCs w:val="18"/>
              </w:rPr>
            </w:pPr>
            <w:r w:rsidRPr="009730F2">
              <w:rPr>
                <w:rFonts w:ascii="ITC Avant Garde" w:hAnsi="ITC Avant Garde"/>
                <w:sz w:val="18"/>
                <w:szCs w:val="18"/>
              </w:rPr>
              <w:t>5</w:t>
            </w:r>
          </w:p>
        </w:tc>
        <w:tc>
          <w:tcPr>
            <w:tcW w:w="1178" w:type="dxa"/>
          </w:tcPr>
          <w:p w:rsidR="007C4016" w:rsidRPr="009730F2" w:rsidRDefault="007C4016" w:rsidP="005C782A">
            <w:pPr>
              <w:spacing w:before="240" w:after="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rsidR="007C4016" w:rsidRPr="009730F2"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$6,112.23 M.N.</w:t>
            </w:r>
            <w:r w:rsidRPr="009730F2">
              <w:rPr>
                <w:rFonts w:ascii="ITC Avant Garde" w:hAnsi="ITC Avant Garde"/>
                <w:sz w:val="18"/>
                <w:szCs w:val="18"/>
              </w:rPr>
              <w:t xml:space="preserve"> </w:t>
            </w:r>
          </w:p>
        </w:tc>
        <w:tc>
          <w:tcPr>
            <w:tcW w:w="1610" w:type="dxa"/>
          </w:tcPr>
          <w:p w:rsidR="007C4016" w:rsidRPr="003B0B98" w:rsidRDefault="007C4016" w:rsidP="005C782A">
            <w:pPr>
              <w:spacing w:before="240" w:after="0"/>
              <w:jc w:val="center"/>
              <w:rPr>
                <w:rFonts w:ascii="ITC Avant Garde" w:hAnsi="ITC Avant Garde" w:cs="Arial"/>
                <w:sz w:val="18"/>
                <w:szCs w:val="18"/>
              </w:rPr>
            </w:pPr>
            <w:r w:rsidRPr="003B0B98">
              <w:rPr>
                <w:rFonts w:ascii="ITC Avant Garde" w:hAnsi="ITC Avant Garde" w:cs="Arial"/>
                <w:sz w:val="18"/>
                <w:szCs w:val="18"/>
              </w:rPr>
              <w:t>$$6,476.41 M.N.</w:t>
            </w:r>
            <w:r w:rsidRPr="009730F2">
              <w:rPr>
                <w:rFonts w:ascii="ITC Avant Garde" w:hAnsi="ITC Avant Garde"/>
                <w:sz w:val="18"/>
                <w:szCs w:val="18"/>
              </w:rPr>
              <w:t xml:space="preserve"> </w:t>
            </w:r>
          </w:p>
        </w:tc>
        <w:tc>
          <w:tcPr>
            <w:tcW w:w="1610" w:type="dxa"/>
          </w:tcPr>
          <w:p w:rsidR="007C4016" w:rsidRPr="003B0B98" w:rsidRDefault="007C4016" w:rsidP="005C782A">
            <w:pPr>
              <w:spacing w:before="240" w:after="0"/>
              <w:jc w:val="center"/>
              <w:rPr>
                <w:rFonts w:ascii="ITC Avant Garde" w:hAnsi="ITC Avant Garde" w:cs="Arial"/>
                <w:sz w:val="18"/>
                <w:szCs w:val="18"/>
              </w:rPr>
            </w:pPr>
            <w:r w:rsidRPr="003B0B98">
              <w:rPr>
                <w:rFonts w:ascii="ITC Avant Garde" w:hAnsi="ITC Avant Garde" w:cs="Arial"/>
                <w:sz w:val="18"/>
                <w:szCs w:val="18"/>
              </w:rPr>
              <w:t>$7,202.53 M.N.</w:t>
            </w:r>
            <w:r w:rsidRPr="009730F2">
              <w:rPr>
                <w:rFonts w:ascii="ITC Avant Garde" w:hAnsi="ITC Avant Garde"/>
                <w:sz w:val="18"/>
                <w:szCs w:val="18"/>
              </w:rPr>
              <w:t xml:space="preserve"> </w:t>
            </w:r>
          </w:p>
        </w:tc>
      </w:tr>
      <w:tr w:rsidR="007C4016" w:rsidRPr="00B23798" w:rsidTr="005C782A">
        <w:trPr>
          <w:trHeight w:val="321"/>
          <w:jc w:val="center"/>
        </w:trPr>
        <w:tc>
          <w:tcPr>
            <w:tcW w:w="1402" w:type="dxa"/>
            <w:shd w:val="clear" w:color="auto" w:fill="auto"/>
          </w:tcPr>
          <w:p w:rsidR="007C4016" w:rsidRPr="009730F2" w:rsidRDefault="007C4016" w:rsidP="005C782A">
            <w:pPr>
              <w:spacing w:before="240" w:after="0"/>
              <w:jc w:val="center"/>
              <w:rPr>
                <w:rFonts w:ascii="ITC Avant Garde" w:hAnsi="ITC Avant Garde"/>
                <w:sz w:val="18"/>
                <w:szCs w:val="18"/>
              </w:rPr>
            </w:pPr>
            <w:r w:rsidRPr="009730F2">
              <w:rPr>
                <w:rFonts w:ascii="ITC Avant Garde" w:hAnsi="ITC Avant Garde"/>
                <w:sz w:val="18"/>
                <w:szCs w:val="18"/>
              </w:rPr>
              <w:t>4</w:t>
            </w:r>
          </w:p>
        </w:tc>
        <w:tc>
          <w:tcPr>
            <w:tcW w:w="1178" w:type="dxa"/>
          </w:tcPr>
          <w:p w:rsidR="007C4016" w:rsidRPr="009730F2" w:rsidRDefault="007C4016" w:rsidP="005C782A">
            <w:pPr>
              <w:spacing w:before="240" w:after="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rsidR="007C4016" w:rsidRPr="009730F2"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$2,742.37 M.N.</w:t>
            </w:r>
            <w:r w:rsidRPr="009730F2">
              <w:rPr>
                <w:rFonts w:ascii="ITC Avant Garde" w:hAnsi="ITC Avant Garde"/>
                <w:sz w:val="18"/>
                <w:szCs w:val="18"/>
              </w:rPr>
              <w:t xml:space="preserve"> </w:t>
            </w:r>
          </w:p>
        </w:tc>
        <w:tc>
          <w:tcPr>
            <w:tcW w:w="1610" w:type="dxa"/>
          </w:tcPr>
          <w:p w:rsidR="007C4016" w:rsidRPr="003B0B98" w:rsidRDefault="007C4016" w:rsidP="005C782A">
            <w:pPr>
              <w:spacing w:before="240" w:after="0"/>
              <w:jc w:val="center"/>
              <w:rPr>
                <w:rFonts w:ascii="ITC Avant Garde" w:hAnsi="ITC Avant Garde" w:cs="Arial"/>
                <w:sz w:val="18"/>
                <w:szCs w:val="18"/>
              </w:rPr>
            </w:pPr>
            <w:r w:rsidRPr="003B0B98">
              <w:rPr>
                <w:rFonts w:ascii="ITC Avant Garde" w:hAnsi="ITC Avant Garde" w:cs="Arial"/>
                <w:sz w:val="18"/>
                <w:szCs w:val="18"/>
              </w:rPr>
              <w:t>$3,089.53 M.N.</w:t>
            </w:r>
            <w:r w:rsidRPr="009730F2">
              <w:rPr>
                <w:rFonts w:ascii="ITC Avant Garde" w:hAnsi="ITC Avant Garde"/>
                <w:sz w:val="18"/>
                <w:szCs w:val="18"/>
              </w:rPr>
              <w:t xml:space="preserve"> </w:t>
            </w:r>
          </w:p>
        </w:tc>
        <w:tc>
          <w:tcPr>
            <w:tcW w:w="1610" w:type="dxa"/>
          </w:tcPr>
          <w:p w:rsidR="007C4016" w:rsidRPr="003B0B98" w:rsidRDefault="007C4016" w:rsidP="005C782A">
            <w:pPr>
              <w:spacing w:before="240" w:after="0"/>
              <w:jc w:val="center"/>
              <w:rPr>
                <w:rFonts w:ascii="ITC Avant Garde" w:hAnsi="ITC Avant Garde" w:cs="Arial"/>
                <w:sz w:val="18"/>
                <w:szCs w:val="18"/>
              </w:rPr>
            </w:pPr>
            <w:r w:rsidRPr="003B0B98">
              <w:rPr>
                <w:rFonts w:ascii="ITC Avant Garde" w:hAnsi="ITC Avant Garde" w:cs="Arial"/>
                <w:sz w:val="18"/>
                <w:szCs w:val="18"/>
              </w:rPr>
              <w:t>$3,727.58 M.N.</w:t>
            </w:r>
            <w:r w:rsidRPr="009730F2">
              <w:rPr>
                <w:rFonts w:ascii="ITC Avant Garde" w:hAnsi="ITC Avant Garde"/>
                <w:sz w:val="18"/>
                <w:szCs w:val="18"/>
              </w:rPr>
              <w:t xml:space="preserve"> </w:t>
            </w:r>
          </w:p>
        </w:tc>
      </w:tr>
      <w:tr w:rsidR="007C4016" w:rsidRPr="00B23798" w:rsidTr="005C782A">
        <w:trPr>
          <w:trHeight w:val="331"/>
          <w:jc w:val="center"/>
        </w:trPr>
        <w:tc>
          <w:tcPr>
            <w:tcW w:w="1402" w:type="dxa"/>
            <w:shd w:val="clear" w:color="auto" w:fill="auto"/>
          </w:tcPr>
          <w:p w:rsidR="007C4016" w:rsidRPr="009730F2" w:rsidRDefault="007C4016" w:rsidP="005C782A">
            <w:pPr>
              <w:spacing w:before="240" w:after="0"/>
              <w:jc w:val="center"/>
              <w:rPr>
                <w:rFonts w:ascii="ITC Avant Garde" w:hAnsi="ITC Avant Garde"/>
                <w:sz w:val="18"/>
                <w:szCs w:val="18"/>
              </w:rPr>
            </w:pPr>
            <w:r w:rsidRPr="009730F2">
              <w:rPr>
                <w:rFonts w:ascii="ITC Avant Garde" w:hAnsi="ITC Avant Garde"/>
                <w:sz w:val="18"/>
                <w:szCs w:val="18"/>
              </w:rPr>
              <w:t>1, 2 y 3</w:t>
            </w:r>
          </w:p>
        </w:tc>
        <w:tc>
          <w:tcPr>
            <w:tcW w:w="1178" w:type="dxa"/>
          </w:tcPr>
          <w:p w:rsidR="007C4016" w:rsidRPr="009730F2" w:rsidRDefault="007C4016" w:rsidP="005C782A">
            <w:pPr>
              <w:spacing w:before="240" w:after="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rsidR="007C4016" w:rsidRPr="00727314"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$472.14 M.N.</w:t>
            </w:r>
            <w:r w:rsidRPr="00727314">
              <w:rPr>
                <w:rFonts w:ascii="ITC Avant Garde" w:hAnsi="ITC Avant Garde"/>
                <w:sz w:val="18"/>
                <w:szCs w:val="18"/>
              </w:rPr>
              <w:t xml:space="preserve"> </w:t>
            </w:r>
          </w:p>
        </w:tc>
        <w:tc>
          <w:tcPr>
            <w:tcW w:w="1610" w:type="dxa"/>
          </w:tcPr>
          <w:p w:rsidR="007C4016" w:rsidRPr="003B0B98" w:rsidRDefault="007C4016" w:rsidP="005C782A">
            <w:pPr>
              <w:spacing w:before="240" w:after="0"/>
              <w:jc w:val="center"/>
              <w:rPr>
                <w:rFonts w:ascii="ITC Avant Garde" w:hAnsi="ITC Avant Garde" w:cs="Arial"/>
                <w:sz w:val="18"/>
                <w:szCs w:val="18"/>
              </w:rPr>
            </w:pPr>
            <w:r w:rsidRPr="003B0B98">
              <w:rPr>
                <w:rFonts w:ascii="ITC Avant Garde" w:hAnsi="ITC Avant Garde" w:cs="Arial"/>
                <w:sz w:val="18"/>
                <w:szCs w:val="18"/>
              </w:rPr>
              <w:t>$835.59 M.N.</w:t>
            </w:r>
            <w:r w:rsidRPr="00727314">
              <w:rPr>
                <w:rFonts w:ascii="ITC Avant Garde" w:hAnsi="ITC Avant Garde"/>
                <w:sz w:val="18"/>
                <w:szCs w:val="18"/>
              </w:rPr>
              <w:t xml:space="preserve"> </w:t>
            </w:r>
          </w:p>
        </w:tc>
        <w:tc>
          <w:tcPr>
            <w:tcW w:w="1610" w:type="dxa"/>
          </w:tcPr>
          <w:p w:rsidR="007C4016" w:rsidRPr="003B0B98" w:rsidRDefault="007C4016" w:rsidP="005C782A">
            <w:pPr>
              <w:spacing w:before="240" w:after="0"/>
              <w:jc w:val="center"/>
              <w:rPr>
                <w:rFonts w:ascii="ITC Avant Garde" w:hAnsi="ITC Avant Garde" w:cs="Arial"/>
                <w:sz w:val="18"/>
                <w:szCs w:val="18"/>
              </w:rPr>
            </w:pPr>
            <w:r w:rsidRPr="003B0B98">
              <w:rPr>
                <w:rFonts w:ascii="ITC Avant Garde" w:hAnsi="ITC Avant Garde" w:cs="Arial"/>
                <w:sz w:val="18"/>
                <w:szCs w:val="18"/>
              </w:rPr>
              <w:t>$1,176.39 M.N.</w:t>
            </w:r>
            <w:r w:rsidRPr="009730F2">
              <w:rPr>
                <w:rFonts w:ascii="ITC Avant Garde" w:hAnsi="ITC Avant Garde"/>
                <w:sz w:val="18"/>
                <w:szCs w:val="18"/>
              </w:rPr>
              <w:t xml:space="preserve"> </w:t>
            </w:r>
          </w:p>
        </w:tc>
      </w:tr>
      <w:tr w:rsidR="007C4016" w:rsidRPr="00B23798" w:rsidTr="005C782A">
        <w:trPr>
          <w:trHeight w:val="321"/>
          <w:jc w:val="center"/>
        </w:trPr>
        <w:tc>
          <w:tcPr>
            <w:tcW w:w="1402" w:type="dxa"/>
            <w:shd w:val="clear" w:color="auto" w:fill="auto"/>
          </w:tcPr>
          <w:p w:rsidR="007C4016" w:rsidRPr="009730F2" w:rsidRDefault="007C4016" w:rsidP="005C782A">
            <w:pPr>
              <w:spacing w:before="240" w:after="0"/>
              <w:jc w:val="center"/>
              <w:rPr>
                <w:rFonts w:ascii="ITC Avant Garde" w:hAnsi="ITC Avant Garde"/>
                <w:sz w:val="18"/>
                <w:szCs w:val="18"/>
              </w:rPr>
            </w:pPr>
            <w:r w:rsidRPr="009730F2">
              <w:rPr>
                <w:rFonts w:ascii="ITC Avant Garde" w:hAnsi="ITC Avant Garde"/>
                <w:sz w:val="18"/>
                <w:szCs w:val="18"/>
              </w:rPr>
              <w:t>Industrial</w:t>
            </w:r>
            <w:r>
              <w:rPr>
                <w:sz w:val="18"/>
                <w:szCs w:val="18"/>
                <w:vertAlign w:val="superscript"/>
              </w:rPr>
              <w:t>7</w:t>
            </w:r>
          </w:p>
        </w:tc>
        <w:tc>
          <w:tcPr>
            <w:tcW w:w="1178" w:type="dxa"/>
          </w:tcPr>
          <w:p w:rsidR="007C4016" w:rsidRPr="009730F2" w:rsidRDefault="007C4016" w:rsidP="005C782A">
            <w:pPr>
              <w:spacing w:before="240" w:after="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rsidR="007C4016" w:rsidRPr="00727314"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$3,352.86 M.N.</w:t>
            </w:r>
            <w:r w:rsidRPr="00727314">
              <w:rPr>
                <w:rFonts w:ascii="ITC Avant Garde" w:hAnsi="ITC Avant Garde"/>
                <w:sz w:val="18"/>
                <w:szCs w:val="18"/>
              </w:rPr>
              <w:t xml:space="preserve"> </w:t>
            </w:r>
          </w:p>
        </w:tc>
        <w:tc>
          <w:tcPr>
            <w:tcW w:w="1610" w:type="dxa"/>
          </w:tcPr>
          <w:p w:rsidR="007C4016" w:rsidRPr="003B0B98" w:rsidRDefault="007C4016" w:rsidP="005C782A">
            <w:pPr>
              <w:spacing w:before="240" w:after="0"/>
              <w:jc w:val="center"/>
              <w:rPr>
                <w:rFonts w:ascii="ITC Avant Garde" w:hAnsi="ITC Avant Garde" w:cs="Arial"/>
                <w:sz w:val="18"/>
                <w:szCs w:val="18"/>
              </w:rPr>
            </w:pPr>
            <w:r w:rsidRPr="003B0B98">
              <w:rPr>
                <w:rFonts w:ascii="ITC Avant Garde" w:hAnsi="ITC Avant Garde" w:cs="Arial"/>
                <w:sz w:val="18"/>
                <w:szCs w:val="18"/>
              </w:rPr>
              <w:t>$3,717.04 M.N.</w:t>
            </w:r>
            <w:r w:rsidRPr="009730F2">
              <w:rPr>
                <w:rFonts w:ascii="ITC Avant Garde" w:hAnsi="ITC Avant Garde"/>
                <w:sz w:val="18"/>
                <w:szCs w:val="18"/>
              </w:rPr>
              <w:t xml:space="preserve"> </w:t>
            </w:r>
          </w:p>
        </w:tc>
        <w:tc>
          <w:tcPr>
            <w:tcW w:w="1610" w:type="dxa"/>
          </w:tcPr>
          <w:p w:rsidR="007C4016" w:rsidRPr="003B0B98" w:rsidRDefault="007C4016" w:rsidP="005C782A">
            <w:pPr>
              <w:spacing w:before="240" w:after="0"/>
              <w:jc w:val="center"/>
              <w:rPr>
                <w:rFonts w:ascii="ITC Avant Garde" w:hAnsi="ITC Avant Garde" w:cs="Arial"/>
                <w:sz w:val="18"/>
                <w:szCs w:val="18"/>
              </w:rPr>
            </w:pPr>
            <w:r w:rsidRPr="003B0B98">
              <w:rPr>
                <w:rFonts w:ascii="ITC Avant Garde" w:hAnsi="ITC Avant Garde" w:cs="Arial"/>
                <w:sz w:val="18"/>
                <w:szCs w:val="18"/>
              </w:rPr>
              <w:t>$4,865.94 M.N.</w:t>
            </w:r>
            <w:r w:rsidRPr="00727314">
              <w:rPr>
                <w:rFonts w:ascii="ITC Avant Garde" w:hAnsi="ITC Avant Garde"/>
                <w:sz w:val="18"/>
                <w:szCs w:val="18"/>
              </w:rPr>
              <w:t xml:space="preserve"> </w:t>
            </w:r>
          </w:p>
        </w:tc>
      </w:tr>
    </w:tbl>
    <w:p w:rsidR="007C4016" w:rsidRDefault="007C4016" w:rsidP="007C4016">
      <w:pPr>
        <w:pStyle w:val="CondicionesFinales"/>
        <w:spacing w:before="240" w:after="0"/>
        <w:ind w:left="0" w:right="49"/>
      </w:pPr>
    </w:p>
    <w:p w:rsidR="007C4016" w:rsidRDefault="007C4016" w:rsidP="007C4016">
      <w:pPr>
        <w:pStyle w:val="CondicionesFinales"/>
        <w:spacing w:before="240" w:after="0"/>
      </w:pPr>
      <w:r w:rsidRPr="00B23798">
        <w:t xml:space="preserve">Por otra parte, en caso de que se requiera espacio adicional al considerado en la contraprestación anteriormente descrita, tendrá aplicación el siguiente esquema de cobro, </w:t>
      </w:r>
      <w:r w:rsidRPr="009730F2">
        <w:t>la cual depende enteramente del gasto mensual total por metro cuadrado del área residual calculada</w:t>
      </w:r>
      <w:r w:rsidRPr="00B23798">
        <w:t>:</w:t>
      </w:r>
    </w:p>
    <w:p w:rsidR="007C4016" w:rsidRPr="00727314" w:rsidRDefault="007C4016" w:rsidP="007C4016">
      <w:pPr>
        <w:pStyle w:val="CondicionesFinales"/>
        <w:spacing w:before="240" w:after="0"/>
        <w:jc w:val="center"/>
      </w:pPr>
      <w:r w:rsidRPr="00727314">
        <w:rPr>
          <w:b/>
          <w:sz w:val="18"/>
          <w:szCs w:val="18"/>
        </w:rPr>
        <w:t>Tipo de Espacio en Piso</w:t>
      </w:r>
    </w:p>
    <w:tbl>
      <w:tblPr>
        <w:tblStyle w:val="Tablaconcuadrcula2"/>
        <w:tblW w:w="7472" w:type="dxa"/>
        <w:jc w:val="center"/>
        <w:tblLook w:val="04A0" w:firstRow="1" w:lastRow="0" w:firstColumn="1" w:lastColumn="0" w:noHBand="0" w:noVBand="1"/>
        <w:tblCaption w:val="Tabla"/>
        <w:tblDescription w:val="Tipo de Espacio en Piso5"/>
      </w:tblPr>
      <w:tblGrid>
        <w:gridCol w:w="1402"/>
        <w:gridCol w:w="1629"/>
        <w:gridCol w:w="1489"/>
        <w:gridCol w:w="1476"/>
        <w:gridCol w:w="1476"/>
      </w:tblGrid>
      <w:tr w:rsidR="007C4016" w:rsidRPr="00B23798" w:rsidTr="005C782A">
        <w:trPr>
          <w:trHeight w:val="508"/>
          <w:tblHeader/>
          <w:jc w:val="center"/>
        </w:trPr>
        <w:tc>
          <w:tcPr>
            <w:tcW w:w="1402" w:type="dxa"/>
            <w:shd w:val="clear" w:color="auto" w:fill="E7E6E6"/>
          </w:tcPr>
          <w:p w:rsidR="007C4016" w:rsidRPr="00727314" w:rsidRDefault="007C4016" w:rsidP="005C782A">
            <w:pPr>
              <w:spacing w:before="240" w:after="0"/>
              <w:jc w:val="center"/>
              <w:rPr>
                <w:rFonts w:ascii="ITC Avant Garde" w:hAnsi="ITC Avant Garde"/>
                <w:b/>
                <w:sz w:val="18"/>
                <w:szCs w:val="18"/>
              </w:rPr>
            </w:pPr>
            <w:r w:rsidRPr="00727314">
              <w:rPr>
                <w:rFonts w:ascii="ITC Avant Garde" w:hAnsi="ITC Avant Garde"/>
                <w:b/>
                <w:sz w:val="18"/>
                <w:szCs w:val="18"/>
              </w:rPr>
              <w:t>Clasificación</w:t>
            </w:r>
            <w:r>
              <w:rPr>
                <w:rFonts w:ascii="ITC Avant Garde" w:hAnsi="ITC Avant Garde"/>
                <w:b/>
                <w:sz w:val="18"/>
                <w:szCs w:val="18"/>
                <w:vertAlign w:val="superscript"/>
              </w:rPr>
              <w:t>8</w:t>
            </w:r>
          </w:p>
        </w:tc>
        <w:tc>
          <w:tcPr>
            <w:tcW w:w="1629" w:type="dxa"/>
            <w:shd w:val="clear" w:color="auto" w:fill="E7E6E6"/>
          </w:tcPr>
          <w:p w:rsidR="007C4016" w:rsidRPr="00727314" w:rsidRDefault="007C4016" w:rsidP="005C782A">
            <w:pPr>
              <w:spacing w:before="240" w:after="0"/>
              <w:jc w:val="center"/>
              <w:rPr>
                <w:rFonts w:ascii="ITC Avant Garde" w:hAnsi="ITC Avant Garde"/>
                <w:b/>
                <w:sz w:val="18"/>
                <w:szCs w:val="18"/>
              </w:rPr>
            </w:pPr>
            <w:r w:rsidRPr="00727314">
              <w:rPr>
                <w:rFonts w:ascii="ITC Avant Garde" w:hAnsi="ITC Avant Garde"/>
                <w:b/>
                <w:sz w:val="18"/>
                <w:szCs w:val="18"/>
              </w:rPr>
              <w:t>Unidad</w:t>
            </w:r>
          </w:p>
        </w:tc>
        <w:tc>
          <w:tcPr>
            <w:tcW w:w="1489" w:type="dxa"/>
            <w:shd w:val="clear" w:color="auto" w:fill="E7E6E6"/>
          </w:tcPr>
          <w:p w:rsidR="007C4016" w:rsidRPr="00727314" w:rsidRDefault="007C4016" w:rsidP="005C782A">
            <w:pPr>
              <w:spacing w:before="240" w:after="0"/>
              <w:jc w:val="center"/>
              <w:rPr>
                <w:rFonts w:ascii="ITC Avant Garde" w:hAnsi="ITC Avant Garde"/>
                <w:b/>
                <w:sz w:val="18"/>
                <w:szCs w:val="18"/>
              </w:rPr>
            </w:pPr>
            <w:r w:rsidRPr="00727314">
              <w:rPr>
                <w:rFonts w:ascii="ITC Avant Garde" w:hAnsi="ITC Avant Garde"/>
                <w:b/>
                <w:sz w:val="18"/>
                <w:szCs w:val="18"/>
              </w:rPr>
              <w:t>En Predio</w:t>
            </w:r>
          </w:p>
        </w:tc>
        <w:tc>
          <w:tcPr>
            <w:tcW w:w="1476" w:type="dxa"/>
            <w:shd w:val="clear" w:color="auto" w:fill="E7E6E6"/>
          </w:tcPr>
          <w:p w:rsidR="007C4016" w:rsidRPr="00727314" w:rsidRDefault="007C4016" w:rsidP="005C782A">
            <w:pPr>
              <w:spacing w:before="240" w:after="0"/>
              <w:jc w:val="center"/>
              <w:rPr>
                <w:rFonts w:ascii="ITC Avant Garde" w:hAnsi="ITC Avant Garde"/>
                <w:b/>
                <w:sz w:val="18"/>
                <w:szCs w:val="18"/>
              </w:rPr>
            </w:pPr>
            <w:r w:rsidRPr="00727314">
              <w:rPr>
                <w:rFonts w:ascii="ITC Avant Garde" w:hAnsi="ITC Avant Garde"/>
                <w:b/>
                <w:sz w:val="18"/>
                <w:szCs w:val="18"/>
              </w:rPr>
              <w:t>En Azotea</w:t>
            </w:r>
          </w:p>
        </w:tc>
        <w:tc>
          <w:tcPr>
            <w:tcW w:w="1476" w:type="dxa"/>
            <w:shd w:val="clear" w:color="auto" w:fill="E7E6E6"/>
          </w:tcPr>
          <w:p w:rsidR="007C4016" w:rsidRPr="00727314" w:rsidRDefault="007C4016" w:rsidP="005C782A">
            <w:pPr>
              <w:spacing w:before="240" w:after="0"/>
              <w:jc w:val="center"/>
              <w:rPr>
                <w:rFonts w:ascii="ITC Avant Garde" w:hAnsi="ITC Avant Garde"/>
                <w:b/>
                <w:sz w:val="18"/>
                <w:szCs w:val="18"/>
              </w:rPr>
            </w:pPr>
            <w:r w:rsidRPr="00727314">
              <w:rPr>
                <w:rFonts w:ascii="ITC Avant Garde" w:hAnsi="ITC Avant Garde"/>
                <w:b/>
                <w:sz w:val="18"/>
                <w:szCs w:val="18"/>
              </w:rPr>
              <w:t>En Caseta</w:t>
            </w:r>
          </w:p>
        </w:tc>
      </w:tr>
      <w:tr w:rsidR="007C4016" w:rsidRPr="00B23798" w:rsidTr="005C782A">
        <w:trPr>
          <w:trHeight w:val="321"/>
          <w:tblHeader/>
          <w:jc w:val="center"/>
        </w:trPr>
        <w:tc>
          <w:tcPr>
            <w:tcW w:w="1402" w:type="dxa"/>
            <w:shd w:val="clear" w:color="auto" w:fill="auto"/>
          </w:tcPr>
          <w:p w:rsidR="007C4016" w:rsidRPr="00727314" w:rsidRDefault="007C4016" w:rsidP="005C782A">
            <w:pPr>
              <w:spacing w:before="240" w:after="0"/>
              <w:jc w:val="center"/>
              <w:rPr>
                <w:rFonts w:ascii="ITC Avant Garde" w:hAnsi="ITC Avant Garde"/>
                <w:sz w:val="18"/>
                <w:szCs w:val="18"/>
              </w:rPr>
            </w:pPr>
            <w:r w:rsidRPr="00727314">
              <w:rPr>
                <w:rFonts w:ascii="ITC Avant Garde" w:hAnsi="ITC Avant Garde"/>
                <w:sz w:val="18"/>
                <w:szCs w:val="18"/>
              </w:rPr>
              <w:t>7 y 6</w:t>
            </w:r>
          </w:p>
        </w:tc>
        <w:tc>
          <w:tcPr>
            <w:tcW w:w="1629" w:type="dxa"/>
          </w:tcPr>
          <w:p w:rsidR="007C4016" w:rsidRPr="00727314" w:rsidRDefault="007C4016" w:rsidP="005C782A">
            <w:pPr>
              <w:spacing w:before="240" w:after="0"/>
              <w:jc w:val="center"/>
              <w:rPr>
                <w:rFonts w:ascii="ITC Avant Garde" w:hAnsi="ITC Avant Garde"/>
                <w:sz w:val="18"/>
                <w:szCs w:val="18"/>
              </w:rPr>
            </w:pPr>
            <w:r w:rsidRPr="00727314">
              <w:rPr>
                <w:rFonts w:ascii="ITC Avant Garde" w:hAnsi="ITC Avant Garde"/>
                <w:sz w:val="18"/>
                <w:szCs w:val="18"/>
              </w:rPr>
              <w:t>MXN</w:t>
            </w:r>
            <w:r>
              <w:rPr>
                <w:rFonts w:ascii="ITC Avant Garde" w:hAnsi="ITC Avant Garde"/>
                <w:sz w:val="18"/>
                <w:szCs w:val="18"/>
              </w:rPr>
              <w:t>/m</w:t>
            </w:r>
            <w:r>
              <w:rPr>
                <w:rFonts w:ascii="ITC Avant Garde" w:hAnsi="ITC Avant Garde"/>
                <w:sz w:val="18"/>
                <w:szCs w:val="18"/>
                <w:vertAlign w:val="superscript"/>
              </w:rPr>
              <w:t>2</w:t>
            </w:r>
            <w:r w:rsidRPr="00727314">
              <w:rPr>
                <w:rFonts w:ascii="ITC Avant Garde" w:hAnsi="ITC Avant Garde"/>
                <w:sz w:val="18"/>
                <w:szCs w:val="18"/>
              </w:rPr>
              <w:t xml:space="preserve"> </w:t>
            </w:r>
            <w:r>
              <w:rPr>
                <w:rFonts w:ascii="ITC Avant Garde" w:hAnsi="ITC Avant Garde"/>
                <w:sz w:val="18"/>
                <w:szCs w:val="18"/>
              </w:rPr>
              <w:t>/</w:t>
            </w:r>
            <w:r w:rsidRPr="00727314">
              <w:rPr>
                <w:rFonts w:ascii="ITC Avant Garde" w:hAnsi="ITC Avant Garde"/>
                <w:sz w:val="18"/>
                <w:szCs w:val="18"/>
              </w:rPr>
              <w:t xml:space="preserve">Mes </w:t>
            </w:r>
          </w:p>
        </w:tc>
        <w:tc>
          <w:tcPr>
            <w:tcW w:w="1489" w:type="dxa"/>
            <w:shd w:val="clear" w:color="auto" w:fill="auto"/>
          </w:tcPr>
          <w:p w:rsidR="007C4016" w:rsidRPr="003B0B98"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$156.93 M.N.</w:t>
            </w:r>
          </w:p>
        </w:tc>
        <w:tc>
          <w:tcPr>
            <w:tcW w:w="1476" w:type="dxa"/>
          </w:tcPr>
          <w:p w:rsidR="007C4016" w:rsidRPr="003B0B98"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$207.09 M.N.</w:t>
            </w:r>
          </w:p>
        </w:tc>
        <w:tc>
          <w:tcPr>
            <w:tcW w:w="1476" w:type="dxa"/>
          </w:tcPr>
          <w:p w:rsidR="007C4016" w:rsidRPr="003B0B98"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$281.65 M.N.</w:t>
            </w:r>
          </w:p>
        </w:tc>
      </w:tr>
      <w:tr w:rsidR="007C4016" w:rsidRPr="00B23798" w:rsidTr="005C782A">
        <w:trPr>
          <w:trHeight w:val="331"/>
          <w:tblHeader/>
          <w:jc w:val="center"/>
        </w:trPr>
        <w:tc>
          <w:tcPr>
            <w:tcW w:w="1402" w:type="dxa"/>
            <w:shd w:val="clear" w:color="auto" w:fill="auto"/>
          </w:tcPr>
          <w:p w:rsidR="007C4016" w:rsidRPr="00727314" w:rsidRDefault="007C4016" w:rsidP="005C782A">
            <w:pPr>
              <w:spacing w:before="240" w:after="0"/>
              <w:jc w:val="center"/>
              <w:rPr>
                <w:rFonts w:ascii="ITC Avant Garde" w:hAnsi="ITC Avant Garde"/>
                <w:sz w:val="18"/>
                <w:szCs w:val="18"/>
              </w:rPr>
            </w:pPr>
            <w:r w:rsidRPr="00727314">
              <w:rPr>
                <w:rFonts w:ascii="ITC Avant Garde" w:hAnsi="ITC Avant Garde"/>
                <w:sz w:val="18"/>
                <w:szCs w:val="18"/>
              </w:rPr>
              <w:t>5</w:t>
            </w:r>
          </w:p>
        </w:tc>
        <w:tc>
          <w:tcPr>
            <w:tcW w:w="1629" w:type="dxa"/>
          </w:tcPr>
          <w:p w:rsidR="007C4016" w:rsidRPr="00727314" w:rsidRDefault="007C4016" w:rsidP="005C782A">
            <w:pPr>
              <w:spacing w:before="240" w:after="0"/>
              <w:jc w:val="center"/>
              <w:rPr>
                <w:rFonts w:ascii="ITC Avant Garde" w:hAnsi="ITC Avant Garde"/>
                <w:sz w:val="18"/>
                <w:szCs w:val="18"/>
              </w:rPr>
            </w:pPr>
            <w:r w:rsidRPr="00727314">
              <w:rPr>
                <w:rFonts w:ascii="ITC Avant Garde" w:hAnsi="ITC Avant Garde"/>
                <w:sz w:val="18"/>
                <w:szCs w:val="18"/>
              </w:rPr>
              <w:t>MXN</w:t>
            </w:r>
            <w:r>
              <w:rPr>
                <w:rFonts w:ascii="ITC Avant Garde" w:hAnsi="ITC Avant Garde"/>
                <w:sz w:val="18"/>
                <w:szCs w:val="18"/>
              </w:rPr>
              <w:t>/m</w:t>
            </w:r>
            <w:r>
              <w:rPr>
                <w:rFonts w:ascii="ITC Avant Garde" w:hAnsi="ITC Avant Garde"/>
                <w:sz w:val="18"/>
                <w:szCs w:val="18"/>
                <w:vertAlign w:val="superscript"/>
              </w:rPr>
              <w:t>2</w:t>
            </w:r>
            <w:r w:rsidRPr="00727314">
              <w:rPr>
                <w:rFonts w:ascii="ITC Avant Garde" w:hAnsi="ITC Avant Garde"/>
                <w:sz w:val="18"/>
                <w:szCs w:val="18"/>
              </w:rPr>
              <w:t xml:space="preserve"> </w:t>
            </w:r>
            <w:r>
              <w:rPr>
                <w:rFonts w:ascii="ITC Avant Garde" w:hAnsi="ITC Avant Garde"/>
                <w:sz w:val="18"/>
                <w:szCs w:val="18"/>
              </w:rPr>
              <w:t>/</w:t>
            </w:r>
            <w:r w:rsidRPr="00727314">
              <w:rPr>
                <w:rFonts w:ascii="ITC Avant Garde" w:hAnsi="ITC Avant Garde"/>
                <w:sz w:val="18"/>
                <w:szCs w:val="18"/>
              </w:rPr>
              <w:t>Mes</w:t>
            </w:r>
          </w:p>
        </w:tc>
        <w:tc>
          <w:tcPr>
            <w:tcW w:w="1489" w:type="dxa"/>
            <w:shd w:val="clear" w:color="auto" w:fill="auto"/>
          </w:tcPr>
          <w:p w:rsidR="007C4016" w:rsidRPr="003B0B98"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$87.31 M.N.</w:t>
            </w:r>
          </w:p>
        </w:tc>
        <w:tc>
          <w:tcPr>
            <w:tcW w:w="1476" w:type="dxa"/>
          </w:tcPr>
          <w:p w:rsidR="007C4016" w:rsidRPr="003B0B98"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$137.47 M.N.</w:t>
            </w:r>
          </w:p>
        </w:tc>
        <w:tc>
          <w:tcPr>
            <w:tcW w:w="1476" w:type="dxa"/>
          </w:tcPr>
          <w:p w:rsidR="007C4016" w:rsidRPr="003B0B98"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$168.24 M.N.</w:t>
            </w:r>
          </w:p>
        </w:tc>
      </w:tr>
      <w:tr w:rsidR="007C4016" w:rsidRPr="00B23798" w:rsidTr="005C782A">
        <w:trPr>
          <w:trHeight w:val="321"/>
          <w:tblHeader/>
          <w:jc w:val="center"/>
        </w:trPr>
        <w:tc>
          <w:tcPr>
            <w:tcW w:w="1402" w:type="dxa"/>
            <w:shd w:val="clear" w:color="auto" w:fill="auto"/>
          </w:tcPr>
          <w:p w:rsidR="007C4016" w:rsidRPr="00727314" w:rsidRDefault="007C4016" w:rsidP="005C782A">
            <w:pPr>
              <w:spacing w:before="240" w:after="0"/>
              <w:jc w:val="center"/>
              <w:rPr>
                <w:rFonts w:ascii="ITC Avant Garde" w:hAnsi="ITC Avant Garde"/>
                <w:sz w:val="18"/>
                <w:szCs w:val="18"/>
              </w:rPr>
            </w:pPr>
            <w:r w:rsidRPr="00727314">
              <w:rPr>
                <w:rFonts w:ascii="ITC Avant Garde" w:hAnsi="ITC Avant Garde"/>
                <w:sz w:val="18"/>
                <w:szCs w:val="18"/>
              </w:rPr>
              <w:t>4</w:t>
            </w:r>
          </w:p>
        </w:tc>
        <w:tc>
          <w:tcPr>
            <w:tcW w:w="1629" w:type="dxa"/>
          </w:tcPr>
          <w:p w:rsidR="007C4016" w:rsidRPr="00727314" w:rsidRDefault="007C4016" w:rsidP="005C782A">
            <w:pPr>
              <w:spacing w:before="240" w:after="0"/>
              <w:jc w:val="center"/>
              <w:rPr>
                <w:rFonts w:ascii="ITC Avant Garde" w:hAnsi="ITC Avant Garde"/>
                <w:sz w:val="18"/>
                <w:szCs w:val="18"/>
              </w:rPr>
            </w:pPr>
            <w:r w:rsidRPr="00727314">
              <w:rPr>
                <w:rFonts w:ascii="ITC Avant Garde" w:hAnsi="ITC Avant Garde"/>
                <w:sz w:val="18"/>
                <w:szCs w:val="18"/>
              </w:rPr>
              <w:t>MXN</w:t>
            </w:r>
            <w:r>
              <w:rPr>
                <w:rFonts w:ascii="ITC Avant Garde" w:hAnsi="ITC Avant Garde"/>
                <w:sz w:val="18"/>
                <w:szCs w:val="18"/>
              </w:rPr>
              <w:t>/m</w:t>
            </w:r>
            <w:r>
              <w:rPr>
                <w:rFonts w:ascii="ITC Avant Garde" w:hAnsi="ITC Avant Garde"/>
                <w:sz w:val="18"/>
                <w:szCs w:val="18"/>
                <w:vertAlign w:val="superscript"/>
              </w:rPr>
              <w:t>2</w:t>
            </w:r>
            <w:r w:rsidRPr="00727314">
              <w:rPr>
                <w:rFonts w:ascii="ITC Avant Garde" w:hAnsi="ITC Avant Garde"/>
                <w:sz w:val="18"/>
                <w:szCs w:val="18"/>
              </w:rPr>
              <w:t xml:space="preserve"> </w:t>
            </w:r>
            <w:r>
              <w:rPr>
                <w:rFonts w:ascii="ITC Avant Garde" w:hAnsi="ITC Avant Garde"/>
                <w:sz w:val="18"/>
                <w:szCs w:val="18"/>
              </w:rPr>
              <w:t>/</w:t>
            </w:r>
            <w:r w:rsidRPr="00727314">
              <w:rPr>
                <w:rFonts w:ascii="ITC Avant Garde" w:hAnsi="ITC Avant Garde"/>
                <w:sz w:val="18"/>
                <w:szCs w:val="18"/>
              </w:rPr>
              <w:t>Mes</w:t>
            </w:r>
          </w:p>
        </w:tc>
        <w:tc>
          <w:tcPr>
            <w:tcW w:w="1489" w:type="dxa"/>
            <w:shd w:val="clear" w:color="auto" w:fill="auto"/>
          </w:tcPr>
          <w:p w:rsidR="007C4016" w:rsidRPr="003B0B98"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$30.15 M.N.</w:t>
            </w:r>
          </w:p>
        </w:tc>
        <w:tc>
          <w:tcPr>
            <w:tcW w:w="1476" w:type="dxa"/>
          </w:tcPr>
          <w:p w:rsidR="007C4016" w:rsidRPr="003B0B98"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$80.45 M.N.</w:t>
            </w:r>
          </w:p>
        </w:tc>
        <w:tc>
          <w:tcPr>
            <w:tcW w:w="1476" w:type="dxa"/>
          </w:tcPr>
          <w:p w:rsidR="007C4016" w:rsidRPr="003B0B98"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$99.09 M.N.</w:t>
            </w:r>
          </w:p>
        </w:tc>
      </w:tr>
      <w:tr w:rsidR="007C4016" w:rsidRPr="00B23798" w:rsidTr="005C782A">
        <w:trPr>
          <w:trHeight w:val="331"/>
          <w:tblHeader/>
          <w:jc w:val="center"/>
        </w:trPr>
        <w:tc>
          <w:tcPr>
            <w:tcW w:w="1402" w:type="dxa"/>
            <w:shd w:val="clear" w:color="auto" w:fill="auto"/>
          </w:tcPr>
          <w:p w:rsidR="007C4016" w:rsidRPr="00727314" w:rsidRDefault="007C4016" w:rsidP="005C782A">
            <w:pPr>
              <w:spacing w:before="240" w:after="0"/>
              <w:jc w:val="center"/>
              <w:rPr>
                <w:rFonts w:ascii="ITC Avant Garde" w:hAnsi="ITC Avant Garde"/>
                <w:sz w:val="18"/>
                <w:szCs w:val="18"/>
              </w:rPr>
            </w:pPr>
            <w:r w:rsidRPr="00727314">
              <w:rPr>
                <w:rFonts w:ascii="ITC Avant Garde" w:hAnsi="ITC Avant Garde"/>
                <w:sz w:val="18"/>
                <w:szCs w:val="18"/>
              </w:rPr>
              <w:t>1, 2 y 3</w:t>
            </w:r>
          </w:p>
        </w:tc>
        <w:tc>
          <w:tcPr>
            <w:tcW w:w="1629" w:type="dxa"/>
          </w:tcPr>
          <w:p w:rsidR="007C4016" w:rsidRPr="00727314" w:rsidRDefault="007C4016" w:rsidP="005C782A">
            <w:pPr>
              <w:spacing w:before="240" w:after="0"/>
              <w:jc w:val="center"/>
              <w:rPr>
                <w:rFonts w:ascii="ITC Avant Garde" w:hAnsi="ITC Avant Garde"/>
                <w:sz w:val="18"/>
                <w:szCs w:val="18"/>
              </w:rPr>
            </w:pPr>
            <w:r w:rsidRPr="00727314">
              <w:rPr>
                <w:rFonts w:ascii="ITC Avant Garde" w:hAnsi="ITC Avant Garde"/>
                <w:sz w:val="18"/>
                <w:szCs w:val="18"/>
              </w:rPr>
              <w:t>MXN</w:t>
            </w:r>
            <w:r>
              <w:rPr>
                <w:rFonts w:ascii="ITC Avant Garde" w:hAnsi="ITC Avant Garde"/>
                <w:sz w:val="18"/>
                <w:szCs w:val="18"/>
              </w:rPr>
              <w:t>/m</w:t>
            </w:r>
            <w:r>
              <w:rPr>
                <w:rFonts w:ascii="ITC Avant Garde" w:hAnsi="ITC Avant Garde"/>
                <w:sz w:val="18"/>
                <w:szCs w:val="18"/>
                <w:vertAlign w:val="superscript"/>
              </w:rPr>
              <w:t>2</w:t>
            </w:r>
            <w:r w:rsidRPr="00727314">
              <w:rPr>
                <w:rFonts w:ascii="ITC Avant Garde" w:hAnsi="ITC Avant Garde"/>
                <w:sz w:val="18"/>
                <w:szCs w:val="18"/>
              </w:rPr>
              <w:t xml:space="preserve"> </w:t>
            </w:r>
            <w:r>
              <w:rPr>
                <w:rFonts w:ascii="ITC Avant Garde" w:hAnsi="ITC Avant Garde"/>
                <w:sz w:val="18"/>
                <w:szCs w:val="18"/>
              </w:rPr>
              <w:t>/</w:t>
            </w:r>
            <w:r w:rsidRPr="00727314">
              <w:rPr>
                <w:rFonts w:ascii="ITC Avant Garde" w:hAnsi="ITC Avant Garde"/>
                <w:sz w:val="18"/>
                <w:szCs w:val="18"/>
              </w:rPr>
              <w:t>Mes</w:t>
            </w:r>
          </w:p>
        </w:tc>
        <w:tc>
          <w:tcPr>
            <w:tcW w:w="1489" w:type="dxa"/>
            <w:shd w:val="clear" w:color="auto" w:fill="auto"/>
          </w:tcPr>
          <w:p w:rsidR="007C4016" w:rsidRPr="003B0B98"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$5.50 M.N.</w:t>
            </w:r>
          </w:p>
        </w:tc>
        <w:tc>
          <w:tcPr>
            <w:tcW w:w="1476" w:type="dxa"/>
          </w:tcPr>
          <w:p w:rsidR="007C4016" w:rsidRPr="00727314"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$55.56 M.N.</w:t>
            </w:r>
          </w:p>
        </w:tc>
        <w:tc>
          <w:tcPr>
            <w:tcW w:w="1476" w:type="dxa"/>
          </w:tcPr>
          <w:p w:rsidR="007C4016" w:rsidRPr="00727314" w:rsidRDefault="007C4016" w:rsidP="005C782A">
            <w:pPr>
              <w:spacing w:before="240" w:after="0"/>
              <w:jc w:val="center"/>
              <w:rPr>
                <w:rFonts w:ascii="ITC Avant Garde" w:hAnsi="ITC Avant Garde"/>
                <w:sz w:val="18"/>
                <w:szCs w:val="18"/>
              </w:rPr>
            </w:pPr>
            <w:r w:rsidRPr="00727314">
              <w:rPr>
                <w:rFonts w:ascii="ITC Avant Garde" w:hAnsi="ITC Avant Garde"/>
                <w:sz w:val="18"/>
                <w:szCs w:val="18"/>
              </w:rPr>
              <w:t>$33.26 M.N.</w:t>
            </w:r>
          </w:p>
        </w:tc>
      </w:tr>
      <w:tr w:rsidR="007C4016" w:rsidRPr="00B23798" w:rsidTr="005C782A">
        <w:trPr>
          <w:trHeight w:val="321"/>
          <w:tblHeader/>
          <w:jc w:val="center"/>
        </w:trPr>
        <w:tc>
          <w:tcPr>
            <w:tcW w:w="1402" w:type="dxa"/>
            <w:shd w:val="clear" w:color="auto" w:fill="auto"/>
          </w:tcPr>
          <w:p w:rsidR="007C4016" w:rsidRPr="00727314" w:rsidRDefault="007C4016" w:rsidP="005C782A">
            <w:pPr>
              <w:spacing w:before="240" w:after="0"/>
              <w:jc w:val="center"/>
              <w:rPr>
                <w:rFonts w:ascii="ITC Avant Garde" w:hAnsi="ITC Avant Garde"/>
                <w:sz w:val="18"/>
                <w:szCs w:val="18"/>
              </w:rPr>
            </w:pPr>
            <w:r w:rsidRPr="00727314">
              <w:rPr>
                <w:rFonts w:ascii="ITC Avant Garde" w:hAnsi="ITC Avant Garde"/>
                <w:sz w:val="18"/>
                <w:szCs w:val="18"/>
              </w:rPr>
              <w:t>Industrial</w:t>
            </w:r>
            <w:r>
              <w:rPr>
                <w:rFonts w:ascii="ITC Avant Garde" w:hAnsi="ITC Avant Garde"/>
                <w:sz w:val="18"/>
                <w:szCs w:val="18"/>
                <w:vertAlign w:val="superscript"/>
              </w:rPr>
              <w:t>9</w:t>
            </w:r>
          </w:p>
        </w:tc>
        <w:tc>
          <w:tcPr>
            <w:tcW w:w="1629" w:type="dxa"/>
          </w:tcPr>
          <w:p w:rsidR="007C4016" w:rsidRPr="00727314" w:rsidRDefault="007C4016" w:rsidP="005C782A">
            <w:pPr>
              <w:spacing w:before="240" w:after="0"/>
              <w:jc w:val="center"/>
              <w:rPr>
                <w:rFonts w:ascii="ITC Avant Garde" w:hAnsi="ITC Avant Garde"/>
                <w:sz w:val="18"/>
                <w:szCs w:val="18"/>
              </w:rPr>
            </w:pPr>
            <w:r w:rsidRPr="00727314">
              <w:rPr>
                <w:rFonts w:ascii="ITC Avant Garde" w:hAnsi="ITC Avant Garde"/>
                <w:sz w:val="18"/>
                <w:szCs w:val="18"/>
              </w:rPr>
              <w:t>MXN</w:t>
            </w:r>
            <w:r>
              <w:rPr>
                <w:rFonts w:ascii="ITC Avant Garde" w:hAnsi="ITC Avant Garde"/>
                <w:sz w:val="18"/>
                <w:szCs w:val="18"/>
              </w:rPr>
              <w:t>/m</w:t>
            </w:r>
            <w:r>
              <w:rPr>
                <w:rFonts w:ascii="ITC Avant Garde" w:hAnsi="ITC Avant Garde"/>
                <w:sz w:val="18"/>
                <w:szCs w:val="18"/>
                <w:vertAlign w:val="superscript"/>
              </w:rPr>
              <w:t>2</w:t>
            </w:r>
            <w:r w:rsidRPr="00727314">
              <w:rPr>
                <w:rFonts w:ascii="ITC Avant Garde" w:hAnsi="ITC Avant Garde"/>
                <w:sz w:val="18"/>
                <w:szCs w:val="18"/>
              </w:rPr>
              <w:t xml:space="preserve"> </w:t>
            </w:r>
            <w:r>
              <w:rPr>
                <w:rFonts w:ascii="ITC Avant Garde" w:hAnsi="ITC Avant Garde"/>
                <w:sz w:val="18"/>
                <w:szCs w:val="18"/>
              </w:rPr>
              <w:t>/</w:t>
            </w:r>
            <w:r w:rsidRPr="00727314">
              <w:rPr>
                <w:rFonts w:ascii="ITC Avant Garde" w:hAnsi="ITC Avant Garde"/>
                <w:sz w:val="18"/>
                <w:szCs w:val="18"/>
              </w:rPr>
              <w:t>Mes</w:t>
            </w:r>
          </w:p>
        </w:tc>
        <w:tc>
          <w:tcPr>
            <w:tcW w:w="1489" w:type="dxa"/>
            <w:shd w:val="clear" w:color="auto" w:fill="auto"/>
          </w:tcPr>
          <w:p w:rsidR="007C4016" w:rsidRPr="003B0B98"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$39.80 M.N.</w:t>
            </w:r>
          </w:p>
        </w:tc>
        <w:tc>
          <w:tcPr>
            <w:tcW w:w="1476" w:type="dxa"/>
          </w:tcPr>
          <w:p w:rsidR="007C4016" w:rsidRPr="003B0B98"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$89.97 M.N.</w:t>
            </w:r>
          </w:p>
        </w:tc>
        <w:tc>
          <w:tcPr>
            <w:tcW w:w="1476" w:type="dxa"/>
          </w:tcPr>
          <w:p w:rsidR="007C4016" w:rsidRPr="003B0B98" w:rsidRDefault="007C4016" w:rsidP="005C782A">
            <w:pPr>
              <w:spacing w:before="240" w:after="0"/>
              <w:jc w:val="center"/>
              <w:rPr>
                <w:rFonts w:ascii="ITC Avant Garde" w:hAnsi="ITC Avant Garde"/>
                <w:sz w:val="18"/>
                <w:szCs w:val="18"/>
              </w:rPr>
            </w:pPr>
            <w:r w:rsidRPr="003B0B98">
              <w:rPr>
                <w:rFonts w:ascii="ITC Avant Garde" w:hAnsi="ITC Avant Garde" w:cs="Arial"/>
                <w:sz w:val="18"/>
                <w:szCs w:val="18"/>
              </w:rPr>
              <w:t>$178.97 M.N.</w:t>
            </w:r>
          </w:p>
        </w:tc>
      </w:tr>
    </w:tbl>
    <w:p w:rsidR="007C4016" w:rsidRDefault="007C4016" w:rsidP="007C4016">
      <w:pPr>
        <w:pStyle w:val="CondicionesFinales"/>
        <w:spacing w:before="240" w:after="0"/>
        <w:ind w:left="0" w:right="49"/>
        <w:rPr>
          <w:color w:val="000000" w:themeColor="text1"/>
          <w:lang w:val="es-MX"/>
        </w:rPr>
      </w:pPr>
    </w:p>
    <w:p w:rsidR="007C4016" w:rsidRPr="000F01D0" w:rsidRDefault="007C4016" w:rsidP="007C4016">
      <w:pPr>
        <w:pStyle w:val="CondicionesFinales"/>
        <w:pBdr>
          <w:bottom w:val="single" w:sz="6" w:space="1" w:color="auto"/>
        </w:pBdr>
        <w:spacing w:before="240" w:after="0"/>
      </w:pPr>
      <w:r w:rsidRPr="00C432AD">
        <w:rPr>
          <w:color w:val="000000" w:themeColor="text1"/>
        </w:rPr>
        <w:t xml:space="preserve">En caso que el AEP no sea propietario, el </w:t>
      </w:r>
      <w:r w:rsidRPr="00A23788">
        <w:rPr>
          <w:color w:val="000000" w:themeColor="text1"/>
        </w:rPr>
        <w:t>Concesionario Solicitante</w:t>
      </w:r>
      <w:r w:rsidRPr="00C432AD">
        <w:rPr>
          <w:color w:val="000000" w:themeColor="text1"/>
        </w:rPr>
        <w:t xml:space="preserve"> deberá cubrir las cantidades mensuales pro-rata que resulten dependiendo del monto que </w:t>
      </w:r>
      <w:r>
        <w:rPr>
          <w:color w:val="000000" w:themeColor="text1"/>
        </w:rPr>
        <w:t>Telnor</w:t>
      </w:r>
      <w:r w:rsidRPr="00C432AD">
        <w:rPr>
          <w:color w:val="000000" w:themeColor="text1"/>
        </w:rPr>
        <w:t xml:space="preserve"> deba pagar conforme a lo pactado en cada uno de los Títulos de Ocupación.</w:t>
      </w:r>
    </w:p>
    <w:p w:rsidR="007C4016" w:rsidRPr="005F68C9" w:rsidRDefault="007C4016" w:rsidP="007C4016">
      <w:pPr>
        <w:pStyle w:val="CondicionesFinales"/>
        <w:spacing w:before="240" w:after="0"/>
        <w:rPr>
          <w:sz w:val="18"/>
        </w:rPr>
      </w:pPr>
      <w:r>
        <w:rPr>
          <w:sz w:val="18"/>
          <w:vertAlign w:val="superscript"/>
        </w:rPr>
        <w:lastRenderedPageBreak/>
        <w:t>5</w:t>
      </w:r>
      <w:r>
        <w:rPr>
          <w:sz w:val="18"/>
        </w:rPr>
        <w:t xml:space="preserve">  </w:t>
      </w:r>
      <w:r w:rsidRPr="005C6E4E">
        <w:rPr>
          <w:sz w:val="18"/>
          <w:lang w:val="es-MX"/>
        </w:rPr>
        <w:t>T</w:t>
      </w:r>
      <w:r w:rsidRPr="00E832B5">
        <w:rPr>
          <w:sz w:val="18"/>
          <w:lang w:val="es-MX"/>
        </w:rPr>
        <w:t>arifa por uso de 6.6 metros cuadrados de espacio horizontal, incluyendo el uso de espacios comunes y compartidos.</w:t>
      </w:r>
    </w:p>
    <w:p w:rsidR="007C4016" w:rsidRDefault="007C4016" w:rsidP="007C4016">
      <w:pPr>
        <w:pStyle w:val="CondicionesFinales"/>
        <w:spacing w:before="240" w:after="0"/>
        <w:rPr>
          <w:sz w:val="18"/>
          <w:vertAlign w:val="superscript"/>
        </w:rPr>
      </w:pPr>
      <w:r>
        <w:rPr>
          <w:sz w:val="18"/>
          <w:vertAlign w:val="superscript"/>
        </w:rPr>
        <w:t xml:space="preserve">6 </w:t>
      </w:r>
      <w:r>
        <w:rPr>
          <w:sz w:val="18"/>
        </w:rPr>
        <w:t xml:space="preserve">  </w:t>
      </w:r>
      <w:r w:rsidRPr="00AD2400">
        <w:rPr>
          <w:sz w:val="18"/>
          <w:lang w:val="es-MX"/>
        </w:rPr>
        <w:t>Los valores numéricos corresponden a la clasificación de regiones socioeconómicas de México, elaborada por el Instituto Nacional de Estadística y Geografía (INEGI). Véase</w:t>
      </w:r>
      <w:r w:rsidRPr="00B240E2">
        <w:rPr>
          <w:sz w:val="18"/>
          <w:lang w:val="es-MX"/>
        </w:rPr>
        <w:t xml:space="preserve"> </w:t>
      </w:r>
      <w:r w:rsidRPr="00970C9D">
        <w:rPr>
          <w:rFonts w:cs="Times New Roman"/>
          <w:sz w:val="18"/>
          <w:lang w:val="es-MX"/>
        </w:rPr>
        <w:t>http://sc.inegi.gob.mx/niveles/index.jsp</w:t>
      </w:r>
      <w:r w:rsidRPr="00B240E2">
        <w:rPr>
          <w:sz w:val="18"/>
          <w:lang w:val="es-MX"/>
        </w:rPr>
        <w:t>.</w:t>
      </w:r>
    </w:p>
    <w:p w:rsidR="007C4016" w:rsidRDefault="007C4016" w:rsidP="007C4016">
      <w:pPr>
        <w:pStyle w:val="CondicionesFinales"/>
        <w:spacing w:before="240" w:after="0"/>
        <w:rPr>
          <w:sz w:val="18"/>
          <w:vertAlign w:val="superscript"/>
        </w:rPr>
      </w:pPr>
      <w:r>
        <w:rPr>
          <w:sz w:val="18"/>
          <w:vertAlign w:val="superscript"/>
        </w:rPr>
        <w:t>7</w:t>
      </w:r>
      <w:r>
        <w:rPr>
          <w:sz w:val="18"/>
        </w:rPr>
        <w:t xml:space="preserve">  </w:t>
      </w:r>
      <w:r w:rsidRPr="00AD2400">
        <w:rPr>
          <w:sz w:val="18"/>
        </w:rPr>
        <w:t>Se trata de sitios ubicados en zonas o parques industriales</w:t>
      </w:r>
      <w:r w:rsidRPr="00B240E2">
        <w:rPr>
          <w:sz w:val="18"/>
          <w:lang w:val="es-MX"/>
        </w:rPr>
        <w:t>.</w:t>
      </w:r>
    </w:p>
    <w:p w:rsidR="007C4016" w:rsidRDefault="007C4016" w:rsidP="007C4016">
      <w:pPr>
        <w:pStyle w:val="CondicionesFinales"/>
        <w:spacing w:before="240" w:after="0"/>
        <w:rPr>
          <w:sz w:val="18"/>
          <w:lang w:val="es-MX"/>
        </w:rPr>
      </w:pPr>
      <w:r>
        <w:rPr>
          <w:sz w:val="18"/>
          <w:vertAlign w:val="superscript"/>
        </w:rPr>
        <w:t xml:space="preserve">8 </w:t>
      </w:r>
      <w:r>
        <w:rPr>
          <w:sz w:val="18"/>
        </w:rPr>
        <w:t xml:space="preserve">  </w:t>
      </w:r>
      <w:r w:rsidRPr="00AD2400">
        <w:rPr>
          <w:sz w:val="18"/>
          <w:lang w:val="es-MX"/>
        </w:rPr>
        <w:t>Los valores numéricos corresponden a la clasificación de regiones socioeconómicas de México, elaborada por el Instituto Nacional de Estadística y Geografía (INEGI). Véase</w:t>
      </w:r>
      <w:r w:rsidRPr="00B240E2">
        <w:rPr>
          <w:sz w:val="18"/>
          <w:lang w:val="es-MX"/>
        </w:rPr>
        <w:t xml:space="preserve"> </w:t>
      </w:r>
      <w:r w:rsidRPr="00970C9D">
        <w:rPr>
          <w:rFonts w:cs="Times New Roman"/>
          <w:sz w:val="18"/>
          <w:lang w:val="es-MX"/>
        </w:rPr>
        <w:t>http://sc.inegi.gob.mx/niveles/index.jsp</w:t>
      </w:r>
      <w:r w:rsidRPr="00B240E2">
        <w:rPr>
          <w:sz w:val="18"/>
          <w:lang w:val="es-MX"/>
        </w:rPr>
        <w:t>.</w:t>
      </w:r>
    </w:p>
    <w:p w:rsidR="007C4016" w:rsidRDefault="007C4016" w:rsidP="007C4016">
      <w:pPr>
        <w:pStyle w:val="CondicionesFinales"/>
        <w:spacing w:before="240" w:after="0"/>
        <w:rPr>
          <w:sz w:val="18"/>
          <w:vertAlign w:val="superscript"/>
        </w:rPr>
      </w:pPr>
      <w:r>
        <w:rPr>
          <w:sz w:val="18"/>
          <w:vertAlign w:val="superscript"/>
        </w:rPr>
        <w:t xml:space="preserve">9 </w:t>
      </w:r>
      <w:r>
        <w:rPr>
          <w:sz w:val="18"/>
        </w:rPr>
        <w:t xml:space="preserve">  </w:t>
      </w:r>
      <w:r w:rsidRPr="00AD2400">
        <w:rPr>
          <w:sz w:val="18"/>
        </w:rPr>
        <w:t>Se trata de sitios ubicados en zonas o parques industriales</w:t>
      </w:r>
      <w:r w:rsidRPr="00B240E2">
        <w:rPr>
          <w:sz w:val="18"/>
          <w:lang w:val="es-MX"/>
        </w:rPr>
        <w:t>.</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 xml:space="preserve">3.1 </w:t>
      </w:r>
      <w:r w:rsidRPr="006A7AA7">
        <w:rPr>
          <w:rFonts w:ascii="ITC Avant Garde" w:hAnsi="ITC Avant Garde"/>
          <w:b/>
          <w:sz w:val="22"/>
          <w:szCs w:val="22"/>
        </w:rPr>
        <w:tab/>
        <w:t>PROCEDIMIENTOS PARA LA CONTRATACIÓN, MODIFICACIÓN Y BAJA DE LOS SERVICIOS.</w:t>
      </w:r>
    </w:p>
    <w:p w:rsidR="007C4016" w:rsidRPr="00BF4959" w:rsidRDefault="007C4016" w:rsidP="007C4016">
      <w:pPr>
        <w:pStyle w:val="IFTnormal"/>
        <w:spacing w:before="240" w:after="0"/>
        <w:rPr>
          <w:b/>
        </w:rPr>
      </w:pPr>
      <w:r>
        <w:rPr>
          <w:b/>
        </w:rPr>
        <w:t>Consideraciones del Instituto</w:t>
      </w:r>
    </w:p>
    <w:p w:rsidR="007C4016" w:rsidRPr="00CD09B8"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rPr>
          <w:b/>
          <w:lang w:val="es-ES"/>
        </w:rPr>
      </w:pPr>
      <w:r w:rsidRPr="009270CE">
        <w:rPr>
          <w:lang w:val="es-ES"/>
        </w:rPr>
        <w:t>Derivado del análisis realizado al numeral “</w:t>
      </w:r>
      <w:r w:rsidRPr="00332200">
        <w:rPr>
          <w:i/>
          <w:lang w:val="es-ES"/>
        </w:rPr>
        <w:t>1.1 Procedimiento para la contratación, modificación y baja de servicio</w:t>
      </w:r>
      <w:r w:rsidRPr="009270CE">
        <w:rPr>
          <w:lang w:val="es-ES"/>
        </w:rPr>
        <w:t>”, el Instituto identificó que dicho análisis</w:t>
      </w:r>
      <w:r>
        <w:rPr>
          <w:lang w:val="es-ES"/>
        </w:rPr>
        <w:t xml:space="preserve"> y resolución</w:t>
      </w:r>
      <w:r w:rsidRPr="009270CE">
        <w:rPr>
          <w:lang w:val="es-ES"/>
        </w:rPr>
        <w:t xml:space="preserve"> puede hacerse extensivo a los procedimientos de los demás servicios contemplados en la Propuesta de Oferta de Referencia, con excepción de aquellos temas particulares y exclusivos que deban tratarse de manera específica en su sección correspondiente.</w:t>
      </w:r>
      <w:r>
        <w:rPr>
          <w:lang w:val="es-ES"/>
        </w:rPr>
        <w:t xml:space="preserve"> Por lo tanto y a juicio del Instituto, los procedimientos “</w:t>
      </w:r>
      <w:r>
        <w:rPr>
          <w:i/>
          <w:lang w:val="es-ES"/>
        </w:rPr>
        <w:t>3</w:t>
      </w:r>
      <w:r w:rsidRPr="00332200">
        <w:rPr>
          <w:i/>
          <w:lang w:val="es-ES"/>
        </w:rPr>
        <w:t>.1 Procedimientos para la contracción y baja de los servicios</w:t>
      </w:r>
      <w:r>
        <w:rPr>
          <w:lang w:val="es-ES"/>
        </w:rPr>
        <w:t xml:space="preserve">” del </w:t>
      </w:r>
      <w:r w:rsidRPr="00332200">
        <w:rPr>
          <w:i/>
          <w:lang w:val="es-ES"/>
        </w:rPr>
        <w:t>Servicio de Acceso y Uso Compartido de Torres</w:t>
      </w:r>
      <w:r>
        <w:rPr>
          <w:lang w:val="es-ES"/>
        </w:rPr>
        <w:t xml:space="preserve"> deben ser modificados de acuerdo a lo resuelto en el numeral mencionado inicialmente.</w:t>
      </w:r>
    </w:p>
    <w:p w:rsidR="007C4016" w:rsidRDefault="007C4016" w:rsidP="007C4016">
      <w:pPr>
        <w:pStyle w:val="IFTnormal"/>
        <w:spacing w:before="240" w:after="0"/>
        <w:rPr>
          <w:lang w:val="es-ES"/>
        </w:rPr>
      </w:pPr>
      <w:r>
        <w:rPr>
          <w:lang w:val="es-ES"/>
        </w:rPr>
        <w:t xml:space="preserve">De manera particular, el Instituto considera resaltar que de acuerdo a la Medida </w:t>
      </w:r>
      <w:r w:rsidRPr="001C63CC">
        <w:t>VIGÉSIMA SEXTA</w:t>
      </w:r>
      <w:r>
        <w:rPr>
          <w:lang w:val="es-ES"/>
        </w:rPr>
        <w:t xml:space="preserve">, que se cita a continuación: </w:t>
      </w:r>
    </w:p>
    <w:p w:rsidR="007C4016" w:rsidRPr="001C63CC" w:rsidRDefault="007C4016" w:rsidP="007C4016">
      <w:pPr>
        <w:pStyle w:val="CitaIFT"/>
        <w:spacing w:before="240" w:after="0"/>
      </w:pPr>
      <w:r w:rsidRPr="001C63CC">
        <w:t>“VIGÉSIMA SEXTA.- El Agente Económico Preponderante deberá poner a disposición del Instituto y de los Concesionarios Solicitantes, a través del Sistema Electrónico de Gestión, información relativa a sus instalaciones, misma que deberá mantenerse actualizada mensualmente. Dicha información deberá contener, al menos, lo siguiente:</w:t>
      </w:r>
    </w:p>
    <w:p w:rsidR="007C4016" w:rsidRPr="001C63CC" w:rsidRDefault="007C4016" w:rsidP="007C4016">
      <w:pPr>
        <w:pStyle w:val="CitaIFT"/>
        <w:numPr>
          <w:ilvl w:val="0"/>
          <w:numId w:val="176"/>
        </w:numPr>
        <w:spacing w:before="240" w:after="0"/>
      </w:pPr>
      <w:r w:rsidRPr="001C63CC">
        <w:t xml:space="preserve">Información georreferenciada de la infraestructura correspondiente a estaciones, radiobases, sitios de transmisión, postes, pozos, registros, </w:t>
      </w:r>
      <w:r w:rsidRPr="001C63CC">
        <w:lastRenderedPageBreak/>
        <w:t>centrales y los demás que sean necesarios para la eficiente prestación de los servicios de telecomunicaciones.</w:t>
      </w:r>
    </w:p>
    <w:p w:rsidR="007C4016" w:rsidRPr="001C63CC" w:rsidRDefault="007C4016" w:rsidP="007C4016">
      <w:pPr>
        <w:pStyle w:val="CitaIFT"/>
        <w:numPr>
          <w:ilvl w:val="0"/>
          <w:numId w:val="176"/>
        </w:numPr>
        <w:spacing w:before="240" w:after="0"/>
      </w:pPr>
      <w:r w:rsidRPr="001C63CC">
        <w:t>Mapas esquemáticos con las rutas de los ductos.</w:t>
      </w:r>
    </w:p>
    <w:p w:rsidR="007C4016" w:rsidRPr="001C63CC" w:rsidRDefault="007C4016" w:rsidP="007C4016">
      <w:pPr>
        <w:pStyle w:val="CitaIFT"/>
        <w:numPr>
          <w:ilvl w:val="0"/>
          <w:numId w:val="176"/>
        </w:numPr>
        <w:spacing w:before="240" w:after="0"/>
      </w:pPr>
      <w:r w:rsidRPr="001C63CC">
        <w:t>Las características técnicas de la infraestructura.</w:t>
      </w:r>
    </w:p>
    <w:p w:rsidR="007C4016" w:rsidRPr="001C63CC" w:rsidRDefault="007C4016" w:rsidP="007C4016">
      <w:pPr>
        <w:pStyle w:val="CitaIFT"/>
        <w:numPr>
          <w:ilvl w:val="0"/>
          <w:numId w:val="176"/>
        </w:numPr>
        <w:spacing w:before="240" w:after="0"/>
      </w:pPr>
      <w:r w:rsidRPr="001C63CC">
        <w:t>La Capacidad Excedente de Infraestructura Pasiva.</w:t>
      </w:r>
    </w:p>
    <w:p w:rsidR="007C4016" w:rsidRDefault="007C4016" w:rsidP="007C4016">
      <w:pPr>
        <w:pStyle w:val="CitaIFT"/>
        <w:numPr>
          <w:ilvl w:val="0"/>
          <w:numId w:val="176"/>
        </w:numPr>
        <w:spacing w:before="240" w:after="0"/>
      </w:pPr>
      <w:r w:rsidRPr="001C63CC">
        <w:t>Normas de seguridad para el acceso a las instalaciones.”</w:t>
      </w:r>
    </w:p>
    <w:p w:rsidR="007C4016" w:rsidRDefault="007C4016" w:rsidP="007C4016">
      <w:pPr>
        <w:spacing w:before="240" w:after="0"/>
        <w:rPr>
          <w:rFonts w:ascii="ITC Avant Garde" w:eastAsia="MS Mincho" w:hAnsi="ITC Avant Garde" w:cs="Calibri"/>
          <w:b/>
          <w:sz w:val="22"/>
          <w:szCs w:val="22"/>
          <w:lang w:val="es-ES" w:eastAsia="en-US"/>
        </w:rPr>
      </w:pPr>
      <w:r>
        <w:rPr>
          <w:rFonts w:ascii="ITC Avant Garde" w:eastAsia="MS Mincho" w:hAnsi="ITC Avant Garde" w:cs="Calibri"/>
          <w:b/>
          <w:sz w:val="22"/>
          <w:szCs w:val="22"/>
          <w:lang w:val="es-ES" w:eastAsia="en-US"/>
        </w:rPr>
        <w:t>Redacción Definitiva</w:t>
      </w:r>
    </w:p>
    <w:p w:rsidR="007C4016" w:rsidRPr="0071564C" w:rsidRDefault="007C4016" w:rsidP="007C4016">
      <w:pPr>
        <w:pStyle w:val="IFTnormal"/>
        <w:spacing w:before="240" w:after="0"/>
        <w:rPr>
          <w:b/>
        </w:rPr>
      </w:pPr>
      <w:r w:rsidRPr="00E7139B">
        <w:t>Derivado del análisis realizado, el Instituto resuelve que el numeral “</w:t>
      </w:r>
      <w:r w:rsidRPr="00E7139B">
        <w:rPr>
          <w:i/>
        </w:rPr>
        <w:t>3.1 Procedimientos para la contratación, modificación y baja de los servicios</w:t>
      </w:r>
      <w:r w:rsidRPr="00E7139B">
        <w:t xml:space="preserve">” correspondiente al </w:t>
      </w:r>
      <w:r w:rsidRPr="00E7139B">
        <w:rPr>
          <w:i/>
        </w:rPr>
        <w:t>“Servicio de Acceso y Uso compartido de Torres”</w:t>
      </w:r>
      <w:r w:rsidRPr="00E7139B">
        <w:t xml:space="preserve"> deberá quedar de la siguiente manera:</w:t>
      </w:r>
    </w:p>
    <w:p w:rsidR="007C4016" w:rsidRPr="00046F59" w:rsidRDefault="007C4016" w:rsidP="007C4016">
      <w:pPr>
        <w:pStyle w:val="CondicionesFinales"/>
        <w:spacing w:before="240" w:after="0"/>
        <w:rPr>
          <w:b/>
        </w:rPr>
      </w:pPr>
      <w:r w:rsidRPr="00046F59">
        <w:rPr>
          <w:b/>
        </w:rPr>
        <w:t>3.1 Procedimientos para la contratación, modificación y baja de los servicios.</w:t>
      </w:r>
    </w:p>
    <w:p w:rsidR="007C4016" w:rsidRPr="00833D3A" w:rsidRDefault="007C4016" w:rsidP="007C4016">
      <w:pPr>
        <w:pStyle w:val="CondicionesFinales"/>
        <w:spacing w:before="240" w:after="0"/>
      </w:pPr>
      <w:r w:rsidRPr="00833D3A">
        <w:t>A continuación se describen los procedimientos a seguir para la contratación, modificación y baja de del servicio. Los plazos para la realización de estas actividades así como los indicadores de nivel de servicio se encuentran detallados en el Anexo 4 de la Oferta.</w:t>
      </w:r>
    </w:p>
    <w:p w:rsidR="007C4016" w:rsidRPr="00046F59" w:rsidRDefault="007C4016" w:rsidP="007C4016">
      <w:pPr>
        <w:pStyle w:val="CondicionesFinales"/>
        <w:spacing w:before="240" w:after="0"/>
        <w:rPr>
          <w:b/>
        </w:rPr>
      </w:pPr>
      <w:r>
        <w:rPr>
          <w:b/>
        </w:rPr>
        <w:t xml:space="preserve">a. </w:t>
      </w:r>
      <w:r w:rsidRPr="00046F59">
        <w:rPr>
          <w:b/>
        </w:rPr>
        <w:t>Contratación.</w:t>
      </w:r>
    </w:p>
    <w:p w:rsidR="007C4016" w:rsidRPr="00833D3A" w:rsidRDefault="007C4016" w:rsidP="007C4016">
      <w:pPr>
        <w:pStyle w:val="CondicionesFinales"/>
        <w:spacing w:before="240" w:after="0"/>
      </w:pPr>
      <w:r w:rsidRPr="00833D3A">
        <w:t xml:space="preserve">Queda establecido que mediante el envío de la solicitud, el CS consiente realizar el pago por los cargos no recurrentes así como por los elementos de cobro que conforman el servicio. Asimismo si el CS rechaza el servicio o decide no continuar con el procedimiento, deberá liquidar el monto generado por las actividades realizadas hasta el momento que decidió terminar el procedimiento. </w:t>
      </w:r>
    </w:p>
    <w:p w:rsidR="007C4016" w:rsidRPr="00833D3A" w:rsidRDefault="007C4016" w:rsidP="007C4016">
      <w:pPr>
        <w:pStyle w:val="CondicionesFinales"/>
        <w:spacing w:before="240" w:after="0"/>
      </w:pPr>
      <w:r w:rsidRPr="00833D3A">
        <w:t>Las actividades que conforman el procedimiento de contratación son las siguientes</w:t>
      </w:r>
      <w:r>
        <w:t>:</w:t>
      </w:r>
    </w:p>
    <w:tbl>
      <w:tblPr>
        <w:tblStyle w:val="Tablaconcuadrcula"/>
        <w:tblW w:w="3991" w:type="pct"/>
        <w:tblInd w:w="959" w:type="dxa"/>
        <w:tblLook w:val="04A0" w:firstRow="1" w:lastRow="0" w:firstColumn="1" w:lastColumn="0" w:noHBand="0" w:noVBand="1"/>
        <w:tblCaption w:val="Tabla"/>
        <w:tblDescription w:val="Las actividades que conforman el procedimiento de contratación "/>
      </w:tblPr>
      <w:tblGrid>
        <w:gridCol w:w="1889"/>
        <w:gridCol w:w="5159"/>
      </w:tblGrid>
      <w:tr w:rsidR="007C4016" w:rsidRPr="00046F59" w:rsidTr="005C782A">
        <w:trPr>
          <w:tblHeader/>
        </w:trPr>
        <w:tc>
          <w:tcPr>
            <w:tcW w:w="1340" w:type="pct"/>
            <w:shd w:val="clear" w:color="auto" w:fill="D9D9D9" w:themeFill="background1" w:themeFillShade="D9"/>
          </w:tcPr>
          <w:p w:rsidR="007C4016" w:rsidRPr="00CE5D0C" w:rsidRDefault="007C4016" w:rsidP="005C782A">
            <w:pPr>
              <w:pStyle w:val="IFTnormal"/>
              <w:spacing w:after="0"/>
            </w:pPr>
            <w:r w:rsidRPr="00CE5D0C">
              <w:t>Etapa</w:t>
            </w:r>
          </w:p>
        </w:tc>
        <w:tc>
          <w:tcPr>
            <w:tcW w:w="3660" w:type="pct"/>
            <w:shd w:val="clear" w:color="auto" w:fill="D9D9D9" w:themeFill="background1" w:themeFillShade="D9"/>
          </w:tcPr>
          <w:p w:rsidR="007C4016" w:rsidRPr="00CE5D0C" w:rsidRDefault="007C4016" w:rsidP="005C782A">
            <w:pPr>
              <w:pStyle w:val="IFTnormal"/>
              <w:spacing w:after="0"/>
            </w:pPr>
            <w:r w:rsidRPr="00CE5D0C">
              <w:t>Descripción</w:t>
            </w:r>
          </w:p>
        </w:tc>
      </w:tr>
      <w:tr w:rsidR="007C4016" w:rsidRPr="00046F59" w:rsidTr="005C782A">
        <w:tc>
          <w:tcPr>
            <w:tcW w:w="1340" w:type="pct"/>
          </w:tcPr>
          <w:p w:rsidR="007C4016" w:rsidRPr="00CE5D0C" w:rsidRDefault="007C4016" w:rsidP="005C782A">
            <w:pPr>
              <w:pStyle w:val="IFTnormal"/>
              <w:spacing w:after="0"/>
            </w:pPr>
            <w:r w:rsidRPr="00CE5D0C">
              <w:t>Envío y Validación de solicitud</w:t>
            </w:r>
          </w:p>
        </w:tc>
        <w:tc>
          <w:tcPr>
            <w:tcW w:w="3660" w:type="pct"/>
          </w:tcPr>
          <w:p w:rsidR="007C4016" w:rsidRPr="00CE5D0C" w:rsidRDefault="007C4016" w:rsidP="005C782A">
            <w:pPr>
              <w:pStyle w:val="IFTnormal"/>
              <w:spacing w:after="0"/>
            </w:pPr>
            <w:r w:rsidRPr="00CE5D0C">
              <w:t xml:space="preserve">El CS presentará la solicitud de contratación en el formato correspondiente a través del SEG. </w:t>
            </w:r>
            <w:r>
              <w:t>Telnor</w:t>
            </w:r>
            <w:r w:rsidRPr="00CE5D0C">
              <w:t xml:space="preserve"> recibirá la solicitud y determinará</w:t>
            </w:r>
            <w:r>
              <w:t xml:space="preserve"> en 2 días hábiles</w:t>
            </w:r>
            <w:r w:rsidRPr="00CE5D0C">
              <w:t xml:space="preserve"> si la solicitud es: </w:t>
            </w:r>
          </w:p>
          <w:p w:rsidR="007C4016" w:rsidRPr="00CE5D0C" w:rsidRDefault="007C4016" w:rsidP="005C782A">
            <w:pPr>
              <w:pStyle w:val="IFTnormal"/>
              <w:numPr>
                <w:ilvl w:val="0"/>
                <w:numId w:val="62"/>
              </w:numPr>
              <w:spacing w:after="0"/>
            </w:pPr>
            <w:r w:rsidRPr="00CE5D0C">
              <w:t xml:space="preserve">Aceptada, </w:t>
            </w:r>
            <w:r>
              <w:t>Telnor</w:t>
            </w:r>
            <w:r w:rsidRPr="00CE5D0C">
              <w:t xml:space="preserve"> valida que la solicitud cumple con los requisitos </w:t>
            </w:r>
            <w:r w:rsidRPr="00CE5D0C">
              <w:lastRenderedPageBreak/>
              <w:t>establec</w:t>
            </w:r>
            <w:r>
              <w:t>idos en los formatos</w:t>
            </w:r>
            <w:r w:rsidRPr="00CE5D0C">
              <w:t xml:space="preserve">, por lo tanto proceden con la Visita Técnica. Se asignará de forma automática un NIS. </w:t>
            </w:r>
          </w:p>
          <w:p w:rsidR="007C4016" w:rsidRPr="00CE5D0C" w:rsidRDefault="007C4016" w:rsidP="005C782A">
            <w:pPr>
              <w:pStyle w:val="IFTnormal"/>
              <w:numPr>
                <w:ilvl w:val="0"/>
                <w:numId w:val="62"/>
              </w:numPr>
              <w:spacing w:after="0"/>
            </w:pPr>
            <w:r w:rsidRPr="00CE5D0C">
              <w:t xml:space="preserve">Rechazado, en caso de que la solicitud no cumpliera con los requisitos, </w:t>
            </w:r>
            <w:r>
              <w:t>Telnor</w:t>
            </w:r>
            <w:r w:rsidRPr="00CE5D0C">
              <w:t xml:space="preserve"> notificará al CS a través del SEG que la solicitud ha sido rechazada y el motivo por el cual no se pudo procesar, de tal forma que el CS pueda corregir la información y reenviar la solicitud.</w:t>
            </w:r>
          </w:p>
        </w:tc>
      </w:tr>
      <w:tr w:rsidR="007C4016" w:rsidRPr="00046F59" w:rsidTr="005C782A">
        <w:tc>
          <w:tcPr>
            <w:tcW w:w="1340" w:type="pct"/>
          </w:tcPr>
          <w:p w:rsidR="007C4016" w:rsidRPr="00CE5D0C" w:rsidRDefault="007C4016" w:rsidP="005C782A">
            <w:pPr>
              <w:pStyle w:val="IFTnormal"/>
              <w:spacing w:after="0"/>
            </w:pPr>
            <w:r w:rsidRPr="00CE5D0C">
              <w:lastRenderedPageBreak/>
              <w:t>Visita Técnica</w:t>
            </w:r>
          </w:p>
        </w:tc>
        <w:tc>
          <w:tcPr>
            <w:tcW w:w="3660" w:type="pct"/>
          </w:tcPr>
          <w:p w:rsidR="007C4016" w:rsidRDefault="007C4016" w:rsidP="005C782A">
            <w:pPr>
              <w:pStyle w:val="IFTnormal"/>
              <w:spacing w:after="0"/>
            </w:pPr>
            <w:r w:rsidRPr="00CE5D0C">
              <w:t xml:space="preserve">Una vez que se validó la solicitud y cuenta con NIS, </w:t>
            </w:r>
            <w:r>
              <w:t>Telnor</w:t>
            </w:r>
            <w:r w:rsidRPr="00CE5D0C">
              <w:t xml:space="preserve"> revisará la disponibilidad de fechas y horarios para </w:t>
            </w:r>
            <w:r>
              <w:t xml:space="preserve">realizar la programación en máximo </w:t>
            </w:r>
            <w:r w:rsidRPr="00D53B30">
              <w:t>5</w:t>
            </w:r>
            <w:r>
              <w:t xml:space="preserve"> días hábiles de</w:t>
            </w:r>
            <w:r w:rsidRPr="00CE5D0C">
              <w:t xml:space="preserve"> Visita Técnica conjunta, e informará al CS para que acepte o rechace. En caso de no aceptarse la fecha propuesta, el CS podrá solicitar una nueva fecha, con lo que esta actividad </w:t>
            </w:r>
            <w:r>
              <w:t>podrá</w:t>
            </w:r>
            <w:r w:rsidRPr="00CE5D0C">
              <w:t xml:space="preserve"> repetirse hasta </w:t>
            </w:r>
            <w:r>
              <w:t>en 3 ocasiones</w:t>
            </w:r>
            <w:r w:rsidRPr="00CE5D0C">
              <w:t>.</w:t>
            </w:r>
            <w:r>
              <w:t xml:space="preserve"> </w:t>
            </w:r>
            <w:r w:rsidRPr="004621E4">
              <w:t xml:space="preserve">La Visita Técnica tendrá que realizarse en un máximo </w:t>
            </w:r>
            <w:r w:rsidRPr="00E35500">
              <w:t>de 20 días hábiles</w:t>
            </w:r>
            <w:r w:rsidRPr="004621E4">
              <w:t xml:space="preserve"> a partir del ingreso de la solicitud.</w:t>
            </w:r>
          </w:p>
          <w:p w:rsidR="007C4016" w:rsidRPr="00456214" w:rsidRDefault="007C4016" w:rsidP="005C782A">
            <w:pPr>
              <w:pStyle w:val="IFTnormal"/>
              <w:spacing w:after="0"/>
            </w:pPr>
            <w:r w:rsidRPr="00456214">
              <w:t xml:space="preserve">Al concluir la Visita Técnica se firmará el documento Reporte de Visita Técnica, por lo que </w:t>
            </w:r>
            <w:r>
              <w:t>Telnor</w:t>
            </w:r>
            <w:r w:rsidRPr="00456214">
              <w:t xml:space="preserve"> y el CS deberá asegurarse que la información recabada es correcta y completa con todos los detalles necesarios para el desarrollo del anteproyecto. En esta etapa deberán ejecutarse todas las mediciones y cálculos</w:t>
            </w:r>
            <w:r>
              <w:t xml:space="preserve"> que considere pertinentes el CS</w:t>
            </w:r>
            <w:r w:rsidRPr="00456214">
              <w:t xml:space="preserve"> para determinar la capacidad e</w:t>
            </w:r>
            <w:r>
              <w:t>xcedente de la infraestructura, entre otros aspectos, para la correcta prestación del servicio.</w:t>
            </w:r>
          </w:p>
          <w:p w:rsidR="007C4016" w:rsidRDefault="007C4016" w:rsidP="005C782A">
            <w:pPr>
              <w:pStyle w:val="IFTnormal"/>
              <w:spacing w:after="0"/>
            </w:pPr>
            <w:r w:rsidRPr="00CE2104">
              <w:t>El Reporte de Visita Técnica deberá ser escaneado e integrado en el SEG.</w:t>
            </w:r>
            <w:r>
              <w:t xml:space="preserve"> Telnor deberá actualizar la información </w:t>
            </w:r>
            <w:r>
              <w:lastRenderedPageBreak/>
              <w:t>correspondiente en el SEG en un plazo máximo de 5 días hábiles.</w:t>
            </w:r>
          </w:p>
          <w:p w:rsidR="007C4016" w:rsidRDefault="007C4016" w:rsidP="005C782A">
            <w:pPr>
              <w:pStyle w:val="IFTnormal"/>
              <w:spacing w:after="0"/>
              <w:rPr>
                <w:rFonts w:asciiTheme="minorHAnsi" w:eastAsia="Times New Roman" w:hAnsiTheme="minorHAnsi" w:cs="Times New Roman"/>
                <w:bCs w:val="0"/>
                <w:sz w:val="24"/>
                <w:szCs w:val="24"/>
                <w:lang w:eastAsia="es-ES"/>
              </w:rPr>
            </w:pPr>
            <w:r w:rsidRPr="00CE2104">
              <w:t>El resultado de la Visita Técnica</w:t>
            </w:r>
            <w:r>
              <w:t xml:space="preserve"> </w:t>
            </w:r>
            <w:r w:rsidRPr="00CE2104">
              <w:t>determinará una de las siguientes opciones:</w:t>
            </w:r>
          </w:p>
          <w:p w:rsidR="007C4016" w:rsidRPr="00CE5D0C" w:rsidRDefault="007C4016" w:rsidP="005C782A">
            <w:pPr>
              <w:pStyle w:val="IFTnormal"/>
              <w:numPr>
                <w:ilvl w:val="0"/>
                <w:numId w:val="70"/>
              </w:numPr>
              <w:spacing w:after="0"/>
            </w:pPr>
            <w:r w:rsidRPr="00CE5D0C">
              <w:t xml:space="preserve">Existe capacidad excedente para brindar el servicio en la torre solicitada. </w:t>
            </w:r>
            <w:r>
              <w:t>Telnor</w:t>
            </w:r>
            <w:r w:rsidRPr="00CE5D0C">
              <w:t xml:space="preserve"> procede a entregar información al CS para la realización del Anteproyecto.</w:t>
            </w:r>
          </w:p>
          <w:p w:rsidR="007C4016" w:rsidRPr="00CE5D0C" w:rsidRDefault="007C4016" w:rsidP="005C782A">
            <w:pPr>
              <w:pStyle w:val="IFTnormal"/>
              <w:numPr>
                <w:ilvl w:val="0"/>
                <w:numId w:val="70"/>
              </w:numPr>
              <w:spacing w:after="0"/>
            </w:pPr>
            <w:r w:rsidRPr="00CE5D0C">
              <w:t xml:space="preserve">Existen capacidad excedente para brindar el servicio en la torre solicitada, pero requiere un trabajo especial asociado. </w:t>
            </w:r>
            <w:r>
              <w:t>Telnor</w:t>
            </w:r>
            <w:r w:rsidRPr="00CE5D0C">
              <w:t xml:space="preserve"> proporcionará la cotización de los trabajos a realizar y el programa de trabajo necesario. </w:t>
            </w:r>
          </w:p>
          <w:p w:rsidR="007C4016" w:rsidRPr="00CE5D0C" w:rsidRDefault="007C4016" w:rsidP="005C782A">
            <w:pPr>
              <w:pStyle w:val="IFTnormal"/>
              <w:numPr>
                <w:ilvl w:val="1"/>
                <w:numId w:val="70"/>
              </w:numPr>
              <w:spacing w:after="0"/>
            </w:pPr>
            <w:r w:rsidRPr="00CE5D0C">
              <w:t>CS acepta y autoriza</w:t>
            </w:r>
            <w:r w:rsidRPr="00CE5D0C" w:rsidDel="008519AF">
              <w:t xml:space="preserve"> </w:t>
            </w:r>
            <w:r w:rsidRPr="00CE5D0C">
              <w:t xml:space="preserve">Trabajos Especiales asociados al servicio de acceso y uso compartido de torre. </w:t>
            </w:r>
            <w:r>
              <w:t>Telnor</w:t>
            </w:r>
            <w:r w:rsidRPr="00CE5D0C">
              <w:t xml:space="preserve"> realizará la ejecución de los mismos, notificando al CS la fecha de inicio y terminación de los trabajos, una vez concluidos estos trabajos, </w:t>
            </w:r>
            <w:r>
              <w:t>Telnor</w:t>
            </w:r>
            <w:r w:rsidRPr="00CE5D0C">
              <w:t xml:space="preserve"> procede a entregar la información para la elaboración del Anteproyecto. </w:t>
            </w:r>
          </w:p>
          <w:p w:rsidR="007C4016" w:rsidRPr="00CE5D0C" w:rsidRDefault="007C4016" w:rsidP="005C782A">
            <w:pPr>
              <w:pStyle w:val="IFTnormal"/>
              <w:numPr>
                <w:ilvl w:val="1"/>
                <w:numId w:val="70"/>
              </w:numPr>
              <w:spacing w:after="0"/>
            </w:pPr>
            <w:r w:rsidRPr="00CE5D0C">
              <w:t>En caso de no aceptar los Trabajos Especiales, se concluye el procedimiento.</w:t>
            </w:r>
          </w:p>
          <w:p w:rsidR="007C4016" w:rsidRPr="00CE5D0C" w:rsidRDefault="007C4016" w:rsidP="005C782A">
            <w:pPr>
              <w:pStyle w:val="IFTnormal"/>
              <w:numPr>
                <w:ilvl w:val="0"/>
                <w:numId w:val="70"/>
              </w:numPr>
              <w:spacing w:after="0"/>
            </w:pPr>
            <w:r w:rsidRPr="00CE5D0C">
              <w:t>Existe interferencia de frecuencias, por lo tanto no es factible proporcionar el servicio, se finaliza el procedimiento.</w:t>
            </w:r>
          </w:p>
        </w:tc>
      </w:tr>
      <w:tr w:rsidR="007C4016" w:rsidRPr="00046F59" w:rsidTr="005C782A">
        <w:tc>
          <w:tcPr>
            <w:tcW w:w="1340" w:type="pct"/>
          </w:tcPr>
          <w:p w:rsidR="007C4016" w:rsidRPr="00CE5D0C" w:rsidRDefault="007C4016" w:rsidP="005C782A">
            <w:pPr>
              <w:pStyle w:val="IFTnormal"/>
              <w:tabs>
                <w:tab w:val="left" w:pos="567"/>
              </w:tabs>
              <w:spacing w:after="0"/>
            </w:pPr>
            <w:r w:rsidRPr="004621E4">
              <w:lastRenderedPageBreak/>
              <w:t>Entrega de Información de Visita Técnica</w:t>
            </w:r>
          </w:p>
        </w:tc>
        <w:tc>
          <w:tcPr>
            <w:tcW w:w="3660" w:type="pct"/>
            <w:shd w:val="clear" w:color="auto" w:fill="auto"/>
          </w:tcPr>
          <w:p w:rsidR="007C4016" w:rsidRPr="00CE5D0C" w:rsidRDefault="007C4016" w:rsidP="005C782A">
            <w:pPr>
              <w:pStyle w:val="IFTnormal"/>
              <w:spacing w:after="0"/>
            </w:pPr>
            <w:r>
              <w:t>Telnor</w:t>
            </w:r>
            <w:r w:rsidRPr="004621E4">
              <w:t xml:space="preserve"> entregará de manera formal al CS la información para la elaboración del Anteproyecto en un máximo de </w:t>
            </w:r>
            <w:r w:rsidRPr="00E35500">
              <w:t>5 días hábiles</w:t>
            </w:r>
            <w:r w:rsidRPr="004621E4">
              <w:t xml:space="preserve"> posteriores a que fue concluida la Visita Técnica.</w:t>
            </w:r>
          </w:p>
        </w:tc>
      </w:tr>
      <w:tr w:rsidR="007C4016" w:rsidRPr="00046F59" w:rsidTr="005C782A">
        <w:tc>
          <w:tcPr>
            <w:tcW w:w="1340" w:type="pct"/>
          </w:tcPr>
          <w:p w:rsidR="007C4016" w:rsidRPr="00CE5D0C" w:rsidRDefault="007C4016" w:rsidP="005C782A">
            <w:pPr>
              <w:pStyle w:val="IFTnormal"/>
              <w:tabs>
                <w:tab w:val="left" w:pos="567"/>
              </w:tabs>
              <w:spacing w:after="0"/>
            </w:pPr>
            <w:r w:rsidRPr="00CE5D0C">
              <w:lastRenderedPageBreak/>
              <w:t>Elaboración de Anteproyecto y Programa de Trabajo</w:t>
            </w:r>
          </w:p>
        </w:tc>
        <w:tc>
          <w:tcPr>
            <w:tcW w:w="3660" w:type="pct"/>
            <w:shd w:val="clear" w:color="auto" w:fill="auto"/>
          </w:tcPr>
          <w:p w:rsidR="007C4016" w:rsidRPr="00CE5D0C" w:rsidRDefault="007C4016" w:rsidP="005C782A">
            <w:pPr>
              <w:pStyle w:val="IFTnormal"/>
              <w:spacing w:after="0"/>
            </w:pPr>
            <w:r w:rsidRPr="00CE5D0C">
              <w:t xml:space="preserve">El CS elaborará el Anteproyecto </w:t>
            </w:r>
            <w:r w:rsidRPr="006B7FE5">
              <w:t>(</w:t>
            </w:r>
            <w:r>
              <w:t>20 días hábiles</w:t>
            </w:r>
            <w:r w:rsidRPr="006B7FE5">
              <w:t xml:space="preserve">) </w:t>
            </w:r>
            <w:r w:rsidRPr="00CE5D0C">
              <w:t xml:space="preserve">con la información proporcionada por </w:t>
            </w:r>
            <w:r>
              <w:t>Telnor</w:t>
            </w:r>
            <w:r w:rsidRPr="00CE5D0C">
              <w:t xml:space="preserve"> (en caso de </w:t>
            </w:r>
            <w:r>
              <w:t>requerir</w:t>
            </w:r>
            <w:r w:rsidRPr="00CE5D0C">
              <w:t xml:space="preserve"> trabajos especiales, el Anteproyecto deberá contemplar</w:t>
            </w:r>
            <w:r>
              <w:t>l</w:t>
            </w:r>
            <w:r w:rsidRPr="00CE5D0C">
              <w:t>os) y la recopilada durante Visita Técnica. La siguiente información deb</w:t>
            </w:r>
            <w:r>
              <w:t>erá estar disponible en el SEG, la cual deberá incluir al menos</w:t>
            </w:r>
            <w:r w:rsidRPr="00CE5D0C">
              <w:t>:</w:t>
            </w:r>
          </w:p>
          <w:p w:rsidR="007C4016" w:rsidRPr="00CE5D0C" w:rsidRDefault="007C4016" w:rsidP="005C782A">
            <w:pPr>
              <w:pStyle w:val="IFTnormal"/>
              <w:numPr>
                <w:ilvl w:val="0"/>
                <w:numId w:val="63"/>
              </w:numPr>
              <w:spacing w:after="0"/>
            </w:pPr>
            <w:r w:rsidRPr="00CE5D0C">
              <w:t>Anteproyecto</w:t>
            </w:r>
          </w:p>
          <w:p w:rsidR="007C4016" w:rsidRPr="00CE5D0C" w:rsidRDefault="007C4016" w:rsidP="005C782A">
            <w:pPr>
              <w:pStyle w:val="IFTnormal"/>
              <w:numPr>
                <w:ilvl w:val="0"/>
                <w:numId w:val="63"/>
              </w:numPr>
              <w:spacing w:after="0"/>
            </w:pPr>
            <w:r w:rsidRPr="00CE5D0C">
              <w:t>Plano(s)</w:t>
            </w:r>
          </w:p>
          <w:p w:rsidR="007C4016" w:rsidRPr="00CE5D0C" w:rsidRDefault="007C4016" w:rsidP="005C782A">
            <w:pPr>
              <w:pStyle w:val="IFTnormal"/>
              <w:numPr>
                <w:ilvl w:val="0"/>
                <w:numId w:val="63"/>
              </w:numPr>
              <w:spacing w:after="0"/>
            </w:pPr>
            <w:r w:rsidRPr="00CE5D0C">
              <w:t>Especificaciones Técnicas de cables y dispositivos a instalar</w:t>
            </w:r>
          </w:p>
          <w:p w:rsidR="007C4016" w:rsidRPr="00CE5D0C" w:rsidRDefault="007C4016" w:rsidP="005C782A">
            <w:pPr>
              <w:pStyle w:val="IFTnormal"/>
              <w:numPr>
                <w:ilvl w:val="0"/>
                <w:numId w:val="63"/>
              </w:numPr>
              <w:spacing w:after="0"/>
            </w:pPr>
            <w:r w:rsidRPr="00CE5D0C">
              <w:t>Programa de trabajo para la Instalación de Infraestructura.</w:t>
            </w:r>
          </w:p>
          <w:p w:rsidR="007C4016" w:rsidRDefault="007C4016" w:rsidP="005C782A">
            <w:pPr>
              <w:pStyle w:val="IFTnormal"/>
              <w:spacing w:after="0"/>
            </w:pPr>
            <w:r>
              <w:t xml:space="preserve">El CS podrá </w:t>
            </w:r>
            <w:r w:rsidRPr="004621E4">
              <w:t xml:space="preserve">solicitar </w:t>
            </w:r>
            <w:r>
              <w:t xml:space="preserve">a Telnor </w:t>
            </w:r>
            <w:r w:rsidRPr="004621E4">
              <w:t xml:space="preserve">un plazo de </w:t>
            </w:r>
            <w:r w:rsidRPr="00E35500">
              <w:t>hasta 20 días hábiles</w:t>
            </w:r>
            <w:r w:rsidRPr="004621E4">
              <w:t xml:space="preserve"> adicionales </w:t>
            </w:r>
            <w:r>
              <w:t>para la elaboración y entrega del Anteproyecto.</w:t>
            </w:r>
          </w:p>
          <w:p w:rsidR="007C4016" w:rsidRPr="00CE5D0C" w:rsidRDefault="007C4016" w:rsidP="005C782A">
            <w:pPr>
              <w:pStyle w:val="IFTnormal"/>
              <w:spacing w:after="0"/>
            </w:pPr>
            <w:r w:rsidRPr="00456214">
              <w:t xml:space="preserve"> </w:t>
            </w:r>
            <w:r>
              <w:t>Telnor</w:t>
            </w:r>
            <w:r w:rsidRPr="00456214">
              <w:t xml:space="preserve"> no podrá negar la autorización del Anteproyecto por diferencias o deficiencias de información que no se hayan señalado</w:t>
            </w:r>
            <w:r>
              <w:t xml:space="preserve"> o identificado</w:t>
            </w:r>
            <w:r w:rsidRPr="00456214">
              <w:t xml:space="preserve"> durante la Visita Técnica.</w:t>
            </w:r>
          </w:p>
          <w:p w:rsidR="007C4016" w:rsidRPr="00CE5D0C" w:rsidRDefault="007C4016" w:rsidP="005C782A">
            <w:pPr>
              <w:pStyle w:val="IFTnormal"/>
              <w:spacing w:after="0"/>
            </w:pPr>
            <w:r w:rsidRPr="00456214">
              <w:t>Una vez revisado el Anteproyecto y este no pueda ser aprobado, derivado de que la información recabada no fue correcta y completa</w:t>
            </w:r>
            <w:r>
              <w:t xml:space="preserve"> por causas imputables a Telnor</w:t>
            </w:r>
            <w:r w:rsidRPr="00456214">
              <w:t>, se podrán programar Visitas Técnicas adicionales sin costo para el CS.</w:t>
            </w:r>
          </w:p>
        </w:tc>
      </w:tr>
      <w:tr w:rsidR="007C4016" w:rsidRPr="00046F59" w:rsidTr="005C782A">
        <w:tc>
          <w:tcPr>
            <w:tcW w:w="1340" w:type="pct"/>
          </w:tcPr>
          <w:p w:rsidR="007C4016" w:rsidRPr="00CE5D0C" w:rsidRDefault="007C4016" w:rsidP="005C782A">
            <w:pPr>
              <w:pStyle w:val="IFTnormal"/>
              <w:spacing w:after="0"/>
            </w:pPr>
            <w:r w:rsidRPr="00CE5D0C">
              <w:t>Análisis de Factibilidad</w:t>
            </w:r>
          </w:p>
        </w:tc>
        <w:tc>
          <w:tcPr>
            <w:tcW w:w="3660" w:type="pct"/>
          </w:tcPr>
          <w:p w:rsidR="007C4016" w:rsidRPr="00CE5D0C" w:rsidRDefault="007C4016" w:rsidP="005C782A">
            <w:pPr>
              <w:pStyle w:val="IFTnormal"/>
              <w:spacing w:after="0"/>
            </w:pPr>
            <w:r>
              <w:t>Telnor</w:t>
            </w:r>
            <w:r w:rsidRPr="00CE5D0C">
              <w:t xml:space="preserve"> revisará que la información del Anteproyecto sea consistente con el levantamiento realizado en la Visita de Técnica, validando </w:t>
            </w:r>
            <w:r w:rsidRPr="004621E4">
              <w:t xml:space="preserve">en </w:t>
            </w:r>
            <w:r w:rsidRPr="00E35500">
              <w:t>máximo 5</w:t>
            </w:r>
            <w:r>
              <w:t xml:space="preserve"> días hábiles</w:t>
            </w:r>
            <w:r w:rsidRPr="00CE5D0C">
              <w:t xml:space="preserve"> que el documento cumpla con los requisitos establecidos y la normatividad correspondiente. </w:t>
            </w:r>
            <w:r>
              <w:t>Telnor</w:t>
            </w:r>
            <w:r w:rsidRPr="00CE5D0C">
              <w:t xml:space="preserve"> notificará al CS el resultado del Análisis de Factibilidad:</w:t>
            </w:r>
          </w:p>
          <w:p w:rsidR="007C4016" w:rsidRPr="00CE5D0C" w:rsidRDefault="007C4016" w:rsidP="005C782A">
            <w:pPr>
              <w:pStyle w:val="IFTnormal"/>
              <w:numPr>
                <w:ilvl w:val="0"/>
                <w:numId w:val="64"/>
              </w:numPr>
              <w:spacing w:after="0"/>
            </w:pPr>
            <w:r w:rsidRPr="00CE5D0C">
              <w:lastRenderedPageBreak/>
              <w:t>Positivo. Con el cual el CS dará inicio a la Instalación de la Infraestructura, basándose en el Programa de Trabajo.</w:t>
            </w:r>
          </w:p>
          <w:p w:rsidR="007C4016" w:rsidRPr="00CE5D0C" w:rsidRDefault="007C4016" w:rsidP="005C782A">
            <w:pPr>
              <w:pStyle w:val="IFTnormal"/>
              <w:numPr>
                <w:ilvl w:val="0"/>
                <w:numId w:val="64"/>
              </w:numPr>
              <w:spacing w:after="0"/>
            </w:pPr>
            <w:r w:rsidRPr="00CE5D0C">
              <w:t xml:space="preserve">Negativo. </w:t>
            </w:r>
            <w:r>
              <w:t>Telnor</w:t>
            </w:r>
            <w:r w:rsidRPr="00CE5D0C">
              <w:t xml:space="preserve"> notificará al CS el motivo del resultado, de tal forma que el CS pueda corregir la información y reenviarla.</w:t>
            </w:r>
          </w:p>
          <w:p w:rsidR="007C4016" w:rsidRPr="00CE5D0C" w:rsidRDefault="007C4016" w:rsidP="005C782A">
            <w:pPr>
              <w:pStyle w:val="IFTnormal"/>
              <w:spacing w:after="0"/>
            </w:pPr>
            <w:r w:rsidRPr="00CE5D0C">
              <w:t xml:space="preserve">Cualquier comentario o ajuste al Anteproyecto o a los documentos relacionados al proyecto deberá </w:t>
            </w:r>
            <w:r>
              <w:t xml:space="preserve">estar plenamente justificado y </w:t>
            </w:r>
            <w:r w:rsidRPr="00CE5D0C">
              <w:t>hacerse a través del SEG, el CS deberá tener actualizada la documentación.</w:t>
            </w:r>
          </w:p>
        </w:tc>
      </w:tr>
      <w:tr w:rsidR="007C4016" w:rsidRPr="00046F59" w:rsidTr="005C782A">
        <w:tc>
          <w:tcPr>
            <w:tcW w:w="1340" w:type="pct"/>
          </w:tcPr>
          <w:p w:rsidR="007C4016" w:rsidRPr="00CE5D0C" w:rsidRDefault="007C4016" w:rsidP="005C782A">
            <w:pPr>
              <w:pStyle w:val="IFTnormal"/>
              <w:spacing w:after="0"/>
              <w:rPr>
                <w:highlight w:val="cyan"/>
              </w:rPr>
            </w:pPr>
            <w:r w:rsidRPr="00CE5D0C">
              <w:lastRenderedPageBreak/>
              <w:t>Instalación de Infraestructura</w:t>
            </w:r>
          </w:p>
        </w:tc>
        <w:tc>
          <w:tcPr>
            <w:tcW w:w="3660" w:type="pct"/>
          </w:tcPr>
          <w:p w:rsidR="007C4016" w:rsidRPr="00CE5D0C" w:rsidRDefault="007C4016" w:rsidP="005C782A">
            <w:pPr>
              <w:pStyle w:val="IFTnormal"/>
              <w:spacing w:after="0"/>
            </w:pPr>
            <w:r w:rsidRPr="00CE5D0C">
              <w:t>Una vez que el CS recibió el resultado positivo del Análisis de Factibilidad, instalará la Infraestructura apegándose al Anteproyecto y Programa de trabajo aprobados previamente.</w:t>
            </w:r>
          </w:p>
          <w:p w:rsidR="007C4016" w:rsidRPr="00CE5D0C" w:rsidRDefault="007C4016" w:rsidP="005C782A">
            <w:pPr>
              <w:pStyle w:val="IFTnormal"/>
              <w:spacing w:after="0"/>
            </w:pPr>
            <w:r w:rsidRPr="00CE5D0C">
              <w:t xml:space="preserve">El CS deberá enviar las fechas de inicio y termino de instalación </w:t>
            </w:r>
            <w:r>
              <w:t xml:space="preserve">en máximo </w:t>
            </w:r>
            <w:r w:rsidRPr="005A1403">
              <w:t>10 días hábiles.</w:t>
            </w:r>
          </w:p>
          <w:p w:rsidR="007C4016" w:rsidRPr="00CE5D0C" w:rsidRDefault="007C4016" w:rsidP="005C782A">
            <w:pPr>
              <w:pStyle w:val="IFTnormal"/>
              <w:spacing w:after="0"/>
            </w:pPr>
            <w:r>
              <w:t>Telnor</w:t>
            </w:r>
            <w:r w:rsidRPr="00CE5D0C">
              <w:t xml:space="preserve"> confirmará la aceptación de la fecha de inicio (</w:t>
            </w:r>
            <w:r w:rsidRPr="005A1403">
              <w:t>3 días hábiles</w:t>
            </w:r>
            <w:r w:rsidRPr="00CE5D0C">
              <w:t xml:space="preserve">). En caso de no aceptarse la fecha propuesta el CS podrá solicitar una nueva fecha. Esta actividad </w:t>
            </w:r>
            <w:r>
              <w:t>podrá</w:t>
            </w:r>
            <w:r w:rsidRPr="00CE5D0C">
              <w:t xml:space="preserve"> repetirse hasta </w:t>
            </w:r>
            <w:r>
              <w:t>en 3 ocasiones</w:t>
            </w:r>
            <w:r w:rsidRPr="00CE5D0C">
              <w:t>.</w:t>
            </w:r>
            <w:r w:rsidRPr="00712037">
              <w:t xml:space="preserve"> No se podrán acordar fechas de instalación posteriores a 20 días hábiles a partir de que el CS envíe las fechas de inicio y término de instalación, a menos que sea por solicitud expresa del CS.</w:t>
            </w:r>
          </w:p>
          <w:p w:rsidR="007C4016" w:rsidRPr="00CE5D0C" w:rsidRDefault="007C4016" w:rsidP="005C782A">
            <w:pPr>
              <w:pStyle w:val="IFTnormal"/>
              <w:spacing w:after="0"/>
            </w:pPr>
            <w:r w:rsidRPr="00CE5D0C">
              <w:t xml:space="preserve">Al finalizar la instalación el CS informará a </w:t>
            </w:r>
            <w:r>
              <w:t>Telnor</w:t>
            </w:r>
            <w:r w:rsidRPr="00CE5D0C">
              <w:t xml:space="preserve"> para que realice la Verificación de la Instalación.</w:t>
            </w:r>
          </w:p>
        </w:tc>
      </w:tr>
      <w:tr w:rsidR="007C4016" w:rsidRPr="00046F59" w:rsidTr="005C782A">
        <w:tc>
          <w:tcPr>
            <w:tcW w:w="1340" w:type="pct"/>
          </w:tcPr>
          <w:p w:rsidR="007C4016" w:rsidRPr="00CE5D0C" w:rsidRDefault="007C4016" w:rsidP="005C782A">
            <w:pPr>
              <w:pStyle w:val="IFTnormal"/>
              <w:spacing w:after="0"/>
            </w:pPr>
            <w:r w:rsidRPr="00CE5D0C">
              <w:t>Verificación de Instalación de Infraestructura</w:t>
            </w:r>
          </w:p>
        </w:tc>
        <w:tc>
          <w:tcPr>
            <w:tcW w:w="3660" w:type="pct"/>
          </w:tcPr>
          <w:p w:rsidR="007C4016" w:rsidRPr="00CE5D0C" w:rsidRDefault="007C4016" w:rsidP="005C782A">
            <w:pPr>
              <w:pStyle w:val="IFTnormal"/>
              <w:spacing w:after="0"/>
            </w:pPr>
            <w:r w:rsidRPr="00CE5D0C">
              <w:t xml:space="preserve">Una vez que </w:t>
            </w:r>
            <w:r>
              <w:t>Telnor</w:t>
            </w:r>
            <w:r w:rsidRPr="00CE5D0C">
              <w:t xml:space="preserve"> reciba la notificación por parte del CS, revisará la disponibilidad de fecha y horarios para llevar a cabo la </w:t>
            </w:r>
            <w:r w:rsidRPr="00CE5D0C">
              <w:lastRenderedPageBreak/>
              <w:t xml:space="preserve">verificación </w:t>
            </w:r>
            <w:r>
              <w:t>en un máximo de 5 días hábiles</w:t>
            </w:r>
            <w:r w:rsidRPr="00CE5D0C">
              <w:t xml:space="preserve"> e informará al CS para que acepte o rechace la propuesta.  En caso de no aceptarse la fecha propuesta, el CS podrá solicitar una nueva fecha, con lo que esta actividad </w:t>
            </w:r>
            <w:r>
              <w:t>podrá</w:t>
            </w:r>
            <w:r w:rsidRPr="00CE5D0C">
              <w:t xml:space="preserve"> repetirse hasta </w:t>
            </w:r>
            <w:r>
              <w:t>en 3 ocasiones</w:t>
            </w:r>
            <w:r w:rsidRPr="00CE5D0C">
              <w:t xml:space="preserve">. </w:t>
            </w:r>
            <w:r w:rsidRPr="00712037">
              <w:t xml:space="preserve">No se podrán acordar fechas de </w:t>
            </w:r>
            <w:r>
              <w:t>verificación</w:t>
            </w:r>
            <w:r w:rsidRPr="00712037">
              <w:t xml:space="preserve"> posteriores a </w:t>
            </w:r>
            <w:r>
              <w:t>1</w:t>
            </w:r>
            <w:r w:rsidRPr="00712037">
              <w:t xml:space="preserve">0 días hábiles a partir de que el CS envíe </w:t>
            </w:r>
            <w:r>
              <w:t>la fecha de</w:t>
            </w:r>
            <w:r w:rsidRPr="00712037">
              <w:t xml:space="preserve"> término de instalación, a menos que sea por solicitud expresa del CS.</w:t>
            </w:r>
          </w:p>
          <w:p w:rsidR="007C4016" w:rsidRPr="00CE5D0C" w:rsidRDefault="007C4016" w:rsidP="005C782A">
            <w:pPr>
              <w:pStyle w:val="IFTnormal"/>
              <w:spacing w:after="0"/>
            </w:pPr>
            <w:r w:rsidRPr="00CE5D0C">
              <w:t xml:space="preserve">Habiéndose definido la fecha, </w:t>
            </w:r>
            <w:r>
              <w:t>Telnor</w:t>
            </w:r>
            <w:r w:rsidRPr="00CE5D0C">
              <w:t xml:space="preserve"> y el CS realizarán en conjunto la Verificación de la Instalación en sitio, determinando:</w:t>
            </w:r>
          </w:p>
          <w:p w:rsidR="007C4016" w:rsidRPr="00CE5D0C" w:rsidRDefault="007C4016" w:rsidP="005C782A">
            <w:pPr>
              <w:pStyle w:val="IFTnormal"/>
              <w:numPr>
                <w:ilvl w:val="0"/>
                <w:numId w:val="65"/>
              </w:numPr>
              <w:spacing w:after="0"/>
            </w:pPr>
            <w:r w:rsidRPr="00CE5D0C">
              <w:t xml:space="preserve">La instalación de la infraestructura del CS está de acuerdo proyecto y normativa, </w:t>
            </w:r>
            <w:r>
              <w:t>Telnor</w:t>
            </w:r>
            <w:r w:rsidRPr="00CE5D0C">
              <w:t xml:space="preserve"> registrará la verificación como satisfactoria y se firmará en sitio el Formato de Acuerdo de Compartición de Infraestructura.</w:t>
            </w:r>
          </w:p>
          <w:p w:rsidR="007C4016" w:rsidRPr="00CE5D0C" w:rsidRDefault="007C4016" w:rsidP="005C782A">
            <w:pPr>
              <w:pStyle w:val="IFTnormal"/>
              <w:numPr>
                <w:ilvl w:val="0"/>
                <w:numId w:val="65"/>
              </w:numPr>
              <w:spacing w:after="0"/>
            </w:pPr>
            <w:r w:rsidRPr="00CE5D0C">
              <w:t xml:space="preserve">En caso contrario, </w:t>
            </w:r>
            <w:r>
              <w:t>Telnor</w:t>
            </w:r>
            <w:r w:rsidRPr="00CE5D0C">
              <w:t xml:space="preserve"> y el CS registran en el Formato de Acuerdo de Compartición de Infraestructura los cambios y ajustes que debe hacer el CS para cumplir con la Verificación. Esta actividad deberá repetirse en tanto no se logre la Verificación satisfactoria y la firma del acta.</w:t>
            </w:r>
          </w:p>
          <w:p w:rsidR="007C4016" w:rsidRPr="00CE5D0C" w:rsidRDefault="007C4016" w:rsidP="005C782A">
            <w:pPr>
              <w:pStyle w:val="IFTnormal"/>
              <w:spacing w:after="0"/>
            </w:pPr>
            <w:r w:rsidRPr="00712037">
              <w:t>El primer servicio de verificación no tendrá cargo alguno. De requerirse verificaciones adicionales por inconsistencias en la instalación realizada por el CS con el anteproyecto</w:t>
            </w:r>
            <w:r w:rsidRPr="004621E4">
              <w:t xml:space="preserve"> se aplicará una contraprestación</w:t>
            </w:r>
            <w:r w:rsidRPr="00712037">
              <w:t>.</w:t>
            </w:r>
          </w:p>
        </w:tc>
      </w:tr>
      <w:tr w:rsidR="007C4016" w:rsidRPr="00046F59" w:rsidTr="005C782A">
        <w:tc>
          <w:tcPr>
            <w:tcW w:w="1340" w:type="pct"/>
            <w:shd w:val="clear" w:color="auto" w:fill="auto"/>
          </w:tcPr>
          <w:p w:rsidR="007C4016" w:rsidRPr="00CE5D0C" w:rsidRDefault="007C4016" w:rsidP="005C782A">
            <w:pPr>
              <w:pStyle w:val="IFTnormal"/>
              <w:spacing w:after="0"/>
            </w:pPr>
            <w:r w:rsidRPr="00CE5D0C">
              <w:lastRenderedPageBreak/>
              <w:t>Facturación</w:t>
            </w:r>
          </w:p>
        </w:tc>
        <w:tc>
          <w:tcPr>
            <w:tcW w:w="3660" w:type="pct"/>
            <w:shd w:val="clear" w:color="auto" w:fill="auto"/>
          </w:tcPr>
          <w:p w:rsidR="007C4016" w:rsidRPr="00CE5D0C" w:rsidRDefault="007C4016" w:rsidP="005C782A">
            <w:pPr>
              <w:pStyle w:val="IFTnormal"/>
              <w:spacing w:after="0"/>
            </w:pPr>
            <w:r w:rsidRPr="00CE5D0C">
              <w:t xml:space="preserve">Una vez firmada el acta se inicia con la facturación del Servicio, </w:t>
            </w:r>
            <w:r>
              <w:t>Telnor</w:t>
            </w:r>
            <w:r w:rsidRPr="00CE5D0C">
              <w:t xml:space="preserve"> deberá integrar el Formato escaneada al SEG.</w:t>
            </w:r>
          </w:p>
        </w:tc>
      </w:tr>
    </w:tbl>
    <w:p w:rsidR="007C4016" w:rsidRPr="00046F59" w:rsidRDefault="007C4016" w:rsidP="007C4016">
      <w:pPr>
        <w:pStyle w:val="CitaIFT"/>
        <w:spacing w:before="240" w:after="0"/>
      </w:pPr>
    </w:p>
    <w:p w:rsidR="007C4016" w:rsidRPr="00046F59" w:rsidRDefault="007C4016" w:rsidP="007C4016">
      <w:pPr>
        <w:pStyle w:val="CondicionesFinales"/>
        <w:spacing w:before="240" w:after="0"/>
      </w:pPr>
      <w:r w:rsidRPr="00046F59">
        <w:t>El CS deberá realizar su anteproyecto y la instalación de su red o de infraestructura de acuerdo con las características y normatividad técnica para Torres que se documentan en el Anexo 2 de la Oferta.</w:t>
      </w:r>
    </w:p>
    <w:p w:rsidR="007C4016" w:rsidRPr="00046F59" w:rsidRDefault="007C4016" w:rsidP="007C4016">
      <w:pPr>
        <w:pStyle w:val="CondicionesFinales"/>
        <w:spacing w:before="240" w:after="0"/>
        <w:rPr>
          <w:b/>
        </w:rPr>
      </w:pPr>
      <w:r w:rsidRPr="00046F59">
        <w:rPr>
          <w:b/>
        </w:rPr>
        <w:t>b. Modificación.</w:t>
      </w:r>
    </w:p>
    <w:p w:rsidR="007C4016" w:rsidRPr="00046F59" w:rsidRDefault="007C4016" w:rsidP="007C4016">
      <w:pPr>
        <w:pStyle w:val="CondicionesFinales"/>
        <w:spacing w:before="240" w:after="0"/>
      </w:pPr>
      <w:r w:rsidRPr="00046F59">
        <w:t xml:space="preserve">El CS únicamente podrá solicitar modificaciones de los proyectos en proceso, cuando dichas modificaciones no cambien la ruta del proyecto ni los elementos de la infraestructura de </w:t>
      </w:r>
      <w:r>
        <w:t>Telnor</w:t>
      </w:r>
      <w:r w:rsidRPr="00046F59">
        <w:t xml:space="preserve"> solicitados originalmente.</w:t>
      </w:r>
    </w:p>
    <w:p w:rsidR="007C4016" w:rsidRPr="00046F59" w:rsidRDefault="007C4016" w:rsidP="007C4016">
      <w:pPr>
        <w:pStyle w:val="CondicionesFinales"/>
        <w:spacing w:before="240" w:after="0"/>
      </w:pPr>
      <w:r w:rsidRPr="00046F59">
        <w:t>Las actividades que se tienen que realizar para realizar una modificación a un proyecto son las siguientes</w:t>
      </w:r>
      <w:r>
        <w:t>:</w:t>
      </w:r>
    </w:p>
    <w:tbl>
      <w:tblPr>
        <w:tblStyle w:val="Tablaconcuadrcula"/>
        <w:tblW w:w="3991" w:type="pct"/>
        <w:tblInd w:w="959" w:type="dxa"/>
        <w:tblLook w:val="04A0" w:firstRow="1" w:lastRow="0" w:firstColumn="1" w:lastColumn="0" w:noHBand="0" w:noVBand="1"/>
        <w:tblCaption w:val="Tabla"/>
        <w:tblDescription w:val="Las actividades que se tienen que realizar para realizar una modificación"/>
      </w:tblPr>
      <w:tblGrid>
        <w:gridCol w:w="1889"/>
        <w:gridCol w:w="5159"/>
      </w:tblGrid>
      <w:tr w:rsidR="007C4016" w:rsidRPr="009E7861" w:rsidTr="005C782A">
        <w:trPr>
          <w:tblHeader/>
        </w:trPr>
        <w:tc>
          <w:tcPr>
            <w:tcW w:w="1340" w:type="pct"/>
            <w:shd w:val="clear" w:color="auto" w:fill="D9D9D9" w:themeFill="background1" w:themeFillShade="D9"/>
          </w:tcPr>
          <w:p w:rsidR="007C4016" w:rsidRPr="00CE5D0C" w:rsidRDefault="007C4016" w:rsidP="005C782A">
            <w:pPr>
              <w:pStyle w:val="IFTnormal"/>
              <w:spacing w:after="0"/>
            </w:pPr>
            <w:r w:rsidRPr="00CE5D0C">
              <w:t>Etapa</w:t>
            </w:r>
          </w:p>
        </w:tc>
        <w:tc>
          <w:tcPr>
            <w:tcW w:w="3660" w:type="pct"/>
            <w:shd w:val="clear" w:color="auto" w:fill="D9D9D9" w:themeFill="background1" w:themeFillShade="D9"/>
          </w:tcPr>
          <w:p w:rsidR="007C4016" w:rsidRPr="00CE5D0C" w:rsidRDefault="007C4016" w:rsidP="005C782A">
            <w:pPr>
              <w:pStyle w:val="IFTnormal"/>
              <w:spacing w:after="0"/>
            </w:pPr>
            <w:r w:rsidRPr="00CE5D0C">
              <w:t>Descripción</w:t>
            </w:r>
          </w:p>
        </w:tc>
      </w:tr>
      <w:tr w:rsidR="007C4016" w:rsidRPr="009E7861" w:rsidTr="005C782A">
        <w:tc>
          <w:tcPr>
            <w:tcW w:w="1340" w:type="pct"/>
          </w:tcPr>
          <w:p w:rsidR="007C4016" w:rsidRPr="00CE5D0C" w:rsidRDefault="007C4016" w:rsidP="005C782A">
            <w:pPr>
              <w:pStyle w:val="IFTnormal"/>
              <w:spacing w:after="0"/>
            </w:pPr>
            <w:r w:rsidRPr="00CE5D0C">
              <w:t>Envío y Validación de solicitud</w:t>
            </w:r>
          </w:p>
        </w:tc>
        <w:tc>
          <w:tcPr>
            <w:tcW w:w="3660" w:type="pct"/>
          </w:tcPr>
          <w:p w:rsidR="007C4016" w:rsidRPr="00CE5D0C" w:rsidRDefault="007C4016" w:rsidP="005C782A">
            <w:pPr>
              <w:pStyle w:val="IFTnormal"/>
              <w:spacing w:after="0"/>
            </w:pPr>
            <w:r w:rsidRPr="00CE5D0C">
              <w:t xml:space="preserve">El CS presentará la solicitud de modificación en el formato correspondiente a través del SEG. </w:t>
            </w:r>
            <w:r>
              <w:t>Telnor</w:t>
            </w:r>
            <w:r w:rsidRPr="00CE5D0C">
              <w:t xml:space="preserve"> recibirá la solicitud y determinará</w:t>
            </w:r>
            <w:r>
              <w:t xml:space="preserve"> en 2 días hábiles</w:t>
            </w:r>
            <w:r w:rsidRPr="00CE5D0C">
              <w:t xml:space="preserve"> si la solicitud es: </w:t>
            </w:r>
          </w:p>
          <w:p w:rsidR="007C4016" w:rsidRPr="00CE5D0C" w:rsidRDefault="007C4016" w:rsidP="005C782A">
            <w:pPr>
              <w:pStyle w:val="IFTnormal"/>
              <w:numPr>
                <w:ilvl w:val="0"/>
                <w:numId w:val="62"/>
              </w:numPr>
              <w:spacing w:after="0"/>
            </w:pPr>
            <w:r w:rsidRPr="00CE5D0C">
              <w:t xml:space="preserve">Aceptada, </w:t>
            </w:r>
            <w:r>
              <w:t>Telnor</w:t>
            </w:r>
            <w:r w:rsidRPr="00CE5D0C">
              <w:t xml:space="preserve"> valida que la solicitud cumple con los requisitos establecidos en los formatos. Se asignará de forma automática un NIS.</w:t>
            </w:r>
          </w:p>
          <w:p w:rsidR="007C4016" w:rsidRPr="00CE5D0C" w:rsidRDefault="007C4016" w:rsidP="005C782A">
            <w:pPr>
              <w:pStyle w:val="IFTnormal"/>
              <w:numPr>
                <w:ilvl w:val="0"/>
                <w:numId w:val="62"/>
              </w:numPr>
              <w:spacing w:after="0"/>
            </w:pPr>
            <w:r w:rsidRPr="00CE5D0C">
              <w:t xml:space="preserve">Rechazado, en caso de que la solicitud no cumpliera con los requisitos, </w:t>
            </w:r>
            <w:r>
              <w:t>Telnor</w:t>
            </w:r>
            <w:r w:rsidRPr="00CE5D0C">
              <w:t xml:space="preserve"> notificará al CS a través del SEG que la solicitud ha sido rechazada y el motivo por el cual no se pudo procesar, de tal forma que el CS pueda corregir la información y reenviar la solicitud.</w:t>
            </w:r>
          </w:p>
        </w:tc>
      </w:tr>
      <w:tr w:rsidR="007C4016" w:rsidRPr="009E7861" w:rsidTr="005C782A">
        <w:tc>
          <w:tcPr>
            <w:tcW w:w="1340" w:type="pct"/>
          </w:tcPr>
          <w:p w:rsidR="007C4016" w:rsidRPr="00CE5D0C" w:rsidRDefault="007C4016" w:rsidP="005C782A">
            <w:pPr>
              <w:pStyle w:val="IFTnormal"/>
              <w:tabs>
                <w:tab w:val="left" w:pos="567"/>
              </w:tabs>
              <w:spacing w:after="0"/>
            </w:pPr>
            <w:r w:rsidRPr="00CE5D0C">
              <w:t>Actualización de Anteproyecto y Programa de Trabajo</w:t>
            </w:r>
          </w:p>
        </w:tc>
        <w:tc>
          <w:tcPr>
            <w:tcW w:w="3660" w:type="pct"/>
            <w:shd w:val="clear" w:color="auto" w:fill="auto"/>
          </w:tcPr>
          <w:p w:rsidR="007C4016" w:rsidRDefault="007C4016" w:rsidP="005C782A">
            <w:pPr>
              <w:pStyle w:val="IFTnormal"/>
              <w:spacing w:after="0"/>
            </w:pPr>
            <w:r w:rsidRPr="00CE5D0C">
              <w:t xml:space="preserve">El CS </w:t>
            </w:r>
            <w:r>
              <w:t>modificará</w:t>
            </w:r>
            <w:r w:rsidRPr="00CE5D0C">
              <w:t xml:space="preserve"> el Anteproyecto </w:t>
            </w:r>
            <w:r>
              <w:t xml:space="preserve">(20 días hábiles) de acuerdo </w:t>
            </w:r>
            <w:r w:rsidRPr="00CE5D0C">
              <w:t xml:space="preserve">con la información validada por </w:t>
            </w:r>
            <w:r>
              <w:t>Telnor</w:t>
            </w:r>
            <w:r w:rsidRPr="00CE5D0C">
              <w:t xml:space="preserve">. </w:t>
            </w:r>
          </w:p>
          <w:p w:rsidR="007C4016" w:rsidRPr="00CE5D0C" w:rsidRDefault="007C4016" w:rsidP="005C782A">
            <w:pPr>
              <w:pStyle w:val="IFTnormal"/>
              <w:spacing w:after="0"/>
            </w:pPr>
            <w:r w:rsidRPr="00456214">
              <w:t>El CS deberán actualizar los cambios a la documentación del proyecto en el SEG.</w:t>
            </w:r>
          </w:p>
        </w:tc>
      </w:tr>
      <w:tr w:rsidR="007C4016" w:rsidRPr="009E7861" w:rsidTr="005C782A">
        <w:tc>
          <w:tcPr>
            <w:tcW w:w="1340" w:type="pct"/>
          </w:tcPr>
          <w:p w:rsidR="007C4016" w:rsidRPr="00CE5D0C" w:rsidRDefault="007C4016" w:rsidP="005C782A">
            <w:pPr>
              <w:pStyle w:val="IFTnormal"/>
              <w:spacing w:after="0"/>
            </w:pPr>
            <w:r w:rsidRPr="00CE5D0C">
              <w:t>Análisis de Factibilidad</w:t>
            </w:r>
          </w:p>
        </w:tc>
        <w:tc>
          <w:tcPr>
            <w:tcW w:w="3660" w:type="pct"/>
          </w:tcPr>
          <w:p w:rsidR="007C4016" w:rsidRPr="00CE5D0C" w:rsidRDefault="007C4016" w:rsidP="005C782A">
            <w:pPr>
              <w:pStyle w:val="IFTnormal"/>
              <w:spacing w:after="0"/>
            </w:pPr>
            <w:r>
              <w:t>Telnor</w:t>
            </w:r>
            <w:r w:rsidRPr="00CE5D0C">
              <w:t xml:space="preserve"> revisará que la información del Anteproyecto sea consistente con la información de la solicitud de modificación, </w:t>
            </w:r>
            <w:r w:rsidRPr="00CE5D0C">
              <w:lastRenderedPageBreak/>
              <w:t xml:space="preserve">validando </w:t>
            </w:r>
            <w:r w:rsidRPr="004621E4">
              <w:t xml:space="preserve">en máximo </w:t>
            </w:r>
            <w:r w:rsidRPr="00D53B30">
              <w:t>5</w:t>
            </w:r>
            <w:r>
              <w:t xml:space="preserve"> días hábiles</w:t>
            </w:r>
            <w:r w:rsidRPr="00CE5D0C">
              <w:t xml:space="preserve"> que el documento cumpla con los requisitos establecidos y la normatividad correspondiente. </w:t>
            </w:r>
            <w:r>
              <w:t>Telnor</w:t>
            </w:r>
            <w:r w:rsidRPr="00CE5D0C">
              <w:t xml:space="preserve"> notificará al CS el resultado del Análisis de Factibilidad:</w:t>
            </w:r>
          </w:p>
          <w:p w:rsidR="007C4016" w:rsidRPr="00CE5D0C" w:rsidRDefault="007C4016" w:rsidP="005C782A">
            <w:pPr>
              <w:pStyle w:val="IFTnormal"/>
              <w:numPr>
                <w:ilvl w:val="0"/>
                <w:numId w:val="64"/>
              </w:numPr>
              <w:spacing w:after="0"/>
            </w:pPr>
            <w:r w:rsidRPr="00CE5D0C">
              <w:t>Positivo. Con el cual el CS dará inicio a la Instalación de la Infraestructura, basándose en el Programa de Trabajo.</w:t>
            </w:r>
          </w:p>
          <w:p w:rsidR="007C4016" w:rsidRPr="00CE5D0C" w:rsidRDefault="007C4016" w:rsidP="005C782A">
            <w:pPr>
              <w:pStyle w:val="IFTnormal"/>
              <w:numPr>
                <w:ilvl w:val="0"/>
                <w:numId w:val="64"/>
              </w:numPr>
              <w:spacing w:after="0"/>
            </w:pPr>
            <w:r w:rsidRPr="00CE5D0C">
              <w:t xml:space="preserve">Negativo. </w:t>
            </w:r>
            <w:r>
              <w:t>Telnor</w:t>
            </w:r>
            <w:r w:rsidRPr="00CE5D0C">
              <w:t xml:space="preserve"> notificará al CS el motivo del resultado, de tal forma que el CS pueda corregir la información y reenviarla.</w:t>
            </w:r>
          </w:p>
          <w:p w:rsidR="007C4016" w:rsidRPr="00CE5D0C" w:rsidRDefault="007C4016" w:rsidP="005C782A">
            <w:pPr>
              <w:pStyle w:val="IFTnormal"/>
              <w:spacing w:after="0"/>
            </w:pPr>
            <w:r w:rsidRPr="00712037">
              <w:t>Cualquier comentario o ajuste al Anteproyecto o a los documentos relacionados al proyecto deberá estar plenamente justificado y hacerse a través del SEG, el CS deberá tener mantener actualizada la documentación.</w:t>
            </w:r>
          </w:p>
        </w:tc>
      </w:tr>
      <w:tr w:rsidR="007C4016" w:rsidRPr="009E7861" w:rsidTr="005C782A">
        <w:tc>
          <w:tcPr>
            <w:tcW w:w="1340" w:type="pct"/>
          </w:tcPr>
          <w:p w:rsidR="007C4016" w:rsidRPr="00CE5D0C" w:rsidRDefault="007C4016" w:rsidP="005C782A">
            <w:pPr>
              <w:pStyle w:val="IFTnormal"/>
              <w:spacing w:after="0"/>
              <w:rPr>
                <w:highlight w:val="cyan"/>
              </w:rPr>
            </w:pPr>
            <w:r w:rsidRPr="00CE5D0C">
              <w:lastRenderedPageBreak/>
              <w:t>Instalación de Infraestructura</w:t>
            </w:r>
          </w:p>
        </w:tc>
        <w:tc>
          <w:tcPr>
            <w:tcW w:w="3660" w:type="pct"/>
          </w:tcPr>
          <w:p w:rsidR="007C4016" w:rsidRPr="00CE5D0C" w:rsidRDefault="007C4016" w:rsidP="005C782A">
            <w:pPr>
              <w:pStyle w:val="IFTnormal"/>
              <w:spacing w:after="0"/>
            </w:pPr>
            <w:r w:rsidRPr="00CE5D0C">
              <w:t>Una vez que el CS recibió el resultado positivo del Análisis de Factibilidad, instalará la Infraestructura apegándose al Anteproyecto y Programa de trabajo aprobados previamente.</w:t>
            </w:r>
          </w:p>
          <w:p w:rsidR="007C4016" w:rsidRPr="00CE5D0C" w:rsidRDefault="007C4016" w:rsidP="005C782A">
            <w:pPr>
              <w:pStyle w:val="IFTnormal"/>
              <w:spacing w:after="0"/>
            </w:pPr>
            <w:r w:rsidRPr="00CE5D0C">
              <w:t>El CS realizará la instalación de infraestructura de acuerdo a los cambios y continuará el procedimiento de contratación a partir de dicha actividad.</w:t>
            </w:r>
          </w:p>
        </w:tc>
      </w:tr>
    </w:tbl>
    <w:p w:rsidR="007C4016" w:rsidRDefault="007C4016" w:rsidP="007C4016">
      <w:pPr>
        <w:pStyle w:val="CitaIFT"/>
        <w:spacing w:before="240" w:after="0"/>
      </w:pPr>
    </w:p>
    <w:p w:rsidR="007C4016" w:rsidRPr="00046F59" w:rsidRDefault="007C4016" w:rsidP="007C4016">
      <w:pPr>
        <w:pStyle w:val="CondicionesFinales"/>
        <w:spacing w:before="240" w:after="0"/>
        <w:rPr>
          <w:b/>
        </w:rPr>
      </w:pPr>
      <w:r w:rsidRPr="00046F59">
        <w:rPr>
          <w:b/>
        </w:rPr>
        <w:t>c. Baja de los servicios:</w:t>
      </w:r>
    </w:p>
    <w:p w:rsidR="007C4016" w:rsidRDefault="007C4016" w:rsidP="007C4016">
      <w:pPr>
        <w:pStyle w:val="CondicionesFinales"/>
        <w:spacing w:before="240" w:after="0"/>
      </w:pPr>
      <w:r w:rsidRPr="00833D3A">
        <w:t>Las actividades para realizar la baja del servicio son las siguientes</w:t>
      </w:r>
      <w:r>
        <w:t>:</w:t>
      </w:r>
    </w:p>
    <w:tbl>
      <w:tblPr>
        <w:tblStyle w:val="Tablaconcuadrcula"/>
        <w:tblW w:w="3991" w:type="pct"/>
        <w:tblInd w:w="959" w:type="dxa"/>
        <w:tblLook w:val="04A0" w:firstRow="1" w:lastRow="0" w:firstColumn="1" w:lastColumn="0" w:noHBand="0" w:noVBand="1"/>
        <w:tblCaption w:val="Tabla"/>
        <w:tblDescription w:val="Las actividades para realizar la baja del servicio "/>
      </w:tblPr>
      <w:tblGrid>
        <w:gridCol w:w="1889"/>
        <w:gridCol w:w="5159"/>
      </w:tblGrid>
      <w:tr w:rsidR="007C4016" w:rsidRPr="005D63C7" w:rsidTr="005C782A">
        <w:trPr>
          <w:tblHeader/>
        </w:trPr>
        <w:tc>
          <w:tcPr>
            <w:tcW w:w="1340" w:type="pct"/>
            <w:shd w:val="clear" w:color="auto" w:fill="D9D9D9" w:themeFill="background1" w:themeFillShade="D9"/>
          </w:tcPr>
          <w:p w:rsidR="007C4016" w:rsidRPr="00CE5D0C" w:rsidRDefault="007C4016" w:rsidP="005C782A">
            <w:pPr>
              <w:pStyle w:val="IFTnormal"/>
              <w:spacing w:after="0"/>
            </w:pPr>
            <w:r w:rsidRPr="00CE5D0C">
              <w:t>Etapa</w:t>
            </w:r>
          </w:p>
        </w:tc>
        <w:tc>
          <w:tcPr>
            <w:tcW w:w="3660" w:type="pct"/>
            <w:shd w:val="clear" w:color="auto" w:fill="D9D9D9" w:themeFill="background1" w:themeFillShade="D9"/>
          </w:tcPr>
          <w:p w:rsidR="007C4016" w:rsidRPr="00CE5D0C" w:rsidRDefault="007C4016" w:rsidP="005C782A">
            <w:pPr>
              <w:pStyle w:val="IFTnormal"/>
              <w:spacing w:after="0"/>
            </w:pPr>
            <w:r w:rsidRPr="00CE5D0C">
              <w:t>Descripción</w:t>
            </w:r>
          </w:p>
        </w:tc>
      </w:tr>
      <w:tr w:rsidR="007C4016" w:rsidRPr="005D63C7" w:rsidTr="005C782A">
        <w:tc>
          <w:tcPr>
            <w:tcW w:w="1340" w:type="pct"/>
          </w:tcPr>
          <w:p w:rsidR="007C4016" w:rsidRPr="00CE5D0C" w:rsidRDefault="007C4016" w:rsidP="005C782A">
            <w:pPr>
              <w:pStyle w:val="IFTnormal"/>
              <w:spacing w:after="0"/>
            </w:pPr>
            <w:r w:rsidRPr="00CE5D0C">
              <w:t>Envío y Validación de solicitud</w:t>
            </w:r>
          </w:p>
        </w:tc>
        <w:tc>
          <w:tcPr>
            <w:tcW w:w="3660" w:type="pct"/>
          </w:tcPr>
          <w:p w:rsidR="007C4016" w:rsidRPr="00CE5D0C" w:rsidRDefault="007C4016" w:rsidP="005C782A">
            <w:pPr>
              <w:pStyle w:val="IFTnormal"/>
              <w:spacing w:after="0"/>
            </w:pPr>
            <w:r w:rsidRPr="00CE5D0C">
              <w:t xml:space="preserve">El CS presentará la solicitud de baja en el formato correspondiente a través del SEG. </w:t>
            </w:r>
            <w:r>
              <w:t>Telnor</w:t>
            </w:r>
            <w:r w:rsidRPr="00CE5D0C">
              <w:t xml:space="preserve"> recibirá la solicitud y determinará </w:t>
            </w:r>
            <w:r>
              <w:t>en 2 días hábiles</w:t>
            </w:r>
            <w:r w:rsidRPr="00CE5D0C">
              <w:t xml:space="preserve"> si la solicitud es: </w:t>
            </w:r>
          </w:p>
          <w:p w:rsidR="007C4016" w:rsidRPr="00CE5D0C" w:rsidRDefault="007C4016" w:rsidP="005C782A">
            <w:pPr>
              <w:pStyle w:val="IFTnormal"/>
              <w:numPr>
                <w:ilvl w:val="0"/>
                <w:numId w:val="62"/>
              </w:numPr>
              <w:spacing w:after="0"/>
            </w:pPr>
            <w:r w:rsidRPr="00CE5D0C">
              <w:lastRenderedPageBreak/>
              <w:t xml:space="preserve">Aceptada, </w:t>
            </w:r>
            <w:r>
              <w:t>Telnor</w:t>
            </w:r>
            <w:r w:rsidRPr="00CE5D0C">
              <w:t xml:space="preserve"> valida que la solicitud de baja cumple con los requisitos establecidos en los formatos. Se asignará de forma automática un NIS. </w:t>
            </w:r>
          </w:p>
          <w:p w:rsidR="007C4016" w:rsidRPr="00CE5D0C" w:rsidRDefault="007C4016" w:rsidP="005C782A">
            <w:pPr>
              <w:pStyle w:val="IFTnormal"/>
              <w:numPr>
                <w:ilvl w:val="0"/>
                <w:numId w:val="62"/>
              </w:numPr>
              <w:spacing w:after="0"/>
            </w:pPr>
            <w:r w:rsidRPr="00CE5D0C">
              <w:t xml:space="preserve">Rechazado, en caso de que la solicitud no cumpliera con los requisitos, </w:t>
            </w:r>
            <w:r>
              <w:t>Telnor</w:t>
            </w:r>
            <w:r w:rsidRPr="00CE5D0C">
              <w:t xml:space="preserve"> notificará al CS a través del SEG que la solicitud ha sido rechazada y el motivo por el cual no se pudo procesar, de tal forma que el CS pueda corregir la información y reenviar la solicitud.</w:t>
            </w:r>
          </w:p>
        </w:tc>
      </w:tr>
      <w:tr w:rsidR="007C4016" w:rsidRPr="005D63C7" w:rsidTr="005C782A">
        <w:tc>
          <w:tcPr>
            <w:tcW w:w="1340" w:type="pct"/>
          </w:tcPr>
          <w:p w:rsidR="007C4016" w:rsidRPr="00CE5D0C" w:rsidRDefault="007C4016" w:rsidP="005C782A">
            <w:pPr>
              <w:pStyle w:val="IFTnormal"/>
              <w:tabs>
                <w:tab w:val="left" w:pos="567"/>
              </w:tabs>
              <w:spacing w:after="0"/>
            </w:pPr>
            <w:r w:rsidRPr="00CE5D0C">
              <w:lastRenderedPageBreak/>
              <w:t>Elaboración de Programa de Trabajo</w:t>
            </w:r>
          </w:p>
        </w:tc>
        <w:tc>
          <w:tcPr>
            <w:tcW w:w="3660" w:type="pct"/>
            <w:shd w:val="clear" w:color="auto" w:fill="auto"/>
          </w:tcPr>
          <w:p w:rsidR="007C4016" w:rsidRPr="00CE5D0C" w:rsidRDefault="007C4016" w:rsidP="005C782A">
            <w:pPr>
              <w:pStyle w:val="IFTnormal"/>
              <w:spacing w:after="0"/>
            </w:pPr>
            <w:r w:rsidRPr="00CE5D0C">
              <w:t>El CS elaborará y enviará el Plan de Trabajo detallando la fecha de inicio y fin del retiro de su infraestructura, adjuntando la documentación correspondiente (</w:t>
            </w:r>
            <w:r w:rsidRPr="00412835">
              <w:t>10 días hábiles</w:t>
            </w:r>
            <w:r w:rsidRPr="00CE5D0C">
              <w:t>).</w:t>
            </w:r>
          </w:p>
        </w:tc>
      </w:tr>
      <w:tr w:rsidR="007C4016" w:rsidRPr="005D63C7" w:rsidTr="005C782A">
        <w:tc>
          <w:tcPr>
            <w:tcW w:w="1340" w:type="pct"/>
          </w:tcPr>
          <w:p w:rsidR="007C4016" w:rsidRPr="00CE5D0C" w:rsidRDefault="007C4016" w:rsidP="005C782A">
            <w:pPr>
              <w:pStyle w:val="IFTnormal"/>
              <w:spacing w:after="0"/>
            </w:pPr>
            <w:r w:rsidRPr="00CE5D0C">
              <w:t>Análisis de Factibilidad</w:t>
            </w:r>
          </w:p>
        </w:tc>
        <w:tc>
          <w:tcPr>
            <w:tcW w:w="3660" w:type="pct"/>
          </w:tcPr>
          <w:p w:rsidR="007C4016" w:rsidRPr="00CE5D0C" w:rsidRDefault="007C4016" w:rsidP="005C782A">
            <w:pPr>
              <w:pStyle w:val="IFTnormal"/>
              <w:spacing w:after="0"/>
            </w:pPr>
            <w:r>
              <w:t>Telnor</w:t>
            </w:r>
            <w:r w:rsidRPr="00CE5D0C">
              <w:t xml:space="preserve"> recibirá y validará </w:t>
            </w:r>
            <w:r w:rsidRPr="004621E4">
              <w:t xml:space="preserve">en máximo </w:t>
            </w:r>
            <w:r w:rsidRPr="00E35500">
              <w:t>5 días hábiles</w:t>
            </w:r>
            <w:r w:rsidRPr="00CE5D0C">
              <w:t xml:space="preserve"> el Plan de Trabajo enviado por el CS, verificando que cumpla con los requisitos mínimos de acuerdo a los formatos correspondientes. </w:t>
            </w:r>
            <w:r>
              <w:t>Telnor</w:t>
            </w:r>
            <w:r w:rsidRPr="00CE5D0C">
              <w:t xml:space="preserve"> notificará al CS el resultado del Análisis de Factibilidad:</w:t>
            </w:r>
          </w:p>
          <w:p w:rsidR="007C4016" w:rsidRPr="00CE5D0C" w:rsidRDefault="007C4016" w:rsidP="005C782A">
            <w:pPr>
              <w:pStyle w:val="IFTnormal"/>
              <w:numPr>
                <w:ilvl w:val="0"/>
                <w:numId w:val="64"/>
              </w:numPr>
              <w:spacing w:after="0"/>
            </w:pPr>
            <w:r w:rsidRPr="00CE5D0C">
              <w:t xml:space="preserve">Valido. </w:t>
            </w:r>
            <w:r>
              <w:t>Telnor</w:t>
            </w:r>
            <w:r w:rsidRPr="00CE5D0C">
              <w:t xml:space="preserve"> lo notificará al CS y que puede comenzar con el retiro de su infraestructura.</w:t>
            </w:r>
          </w:p>
          <w:p w:rsidR="007C4016" w:rsidRPr="00CE5D0C" w:rsidRDefault="007C4016" w:rsidP="005C782A">
            <w:pPr>
              <w:pStyle w:val="IFTnormal"/>
              <w:numPr>
                <w:ilvl w:val="0"/>
                <w:numId w:val="64"/>
              </w:numPr>
              <w:spacing w:after="0"/>
            </w:pPr>
            <w:r w:rsidRPr="00CE5D0C">
              <w:t xml:space="preserve">No Valido. </w:t>
            </w:r>
            <w:r>
              <w:t>Telnor</w:t>
            </w:r>
            <w:r w:rsidRPr="00CE5D0C">
              <w:t xml:space="preserve"> deberá notificar dicha situación al CS, así como aquello que deba ser ajustado para que el CS realice las modificaciones necesarias y reenvíe el Plan de Trabajo (</w:t>
            </w:r>
            <w:r w:rsidRPr="005A1403">
              <w:t>10 días hábiles</w:t>
            </w:r>
            <w:r w:rsidRPr="00CE5D0C">
              <w:t>).</w:t>
            </w:r>
          </w:p>
          <w:p w:rsidR="007C4016" w:rsidRPr="00CE5D0C" w:rsidRDefault="007C4016" w:rsidP="005C782A">
            <w:pPr>
              <w:pStyle w:val="IFTnormal"/>
              <w:spacing w:after="0"/>
            </w:pPr>
            <w:r w:rsidRPr="00712037">
              <w:t>Cualquier comentario o ajuste al Programa de Trabajo o a los documentos relacionados al proyecto deberá estar plenamente justificado y hacerse a través del SEG, el CS deberá mantener actualizada la documentación.</w:t>
            </w:r>
          </w:p>
        </w:tc>
      </w:tr>
      <w:tr w:rsidR="007C4016" w:rsidRPr="005D63C7" w:rsidTr="005C782A">
        <w:tc>
          <w:tcPr>
            <w:tcW w:w="1340" w:type="pct"/>
          </w:tcPr>
          <w:p w:rsidR="007C4016" w:rsidRPr="00CE5D0C" w:rsidRDefault="007C4016" w:rsidP="005C782A">
            <w:pPr>
              <w:pStyle w:val="IFTnormal"/>
              <w:spacing w:after="0"/>
              <w:rPr>
                <w:highlight w:val="cyan"/>
              </w:rPr>
            </w:pPr>
            <w:r w:rsidRPr="00CE5D0C">
              <w:lastRenderedPageBreak/>
              <w:t>Retiro de Infraestructura</w:t>
            </w:r>
          </w:p>
        </w:tc>
        <w:tc>
          <w:tcPr>
            <w:tcW w:w="3660" w:type="pct"/>
          </w:tcPr>
          <w:p w:rsidR="007C4016" w:rsidRPr="00CE5D0C" w:rsidRDefault="007C4016" w:rsidP="005C782A">
            <w:pPr>
              <w:pStyle w:val="IFTnormal"/>
              <w:spacing w:after="0"/>
            </w:pPr>
            <w:r w:rsidRPr="00CE5D0C">
              <w:t>Una vez que el CS recibió el resultado positivo del Análisis de Factibilidad, realizará el Retiro de la Infraestructura apegándose Programa de trabajo aprobados previamente.</w:t>
            </w:r>
            <w:r>
              <w:t xml:space="preserve"> La baja del servicio incluye el retiro de equipo y cableado que se haya instalado.</w:t>
            </w:r>
          </w:p>
          <w:p w:rsidR="007C4016" w:rsidRPr="00CE5D0C" w:rsidRDefault="007C4016" w:rsidP="005C782A">
            <w:pPr>
              <w:pStyle w:val="IFTnormal"/>
              <w:spacing w:after="0"/>
            </w:pPr>
            <w:r w:rsidRPr="00CE5D0C">
              <w:t xml:space="preserve">Al finalizar la instalación el CS informará a </w:t>
            </w:r>
            <w:r>
              <w:t>Telnor</w:t>
            </w:r>
            <w:r w:rsidRPr="00CE5D0C">
              <w:t xml:space="preserve"> para que realice la Verificación de la Instalación.</w:t>
            </w:r>
          </w:p>
        </w:tc>
      </w:tr>
      <w:tr w:rsidR="007C4016" w:rsidRPr="005D63C7" w:rsidTr="005C782A">
        <w:tc>
          <w:tcPr>
            <w:tcW w:w="1340" w:type="pct"/>
          </w:tcPr>
          <w:p w:rsidR="007C4016" w:rsidRPr="00CE5D0C" w:rsidRDefault="007C4016" w:rsidP="005C782A">
            <w:pPr>
              <w:pStyle w:val="IFTnormal"/>
              <w:spacing w:after="0"/>
            </w:pPr>
            <w:r w:rsidRPr="00CE5D0C">
              <w:t>Verificación de Retiro de Infraestructura</w:t>
            </w:r>
          </w:p>
        </w:tc>
        <w:tc>
          <w:tcPr>
            <w:tcW w:w="3660" w:type="pct"/>
          </w:tcPr>
          <w:p w:rsidR="007C4016" w:rsidRDefault="007C4016" w:rsidP="005C782A">
            <w:pPr>
              <w:pStyle w:val="IFTnormal"/>
              <w:spacing w:after="0"/>
            </w:pPr>
            <w:r w:rsidRPr="00CE2104">
              <w:t xml:space="preserve">Una vez que </w:t>
            </w:r>
            <w:r>
              <w:t>Telnor</w:t>
            </w:r>
            <w:r w:rsidRPr="00CE2104">
              <w:t xml:space="preserve"> reciba la notificación por parte del CS, revisará la disponibilidad de fecha y horarios para llevar a cabo la verificación </w:t>
            </w:r>
            <w:r w:rsidRPr="004621E4">
              <w:t xml:space="preserve">en un máximo de </w:t>
            </w:r>
            <w:r w:rsidRPr="00E35500">
              <w:t>5 días hábiles</w:t>
            </w:r>
            <w:r w:rsidRPr="00CE2104">
              <w:t xml:space="preserve"> e informará al CS para que acepte o rechace la propuesta.  En caso de no aceptarse la fecha propuesta, el CS podrá solicitar una nueva fecha, con lo que esta actividad </w:t>
            </w:r>
            <w:r>
              <w:t>podrá</w:t>
            </w:r>
            <w:r w:rsidRPr="00CE2104">
              <w:t xml:space="preserve"> repetirse hasta </w:t>
            </w:r>
            <w:r>
              <w:t>en 3 ocasiones</w:t>
            </w:r>
            <w:r w:rsidRPr="00CE2104">
              <w:t>.</w:t>
            </w:r>
            <w:r>
              <w:t xml:space="preserve"> No se podrán acordar fechas de verificación posteriores a 10 días hábiles a partir de que el CS envíe la fecha de término de instalación, a menos que sea</w:t>
            </w:r>
            <w:r w:rsidRPr="00CE2104">
              <w:t xml:space="preserve"> por </w:t>
            </w:r>
            <w:r>
              <w:t>solicitud expresa del CS</w:t>
            </w:r>
            <w:r w:rsidRPr="00CE2104">
              <w:t>.</w:t>
            </w:r>
          </w:p>
          <w:p w:rsidR="007C4016" w:rsidRPr="00CE5D0C" w:rsidRDefault="007C4016" w:rsidP="005C782A">
            <w:pPr>
              <w:pStyle w:val="IFTnormal"/>
              <w:spacing w:after="0"/>
            </w:pPr>
            <w:r w:rsidRPr="00CE5D0C">
              <w:t xml:space="preserve">Habiéndose definido la fecha, </w:t>
            </w:r>
            <w:r>
              <w:t>Telnor</w:t>
            </w:r>
            <w:r w:rsidRPr="00CE5D0C">
              <w:t xml:space="preserve"> y el CS realizarán en conjunto la Verificación de la Instalación en sitio, determinando:</w:t>
            </w:r>
          </w:p>
          <w:p w:rsidR="007C4016" w:rsidRPr="00CE5D0C" w:rsidRDefault="007C4016" w:rsidP="005C782A">
            <w:pPr>
              <w:pStyle w:val="IFTnormal"/>
              <w:numPr>
                <w:ilvl w:val="0"/>
                <w:numId w:val="65"/>
              </w:numPr>
              <w:spacing w:after="0"/>
            </w:pPr>
            <w:r w:rsidRPr="00CE5D0C">
              <w:t xml:space="preserve">La instalación de la infraestructura del CS está de acuerdo proyecto y normativa, </w:t>
            </w:r>
            <w:r>
              <w:t>Telnor</w:t>
            </w:r>
            <w:r w:rsidRPr="00CE5D0C">
              <w:t xml:space="preserve"> registrará la verificación como satisfactoria y se firmará en sitio el acta</w:t>
            </w:r>
          </w:p>
          <w:p w:rsidR="007C4016" w:rsidRPr="00CE5D0C" w:rsidRDefault="007C4016" w:rsidP="005C782A">
            <w:pPr>
              <w:pStyle w:val="IFTnormal"/>
              <w:numPr>
                <w:ilvl w:val="0"/>
                <w:numId w:val="65"/>
              </w:numPr>
              <w:spacing w:after="0"/>
            </w:pPr>
            <w:r w:rsidRPr="00CE5D0C">
              <w:t xml:space="preserve">En caso contrario, </w:t>
            </w:r>
            <w:r>
              <w:t>Telnor</w:t>
            </w:r>
            <w:r w:rsidRPr="00CE5D0C">
              <w:t xml:space="preserve"> y el CS registran en el Formato de Acuerdo de Compartición de Infraestructura los cambios y ajustes que debe hacer el CS para cumplir con la Verificación. Esta actividad deberá repetirse en tanto no </w:t>
            </w:r>
            <w:r w:rsidRPr="00CE5D0C">
              <w:lastRenderedPageBreak/>
              <w:t>se logre la Verificación satisfactoria y la firma del acta.</w:t>
            </w:r>
          </w:p>
          <w:p w:rsidR="007C4016" w:rsidRPr="00CE5D0C" w:rsidRDefault="007C4016" w:rsidP="005C782A">
            <w:pPr>
              <w:pStyle w:val="IFTnormal"/>
              <w:spacing w:after="0"/>
            </w:pPr>
            <w:r w:rsidRPr="00712037">
              <w:t xml:space="preserve">El primer servicio de verificación no tendrá cargo alguno. De requerirse verificaciones adicionales por inconsistencias en la </w:t>
            </w:r>
            <w:r>
              <w:t>des</w:t>
            </w:r>
            <w:r w:rsidRPr="004621E4">
              <w:t>instalación</w:t>
            </w:r>
            <w:r w:rsidRPr="00712037">
              <w:t xml:space="preserve"> realizada por el CS </w:t>
            </w:r>
            <w:r w:rsidRPr="00C05E9F">
              <w:t>se aplicará una contraprestación</w:t>
            </w:r>
            <w:r w:rsidRPr="00712037">
              <w:t>.</w:t>
            </w:r>
          </w:p>
        </w:tc>
      </w:tr>
      <w:tr w:rsidR="007C4016" w:rsidRPr="005D63C7" w:rsidTr="005C782A">
        <w:tc>
          <w:tcPr>
            <w:tcW w:w="1340" w:type="pct"/>
            <w:shd w:val="clear" w:color="auto" w:fill="auto"/>
          </w:tcPr>
          <w:p w:rsidR="007C4016" w:rsidRPr="00CE5D0C" w:rsidRDefault="007C4016" w:rsidP="005C782A">
            <w:pPr>
              <w:pStyle w:val="IFTnormal"/>
              <w:spacing w:after="0"/>
            </w:pPr>
            <w:r w:rsidRPr="00CE5D0C">
              <w:lastRenderedPageBreak/>
              <w:t>Facturación</w:t>
            </w:r>
          </w:p>
        </w:tc>
        <w:tc>
          <w:tcPr>
            <w:tcW w:w="3660" w:type="pct"/>
            <w:shd w:val="clear" w:color="auto" w:fill="auto"/>
          </w:tcPr>
          <w:p w:rsidR="007C4016" w:rsidRPr="00CE5D0C" w:rsidRDefault="007C4016" w:rsidP="005C782A">
            <w:pPr>
              <w:pStyle w:val="IFTnormal"/>
              <w:spacing w:after="0"/>
            </w:pPr>
            <w:r w:rsidRPr="00CE5D0C">
              <w:t xml:space="preserve">Una vez firmada el acta se </w:t>
            </w:r>
            <w:r>
              <w:t>concluye</w:t>
            </w:r>
            <w:r w:rsidRPr="00CE5D0C">
              <w:t xml:space="preserve"> con la facturación del Servicio, </w:t>
            </w:r>
            <w:r>
              <w:t>Telnor</w:t>
            </w:r>
            <w:r w:rsidRPr="00CE5D0C">
              <w:t xml:space="preserve"> deberá integrar el Formato escaneada al SEG.</w:t>
            </w:r>
          </w:p>
        </w:tc>
      </w:tr>
    </w:tbl>
    <w:p w:rsidR="007C4016" w:rsidRDefault="007C4016" w:rsidP="007C4016">
      <w:pPr>
        <w:pStyle w:val="CondicionesFinales"/>
        <w:spacing w:before="240" w:after="0"/>
      </w:pPr>
    </w:p>
    <w:p w:rsidR="007C4016" w:rsidRPr="00716C42" w:rsidRDefault="007C4016" w:rsidP="007C4016">
      <w:pPr>
        <w:pStyle w:val="CondicionesFinales"/>
        <w:spacing w:before="240" w:after="0"/>
      </w:pPr>
      <w:r w:rsidRPr="00716C42">
        <w:t>El CS deberá realizar la desinstalación de su red o de infraestructura de acuerdo con las características y normatividad técnica para Torres que se documenta en el Anexo 2 de la Oferta</w:t>
      </w:r>
      <w:r w:rsidRPr="005B1294">
        <w:t xml:space="preserve"> </w:t>
      </w:r>
      <w:r>
        <w:t>dejando la infraestructura libre y sin desperdicios en la azotea o predio</w:t>
      </w:r>
      <w:r w:rsidRPr="00716C42">
        <w:t>.</w:t>
      </w:r>
    </w:p>
    <w:p w:rsidR="007C4016" w:rsidRPr="00833D3A" w:rsidRDefault="007C4016" w:rsidP="007C4016">
      <w:pPr>
        <w:pStyle w:val="CondicionesFinales"/>
        <w:spacing w:before="240" w:after="0"/>
      </w:pPr>
      <w:r w:rsidRPr="00716C42">
        <w:t>El procedimiento para la notificación de fallas y gestión de incidencias, así como el procedimiento para Accesos a la Infraestructura Compartida se establecen en el Anexo 3 de la Oferta.</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4.</w:t>
      </w:r>
      <w:r w:rsidRPr="006A7AA7">
        <w:rPr>
          <w:rFonts w:ascii="ITC Avant Garde" w:hAnsi="ITC Avant Garde"/>
          <w:b/>
          <w:sz w:val="22"/>
          <w:szCs w:val="22"/>
        </w:rPr>
        <w:tab/>
        <w:t xml:space="preserve"> SERVICIO DE USO DE SITIOS, PREDIOS Y ESPACIOS FÍSICOS.</w:t>
      </w:r>
    </w:p>
    <w:p w:rsidR="007C4016" w:rsidRPr="00BF4959" w:rsidRDefault="007C4016" w:rsidP="007C4016">
      <w:pPr>
        <w:pStyle w:val="IFTnormal"/>
        <w:spacing w:before="240" w:after="0"/>
        <w:rPr>
          <w:b/>
        </w:rPr>
      </w:pPr>
      <w:r w:rsidRPr="00BF4959">
        <w:rPr>
          <w:b/>
        </w:rPr>
        <w:t>Consideraciones del Instituto</w:t>
      </w:r>
    </w:p>
    <w:p w:rsidR="007C4016" w:rsidRPr="002802DB"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Pr="009A7AC3" w:rsidRDefault="007C4016" w:rsidP="007C4016">
      <w:pPr>
        <w:pStyle w:val="IFTnormal"/>
        <w:spacing w:before="240" w:after="0"/>
      </w:pPr>
      <w:r w:rsidRPr="00473BA7">
        <w:rPr>
          <w:rFonts w:eastAsiaTheme="minorHAnsi" w:cs="Arial"/>
          <w:lang w:val="es-ES"/>
        </w:rPr>
        <w:t xml:space="preserve">Relativo al </w:t>
      </w:r>
      <w:r>
        <w:rPr>
          <w:rFonts w:eastAsiaTheme="minorHAnsi" w:cs="Arial"/>
          <w:lang w:val="es-ES"/>
        </w:rPr>
        <w:t xml:space="preserve">numeral </w:t>
      </w:r>
      <w:r w:rsidRPr="00AE32E9">
        <w:rPr>
          <w:rFonts w:eastAsiaTheme="minorHAnsi" w:cs="Arial"/>
          <w:b/>
          <w:lang w:val="es-ES"/>
        </w:rPr>
        <w:t xml:space="preserve">“4. </w:t>
      </w:r>
      <w:r w:rsidRPr="00AE32E9">
        <w:rPr>
          <w:b/>
        </w:rPr>
        <w:t>SERVICIO DE USO DE SITIOS, PREDIOS Y ESPACIOS FÍSICOS”</w:t>
      </w:r>
      <w:r w:rsidRPr="009A7AC3">
        <w:t>, el AEP en su documento de propuesta ORCI establece lo siguiente:</w:t>
      </w:r>
    </w:p>
    <w:p w:rsidR="007C4016" w:rsidRDefault="007C4016" w:rsidP="007C4016">
      <w:pPr>
        <w:pStyle w:val="CitaIFT"/>
        <w:numPr>
          <w:ilvl w:val="0"/>
          <w:numId w:val="58"/>
        </w:numPr>
        <w:spacing w:before="240" w:after="0"/>
        <w:ind w:left="1276" w:hanging="425"/>
        <w:contextualSpacing w:val="0"/>
        <w:rPr>
          <w:b/>
        </w:rPr>
      </w:pPr>
      <w:r w:rsidRPr="00AE32E9">
        <w:rPr>
          <w:b/>
        </w:rPr>
        <w:t>“Servicio de Uso de Sitios, Predios y Espacios Físicos.</w:t>
      </w:r>
    </w:p>
    <w:p w:rsidR="007C4016" w:rsidRDefault="007C4016" w:rsidP="007C4016">
      <w:pPr>
        <w:pStyle w:val="CitaIFT"/>
        <w:spacing w:before="240" w:after="0"/>
        <w:contextualSpacing w:val="0"/>
      </w:pPr>
      <w:r>
        <w:t>Este servicio permite que el CS utilice los predios, sitios y espacios físicos existentes de Telnor, así como el acceso a los sistemas de suministro de energía eléctrica y sistemas de aire acondicionado, excedentes en dichos espacios físicos.</w:t>
      </w:r>
    </w:p>
    <w:p w:rsidR="007C4016" w:rsidRDefault="007C4016" w:rsidP="007C4016">
      <w:pPr>
        <w:pStyle w:val="CitaIFT"/>
        <w:spacing w:before="240" w:after="0"/>
        <w:contextualSpacing w:val="0"/>
      </w:pPr>
      <w:r>
        <w:lastRenderedPageBreak/>
        <w:t>El Servicio de Uso de Sitios, Predios y Espacios Físicos permite que el CS construya o instale infraestructura propia dentro de los mismos.</w:t>
      </w:r>
    </w:p>
    <w:p w:rsidR="007C4016" w:rsidRDefault="007C4016" w:rsidP="007C4016">
      <w:pPr>
        <w:pStyle w:val="CitaIFT"/>
        <w:spacing w:before="240" w:after="0"/>
        <w:contextualSpacing w:val="0"/>
      </w:pPr>
      <w:r>
        <w:t>La seguridad en los Sitios, Predios y Espacios Físicos se proporcionará al CS que haga uso del servicio, en las mismas condiciones y sitios que hoy en día mantiene Telnor para su propia operación.</w:t>
      </w:r>
    </w:p>
    <w:p w:rsidR="007C4016" w:rsidRDefault="007C4016" w:rsidP="007C4016">
      <w:pPr>
        <w:pStyle w:val="CitaIFT"/>
        <w:spacing w:before="240" w:after="0"/>
        <w:contextualSpacing w:val="0"/>
      </w:pPr>
      <w:r>
        <w:t>La solicitud de los servicios se realiza a través del sistema establecido y el formato correspondiente.</w:t>
      </w:r>
    </w:p>
    <w:p w:rsidR="007C4016" w:rsidRDefault="007C4016" w:rsidP="007C4016">
      <w:pPr>
        <w:pStyle w:val="CitaIFT"/>
        <w:spacing w:before="240" w:after="0"/>
        <w:contextualSpacing w:val="0"/>
      </w:pPr>
      <w:r>
        <w:t>Los conceptos facturables son:</w:t>
      </w:r>
    </w:p>
    <w:p w:rsidR="007C4016" w:rsidRDefault="007C4016" w:rsidP="007C4016">
      <w:pPr>
        <w:pStyle w:val="CitaIFT"/>
        <w:spacing w:before="240" w:after="0"/>
        <w:contextualSpacing w:val="0"/>
      </w:pPr>
      <w:r>
        <w:t>Cargos No Recurrentes:</w:t>
      </w:r>
    </w:p>
    <w:p w:rsidR="007C4016" w:rsidRDefault="007C4016" w:rsidP="007C4016">
      <w:pPr>
        <w:pStyle w:val="CitaIFT"/>
        <w:spacing w:before="240" w:after="0"/>
        <w:contextualSpacing w:val="0"/>
      </w:pPr>
      <w:r>
        <w:t>Para sitios, predios y espacios físicos se contabiliza:</w:t>
      </w:r>
    </w:p>
    <w:p w:rsidR="007C4016" w:rsidRDefault="007C4016" w:rsidP="007C4016">
      <w:pPr>
        <w:pStyle w:val="CitaIFT"/>
        <w:numPr>
          <w:ilvl w:val="0"/>
          <w:numId w:val="59"/>
        </w:numPr>
        <w:spacing w:before="240" w:after="0"/>
        <w:ind w:left="1843"/>
        <w:contextualSpacing w:val="0"/>
      </w:pPr>
      <w:r>
        <w:t xml:space="preserve">Análisis de Disponibilidad. </w:t>
      </w:r>
    </w:p>
    <w:p w:rsidR="007C4016" w:rsidRDefault="007C4016" w:rsidP="007C4016">
      <w:pPr>
        <w:pStyle w:val="CitaIFT"/>
        <w:numPr>
          <w:ilvl w:val="0"/>
          <w:numId w:val="59"/>
        </w:numPr>
        <w:spacing w:after="0"/>
        <w:ind w:left="1843"/>
        <w:contextualSpacing w:val="0"/>
      </w:pPr>
      <w:r>
        <w:t>Visita Técnica para Sitios, Predios y Espacios Físicos, en caso de haber sido solicitada por el CS.</w:t>
      </w:r>
    </w:p>
    <w:p w:rsidR="007C4016" w:rsidRDefault="007C4016" w:rsidP="007C4016">
      <w:pPr>
        <w:pStyle w:val="CitaIFT"/>
        <w:numPr>
          <w:ilvl w:val="0"/>
          <w:numId w:val="59"/>
        </w:numPr>
        <w:spacing w:after="0"/>
        <w:ind w:left="1843"/>
        <w:contextualSpacing w:val="0"/>
      </w:pPr>
      <w:r>
        <w:t>Trabajos requeridos dentro de la visita técnica.</w:t>
      </w:r>
    </w:p>
    <w:p w:rsidR="007C4016" w:rsidRDefault="007C4016" w:rsidP="007C4016">
      <w:pPr>
        <w:pStyle w:val="CitaIFT"/>
        <w:numPr>
          <w:ilvl w:val="0"/>
          <w:numId w:val="59"/>
        </w:numPr>
        <w:spacing w:after="0"/>
        <w:ind w:left="1843"/>
        <w:contextualSpacing w:val="0"/>
      </w:pPr>
      <w:r>
        <w:t>Análisis de Factibilidad.</w:t>
      </w:r>
    </w:p>
    <w:p w:rsidR="007C4016" w:rsidRDefault="007C4016" w:rsidP="007C4016">
      <w:pPr>
        <w:pStyle w:val="CitaIFT"/>
        <w:numPr>
          <w:ilvl w:val="0"/>
          <w:numId w:val="59"/>
        </w:numPr>
        <w:spacing w:after="0"/>
        <w:ind w:left="1843"/>
        <w:contextualSpacing w:val="0"/>
      </w:pPr>
      <w:r>
        <w:t>Acondicionamiento de Infraestructura Pasiva, en caso de que se requiera.</w:t>
      </w:r>
    </w:p>
    <w:p w:rsidR="007C4016" w:rsidRDefault="007C4016" w:rsidP="007C4016">
      <w:pPr>
        <w:pStyle w:val="CitaIFT"/>
        <w:numPr>
          <w:ilvl w:val="0"/>
          <w:numId w:val="59"/>
        </w:numPr>
        <w:spacing w:after="0"/>
        <w:ind w:left="1843"/>
        <w:contextualSpacing w:val="0"/>
      </w:pPr>
      <w:r>
        <w:t>Recuperación de espacio, en caso de que se requiera.</w:t>
      </w:r>
    </w:p>
    <w:p w:rsidR="007C4016" w:rsidRDefault="007C4016" w:rsidP="007C4016">
      <w:pPr>
        <w:pStyle w:val="CitaIFT"/>
        <w:numPr>
          <w:ilvl w:val="0"/>
          <w:numId w:val="59"/>
        </w:numPr>
        <w:spacing w:after="0"/>
        <w:ind w:left="1843"/>
        <w:contextualSpacing w:val="0"/>
      </w:pPr>
      <w:r>
        <w:t>Verificación.</w:t>
      </w:r>
    </w:p>
    <w:p w:rsidR="007C4016" w:rsidRDefault="007C4016" w:rsidP="007C4016">
      <w:pPr>
        <w:pStyle w:val="CitaIFT"/>
        <w:numPr>
          <w:ilvl w:val="0"/>
          <w:numId w:val="59"/>
        </w:numPr>
        <w:spacing w:after="0"/>
        <w:ind w:left="1843"/>
        <w:contextualSpacing w:val="0"/>
      </w:pPr>
      <w:r>
        <w:t>Inspección.</w:t>
      </w:r>
    </w:p>
    <w:p w:rsidR="007C4016" w:rsidRDefault="007C4016" w:rsidP="007C4016">
      <w:pPr>
        <w:pStyle w:val="CitaIFT"/>
        <w:spacing w:before="240" w:after="0"/>
        <w:contextualSpacing w:val="0"/>
      </w:pPr>
      <w:r>
        <w:t>La facturación de las actividades antes mencionadas se realizará posteriormente a su ejecución.</w:t>
      </w:r>
    </w:p>
    <w:p w:rsidR="007C4016" w:rsidRDefault="007C4016" w:rsidP="007C4016">
      <w:pPr>
        <w:pStyle w:val="CitaIFT"/>
        <w:spacing w:before="240" w:after="0"/>
        <w:contextualSpacing w:val="0"/>
      </w:pPr>
      <w:r>
        <w:t>Cargos Recurrentes, con cobro anticipado:</w:t>
      </w:r>
    </w:p>
    <w:p w:rsidR="007C4016" w:rsidRDefault="007C4016" w:rsidP="007C4016">
      <w:pPr>
        <w:pStyle w:val="CitaIFT"/>
        <w:spacing w:before="240" w:after="0"/>
        <w:contextualSpacing w:val="0"/>
      </w:pPr>
      <w:r>
        <w:t xml:space="preserve"> Por el Servicio de Uso de Sitios, Predios y Espacios Físicos:</w:t>
      </w:r>
    </w:p>
    <w:p w:rsidR="007C4016" w:rsidRDefault="007C4016" w:rsidP="007C4016">
      <w:pPr>
        <w:pStyle w:val="CitaIFT"/>
        <w:numPr>
          <w:ilvl w:val="0"/>
          <w:numId w:val="60"/>
        </w:numPr>
        <w:spacing w:before="240" w:after="0"/>
        <w:ind w:left="1843"/>
        <w:contextualSpacing w:val="0"/>
      </w:pPr>
      <w:r>
        <w:t>La contraprestación mensual por el uso del espacio dependerá del proyecto ejecutivo y la zona del sitio, precio o espacio físico solicitado, y servicios auxiliares necesarios. Así mismo se indicará la cuota de mantenimiento asociada al servicio cuando aplique.”</w:t>
      </w:r>
    </w:p>
    <w:p w:rsidR="007C4016" w:rsidRPr="00A92D80" w:rsidRDefault="007C4016" w:rsidP="007C4016">
      <w:pPr>
        <w:pStyle w:val="IFTnormal"/>
        <w:spacing w:before="240" w:after="0"/>
      </w:pPr>
      <w:r w:rsidRPr="00D94943">
        <w:t xml:space="preserve">El Instituto considera que </w:t>
      </w:r>
      <w:r>
        <w:t>lo</w:t>
      </w:r>
      <w:r w:rsidRPr="00D94943">
        <w:t xml:space="preserve"> presentado por el AEP en el </w:t>
      </w:r>
      <w:r>
        <w:t xml:space="preserve">numeral “4. Servicio de uso de sitios, predios y espacios físicos”, no son aceptables ya que no cumple con la Medida CUADRAGÉSIMA PRIMERA, de las </w:t>
      </w:r>
      <w:r w:rsidRPr="009A7AC3">
        <w:rPr>
          <w:lang w:val="es-ES"/>
        </w:rPr>
        <w:t>Medidas Fijas</w:t>
      </w:r>
      <w:r>
        <w:rPr>
          <w:lang w:val="es-ES"/>
        </w:rPr>
        <w:t>, la cual establece que la propuesta de Oferta de Referencia deberá contener condiciones equivalentes a la vigente, como se cita a continuación:</w:t>
      </w:r>
    </w:p>
    <w:p w:rsidR="007C4016" w:rsidRDefault="007C4016" w:rsidP="007C4016">
      <w:pPr>
        <w:pStyle w:val="CitaIFT"/>
        <w:spacing w:before="240" w:after="0"/>
        <w:rPr>
          <w:lang w:val="es-ES"/>
        </w:rPr>
      </w:pPr>
      <w:r w:rsidRPr="006E5383">
        <w:rPr>
          <w:b/>
          <w:lang w:val="es-ES"/>
        </w:rPr>
        <w:t xml:space="preserve">CUADRAGÉSIMA PRIMERA.- </w:t>
      </w:r>
      <w:r>
        <w:rPr>
          <w:lang w:val="es-ES"/>
        </w:rPr>
        <w:t>[…]</w:t>
      </w:r>
    </w:p>
    <w:p w:rsidR="007C4016" w:rsidRDefault="007C4016" w:rsidP="007C4016">
      <w:pPr>
        <w:pStyle w:val="CitaIFT"/>
        <w:spacing w:before="240" w:after="0"/>
        <w:rPr>
          <w:b/>
          <w:u w:val="single"/>
          <w:lang w:val="es-ES"/>
        </w:rPr>
      </w:pPr>
      <w:r w:rsidRPr="0070752B">
        <w:rPr>
          <w:b/>
          <w:u w:val="single"/>
          <w:lang w:val="es-ES"/>
        </w:rPr>
        <w:lastRenderedPageBreak/>
        <w:t>La propuesta que presente el Agente Económico Preponderante deberá reflejar, al menos, condiciones equivalentes a las de la Oferta de Referencia vigente.</w:t>
      </w:r>
    </w:p>
    <w:p w:rsidR="007C4016" w:rsidRDefault="007C4016" w:rsidP="007C4016">
      <w:pPr>
        <w:pStyle w:val="CitaIFT"/>
        <w:spacing w:before="240" w:after="0"/>
        <w:rPr>
          <w:lang w:val="es-ES"/>
        </w:rPr>
      </w:pPr>
      <w:r>
        <w:rPr>
          <w:lang w:val="es-ES"/>
        </w:rPr>
        <w:t>[…]”</w:t>
      </w:r>
    </w:p>
    <w:p w:rsidR="007C4016" w:rsidRPr="002F6232" w:rsidRDefault="007C4016" w:rsidP="007C4016">
      <w:pPr>
        <w:pStyle w:val="CitaIFT"/>
        <w:spacing w:before="240" w:after="0"/>
        <w:jc w:val="right"/>
        <w:rPr>
          <w:lang w:val="es-ES"/>
        </w:rPr>
      </w:pPr>
      <w:r>
        <w:rPr>
          <w:lang w:val="es-ES"/>
        </w:rPr>
        <w:t>(Énfasis añadido)</w:t>
      </w:r>
    </w:p>
    <w:p w:rsidR="007C4016" w:rsidRPr="00F5093B" w:rsidRDefault="007C4016" w:rsidP="007C4016">
      <w:pPr>
        <w:pStyle w:val="IFTnormal"/>
        <w:spacing w:before="240" w:after="0"/>
      </w:pPr>
      <w:r>
        <w:t xml:space="preserve">En consistencia con la </w:t>
      </w:r>
      <w:r w:rsidRPr="00AE32E9">
        <w:rPr>
          <w:lang w:val="es-ES"/>
        </w:rPr>
        <w:t>Medida</w:t>
      </w:r>
      <w:r>
        <w:rPr>
          <w:lang w:val="es-ES"/>
        </w:rPr>
        <w:t xml:space="preserve"> Fija</w:t>
      </w:r>
      <w:r w:rsidRPr="00AE32E9">
        <w:rPr>
          <w:lang w:val="es-ES"/>
        </w:rPr>
        <w:t xml:space="preserve"> </w:t>
      </w:r>
      <w:r>
        <w:rPr>
          <w:lang w:val="es-ES"/>
        </w:rPr>
        <w:t>citada anteriormente,</w:t>
      </w:r>
      <w:r>
        <w:t xml:space="preserve"> el Instituto considera que debido a que el AEP ha incorporado dentro de los cargos no recurrentes el “Análisis de Disponibilidad” y que junto con la “Verificación” e “Inspección”, entre otros, impactan de manera importante a los CS, se debe modificar el texto de la Propuesta de </w:t>
      </w:r>
      <w:r w:rsidRPr="00DB14A1">
        <w:t xml:space="preserve">Oferta de </w:t>
      </w:r>
      <w:r>
        <w:t>R</w:t>
      </w:r>
      <w:r w:rsidRPr="00DB14A1">
        <w:t xml:space="preserve">eferencia </w:t>
      </w:r>
      <w:r>
        <w:t>que sea congruente con los procesos añadidos en la sección 1.6 de este documento, quedando de la siguiente manera:</w:t>
      </w:r>
    </w:p>
    <w:p w:rsidR="007C4016" w:rsidRPr="00922C2C" w:rsidRDefault="007C4016" w:rsidP="007C4016">
      <w:pPr>
        <w:pStyle w:val="IFTnormal"/>
        <w:spacing w:before="240" w:after="0"/>
        <w:rPr>
          <w:b/>
        </w:rPr>
      </w:pPr>
      <w:r w:rsidRPr="00922C2C">
        <w:rPr>
          <w:b/>
        </w:rPr>
        <w:t>Redacción Definitiva</w:t>
      </w:r>
    </w:p>
    <w:p w:rsidR="007C4016" w:rsidRPr="001652E2" w:rsidRDefault="007C4016" w:rsidP="007C4016">
      <w:pPr>
        <w:pStyle w:val="CondicionesFinales"/>
        <w:spacing w:before="240" w:after="0"/>
        <w:rPr>
          <w:b/>
          <w:color w:val="auto"/>
        </w:rPr>
      </w:pPr>
      <w:r w:rsidRPr="001652E2">
        <w:rPr>
          <w:b/>
          <w:color w:val="auto"/>
        </w:rPr>
        <w:t>4. Servicio de Uso de Sitios, Predios y Espacios Físicos.</w:t>
      </w:r>
    </w:p>
    <w:p w:rsidR="007C4016" w:rsidRPr="001652E2" w:rsidRDefault="007C4016" w:rsidP="007C4016">
      <w:pPr>
        <w:pStyle w:val="CondicionesFinales"/>
        <w:spacing w:before="240" w:after="0"/>
        <w:rPr>
          <w:color w:val="auto"/>
        </w:rPr>
      </w:pPr>
      <w:r w:rsidRPr="001652E2">
        <w:rPr>
          <w:color w:val="auto"/>
        </w:rPr>
        <w:t xml:space="preserve">El Servicio de Uso de Sitios, Predios y Espacios Físicos, permite que el CS utilice los predios, sitios y espacios físicos existentes de </w:t>
      </w:r>
      <w:r>
        <w:rPr>
          <w:color w:val="auto"/>
        </w:rPr>
        <w:t>Telnor</w:t>
      </w:r>
      <w:r w:rsidRPr="001652E2">
        <w:rPr>
          <w:color w:val="auto"/>
        </w:rPr>
        <w:t>, así como acceder a los sistemas de suministro de energía eléctrica y sistemas de aire acondicionado, excedentes en dichos espacios físicos.</w:t>
      </w:r>
    </w:p>
    <w:p w:rsidR="007C4016" w:rsidRPr="001652E2" w:rsidRDefault="007C4016" w:rsidP="007C4016">
      <w:pPr>
        <w:pStyle w:val="CondicionesFinales"/>
        <w:spacing w:before="240" w:after="0"/>
        <w:rPr>
          <w:color w:val="auto"/>
        </w:rPr>
      </w:pPr>
      <w:r w:rsidRPr="001652E2">
        <w:rPr>
          <w:color w:val="auto"/>
        </w:rPr>
        <w:t xml:space="preserve">El Servicio de Uso de Sitios, Predios y Espacios Físicos permite que el CS haga uso de sitios, predios y espacios físicos de </w:t>
      </w:r>
      <w:r>
        <w:rPr>
          <w:color w:val="auto"/>
        </w:rPr>
        <w:t>Telnor</w:t>
      </w:r>
      <w:r w:rsidRPr="001652E2">
        <w:rPr>
          <w:color w:val="auto"/>
        </w:rPr>
        <w:t>, para construir o instalar infraestructura propia.</w:t>
      </w:r>
    </w:p>
    <w:p w:rsidR="007C4016" w:rsidRPr="001652E2" w:rsidRDefault="007C4016" w:rsidP="007C4016">
      <w:pPr>
        <w:pStyle w:val="CondicionesFinales"/>
        <w:spacing w:before="240" w:after="0"/>
        <w:rPr>
          <w:color w:val="auto"/>
        </w:rPr>
      </w:pPr>
      <w:r w:rsidRPr="001652E2">
        <w:rPr>
          <w:color w:val="auto"/>
        </w:rPr>
        <w:t xml:space="preserve">La seguridad en los Sitios, Predios y Espacios Físicos se proporcionará al CS que haga uso del servicio, en las mismas condiciones y sitios que hoy en día mantiene </w:t>
      </w:r>
      <w:r>
        <w:rPr>
          <w:color w:val="auto"/>
        </w:rPr>
        <w:t>Telnor</w:t>
      </w:r>
      <w:r w:rsidRPr="001652E2">
        <w:rPr>
          <w:color w:val="auto"/>
        </w:rPr>
        <w:t xml:space="preserve"> para su propia operación.</w:t>
      </w:r>
    </w:p>
    <w:p w:rsidR="007C4016" w:rsidRPr="001652E2" w:rsidRDefault="007C4016" w:rsidP="007C4016">
      <w:pPr>
        <w:pStyle w:val="CondicionesFinales"/>
        <w:spacing w:before="240" w:after="0"/>
        <w:rPr>
          <w:color w:val="auto"/>
        </w:rPr>
      </w:pPr>
      <w:r w:rsidRPr="001652E2">
        <w:rPr>
          <w:color w:val="auto"/>
        </w:rPr>
        <w:t xml:space="preserve">La solicitud de los servicios se realiza a través del </w:t>
      </w:r>
      <w:r>
        <w:rPr>
          <w:color w:val="auto"/>
        </w:rPr>
        <w:t>SEG</w:t>
      </w:r>
      <w:r w:rsidRPr="001652E2">
        <w:rPr>
          <w:color w:val="auto"/>
        </w:rPr>
        <w:t xml:space="preserve"> y el formato correspondiente.</w:t>
      </w:r>
    </w:p>
    <w:p w:rsidR="007C4016" w:rsidRPr="001652E2" w:rsidRDefault="007C4016" w:rsidP="007C4016">
      <w:pPr>
        <w:pStyle w:val="CondicionesFinales"/>
        <w:spacing w:before="240" w:after="0"/>
        <w:rPr>
          <w:color w:val="auto"/>
        </w:rPr>
      </w:pPr>
      <w:r w:rsidRPr="001652E2">
        <w:rPr>
          <w:color w:val="auto"/>
        </w:rPr>
        <w:t>Los conceptos facturables son:</w:t>
      </w:r>
    </w:p>
    <w:p w:rsidR="007C4016" w:rsidRPr="001652E2" w:rsidRDefault="007C4016" w:rsidP="007C4016">
      <w:pPr>
        <w:pStyle w:val="CondicionesFinales"/>
        <w:spacing w:before="240" w:after="0"/>
        <w:rPr>
          <w:color w:val="auto"/>
        </w:rPr>
      </w:pPr>
      <w:r w:rsidRPr="001652E2">
        <w:rPr>
          <w:color w:val="auto"/>
        </w:rPr>
        <w:t>Cargos No Recurrentes:</w:t>
      </w:r>
    </w:p>
    <w:p w:rsidR="007C4016" w:rsidRPr="001652E2" w:rsidRDefault="007C4016" w:rsidP="007C4016">
      <w:pPr>
        <w:pStyle w:val="CondicionesFinales"/>
        <w:numPr>
          <w:ilvl w:val="0"/>
          <w:numId w:val="173"/>
        </w:numPr>
        <w:spacing w:before="240" w:after="0"/>
        <w:ind w:left="1985"/>
        <w:rPr>
          <w:color w:val="auto"/>
        </w:rPr>
      </w:pPr>
      <w:r w:rsidRPr="001652E2">
        <w:rPr>
          <w:color w:val="auto"/>
        </w:rPr>
        <w:t>Para sitios, predios y espacios físicos se contabiliza:</w:t>
      </w:r>
    </w:p>
    <w:p w:rsidR="007C4016" w:rsidRPr="001652E2" w:rsidRDefault="007C4016" w:rsidP="007C4016">
      <w:pPr>
        <w:pStyle w:val="CondicionesFinales"/>
        <w:numPr>
          <w:ilvl w:val="5"/>
          <w:numId w:val="178"/>
        </w:numPr>
        <w:spacing w:before="240" w:after="0"/>
        <w:rPr>
          <w:color w:val="auto"/>
        </w:rPr>
      </w:pPr>
      <w:r w:rsidRPr="001652E2">
        <w:rPr>
          <w:color w:val="auto"/>
        </w:rPr>
        <w:t>Visita Técnica para Sitios, Predios y Espacios Físicos, en caso de haber sido solicitada por el CS.</w:t>
      </w:r>
    </w:p>
    <w:p w:rsidR="007C4016" w:rsidRPr="001652E2" w:rsidRDefault="007C4016" w:rsidP="007C4016">
      <w:pPr>
        <w:pStyle w:val="CondicionesFinales"/>
        <w:numPr>
          <w:ilvl w:val="5"/>
          <w:numId w:val="178"/>
        </w:numPr>
        <w:spacing w:after="0"/>
        <w:rPr>
          <w:color w:val="auto"/>
        </w:rPr>
      </w:pPr>
      <w:r w:rsidRPr="001652E2">
        <w:rPr>
          <w:color w:val="auto"/>
        </w:rPr>
        <w:lastRenderedPageBreak/>
        <w:t>Trabajos requeridos dentro de la visita técnica.</w:t>
      </w:r>
    </w:p>
    <w:p w:rsidR="007C4016" w:rsidRPr="001652E2" w:rsidRDefault="007C4016" w:rsidP="007C4016">
      <w:pPr>
        <w:pStyle w:val="CondicionesFinales"/>
        <w:numPr>
          <w:ilvl w:val="5"/>
          <w:numId w:val="178"/>
        </w:numPr>
        <w:spacing w:after="0"/>
        <w:rPr>
          <w:color w:val="auto"/>
        </w:rPr>
      </w:pPr>
      <w:r w:rsidRPr="001652E2">
        <w:rPr>
          <w:color w:val="auto"/>
        </w:rPr>
        <w:t>Análisis de Factibilidad, en caso de que el CS no contrate el servicio.</w:t>
      </w:r>
    </w:p>
    <w:p w:rsidR="007C4016" w:rsidRPr="001652E2" w:rsidRDefault="007C4016" w:rsidP="007C4016">
      <w:pPr>
        <w:pStyle w:val="CondicionesFinales"/>
        <w:numPr>
          <w:ilvl w:val="5"/>
          <w:numId w:val="178"/>
        </w:numPr>
        <w:spacing w:after="0"/>
        <w:rPr>
          <w:color w:val="auto"/>
        </w:rPr>
      </w:pPr>
      <w:r w:rsidRPr="001652E2">
        <w:rPr>
          <w:color w:val="auto"/>
        </w:rPr>
        <w:t>Acondicionamiento de Infraestructura Pasiva, en caso de que se requiera.</w:t>
      </w:r>
    </w:p>
    <w:p w:rsidR="007C4016" w:rsidRPr="001652E2" w:rsidRDefault="007C4016" w:rsidP="007C4016">
      <w:pPr>
        <w:pStyle w:val="CondicionesFinales"/>
        <w:numPr>
          <w:ilvl w:val="5"/>
          <w:numId w:val="178"/>
        </w:numPr>
        <w:spacing w:after="0"/>
        <w:rPr>
          <w:color w:val="auto"/>
        </w:rPr>
      </w:pPr>
      <w:r w:rsidRPr="001652E2">
        <w:rPr>
          <w:color w:val="auto"/>
        </w:rPr>
        <w:t>Recuperación de espacio, en caso de que se requiera</w:t>
      </w:r>
      <w:r>
        <w:rPr>
          <w:color w:val="auto"/>
        </w:rPr>
        <w:t xml:space="preserve"> y;</w:t>
      </w:r>
    </w:p>
    <w:p w:rsidR="007C4016" w:rsidRPr="001652E2" w:rsidRDefault="007C4016" w:rsidP="007C4016">
      <w:pPr>
        <w:pStyle w:val="CondicionesFinales"/>
        <w:numPr>
          <w:ilvl w:val="5"/>
          <w:numId w:val="178"/>
        </w:numPr>
        <w:spacing w:after="0"/>
        <w:rPr>
          <w:color w:val="auto"/>
        </w:rPr>
      </w:pPr>
      <w:r>
        <w:rPr>
          <w:color w:val="auto"/>
        </w:rPr>
        <w:t>Segunda Verificación en adelante</w:t>
      </w:r>
    </w:p>
    <w:p w:rsidR="007C4016" w:rsidRPr="00597B33" w:rsidRDefault="007C4016" w:rsidP="007C4016">
      <w:pPr>
        <w:pStyle w:val="CondicionesFinales"/>
        <w:spacing w:before="240" w:after="0"/>
        <w:rPr>
          <w:rStyle w:val="IFTnormalCar"/>
          <w:rFonts w:cs="Arial"/>
          <w:lang w:val="es-ES_tradnl"/>
        </w:rPr>
      </w:pPr>
      <w:r w:rsidRPr="00597B33">
        <w:t>La facturación del servicio se realizará posteriormente a concluir las actividades previstas en el procedimien</w:t>
      </w:r>
      <w:r w:rsidRPr="00597B33">
        <w:rPr>
          <w:rStyle w:val="IFTnormalCar"/>
          <w:rFonts w:cs="Arial"/>
          <w:bCs/>
          <w:lang w:val="es-ES_tradnl"/>
        </w:rPr>
        <w:t>to una vez que se cuenten con los formatos y actas firmados</w:t>
      </w:r>
    </w:p>
    <w:p w:rsidR="007C4016" w:rsidRPr="001652E2" w:rsidRDefault="007C4016" w:rsidP="007C4016">
      <w:pPr>
        <w:pStyle w:val="CondicionesFinales"/>
        <w:spacing w:before="240" w:after="0"/>
        <w:rPr>
          <w:color w:val="auto"/>
        </w:rPr>
      </w:pPr>
      <w:r w:rsidRPr="001652E2">
        <w:rPr>
          <w:color w:val="auto"/>
        </w:rPr>
        <w:t>Cargos Recurrentes, con cobro anticipado:</w:t>
      </w:r>
    </w:p>
    <w:p w:rsidR="007C4016" w:rsidRPr="001652E2" w:rsidRDefault="007C4016" w:rsidP="007C4016">
      <w:pPr>
        <w:pStyle w:val="CondicionesFinales"/>
        <w:numPr>
          <w:ilvl w:val="0"/>
          <w:numId w:val="173"/>
        </w:numPr>
        <w:spacing w:before="240" w:after="0"/>
        <w:ind w:left="1985"/>
        <w:rPr>
          <w:color w:val="auto"/>
        </w:rPr>
      </w:pPr>
      <w:r w:rsidRPr="001652E2">
        <w:rPr>
          <w:color w:val="auto"/>
        </w:rPr>
        <w:t>Por el Servicio de Uso de Sitios, Predios y Espacios Físicos:</w:t>
      </w:r>
    </w:p>
    <w:p w:rsidR="007C4016" w:rsidRPr="001652E2" w:rsidRDefault="007C4016" w:rsidP="007C4016">
      <w:pPr>
        <w:pStyle w:val="CondicionesFinales"/>
        <w:numPr>
          <w:ilvl w:val="3"/>
          <w:numId w:val="179"/>
        </w:numPr>
        <w:spacing w:before="240" w:after="0"/>
        <w:ind w:left="2127"/>
        <w:rPr>
          <w:color w:val="auto"/>
        </w:rPr>
      </w:pPr>
      <w:r w:rsidRPr="001652E2">
        <w:rPr>
          <w:color w:val="auto"/>
        </w:rPr>
        <w:t>La contraprestación mensual por el uso del espacio dependerá del proyecto ejecutivo y la zona del sitio, precio o espacio físico solicitado, y servicios auxiliares necesarios. Así mismo se indicará la cuota de mantenimiento asociada al servicio cuando aplique.</w:t>
      </w:r>
    </w:p>
    <w:p w:rsidR="007C4016" w:rsidRPr="001652E2" w:rsidRDefault="007C4016" w:rsidP="007C4016">
      <w:pPr>
        <w:pStyle w:val="CondicionesFinales"/>
        <w:spacing w:before="240" w:after="0"/>
        <w:rPr>
          <w:color w:val="auto"/>
        </w:rPr>
      </w:pPr>
      <w:r w:rsidRPr="001652E2">
        <w:rPr>
          <w:color w:val="auto"/>
        </w:rPr>
        <w:t>La facturación de los cargos recurrentes se realizará a mes corriente</w:t>
      </w:r>
      <w:r>
        <w:rPr>
          <w:color w:val="auto"/>
        </w:rPr>
        <w:t xml:space="preserve">, </w:t>
      </w:r>
      <w:r w:rsidRPr="00597B33">
        <w:t>posteriormente a concluir las actividades previstas en el procedimien</w:t>
      </w:r>
      <w:r w:rsidRPr="00597B33">
        <w:rPr>
          <w:rStyle w:val="IFTnormalCar"/>
          <w:rFonts w:cs="Arial"/>
          <w:bCs/>
          <w:lang w:val="es-ES_tradnl"/>
        </w:rPr>
        <w:t>to una vez que se cuenten con los formatos y actas firmados</w:t>
      </w:r>
      <w:r>
        <w:rPr>
          <w:rStyle w:val="IFTnormalCar"/>
          <w:rFonts w:cs="Arial"/>
          <w:bCs/>
          <w:lang w:val="es-ES_tradnl"/>
        </w:rPr>
        <w:t>.</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 xml:space="preserve">4.1 </w:t>
      </w:r>
      <w:r w:rsidRPr="006A7AA7">
        <w:rPr>
          <w:rFonts w:ascii="ITC Avant Garde" w:hAnsi="ITC Avant Garde"/>
          <w:b/>
          <w:sz w:val="22"/>
          <w:szCs w:val="22"/>
        </w:rPr>
        <w:tab/>
        <w:t>PROCEDIMIENTOS PARA LA CONTRATACIÓN, MODIFICACIÓN Y BAJA DE LOS SERVICIOS.</w:t>
      </w:r>
    </w:p>
    <w:p w:rsidR="007C4016" w:rsidRPr="00BF4959" w:rsidRDefault="007C4016" w:rsidP="007C4016">
      <w:pPr>
        <w:pStyle w:val="IFTnormal"/>
        <w:spacing w:before="240" w:after="0"/>
        <w:rPr>
          <w:b/>
        </w:rPr>
      </w:pPr>
      <w:r>
        <w:rPr>
          <w:b/>
        </w:rPr>
        <w:t>Consideraciones del Instituto</w:t>
      </w:r>
    </w:p>
    <w:p w:rsidR="007C4016" w:rsidRDefault="007C4016" w:rsidP="007C4016">
      <w:pPr>
        <w:pStyle w:val="IFTnormal"/>
        <w:spacing w:before="240" w:after="0"/>
        <w:rPr>
          <w:b/>
          <w:lang w:val="es-ES"/>
        </w:rPr>
      </w:pPr>
      <w:r w:rsidRPr="009270CE">
        <w:rPr>
          <w:lang w:val="es-ES"/>
        </w:rPr>
        <w:t>Derivado del análisis realizado al numeral “</w:t>
      </w:r>
      <w:r w:rsidRPr="00332200">
        <w:rPr>
          <w:i/>
          <w:lang w:val="es-ES"/>
        </w:rPr>
        <w:t>1.1 Procedimiento para la contratación, modificación y baja de servicio</w:t>
      </w:r>
      <w:r w:rsidRPr="009270CE">
        <w:rPr>
          <w:lang w:val="es-ES"/>
        </w:rPr>
        <w:t>”, el Instituto identificó que dicho análisis</w:t>
      </w:r>
      <w:r>
        <w:rPr>
          <w:lang w:val="es-ES"/>
        </w:rPr>
        <w:t xml:space="preserve"> y resolución</w:t>
      </w:r>
      <w:r w:rsidRPr="009270CE">
        <w:rPr>
          <w:lang w:val="es-ES"/>
        </w:rPr>
        <w:t xml:space="preserve"> puede hacerse extensivo a los procedimientos de los demás servicios contemplados en la Propuesta de Oferta de Referencia, con excepción de aquellos temas particulares y exclusivos que deban tratarse de manera específica en su sección correspondiente.</w:t>
      </w:r>
      <w:r>
        <w:rPr>
          <w:lang w:val="es-ES"/>
        </w:rPr>
        <w:t xml:space="preserve"> Por lo tanto y a juicio del Instituto, los procedimientos </w:t>
      </w:r>
      <w:r>
        <w:rPr>
          <w:lang w:val="es-ES"/>
        </w:rPr>
        <w:lastRenderedPageBreak/>
        <w:t>“4</w:t>
      </w:r>
      <w:r w:rsidRPr="00332200">
        <w:rPr>
          <w:i/>
          <w:lang w:val="es-ES"/>
        </w:rPr>
        <w:t>.1 Procedimientos para la contracción y baja de los servicios</w:t>
      </w:r>
      <w:r>
        <w:rPr>
          <w:lang w:val="es-ES"/>
        </w:rPr>
        <w:t xml:space="preserve">” del </w:t>
      </w:r>
      <w:r w:rsidRPr="00332200">
        <w:rPr>
          <w:i/>
          <w:lang w:val="es-ES"/>
        </w:rPr>
        <w:t>Servicio de Uso de Sitios, Predios y Espacios Físicos</w:t>
      </w:r>
      <w:r>
        <w:rPr>
          <w:lang w:val="es-ES"/>
        </w:rPr>
        <w:t xml:space="preserve"> deben ser modificados de acuerdo a lo resuelto en el numeral mencionado inicialmente.</w:t>
      </w:r>
    </w:p>
    <w:p w:rsidR="007C4016" w:rsidRPr="002802DB" w:rsidRDefault="007C4016" w:rsidP="007C4016">
      <w:pPr>
        <w:pStyle w:val="IFTnormal"/>
        <w:spacing w:before="240" w:after="0"/>
        <w:rPr>
          <w:b/>
        </w:rPr>
      </w:pPr>
      <w:r w:rsidRPr="002802DB">
        <w:rPr>
          <w:b/>
          <w:lang w:val="es-ES"/>
        </w:rPr>
        <w:t xml:space="preserve"> CASO 2. Cambios que </w:t>
      </w:r>
      <w:r w:rsidRPr="002802DB">
        <w:rPr>
          <w:b/>
        </w:rPr>
        <w:t>modifican la redacción de la Propuesta de Oferta de Referencia.</w:t>
      </w:r>
    </w:p>
    <w:p w:rsidR="007C4016" w:rsidRDefault="007C4016" w:rsidP="007C4016">
      <w:pPr>
        <w:spacing w:before="240" w:after="0"/>
        <w:rPr>
          <w:rFonts w:ascii="ITC Avant Garde" w:eastAsia="MS Mincho" w:hAnsi="ITC Avant Garde" w:cs="Calibri"/>
          <w:b/>
          <w:sz w:val="22"/>
          <w:szCs w:val="22"/>
          <w:lang w:val="es-ES" w:eastAsia="en-US"/>
        </w:rPr>
      </w:pPr>
      <w:r>
        <w:rPr>
          <w:rFonts w:ascii="ITC Avant Garde" w:eastAsia="MS Mincho" w:hAnsi="ITC Avant Garde" w:cs="Calibri"/>
          <w:b/>
          <w:sz w:val="22"/>
          <w:szCs w:val="22"/>
          <w:lang w:val="es-ES" w:eastAsia="en-US"/>
        </w:rPr>
        <w:t>Redacción Definitiva</w:t>
      </w:r>
    </w:p>
    <w:p w:rsidR="007C4016" w:rsidRPr="00B04C3A" w:rsidRDefault="007C4016" w:rsidP="007C4016">
      <w:pPr>
        <w:pStyle w:val="IFTnormal"/>
        <w:spacing w:before="240" w:after="0"/>
      </w:pPr>
      <w:r w:rsidRPr="00B04C3A">
        <w:t>Derivado del análisis realizado, el Instituto resuelve que el numeral “</w:t>
      </w:r>
      <w:r w:rsidRPr="00B04C3A">
        <w:rPr>
          <w:i/>
        </w:rPr>
        <w:t>4.1 Procedimientos para la contratación, modificación y baja de los servicios</w:t>
      </w:r>
      <w:r w:rsidRPr="00B04C3A">
        <w:t xml:space="preserve">” correspondiente al </w:t>
      </w:r>
      <w:r w:rsidRPr="00B04C3A">
        <w:rPr>
          <w:i/>
        </w:rPr>
        <w:t xml:space="preserve">“Servicio de Acceso y Uso </w:t>
      </w:r>
      <w:r>
        <w:t>de Sitios, Predios y Espacios Físicos</w:t>
      </w:r>
      <w:r w:rsidRPr="00B04C3A">
        <w:rPr>
          <w:i/>
        </w:rPr>
        <w:t>”</w:t>
      </w:r>
      <w:r w:rsidRPr="00B04C3A">
        <w:t xml:space="preserve"> deberá quedar de la siguiente manera:</w:t>
      </w:r>
    </w:p>
    <w:p w:rsidR="007C4016" w:rsidRPr="00D9755C" w:rsidRDefault="007C4016" w:rsidP="007C4016">
      <w:pPr>
        <w:pStyle w:val="CondicionesFinales"/>
        <w:spacing w:before="240" w:after="0"/>
        <w:rPr>
          <w:b/>
        </w:rPr>
      </w:pPr>
      <w:r w:rsidRPr="00D9755C">
        <w:rPr>
          <w:b/>
        </w:rPr>
        <w:t>4.1 Procedimientos para la contratación, modificación y baja de los servicios.</w:t>
      </w:r>
    </w:p>
    <w:p w:rsidR="007C4016" w:rsidRDefault="007C4016" w:rsidP="007C4016">
      <w:pPr>
        <w:pStyle w:val="CondicionesFinales"/>
        <w:spacing w:before="240" w:after="0"/>
        <w:rPr>
          <w:lang w:val="es-ES"/>
        </w:rPr>
      </w:pPr>
      <w:r w:rsidRPr="00716C42">
        <w:rPr>
          <w:lang w:val="es-ES"/>
        </w:rPr>
        <w:t xml:space="preserve">A continuación se describen los procedimientos a seguir para la contratación, modificación y baja de del servicio. Los plazos para la realización de estas actividades así como los indicadores de nivel de servicio se encuentran detallados en el Anexo </w:t>
      </w:r>
      <w:r>
        <w:rPr>
          <w:lang w:val="es-ES"/>
        </w:rPr>
        <w:t>4 de la Oferta</w:t>
      </w:r>
      <w:r w:rsidRPr="00716C42">
        <w:rPr>
          <w:lang w:val="es-ES"/>
        </w:rPr>
        <w:t>.</w:t>
      </w:r>
    </w:p>
    <w:p w:rsidR="007C4016" w:rsidRPr="00D9755C" w:rsidRDefault="007C4016" w:rsidP="007C4016">
      <w:pPr>
        <w:pStyle w:val="CondicionesFinales"/>
        <w:spacing w:before="240" w:after="0"/>
        <w:rPr>
          <w:b/>
        </w:rPr>
      </w:pPr>
      <w:r>
        <w:rPr>
          <w:b/>
        </w:rPr>
        <w:t xml:space="preserve">a. </w:t>
      </w:r>
      <w:bookmarkStart w:id="55" w:name="_Toc435555548"/>
      <w:bookmarkStart w:id="56" w:name="_Toc436229702"/>
      <w:bookmarkStart w:id="57" w:name="_Toc436230617"/>
      <w:bookmarkStart w:id="58" w:name="_Toc488945231"/>
      <w:r w:rsidRPr="00D9755C">
        <w:rPr>
          <w:b/>
        </w:rPr>
        <w:t>Contratación</w:t>
      </w:r>
      <w:bookmarkEnd w:id="55"/>
      <w:bookmarkEnd w:id="56"/>
      <w:bookmarkEnd w:id="57"/>
      <w:bookmarkEnd w:id="58"/>
      <w:r w:rsidRPr="00D9755C">
        <w:rPr>
          <w:b/>
        </w:rPr>
        <w:t xml:space="preserve"> </w:t>
      </w:r>
    </w:p>
    <w:p w:rsidR="007C4016" w:rsidRDefault="007C4016" w:rsidP="007C4016">
      <w:pPr>
        <w:pStyle w:val="CondicionesFinales"/>
        <w:spacing w:before="240" w:after="0"/>
      </w:pPr>
      <w:r w:rsidRPr="00716C42">
        <w:t xml:space="preserve">Queda establecido que mediante el envío de la solicitud, el CS consiente realizar el pago por </w:t>
      </w:r>
      <w:r>
        <w:t>los cargos no recurrentes</w:t>
      </w:r>
      <w:r w:rsidRPr="00716C42">
        <w:t xml:space="preserve"> así como por los elementos de cobro que conforman el servicio. Asimismo si el CS rechaza el servicio o decide no continuar con el procedimiento deberá liquidar el monto generado por las actividades realizadas hasta el momento que decidió terminar el procedimiento. </w:t>
      </w:r>
    </w:p>
    <w:p w:rsidR="007C4016" w:rsidRDefault="007C4016" w:rsidP="007C4016">
      <w:pPr>
        <w:pStyle w:val="CondicionesFinales"/>
        <w:spacing w:before="240" w:after="0"/>
      </w:pPr>
      <w:r w:rsidRPr="00716C42">
        <w:t>Las actividades que conforman el procedimiento de contratación son las siguientes</w:t>
      </w:r>
      <w:r>
        <w:t>:</w:t>
      </w:r>
    </w:p>
    <w:tbl>
      <w:tblPr>
        <w:tblStyle w:val="Tablaconcuadrcula"/>
        <w:tblW w:w="3991" w:type="pct"/>
        <w:tblInd w:w="959" w:type="dxa"/>
        <w:tblLook w:val="04A0" w:firstRow="1" w:lastRow="0" w:firstColumn="1" w:lastColumn="0" w:noHBand="0" w:noVBand="1"/>
        <w:tblCaption w:val="Tabla"/>
        <w:tblDescription w:val="Las actividades que conforman el procedimiento de contratación "/>
      </w:tblPr>
      <w:tblGrid>
        <w:gridCol w:w="1889"/>
        <w:gridCol w:w="5159"/>
      </w:tblGrid>
      <w:tr w:rsidR="007C4016" w:rsidRPr="00D9755C" w:rsidTr="005C782A">
        <w:trPr>
          <w:tblHeader/>
        </w:trPr>
        <w:tc>
          <w:tcPr>
            <w:tcW w:w="1340" w:type="pct"/>
            <w:shd w:val="clear" w:color="auto" w:fill="D9D9D9" w:themeFill="background1" w:themeFillShade="D9"/>
          </w:tcPr>
          <w:p w:rsidR="007C4016" w:rsidRPr="00CE5D0C" w:rsidRDefault="007C4016" w:rsidP="005C782A">
            <w:pPr>
              <w:pStyle w:val="IFTnormal"/>
              <w:spacing w:after="0"/>
            </w:pPr>
            <w:r w:rsidRPr="00CE5D0C">
              <w:t>Etapa</w:t>
            </w:r>
          </w:p>
        </w:tc>
        <w:tc>
          <w:tcPr>
            <w:tcW w:w="3660" w:type="pct"/>
            <w:shd w:val="clear" w:color="auto" w:fill="D9D9D9" w:themeFill="background1" w:themeFillShade="D9"/>
          </w:tcPr>
          <w:p w:rsidR="007C4016" w:rsidRPr="00CE5D0C" w:rsidRDefault="007C4016" w:rsidP="005C782A">
            <w:pPr>
              <w:pStyle w:val="IFTnormal"/>
              <w:spacing w:after="0"/>
            </w:pPr>
            <w:r w:rsidRPr="00CE5D0C">
              <w:t>Descripción</w:t>
            </w:r>
          </w:p>
        </w:tc>
      </w:tr>
      <w:tr w:rsidR="007C4016" w:rsidRPr="00D9755C" w:rsidTr="005C782A">
        <w:tc>
          <w:tcPr>
            <w:tcW w:w="1340" w:type="pct"/>
          </w:tcPr>
          <w:p w:rsidR="007C4016" w:rsidRPr="00CE5D0C" w:rsidRDefault="007C4016" w:rsidP="005C782A">
            <w:pPr>
              <w:pStyle w:val="IFTnormal"/>
              <w:spacing w:after="0"/>
            </w:pPr>
            <w:r w:rsidRPr="00CE5D0C">
              <w:t>Envío y Validación de solicitud</w:t>
            </w:r>
          </w:p>
        </w:tc>
        <w:tc>
          <w:tcPr>
            <w:tcW w:w="3660" w:type="pct"/>
          </w:tcPr>
          <w:p w:rsidR="007C4016" w:rsidRPr="00CE5D0C" w:rsidRDefault="007C4016" w:rsidP="005C782A">
            <w:pPr>
              <w:pStyle w:val="IFTnormal"/>
              <w:spacing w:after="0"/>
            </w:pPr>
            <w:r w:rsidRPr="00CE5D0C">
              <w:t xml:space="preserve">El CS presentará la solicitud de contratación en el formato correspondiente a través del SEG. </w:t>
            </w:r>
            <w:r>
              <w:t>Telnor</w:t>
            </w:r>
            <w:r w:rsidRPr="00CE5D0C">
              <w:t xml:space="preserve"> recibirá la solicitud y determinará </w:t>
            </w:r>
            <w:r>
              <w:t>en 2 días hábiles</w:t>
            </w:r>
            <w:r w:rsidRPr="00CE5D0C">
              <w:t xml:space="preserve"> si la solicitud es: </w:t>
            </w:r>
          </w:p>
          <w:p w:rsidR="007C4016" w:rsidRPr="00CE5D0C" w:rsidRDefault="007C4016" w:rsidP="005C782A">
            <w:pPr>
              <w:pStyle w:val="IFTnormal"/>
              <w:numPr>
                <w:ilvl w:val="0"/>
                <w:numId w:val="62"/>
              </w:numPr>
              <w:spacing w:after="0"/>
            </w:pPr>
            <w:r w:rsidRPr="00CE5D0C">
              <w:lastRenderedPageBreak/>
              <w:t xml:space="preserve">Aceptada, </w:t>
            </w:r>
            <w:r>
              <w:t>Telnor</w:t>
            </w:r>
            <w:r w:rsidRPr="00CE5D0C">
              <w:t xml:space="preserve"> valida que la solicitud cumple con los requisitos establecidos en los formatos, por lo tanto proceden con la Visita Técnica. Se asignará de forma automática un NIS. </w:t>
            </w:r>
          </w:p>
          <w:p w:rsidR="007C4016" w:rsidRPr="00CE5D0C" w:rsidRDefault="007C4016" w:rsidP="005C782A">
            <w:pPr>
              <w:pStyle w:val="IFTnormal"/>
              <w:numPr>
                <w:ilvl w:val="0"/>
                <w:numId w:val="62"/>
              </w:numPr>
              <w:spacing w:after="0"/>
            </w:pPr>
            <w:r w:rsidRPr="00CE5D0C">
              <w:t xml:space="preserve">Rechazado, en caso de que la solicitud no cumpliera con los requisitos, </w:t>
            </w:r>
            <w:r>
              <w:t>Telnor</w:t>
            </w:r>
            <w:r w:rsidRPr="00CE5D0C">
              <w:t xml:space="preserve"> notificará al CS a través del SEG que la solicitud ha sido rechazada y el motivo por el cual no se pudo procesar, de tal forma que el CS pueda corregir la información y reenviar la solicitud.</w:t>
            </w:r>
          </w:p>
        </w:tc>
      </w:tr>
      <w:tr w:rsidR="007C4016" w:rsidRPr="00D9755C" w:rsidTr="005C782A">
        <w:tc>
          <w:tcPr>
            <w:tcW w:w="1340" w:type="pct"/>
          </w:tcPr>
          <w:p w:rsidR="007C4016" w:rsidRPr="00CE5D0C" w:rsidRDefault="007C4016" w:rsidP="005C782A">
            <w:pPr>
              <w:pStyle w:val="IFTnormal"/>
              <w:spacing w:after="0"/>
            </w:pPr>
            <w:r w:rsidRPr="00CE5D0C">
              <w:lastRenderedPageBreak/>
              <w:t>Visita Técnica</w:t>
            </w:r>
          </w:p>
        </w:tc>
        <w:tc>
          <w:tcPr>
            <w:tcW w:w="3660" w:type="pct"/>
          </w:tcPr>
          <w:p w:rsidR="007C4016" w:rsidRDefault="007C4016" w:rsidP="005C782A">
            <w:pPr>
              <w:pStyle w:val="IFTnormal"/>
              <w:spacing w:after="0"/>
            </w:pPr>
            <w:r w:rsidRPr="00CE5D0C">
              <w:t xml:space="preserve">Una vez que se validó la solicitud y cuenta con NIS, </w:t>
            </w:r>
            <w:r>
              <w:t>Telnor</w:t>
            </w:r>
            <w:r w:rsidRPr="00CE5D0C">
              <w:t xml:space="preserve"> revisará la disponibilidad de fechas y horarios para </w:t>
            </w:r>
            <w:r>
              <w:t>realizar la programación en máximo 5 días hábiles de</w:t>
            </w:r>
            <w:r w:rsidRPr="00CE5D0C">
              <w:t xml:space="preserve"> Visita Técnica conjunta, e informará al CS para que acepte o rechace. En caso de no aceptarse la fecha propuesta, el CS podrá solicitar una nueva fecha, con lo que esta actividad </w:t>
            </w:r>
            <w:r>
              <w:t>podrá</w:t>
            </w:r>
            <w:r w:rsidRPr="00CE5D0C">
              <w:t xml:space="preserve"> repetirse hasta </w:t>
            </w:r>
            <w:r>
              <w:t>en 3 ocasiones</w:t>
            </w:r>
            <w:r w:rsidRPr="00CE5D0C">
              <w:t>.</w:t>
            </w:r>
            <w:r w:rsidRPr="004621E4">
              <w:t xml:space="preserve"> La Visita Técnica tendrá que realizarse en un máximo de </w:t>
            </w:r>
            <w:r w:rsidRPr="00B21FA5">
              <w:t>20 días hábiles</w:t>
            </w:r>
            <w:r w:rsidRPr="004621E4">
              <w:t xml:space="preserve"> a partir del ingreso de la solicitud.</w:t>
            </w:r>
          </w:p>
          <w:p w:rsidR="007C4016" w:rsidRDefault="007C4016" w:rsidP="005C782A">
            <w:pPr>
              <w:pStyle w:val="IFTnormal"/>
              <w:spacing w:after="0"/>
            </w:pPr>
            <w:r w:rsidRPr="00712037">
              <w:t xml:space="preserve">Al concluir la Visita Técnica se firmará el documento Reporte de Visita Técnica, por lo que </w:t>
            </w:r>
            <w:r>
              <w:t>Telnor</w:t>
            </w:r>
            <w:r w:rsidRPr="00712037">
              <w:t xml:space="preserve"> y el CS deberá asegurarse que la información recabada es correcta y completa con todos los detalles necesarios para el desarrollo del anteproyecto. En esta etapa deberán ejecutarse todas las mediciones y cálculos que considere pertinente el CS para determinar la capacidad excedente de la infraestructura, entre otros aspectos para la correcta prestación del servicio.</w:t>
            </w:r>
          </w:p>
          <w:p w:rsidR="007C4016" w:rsidRDefault="007C4016" w:rsidP="005C782A">
            <w:pPr>
              <w:pStyle w:val="IFTnormal"/>
              <w:spacing w:after="0"/>
            </w:pPr>
            <w:r w:rsidRPr="00CE2104">
              <w:lastRenderedPageBreak/>
              <w:t>El Reporte de Visita Técnica deberá ser escaneado e integrado en el SEG.</w:t>
            </w:r>
            <w:r>
              <w:t xml:space="preserve"> Telnor deberá actualizar la información correspondiente en el SEG en un plazo máximo de 5 días hábiles.</w:t>
            </w:r>
          </w:p>
          <w:p w:rsidR="007C4016" w:rsidRDefault="007C4016" w:rsidP="005C782A">
            <w:pPr>
              <w:pStyle w:val="IFTnormal"/>
              <w:spacing w:after="0"/>
              <w:rPr>
                <w:rFonts w:asciiTheme="minorHAnsi" w:eastAsia="Times New Roman" w:hAnsiTheme="minorHAnsi" w:cs="Times New Roman"/>
                <w:bCs w:val="0"/>
                <w:sz w:val="24"/>
                <w:szCs w:val="24"/>
                <w:lang w:eastAsia="es-ES"/>
              </w:rPr>
            </w:pPr>
            <w:r w:rsidRPr="00CE2104">
              <w:t>El resultado de la Visita Técnica</w:t>
            </w:r>
            <w:r>
              <w:t xml:space="preserve"> </w:t>
            </w:r>
            <w:r w:rsidRPr="00CE2104">
              <w:t>determinará una de las siguientes opciones:</w:t>
            </w:r>
          </w:p>
          <w:p w:rsidR="007C4016" w:rsidRPr="00CE5D0C" w:rsidRDefault="007C4016" w:rsidP="005C782A">
            <w:pPr>
              <w:pStyle w:val="IFTnormal"/>
              <w:numPr>
                <w:ilvl w:val="0"/>
                <w:numId w:val="71"/>
              </w:numPr>
              <w:spacing w:after="0"/>
            </w:pPr>
            <w:r w:rsidRPr="00CE5D0C">
              <w:t xml:space="preserve">Existe capacidad excedente para brindar el Servicio. </w:t>
            </w:r>
            <w:r>
              <w:t>Telnor</w:t>
            </w:r>
            <w:r w:rsidRPr="00CE5D0C">
              <w:t xml:space="preserve"> procede a entregar información al CS para la realización del Anteproyecto.</w:t>
            </w:r>
          </w:p>
          <w:p w:rsidR="007C4016" w:rsidRPr="00CE5D0C" w:rsidRDefault="007C4016" w:rsidP="005C782A">
            <w:pPr>
              <w:pStyle w:val="IFTnormal"/>
              <w:numPr>
                <w:ilvl w:val="0"/>
                <w:numId w:val="71"/>
              </w:numPr>
              <w:spacing w:after="0"/>
            </w:pPr>
            <w:r w:rsidRPr="00CE5D0C">
              <w:t xml:space="preserve">Existen capacidad excedente para brindar el servicio solicitado y se requiere un trabajo especial (acondicionamiento de infraestructura o recuperación de espacios). </w:t>
            </w:r>
            <w:r>
              <w:t>Telnor</w:t>
            </w:r>
            <w:r w:rsidRPr="00CE5D0C">
              <w:t xml:space="preserve"> proporcionará la cotización de los trabajos a realizar y el programa de trabajo necesario. </w:t>
            </w:r>
          </w:p>
          <w:p w:rsidR="007C4016" w:rsidRPr="00CE5D0C" w:rsidRDefault="007C4016" w:rsidP="005C782A">
            <w:pPr>
              <w:pStyle w:val="IFTnormal"/>
              <w:numPr>
                <w:ilvl w:val="1"/>
                <w:numId w:val="71"/>
              </w:numPr>
              <w:spacing w:after="0"/>
            </w:pPr>
            <w:r w:rsidRPr="00CE5D0C">
              <w:t>CS acepta y autoriza</w:t>
            </w:r>
            <w:r>
              <w:t xml:space="preserve"> </w:t>
            </w:r>
            <w:r w:rsidRPr="00CE5D0C">
              <w:t xml:space="preserve">Trabajos Especiales asociados al servicio. </w:t>
            </w:r>
            <w:r>
              <w:t>Telnor</w:t>
            </w:r>
            <w:r w:rsidRPr="00CE5D0C">
              <w:t xml:space="preserve"> realizará la ejecución de los mismos, notificando al CS la fecha de inicio y terminación de los trabajos, una vez concluidos estos trabajos, </w:t>
            </w:r>
            <w:r>
              <w:t>Telnor</w:t>
            </w:r>
            <w:r w:rsidRPr="00CE5D0C">
              <w:t xml:space="preserve"> procede a entregar la información para la elaboración del Anteproyecto. </w:t>
            </w:r>
          </w:p>
          <w:p w:rsidR="007C4016" w:rsidRPr="00226CC9" w:rsidRDefault="007C4016" w:rsidP="005C782A">
            <w:pPr>
              <w:pStyle w:val="IFTnormal"/>
              <w:numPr>
                <w:ilvl w:val="1"/>
                <w:numId w:val="71"/>
              </w:numPr>
              <w:spacing w:after="0"/>
            </w:pPr>
            <w:r w:rsidRPr="00226CC9">
              <w:t>En caso de no aceptar los Trabajos Especiales, el CS señalara si continua o no la solicitud.</w:t>
            </w:r>
          </w:p>
          <w:p w:rsidR="007C4016" w:rsidRPr="00CE5D0C" w:rsidRDefault="007C4016" w:rsidP="005C782A">
            <w:pPr>
              <w:pStyle w:val="IFTnormal"/>
              <w:numPr>
                <w:ilvl w:val="0"/>
                <w:numId w:val="71"/>
              </w:numPr>
              <w:spacing w:after="0"/>
            </w:pPr>
            <w:r>
              <w:t>No hay capacidad excedente. Concluye el procedimiento.</w:t>
            </w:r>
          </w:p>
        </w:tc>
      </w:tr>
      <w:tr w:rsidR="007C4016" w:rsidRPr="00D9755C" w:rsidTr="005C782A">
        <w:tc>
          <w:tcPr>
            <w:tcW w:w="1340" w:type="pct"/>
          </w:tcPr>
          <w:p w:rsidR="007C4016" w:rsidRPr="00CE5D0C" w:rsidRDefault="007C4016" w:rsidP="005C782A">
            <w:pPr>
              <w:pStyle w:val="IFTnormal"/>
              <w:tabs>
                <w:tab w:val="left" w:pos="567"/>
              </w:tabs>
              <w:spacing w:after="0"/>
            </w:pPr>
            <w:r w:rsidRPr="004621E4">
              <w:lastRenderedPageBreak/>
              <w:t>Entrega de Información de Visita Técnica</w:t>
            </w:r>
          </w:p>
        </w:tc>
        <w:tc>
          <w:tcPr>
            <w:tcW w:w="3660" w:type="pct"/>
            <w:shd w:val="clear" w:color="auto" w:fill="auto"/>
          </w:tcPr>
          <w:p w:rsidR="007C4016" w:rsidRPr="00CE5D0C" w:rsidRDefault="007C4016" w:rsidP="005C782A">
            <w:pPr>
              <w:pStyle w:val="IFTnormal"/>
              <w:spacing w:after="0"/>
            </w:pPr>
            <w:r>
              <w:t>Telnor</w:t>
            </w:r>
            <w:r w:rsidRPr="004621E4">
              <w:t xml:space="preserve"> entregará de manera formal al CS la información para la elaboración del Anteproyecto en un máximo </w:t>
            </w:r>
            <w:r w:rsidRPr="00B21FA5">
              <w:t>de 5 días hábiles</w:t>
            </w:r>
            <w:r w:rsidRPr="004621E4">
              <w:t xml:space="preserve"> </w:t>
            </w:r>
            <w:r w:rsidRPr="004621E4">
              <w:lastRenderedPageBreak/>
              <w:t>posteriores a que fue concluida la Visita Técnica.</w:t>
            </w:r>
          </w:p>
        </w:tc>
      </w:tr>
      <w:tr w:rsidR="007C4016" w:rsidRPr="00D9755C" w:rsidTr="005C782A">
        <w:tc>
          <w:tcPr>
            <w:tcW w:w="1340" w:type="pct"/>
          </w:tcPr>
          <w:p w:rsidR="007C4016" w:rsidRPr="00CE5D0C" w:rsidRDefault="007C4016" w:rsidP="005C782A">
            <w:pPr>
              <w:pStyle w:val="IFTnormal"/>
              <w:tabs>
                <w:tab w:val="left" w:pos="567"/>
              </w:tabs>
              <w:spacing w:after="0"/>
            </w:pPr>
            <w:r w:rsidRPr="00CE5D0C">
              <w:lastRenderedPageBreak/>
              <w:t>Elaboración de Anteproyecto y Programa de Trabajo</w:t>
            </w:r>
          </w:p>
        </w:tc>
        <w:tc>
          <w:tcPr>
            <w:tcW w:w="3660" w:type="pct"/>
            <w:shd w:val="clear" w:color="auto" w:fill="auto"/>
          </w:tcPr>
          <w:p w:rsidR="007C4016" w:rsidRPr="00CE5D0C" w:rsidRDefault="007C4016" w:rsidP="005C782A">
            <w:pPr>
              <w:pStyle w:val="IFTnormal"/>
              <w:spacing w:after="0"/>
            </w:pPr>
            <w:r w:rsidRPr="00CE5D0C">
              <w:t xml:space="preserve">El CS elaborará el Anteproyecto </w:t>
            </w:r>
            <w:r w:rsidRPr="006B7FE5">
              <w:t>(</w:t>
            </w:r>
            <w:r>
              <w:t>20 días hábiles</w:t>
            </w:r>
            <w:r w:rsidRPr="006B7FE5">
              <w:t xml:space="preserve">) </w:t>
            </w:r>
            <w:r w:rsidRPr="00CE5D0C">
              <w:t xml:space="preserve">con la información proporcionada por </w:t>
            </w:r>
            <w:r>
              <w:t>Telnor</w:t>
            </w:r>
            <w:r w:rsidRPr="00CE5D0C">
              <w:t xml:space="preserve"> (en caso de </w:t>
            </w:r>
            <w:r>
              <w:t>requerir</w:t>
            </w:r>
            <w:r w:rsidRPr="00CE5D0C">
              <w:t xml:space="preserve"> trabajos especiales, el Anteproyecto deberá contemplar los trabajos) y la recopilada durante Visita Técnica. La siguiente información deb</w:t>
            </w:r>
            <w:r>
              <w:t>erá estar disponible en el SEG la cual deberá incluir al menos</w:t>
            </w:r>
            <w:r w:rsidRPr="00CE5D0C">
              <w:t>:</w:t>
            </w:r>
          </w:p>
          <w:p w:rsidR="007C4016" w:rsidRPr="00CE5D0C" w:rsidRDefault="007C4016" w:rsidP="005C782A">
            <w:pPr>
              <w:pStyle w:val="IFTnormal"/>
              <w:numPr>
                <w:ilvl w:val="0"/>
                <w:numId w:val="63"/>
              </w:numPr>
              <w:spacing w:after="0"/>
            </w:pPr>
            <w:r w:rsidRPr="00CE5D0C">
              <w:t>Anteproyecto</w:t>
            </w:r>
          </w:p>
          <w:p w:rsidR="007C4016" w:rsidRPr="00CE5D0C" w:rsidRDefault="007C4016" w:rsidP="005C782A">
            <w:pPr>
              <w:pStyle w:val="IFTnormal"/>
              <w:numPr>
                <w:ilvl w:val="0"/>
                <w:numId w:val="63"/>
              </w:numPr>
              <w:spacing w:after="0"/>
            </w:pPr>
            <w:r w:rsidRPr="00CE5D0C">
              <w:t>Plano(s)</w:t>
            </w:r>
          </w:p>
          <w:p w:rsidR="007C4016" w:rsidRPr="00CE5D0C" w:rsidRDefault="007C4016" w:rsidP="005C782A">
            <w:pPr>
              <w:pStyle w:val="IFTnormal"/>
              <w:numPr>
                <w:ilvl w:val="0"/>
                <w:numId w:val="63"/>
              </w:numPr>
              <w:spacing w:after="0"/>
            </w:pPr>
            <w:r w:rsidRPr="00CE5D0C">
              <w:t>Especificaciones Técnicas de cables y dispositivos a instalar</w:t>
            </w:r>
          </w:p>
          <w:p w:rsidR="007C4016" w:rsidRPr="00CE5D0C" w:rsidRDefault="007C4016" w:rsidP="005C782A">
            <w:pPr>
              <w:pStyle w:val="IFTnormal"/>
              <w:numPr>
                <w:ilvl w:val="0"/>
                <w:numId w:val="63"/>
              </w:numPr>
              <w:spacing w:after="0"/>
            </w:pPr>
            <w:r w:rsidRPr="00CE5D0C">
              <w:t>Programa de trabajo para la Instalación de Infraestructura.</w:t>
            </w:r>
          </w:p>
          <w:p w:rsidR="007C4016" w:rsidRDefault="007C4016" w:rsidP="005C782A">
            <w:pPr>
              <w:pStyle w:val="IFTnormal"/>
              <w:spacing w:after="0"/>
            </w:pPr>
            <w:r>
              <w:t xml:space="preserve">El CS podrá </w:t>
            </w:r>
            <w:r w:rsidRPr="004621E4">
              <w:t xml:space="preserve">solicitar </w:t>
            </w:r>
            <w:r>
              <w:t xml:space="preserve">a Telnor </w:t>
            </w:r>
            <w:r w:rsidRPr="004621E4">
              <w:t xml:space="preserve">un plazo de hasta </w:t>
            </w:r>
            <w:r w:rsidRPr="00B21FA5">
              <w:t>20 días hábiles</w:t>
            </w:r>
            <w:r w:rsidRPr="004621E4">
              <w:t xml:space="preserve"> adicionales </w:t>
            </w:r>
            <w:r>
              <w:t>para la elaboración y entrega del Anteproyecto.</w:t>
            </w:r>
          </w:p>
          <w:p w:rsidR="007C4016" w:rsidRPr="00CE5D0C" w:rsidRDefault="007C4016" w:rsidP="005C782A">
            <w:pPr>
              <w:pStyle w:val="IFTnormal"/>
              <w:spacing w:after="0"/>
            </w:pPr>
            <w:r w:rsidRPr="00456214">
              <w:t xml:space="preserve"> </w:t>
            </w:r>
            <w:r>
              <w:t>Telnor</w:t>
            </w:r>
            <w:r w:rsidRPr="00456214">
              <w:t xml:space="preserve"> no podrá negar la autorización del Anteproyecto por diferencias o deficiencias de información que no se hayan señalado durante la Visita Técnica.</w:t>
            </w:r>
          </w:p>
          <w:p w:rsidR="007C4016" w:rsidRPr="00CE5D0C" w:rsidRDefault="007C4016" w:rsidP="005C782A">
            <w:pPr>
              <w:pStyle w:val="IFTnormal"/>
              <w:spacing w:after="0"/>
            </w:pPr>
            <w:r w:rsidRPr="00712037">
              <w:t xml:space="preserve">Una vez revisado el Anteproyecto y este no pueda ser aprobado, derivado de que la información recabada no fue correcta y completa por causas imputables a </w:t>
            </w:r>
            <w:r>
              <w:t>Telnor</w:t>
            </w:r>
            <w:r w:rsidRPr="00712037">
              <w:t>, se podrán programar Visitas Técnicas adicionales sin costo para el CS.</w:t>
            </w:r>
          </w:p>
        </w:tc>
      </w:tr>
      <w:tr w:rsidR="007C4016" w:rsidRPr="00D9755C" w:rsidTr="005C782A">
        <w:tc>
          <w:tcPr>
            <w:tcW w:w="1340" w:type="pct"/>
          </w:tcPr>
          <w:p w:rsidR="007C4016" w:rsidRPr="00CE5D0C" w:rsidRDefault="007C4016" w:rsidP="005C782A">
            <w:pPr>
              <w:pStyle w:val="IFTnormal"/>
              <w:spacing w:after="0"/>
            </w:pPr>
            <w:r w:rsidRPr="00CE5D0C">
              <w:t>Análisis de Factibilidad</w:t>
            </w:r>
          </w:p>
        </w:tc>
        <w:tc>
          <w:tcPr>
            <w:tcW w:w="3660" w:type="pct"/>
          </w:tcPr>
          <w:p w:rsidR="007C4016" w:rsidRPr="00CE5D0C" w:rsidRDefault="007C4016" w:rsidP="005C782A">
            <w:pPr>
              <w:pStyle w:val="IFTnormal"/>
              <w:spacing w:after="0"/>
            </w:pPr>
            <w:r>
              <w:t>Telnor</w:t>
            </w:r>
            <w:r w:rsidRPr="00CE5D0C">
              <w:t xml:space="preserve"> revisará que la información del Anteproyecto sea consistente con el levantamiento realizado en la Visita de Técnica, validando </w:t>
            </w:r>
            <w:r w:rsidRPr="004621E4">
              <w:t xml:space="preserve">en </w:t>
            </w:r>
            <w:r w:rsidRPr="00B21FA5">
              <w:t>máximo 5</w:t>
            </w:r>
            <w:r>
              <w:t xml:space="preserve"> días hábiles</w:t>
            </w:r>
            <w:r w:rsidRPr="00CE5D0C">
              <w:t xml:space="preserve"> que el documento cumpla con los requisitos establecidos y la normatividad correspondiente. </w:t>
            </w:r>
            <w:r>
              <w:t>Telnor</w:t>
            </w:r>
            <w:r w:rsidRPr="00CE5D0C">
              <w:t xml:space="preserve"> notificará al CS el resultado del Análisis de Factibilidad:</w:t>
            </w:r>
          </w:p>
          <w:p w:rsidR="007C4016" w:rsidRPr="00CE5D0C" w:rsidRDefault="007C4016" w:rsidP="005C782A">
            <w:pPr>
              <w:pStyle w:val="IFTnormal"/>
              <w:numPr>
                <w:ilvl w:val="0"/>
                <w:numId w:val="64"/>
              </w:numPr>
              <w:spacing w:after="0"/>
            </w:pPr>
            <w:r w:rsidRPr="00CE5D0C">
              <w:lastRenderedPageBreak/>
              <w:t>Positivo. Con el cual el CS dará inicio a la Instalación de la Infraestructura, basándose en el Programa de Trabajo.</w:t>
            </w:r>
          </w:p>
          <w:p w:rsidR="007C4016" w:rsidRPr="00CE5D0C" w:rsidRDefault="007C4016" w:rsidP="005C782A">
            <w:pPr>
              <w:pStyle w:val="IFTnormal"/>
              <w:numPr>
                <w:ilvl w:val="0"/>
                <w:numId w:val="64"/>
              </w:numPr>
              <w:spacing w:after="0"/>
            </w:pPr>
            <w:r w:rsidRPr="00CE5D0C">
              <w:t xml:space="preserve">Negativo. </w:t>
            </w:r>
            <w:r>
              <w:t>Telnor</w:t>
            </w:r>
            <w:r w:rsidRPr="00CE5D0C">
              <w:t xml:space="preserve"> notificará al CS el motivo del resultado, de tal forma que el CS pueda corregir la información y reenviarla.</w:t>
            </w:r>
          </w:p>
          <w:p w:rsidR="007C4016" w:rsidRPr="00CE5D0C" w:rsidRDefault="007C4016" w:rsidP="005C782A">
            <w:pPr>
              <w:pStyle w:val="IFTnormal"/>
              <w:spacing w:after="0"/>
            </w:pPr>
            <w:r w:rsidRPr="00712037">
              <w:t>Cualquier comentario o ajuste al Anteproyecto o a los documentos relacionados al proyecto deberá estar plenamente justificado y hacerse a través del SEG, el CS deberá mantener actualizada la documentación.</w:t>
            </w:r>
          </w:p>
        </w:tc>
      </w:tr>
      <w:tr w:rsidR="007C4016" w:rsidRPr="00D9755C" w:rsidTr="005C782A">
        <w:tc>
          <w:tcPr>
            <w:tcW w:w="1340" w:type="pct"/>
          </w:tcPr>
          <w:p w:rsidR="007C4016" w:rsidRPr="00CE5D0C" w:rsidRDefault="007C4016" w:rsidP="005C782A">
            <w:pPr>
              <w:pStyle w:val="IFTnormal"/>
              <w:spacing w:after="0"/>
              <w:rPr>
                <w:highlight w:val="cyan"/>
              </w:rPr>
            </w:pPr>
            <w:r w:rsidRPr="00CE5D0C">
              <w:lastRenderedPageBreak/>
              <w:t>Instalación de Infraestructura</w:t>
            </w:r>
          </w:p>
        </w:tc>
        <w:tc>
          <w:tcPr>
            <w:tcW w:w="3660" w:type="pct"/>
          </w:tcPr>
          <w:p w:rsidR="007C4016" w:rsidRPr="00CE5D0C" w:rsidRDefault="007C4016" w:rsidP="005C782A">
            <w:pPr>
              <w:pStyle w:val="IFTnormal"/>
              <w:spacing w:after="0"/>
            </w:pPr>
            <w:r w:rsidRPr="00CE5D0C">
              <w:t>Una vez que el CS recibió el resultado positivo del Análisis de Factibilidad, instalará la Infraestructura apegándose al Anteproyecto y Programa de trabajo aprobados previamente.</w:t>
            </w:r>
          </w:p>
          <w:p w:rsidR="007C4016" w:rsidRPr="00CE5D0C" w:rsidRDefault="007C4016" w:rsidP="005C782A">
            <w:pPr>
              <w:pStyle w:val="IFTnormal"/>
              <w:spacing w:after="0"/>
            </w:pPr>
            <w:r w:rsidRPr="00CE5D0C">
              <w:t>El CS deberá enviar las fechas de inicio y termino de instalación (</w:t>
            </w:r>
            <w:r w:rsidRPr="005A1403">
              <w:t>10 días hábiles).</w:t>
            </w:r>
          </w:p>
          <w:p w:rsidR="007C4016" w:rsidRPr="00CE5D0C" w:rsidRDefault="007C4016" w:rsidP="005C782A">
            <w:pPr>
              <w:pStyle w:val="IFTnormal"/>
              <w:spacing w:after="0"/>
            </w:pPr>
            <w:r>
              <w:t>Telnor</w:t>
            </w:r>
            <w:r w:rsidRPr="00CE5D0C">
              <w:t xml:space="preserve"> confirmará la aceptación de la fecha de inicio (</w:t>
            </w:r>
            <w:r w:rsidRPr="005A1403">
              <w:t>3 días hábiles</w:t>
            </w:r>
            <w:r w:rsidRPr="00CE5D0C">
              <w:t xml:space="preserve">). En caso de no aceptarse la fecha propuesta el CS podrá solicitar una nueva fecha. </w:t>
            </w:r>
            <w:r w:rsidRPr="00712037">
              <w:t xml:space="preserve">Esta actividad </w:t>
            </w:r>
            <w:r>
              <w:t>podrá</w:t>
            </w:r>
            <w:r w:rsidRPr="00712037">
              <w:t xml:space="preserve"> repetirse hasta en 3 ocasiones. No se podrán acordar fechas de instalación posteriores a </w:t>
            </w:r>
            <w:r>
              <w:t>1</w:t>
            </w:r>
            <w:r w:rsidRPr="00712037">
              <w:t>0 días hábiles a partir de que el CS envíe las fechas de inicio y término de instalación, a menos que sea por solicitud expresa del CS.</w:t>
            </w:r>
          </w:p>
          <w:p w:rsidR="007C4016" w:rsidRPr="00CE5D0C" w:rsidRDefault="007C4016" w:rsidP="005C782A">
            <w:pPr>
              <w:pStyle w:val="IFTnormal"/>
              <w:spacing w:after="0"/>
            </w:pPr>
            <w:r w:rsidRPr="00CE5D0C">
              <w:t xml:space="preserve">Al finalizar la instalación el CS informará a </w:t>
            </w:r>
            <w:r>
              <w:t>Telnor</w:t>
            </w:r>
            <w:r w:rsidRPr="00CE5D0C">
              <w:t xml:space="preserve"> para que realice la Verificación de la Instalación.</w:t>
            </w:r>
          </w:p>
        </w:tc>
      </w:tr>
      <w:tr w:rsidR="007C4016" w:rsidRPr="00D9755C" w:rsidTr="005C782A">
        <w:tc>
          <w:tcPr>
            <w:tcW w:w="1340" w:type="pct"/>
          </w:tcPr>
          <w:p w:rsidR="007C4016" w:rsidRPr="00CE5D0C" w:rsidRDefault="007C4016" w:rsidP="005C782A">
            <w:pPr>
              <w:pStyle w:val="IFTnormal"/>
              <w:spacing w:after="0"/>
            </w:pPr>
            <w:r w:rsidRPr="00CE5D0C">
              <w:t>Verificación de Instalación de Infraestructura</w:t>
            </w:r>
          </w:p>
        </w:tc>
        <w:tc>
          <w:tcPr>
            <w:tcW w:w="3660" w:type="pct"/>
          </w:tcPr>
          <w:p w:rsidR="007C4016" w:rsidRPr="00CE5D0C" w:rsidRDefault="007C4016" w:rsidP="005C782A">
            <w:pPr>
              <w:pStyle w:val="IFTnormal"/>
              <w:spacing w:after="0"/>
            </w:pPr>
            <w:r w:rsidRPr="00CE5D0C">
              <w:t xml:space="preserve">Una vez que </w:t>
            </w:r>
            <w:r>
              <w:t>Telnor</w:t>
            </w:r>
            <w:r w:rsidRPr="00CE5D0C">
              <w:t xml:space="preserve"> reciba la notificación por parte del CS, revisará la disponibilidad de fecha y horarios para llevar a cabo la verificación </w:t>
            </w:r>
            <w:r w:rsidRPr="004621E4">
              <w:t xml:space="preserve">en máximo </w:t>
            </w:r>
            <w:r w:rsidRPr="00B21FA5">
              <w:t>5 días hábiles</w:t>
            </w:r>
            <w:r w:rsidRPr="00CE5D0C">
              <w:t xml:space="preserve"> e </w:t>
            </w:r>
            <w:r w:rsidRPr="00CE5D0C">
              <w:lastRenderedPageBreak/>
              <w:t xml:space="preserve">informará al CS para que acepte o rechace la propuesta.  </w:t>
            </w:r>
            <w:r w:rsidRPr="00CE2104">
              <w:t xml:space="preserve">En caso de no aceptarse la fecha propuesta, el CS podrá solicitar una nueva fecha, con lo que esta actividad </w:t>
            </w:r>
            <w:r>
              <w:t>podrá</w:t>
            </w:r>
            <w:r w:rsidRPr="00CE2104">
              <w:t xml:space="preserve"> repetirse hasta </w:t>
            </w:r>
            <w:r>
              <w:t>en 3 ocasiones</w:t>
            </w:r>
            <w:r w:rsidRPr="00CE2104">
              <w:t>.</w:t>
            </w:r>
            <w:r>
              <w:t xml:space="preserve"> </w:t>
            </w:r>
            <w:r w:rsidRPr="00712037">
              <w:t xml:space="preserve">No se podrán acordar fechas de </w:t>
            </w:r>
            <w:r>
              <w:t xml:space="preserve">verificación </w:t>
            </w:r>
            <w:r w:rsidRPr="00712037">
              <w:t xml:space="preserve">posteriores a </w:t>
            </w:r>
            <w:r>
              <w:t>1</w:t>
            </w:r>
            <w:r w:rsidRPr="00712037">
              <w:t xml:space="preserve">0 días hábiles a partir de que el CS envíe </w:t>
            </w:r>
            <w:r>
              <w:t>la fecha de</w:t>
            </w:r>
            <w:r w:rsidRPr="00712037">
              <w:t xml:space="preserve"> término de instalación, a menos que sea por solicitud expresa del CS.</w:t>
            </w:r>
            <w:r w:rsidRPr="00CE5D0C">
              <w:t xml:space="preserve"> </w:t>
            </w:r>
          </w:p>
          <w:p w:rsidR="007C4016" w:rsidRPr="00CE5D0C" w:rsidRDefault="007C4016" w:rsidP="005C782A">
            <w:pPr>
              <w:pStyle w:val="IFTnormal"/>
              <w:spacing w:after="0"/>
            </w:pPr>
            <w:r w:rsidRPr="00CE5D0C">
              <w:t xml:space="preserve">Habiéndose definido la fecha, </w:t>
            </w:r>
            <w:r>
              <w:t>Telnor</w:t>
            </w:r>
            <w:r w:rsidRPr="00CE5D0C">
              <w:t xml:space="preserve"> y el CS realizarán en conjunto la Verificación de la Instalación en sitio, determinando:</w:t>
            </w:r>
          </w:p>
          <w:p w:rsidR="007C4016" w:rsidRPr="00CE5D0C" w:rsidRDefault="007C4016" w:rsidP="005C782A">
            <w:pPr>
              <w:pStyle w:val="IFTnormal"/>
              <w:numPr>
                <w:ilvl w:val="0"/>
                <w:numId w:val="65"/>
              </w:numPr>
              <w:spacing w:after="0"/>
            </w:pPr>
            <w:r w:rsidRPr="00CE5D0C">
              <w:t xml:space="preserve">La instalación de la infraestructura del CS está de acuerdo proyecto y normativa, </w:t>
            </w:r>
            <w:r>
              <w:t>Telnor</w:t>
            </w:r>
            <w:r w:rsidRPr="00CE5D0C">
              <w:t xml:space="preserve"> registrará la verificación como satisfactoria y se firmará en sitio el Formato de Acuerdo de Compartición de Infraestructura.</w:t>
            </w:r>
          </w:p>
          <w:p w:rsidR="007C4016" w:rsidRPr="00CE5D0C" w:rsidRDefault="007C4016" w:rsidP="005C782A">
            <w:pPr>
              <w:pStyle w:val="IFTnormal"/>
              <w:numPr>
                <w:ilvl w:val="0"/>
                <w:numId w:val="65"/>
              </w:numPr>
              <w:spacing w:after="0"/>
            </w:pPr>
            <w:r w:rsidRPr="00CE5D0C">
              <w:t xml:space="preserve">En caso contrario, </w:t>
            </w:r>
            <w:r>
              <w:t>Telnor</w:t>
            </w:r>
            <w:r w:rsidRPr="00CE5D0C">
              <w:t xml:space="preserve"> y el CS registran en el Formato de Acuerdo de Compartición de Infraestructura los cambios y ajustes que debe hacer el CS para cumplir con la Verificación. Esta actividad deberá repetirse en tanto no se logre la Verificación satisfactoria y la firma del Formato de Acuerdo de Compartición de Infraestructura.</w:t>
            </w:r>
          </w:p>
          <w:p w:rsidR="007C4016" w:rsidRPr="00CE5D0C" w:rsidRDefault="007C4016" w:rsidP="005C782A">
            <w:pPr>
              <w:pStyle w:val="IFTnormal"/>
              <w:spacing w:after="0"/>
            </w:pPr>
            <w:r w:rsidRPr="00712037">
              <w:t>El primer servicio de verificación no tendrá cargo alguno. De requerirse verificaciones adicionales por inconsistencias en la instalación realizada por el CS con el anteproyecto</w:t>
            </w:r>
            <w:r w:rsidRPr="004621E4">
              <w:t xml:space="preserve"> se aplicará una contraprestación</w:t>
            </w:r>
            <w:r w:rsidRPr="00712037">
              <w:t>.</w:t>
            </w:r>
          </w:p>
        </w:tc>
      </w:tr>
      <w:tr w:rsidR="007C4016" w:rsidRPr="00D9755C" w:rsidTr="005C782A">
        <w:tc>
          <w:tcPr>
            <w:tcW w:w="1340" w:type="pct"/>
            <w:shd w:val="clear" w:color="auto" w:fill="auto"/>
          </w:tcPr>
          <w:p w:rsidR="007C4016" w:rsidRPr="00CE5D0C" w:rsidRDefault="007C4016" w:rsidP="005C782A">
            <w:pPr>
              <w:pStyle w:val="IFTnormal"/>
              <w:spacing w:after="0"/>
            </w:pPr>
            <w:r w:rsidRPr="00CE5D0C">
              <w:lastRenderedPageBreak/>
              <w:t>Facturación</w:t>
            </w:r>
          </w:p>
        </w:tc>
        <w:tc>
          <w:tcPr>
            <w:tcW w:w="3660" w:type="pct"/>
            <w:shd w:val="clear" w:color="auto" w:fill="auto"/>
          </w:tcPr>
          <w:p w:rsidR="007C4016" w:rsidRPr="00CE5D0C" w:rsidRDefault="007C4016" w:rsidP="005C782A">
            <w:pPr>
              <w:pStyle w:val="IFTnormal"/>
              <w:spacing w:after="0"/>
            </w:pPr>
            <w:r w:rsidRPr="00CE5D0C">
              <w:t xml:space="preserve">Una vez firmado el Formato de Acuerdo de Compartición de Infraestructura se inicia con la facturación del Servicio, </w:t>
            </w:r>
            <w:r>
              <w:t>Telnor</w:t>
            </w:r>
            <w:r w:rsidRPr="00CE5D0C">
              <w:t xml:space="preserve"> deberá integrar el Formato escaneada al SEG.</w:t>
            </w:r>
          </w:p>
        </w:tc>
      </w:tr>
    </w:tbl>
    <w:p w:rsidR="007C4016" w:rsidRPr="00716C42" w:rsidRDefault="007C4016" w:rsidP="007C4016">
      <w:pPr>
        <w:pStyle w:val="CondicionesFinales"/>
        <w:spacing w:before="240" w:after="0"/>
      </w:pPr>
      <w:r w:rsidRPr="00716C42">
        <w:lastRenderedPageBreak/>
        <w:t>El CS deberá realizar su anteproyecto y la instalación de su red o de infraestructura de acuerdo con las características y normatividad técnica para Sitios, Predios y Espacios Físicos se documentan en el Anexo 2 de la Oferta.</w:t>
      </w:r>
    </w:p>
    <w:p w:rsidR="007C4016" w:rsidRPr="00D9755C" w:rsidRDefault="007C4016" w:rsidP="007C4016">
      <w:pPr>
        <w:pStyle w:val="CondicionesFinales"/>
        <w:spacing w:before="240" w:after="0"/>
        <w:rPr>
          <w:b/>
        </w:rPr>
      </w:pPr>
      <w:r w:rsidRPr="00D9755C">
        <w:rPr>
          <w:b/>
        </w:rPr>
        <w:t xml:space="preserve">b. </w:t>
      </w:r>
      <w:bookmarkStart w:id="59" w:name="_Toc435555549"/>
      <w:bookmarkStart w:id="60" w:name="_Toc436229703"/>
      <w:bookmarkStart w:id="61" w:name="_Toc436230618"/>
      <w:bookmarkStart w:id="62" w:name="_Toc488945232"/>
      <w:r w:rsidRPr="00D9755C">
        <w:rPr>
          <w:b/>
        </w:rPr>
        <w:t>Modificación</w:t>
      </w:r>
      <w:bookmarkEnd w:id="59"/>
      <w:bookmarkEnd w:id="60"/>
      <w:bookmarkEnd w:id="61"/>
      <w:bookmarkEnd w:id="62"/>
    </w:p>
    <w:p w:rsidR="007C4016" w:rsidRPr="00D9755C" w:rsidRDefault="007C4016" w:rsidP="007C4016">
      <w:pPr>
        <w:pStyle w:val="CondicionesFinales"/>
        <w:spacing w:before="240" w:after="0"/>
      </w:pPr>
      <w:r w:rsidRPr="00D9755C">
        <w:t xml:space="preserve">El CS únicamente podrá solicitar modificaciones de los proyectos en proceso, cuando dichas modificaciones no cambien la ruta del proyecto ni los elementos de la infraestructura de </w:t>
      </w:r>
      <w:r>
        <w:t>Telnor</w:t>
      </w:r>
      <w:r w:rsidRPr="00D9755C">
        <w:t xml:space="preserve"> solicitados originalmente.</w:t>
      </w:r>
    </w:p>
    <w:p w:rsidR="007C4016" w:rsidRDefault="007C4016" w:rsidP="007C4016">
      <w:pPr>
        <w:pStyle w:val="CondicionesFinales"/>
        <w:spacing w:before="240" w:after="0"/>
      </w:pPr>
      <w:r w:rsidRPr="00D9755C">
        <w:t>Las actividades que se tengan que efectuar para realizar una modificación a un proyecto son las siguientes</w:t>
      </w:r>
      <w:r>
        <w:t>:</w:t>
      </w:r>
    </w:p>
    <w:tbl>
      <w:tblPr>
        <w:tblStyle w:val="Tablaconcuadrcula"/>
        <w:tblW w:w="3991" w:type="pct"/>
        <w:tblInd w:w="959" w:type="dxa"/>
        <w:tblLook w:val="04A0" w:firstRow="1" w:lastRow="0" w:firstColumn="1" w:lastColumn="0" w:noHBand="0" w:noVBand="1"/>
        <w:tblCaption w:val="Tabla"/>
        <w:tblDescription w:val="Las actividades que se tengan que efectuar para realizar una modificación "/>
      </w:tblPr>
      <w:tblGrid>
        <w:gridCol w:w="1889"/>
        <w:gridCol w:w="5159"/>
      </w:tblGrid>
      <w:tr w:rsidR="007C4016" w:rsidRPr="00C30CF8" w:rsidTr="005C782A">
        <w:trPr>
          <w:tblHeader/>
        </w:trPr>
        <w:tc>
          <w:tcPr>
            <w:tcW w:w="1340" w:type="pct"/>
            <w:shd w:val="clear" w:color="auto" w:fill="D9D9D9" w:themeFill="background1" w:themeFillShade="D9"/>
          </w:tcPr>
          <w:p w:rsidR="007C4016" w:rsidRPr="00CE5D0C" w:rsidRDefault="007C4016" w:rsidP="005C782A">
            <w:pPr>
              <w:pStyle w:val="IFTnormal"/>
              <w:spacing w:after="0"/>
            </w:pPr>
            <w:r w:rsidRPr="00CE5D0C">
              <w:t>Etapa</w:t>
            </w:r>
          </w:p>
        </w:tc>
        <w:tc>
          <w:tcPr>
            <w:tcW w:w="3660" w:type="pct"/>
            <w:shd w:val="clear" w:color="auto" w:fill="D9D9D9" w:themeFill="background1" w:themeFillShade="D9"/>
          </w:tcPr>
          <w:p w:rsidR="007C4016" w:rsidRPr="00CE5D0C" w:rsidRDefault="007C4016" w:rsidP="005C782A">
            <w:pPr>
              <w:pStyle w:val="IFTnormal"/>
              <w:spacing w:after="0"/>
            </w:pPr>
            <w:r w:rsidRPr="00CE5D0C">
              <w:t>Descripción</w:t>
            </w:r>
          </w:p>
        </w:tc>
      </w:tr>
      <w:tr w:rsidR="007C4016" w:rsidRPr="00C30CF8" w:rsidTr="005C782A">
        <w:tc>
          <w:tcPr>
            <w:tcW w:w="1340" w:type="pct"/>
          </w:tcPr>
          <w:p w:rsidR="007C4016" w:rsidRPr="00CE5D0C" w:rsidRDefault="007C4016" w:rsidP="005C782A">
            <w:pPr>
              <w:pStyle w:val="IFTnormal"/>
              <w:spacing w:after="0"/>
            </w:pPr>
            <w:r w:rsidRPr="00CE5D0C">
              <w:t>Envío y Validación de solicitud</w:t>
            </w:r>
          </w:p>
        </w:tc>
        <w:tc>
          <w:tcPr>
            <w:tcW w:w="3660" w:type="pct"/>
          </w:tcPr>
          <w:p w:rsidR="007C4016" w:rsidRPr="00CE5D0C" w:rsidRDefault="007C4016" w:rsidP="005C782A">
            <w:pPr>
              <w:pStyle w:val="IFTnormal"/>
              <w:spacing w:after="0"/>
            </w:pPr>
            <w:r w:rsidRPr="00CE5D0C">
              <w:t xml:space="preserve">El CS presentará la solicitud de contratación en el formato correspondiente a través del SEG. </w:t>
            </w:r>
            <w:r>
              <w:t>Telnor</w:t>
            </w:r>
            <w:r w:rsidRPr="00CE5D0C">
              <w:t xml:space="preserve"> recibirá la solicitud y determinará</w:t>
            </w:r>
            <w:r>
              <w:t xml:space="preserve"> en 2 días hábiles</w:t>
            </w:r>
            <w:r w:rsidRPr="00CE5D0C">
              <w:t xml:space="preserve"> si la solicitud es: </w:t>
            </w:r>
          </w:p>
          <w:p w:rsidR="007C4016" w:rsidRPr="00CE5D0C" w:rsidRDefault="007C4016" w:rsidP="005C782A">
            <w:pPr>
              <w:pStyle w:val="IFTnormal"/>
              <w:numPr>
                <w:ilvl w:val="0"/>
                <w:numId w:val="62"/>
              </w:numPr>
              <w:spacing w:after="0"/>
            </w:pPr>
            <w:r w:rsidRPr="00CE5D0C">
              <w:t xml:space="preserve">Aceptada, </w:t>
            </w:r>
            <w:r>
              <w:t>Telnor</w:t>
            </w:r>
            <w:r w:rsidRPr="00CE5D0C">
              <w:t xml:space="preserve"> valida que la solicitud cumple con los requisitos establecidos en los formatos, por lo tanto proceden con la Visita Técnica. Se asignará de forma automática un NIS. </w:t>
            </w:r>
          </w:p>
          <w:p w:rsidR="007C4016" w:rsidRPr="00CE5D0C" w:rsidRDefault="007C4016" w:rsidP="005C782A">
            <w:pPr>
              <w:pStyle w:val="IFTnormal"/>
              <w:numPr>
                <w:ilvl w:val="0"/>
                <w:numId w:val="62"/>
              </w:numPr>
              <w:spacing w:after="0"/>
            </w:pPr>
            <w:r w:rsidRPr="00CE5D0C">
              <w:t xml:space="preserve">Rechazado, en caso de que la solicitud no cumpliera con los requisitos, </w:t>
            </w:r>
            <w:r>
              <w:t>Telnor</w:t>
            </w:r>
            <w:r w:rsidRPr="00CE5D0C">
              <w:t xml:space="preserve"> notificará al CS a través del SEG que la solicitud ha sido rechazada y el motivo por el cual no se pudo procesar, de tal forma que el CS pueda corregir la información y reenviar la solicitud.</w:t>
            </w:r>
          </w:p>
        </w:tc>
      </w:tr>
      <w:tr w:rsidR="007C4016" w:rsidRPr="00C30CF8" w:rsidTr="005C782A">
        <w:tc>
          <w:tcPr>
            <w:tcW w:w="1340" w:type="pct"/>
          </w:tcPr>
          <w:p w:rsidR="007C4016" w:rsidRPr="00CE5D0C" w:rsidRDefault="007C4016" w:rsidP="005C782A">
            <w:pPr>
              <w:pStyle w:val="IFTnormal"/>
              <w:tabs>
                <w:tab w:val="left" w:pos="567"/>
              </w:tabs>
              <w:spacing w:after="0"/>
            </w:pPr>
            <w:r w:rsidRPr="00CE5D0C">
              <w:t>Actualización de Anteproyecto y Programa de Trabajo</w:t>
            </w:r>
          </w:p>
        </w:tc>
        <w:tc>
          <w:tcPr>
            <w:tcW w:w="3660" w:type="pct"/>
            <w:shd w:val="clear" w:color="auto" w:fill="auto"/>
          </w:tcPr>
          <w:p w:rsidR="007C4016" w:rsidRDefault="007C4016" w:rsidP="005C782A">
            <w:pPr>
              <w:pStyle w:val="IFTnormal"/>
              <w:spacing w:after="0"/>
            </w:pPr>
            <w:r w:rsidRPr="00833D3A">
              <w:t xml:space="preserve">El CS </w:t>
            </w:r>
            <w:r>
              <w:t>modificará</w:t>
            </w:r>
            <w:r w:rsidRPr="00833D3A">
              <w:t xml:space="preserve"> </w:t>
            </w:r>
            <w:r>
              <w:t xml:space="preserve">(20 días hábiles) </w:t>
            </w:r>
            <w:r w:rsidRPr="00833D3A">
              <w:t xml:space="preserve">el Anteproyecto </w:t>
            </w:r>
            <w:r>
              <w:t xml:space="preserve">de acuerdo </w:t>
            </w:r>
            <w:r w:rsidRPr="00833D3A">
              <w:t xml:space="preserve">con la información </w:t>
            </w:r>
            <w:r>
              <w:t>validada</w:t>
            </w:r>
            <w:r w:rsidRPr="00833D3A">
              <w:t xml:space="preserve"> por </w:t>
            </w:r>
            <w:r>
              <w:t>Telnor</w:t>
            </w:r>
            <w:r w:rsidRPr="00833D3A">
              <w:t xml:space="preserve">. </w:t>
            </w:r>
          </w:p>
          <w:p w:rsidR="007C4016" w:rsidRPr="00CE5D0C" w:rsidRDefault="007C4016" w:rsidP="005C782A">
            <w:pPr>
              <w:pStyle w:val="IFTnormal"/>
              <w:spacing w:after="0"/>
            </w:pPr>
            <w:r w:rsidRPr="00456214">
              <w:t>El CS deberán actualizar los cambios a la documentación del proyecto en el SEG.</w:t>
            </w:r>
          </w:p>
        </w:tc>
      </w:tr>
      <w:tr w:rsidR="007C4016" w:rsidRPr="00C30CF8" w:rsidTr="005C782A">
        <w:tc>
          <w:tcPr>
            <w:tcW w:w="1340" w:type="pct"/>
          </w:tcPr>
          <w:p w:rsidR="007C4016" w:rsidRPr="00CE5D0C" w:rsidRDefault="007C4016" w:rsidP="005C782A">
            <w:pPr>
              <w:pStyle w:val="IFTnormal"/>
              <w:spacing w:after="0"/>
            </w:pPr>
            <w:r w:rsidRPr="00CE5D0C">
              <w:lastRenderedPageBreak/>
              <w:t>Análisis de Factibilidad</w:t>
            </w:r>
          </w:p>
        </w:tc>
        <w:tc>
          <w:tcPr>
            <w:tcW w:w="3660" w:type="pct"/>
          </w:tcPr>
          <w:p w:rsidR="007C4016" w:rsidRPr="00CE5D0C" w:rsidRDefault="007C4016" w:rsidP="005C782A">
            <w:pPr>
              <w:pStyle w:val="IFTnormal"/>
              <w:spacing w:after="0"/>
            </w:pPr>
            <w:r>
              <w:t>Telnor</w:t>
            </w:r>
            <w:r w:rsidRPr="00CE5D0C">
              <w:t xml:space="preserve"> revisará que la información del Anteproyecto sea consistente con la información de la solicitud de modificación, validando </w:t>
            </w:r>
            <w:r>
              <w:t>en máximo 5 días</w:t>
            </w:r>
            <w:r w:rsidRPr="00CE5D0C">
              <w:t xml:space="preserve"> que el documento cumpla con los requisitos establecidos y la normatividad correspondiente. </w:t>
            </w:r>
            <w:r>
              <w:t>Telnor</w:t>
            </w:r>
            <w:r w:rsidRPr="00CE5D0C">
              <w:t xml:space="preserve"> notificará al CS el resultado del Análisis de Factibilidad:</w:t>
            </w:r>
          </w:p>
          <w:p w:rsidR="007C4016" w:rsidRPr="00CE5D0C" w:rsidRDefault="007C4016" w:rsidP="005C782A">
            <w:pPr>
              <w:pStyle w:val="IFTnormal"/>
              <w:numPr>
                <w:ilvl w:val="0"/>
                <w:numId w:val="64"/>
              </w:numPr>
              <w:spacing w:after="0"/>
            </w:pPr>
            <w:r w:rsidRPr="00CE5D0C">
              <w:t>Positivo. Con el cual el CS dará inicio a la Instalación de la Infraestructura, basándose en el Programa de Trabajo.</w:t>
            </w:r>
          </w:p>
          <w:p w:rsidR="007C4016" w:rsidRPr="00CE5D0C" w:rsidRDefault="007C4016" w:rsidP="005C782A">
            <w:pPr>
              <w:pStyle w:val="IFTnormal"/>
              <w:numPr>
                <w:ilvl w:val="0"/>
                <w:numId w:val="64"/>
              </w:numPr>
              <w:spacing w:after="0"/>
            </w:pPr>
            <w:r w:rsidRPr="00CE5D0C">
              <w:t xml:space="preserve">Negativo. </w:t>
            </w:r>
            <w:r>
              <w:t>Telnor</w:t>
            </w:r>
            <w:r w:rsidRPr="00CE5D0C">
              <w:t xml:space="preserve"> notificará al CS el motivo del resultado, de tal forma que el CS pueda corregir la información y reenviarla.</w:t>
            </w:r>
          </w:p>
          <w:p w:rsidR="007C4016" w:rsidRPr="00CE5D0C" w:rsidRDefault="007C4016" w:rsidP="005C782A">
            <w:pPr>
              <w:pStyle w:val="IFTnormal"/>
              <w:spacing w:after="0"/>
            </w:pPr>
            <w:r w:rsidRPr="00CE5D0C">
              <w:t xml:space="preserve">Cualquier comentario o ajuste al Anteproyecto o a los documentos relacionados al proyecto deberá </w:t>
            </w:r>
            <w:r w:rsidRPr="004621E4">
              <w:t xml:space="preserve">estar plenamente justificado y </w:t>
            </w:r>
            <w:r w:rsidRPr="00CE5D0C">
              <w:t xml:space="preserve">hacerse a través del SEG, el CS deberá </w:t>
            </w:r>
            <w:r w:rsidRPr="004621E4">
              <w:t>mantener</w:t>
            </w:r>
            <w:r w:rsidRPr="00CE5D0C">
              <w:t xml:space="preserve"> actualizada la documentación.</w:t>
            </w:r>
          </w:p>
        </w:tc>
      </w:tr>
      <w:tr w:rsidR="007C4016" w:rsidRPr="00C30CF8" w:rsidTr="005C782A">
        <w:tc>
          <w:tcPr>
            <w:tcW w:w="1340" w:type="pct"/>
          </w:tcPr>
          <w:p w:rsidR="007C4016" w:rsidRPr="00CE5D0C" w:rsidRDefault="007C4016" w:rsidP="005C782A">
            <w:pPr>
              <w:pStyle w:val="IFTnormal"/>
              <w:spacing w:after="0"/>
              <w:rPr>
                <w:highlight w:val="cyan"/>
              </w:rPr>
            </w:pPr>
            <w:r w:rsidRPr="00CE5D0C">
              <w:t>Instalación de Infraestructura</w:t>
            </w:r>
          </w:p>
        </w:tc>
        <w:tc>
          <w:tcPr>
            <w:tcW w:w="3660" w:type="pct"/>
          </w:tcPr>
          <w:p w:rsidR="007C4016" w:rsidRPr="00CE5D0C" w:rsidRDefault="007C4016" w:rsidP="005C782A">
            <w:pPr>
              <w:pStyle w:val="IFTnormal"/>
              <w:spacing w:after="0"/>
            </w:pPr>
            <w:r w:rsidRPr="00CE5D0C">
              <w:t>Una vez que el CS recibió el resultado positivo del Análisis de Factibilidad, instalará la Infraestructura apegándose al Anteproyecto y Programa de trabajo aprobados previamente.</w:t>
            </w:r>
          </w:p>
          <w:p w:rsidR="007C4016" w:rsidRPr="00CE5D0C" w:rsidRDefault="007C4016" w:rsidP="005C782A">
            <w:pPr>
              <w:pStyle w:val="IFTnormal"/>
              <w:spacing w:after="0"/>
            </w:pPr>
            <w:r w:rsidRPr="00CE5D0C">
              <w:t>El CS realizará la instalación de infraestructura de acuerdo a los cambios y continuará el procedimiento de contratación a partir de dicha actividad.</w:t>
            </w:r>
          </w:p>
        </w:tc>
      </w:tr>
    </w:tbl>
    <w:p w:rsidR="007C4016" w:rsidRDefault="007C4016" w:rsidP="007C4016">
      <w:pPr>
        <w:pStyle w:val="CondicionesFinales"/>
        <w:spacing w:before="240" w:after="0"/>
        <w:rPr>
          <w:b/>
        </w:rPr>
      </w:pPr>
    </w:p>
    <w:p w:rsidR="007C4016" w:rsidRPr="00D9755C" w:rsidRDefault="007C4016" w:rsidP="007C4016">
      <w:pPr>
        <w:pStyle w:val="CondicionesFinales"/>
        <w:spacing w:before="240" w:after="0"/>
        <w:rPr>
          <w:b/>
        </w:rPr>
      </w:pPr>
      <w:r>
        <w:rPr>
          <w:b/>
        </w:rPr>
        <w:t xml:space="preserve">c. </w:t>
      </w:r>
      <w:bookmarkStart w:id="63" w:name="_Toc435555550"/>
      <w:bookmarkStart w:id="64" w:name="_Toc436229704"/>
      <w:bookmarkStart w:id="65" w:name="_Toc436230619"/>
      <w:bookmarkStart w:id="66" w:name="_Toc488945233"/>
      <w:r w:rsidRPr="00D9755C">
        <w:rPr>
          <w:b/>
        </w:rPr>
        <w:t>Baja de los servicios</w:t>
      </w:r>
      <w:bookmarkEnd w:id="63"/>
      <w:bookmarkEnd w:id="64"/>
      <w:bookmarkEnd w:id="65"/>
      <w:bookmarkEnd w:id="66"/>
    </w:p>
    <w:p w:rsidR="007C4016" w:rsidRPr="00D9755C" w:rsidRDefault="007C4016" w:rsidP="007C4016">
      <w:pPr>
        <w:pStyle w:val="CondicionesFinales"/>
        <w:spacing w:before="240" w:after="0"/>
      </w:pPr>
      <w:r w:rsidRPr="00D9755C">
        <w:t>Las actividades para realizar la baja del servicio son las siguientes</w:t>
      </w:r>
      <w:r>
        <w:t>:</w:t>
      </w:r>
    </w:p>
    <w:tbl>
      <w:tblPr>
        <w:tblStyle w:val="Tablaconcuadrcula"/>
        <w:tblW w:w="3991" w:type="pct"/>
        <w:tblInd w:w="959" w:type="dxa"/>
        <w:tblLook w:val="04A0" w:firstRow="1" w:lastRow="0" w:firstColumn="1" w:lastColumn="0" w:noHBand="0" w:noVBand="1"/>
        <w:tblCaption w:val="Tabla"/>
        <w:tblDescription w:val="Las actividades para realizar la baja del servicio "/>
      </w:tblPr>
      <w:tblGrid>
        <w:gridCol w:w="1889"/>
        <w:gridCol w:w="5159"/>
      </w:tblGrid>
      <w:tr w:rsidR="007C4016" w:rsidRPr="00C30CF8" w:rsidTr="005C782A">
        <w:trPr>
          <w:tblHeader/>
        </w:trPr>
        <w:tc>
          <w:tcPr>
            <w:tcW w:w="1340" w:type="pct"/>
            <w:shd w:val="clear" w:color="auto" w:fill="D9D9D9" w:themeFill="background1" w:themeFillShade="D9"/>
          </w:tcPr>
          <w:p w:rsidR="007C4016" w:rsidRPr="00CE5D0C" w:rsidRDefault="007C4016" w:rsidP="005C782A">
            <w:pPr>
              <w:pStyle w:val="IFTnormal"/>
              <w:spacing w:after="0"/>
            </w:pPr>
            <w:r w:rsidRPr="00CE5D0C">
              <w:lastRenderedPageBreak/>
              <w:t>Etapa</w:t>
            </w:r>
          </w:p>
        </w:tc>
        <w:tc>
          <w:tcPr>
            <w:tcW w:w="3660" w:type="pct"/>
            <w:shd w:val="clear" w:color="auto" w:fill="D9D9D9" w:themeFill="background1" w:themeFillShade="D9"/>
          </w:tcPr>
          <w:p w:rsidR="007C4016" w:rsidRPr="00CE5D0C" w:rsidRDefault="007C4016" w:rsidP="005C782A">
            <w:pPr>
              <w:pStyle w:val="IFTnormal"/>
              <w:spacing w:after="0"/>
            </w:pPr>
            <w:r w:rsidRPr="00CE5D0C">
              <w:t>Descripción</w:t>
            </w:r>
          </w:p>
        </w:tc>
      </w:tr>
      <w:tr w:rsidR="007C4016" w:rsidRPr="00C30CF8" w:rsidTr="005C782A">
        <w:tc>
          <w:tcPr>
            <w:tcW w:w="1340" w:type="pct"/>
          </w:tcPr>
          <w:p w:rsidR="007C4016" w:rsidRPr="00CE5D0C" w:rsidRDefault="007C4016" w:rsidP="005C782A">
            <w:pPr>
              <w:pStyle w:val="IFTnormal"/>
              <w:spacing w:after="0"/>
            </w:pPr>
            <w:r w:rsidRPr="00CE5D0C">
              <w:t>Envío y Validación de solicitud</w:t>
            </w:r>
          </w:p>
        </w:tc>
        <w:tc>
          <w:tcPr>
            <w:tcW w:w="3660" w:type="pct"/>
          </w:tcPr>
          <w:p w:rsidR="007C4016" w:rsidRPr="00CE5D0C" w:rsidRDefault="007C4016" w:rsidP="005C782A">
            <w:pPr>
              <w:pStyle w:val="IFTnormal"/>
              <w:spacing w:after="0"/>
            </w:pPr>
            <w:r w:rsidRPr="00CE5D0C">
              <w:t xml:space="preserve">El CS presentará la solicitud de baja en el formato correspondiente a través del SEG. </w:t>
            </w:r>
            <w:r>
              <w:t>Telnor</w:t>
            </w:r>
            <w:r w:rsidRPr="00CE5D0C">
              <w:t xml:space="preserve"> recibirá la solicitud y determinará</w:t>
            </w:r>
            <w:r>
              <w:t xml:space="preserve"> en 2 días hábiles</w:t>
            </w:r>
            <w:r w:rsidRPr="00CE5D0C">
              <w:t xml:space="preserve"> si la solicitud es: </w:t>
            </w:r>
          </w:p>
          <w:p w:rsidR="007C4016" w:rsidRPr="00CE5D0C" w:rsidRDefault="007C4016" w:rsidP="005C782A">
            <w:pPr>
              <w:pStyle w:val="IFTnormal"/>
              <w:numPr>
                <w:ilvl w:val="0"/>
                <w:numId w:val="62"/>
              </w:numPr>
              <w:spacing w:after="0"/>
            </w:pPr>
            <w:r w:rsidRPr="00CE5D0C">
              <w:t xml:space="preserve">Aceptada, </w:t>
            </w:r>
            <w:r>
              <w:t>Telnor</w:t>
            </w:r>
            <w:r w:rsidRPr="00CE5D0C">
              <w:t xml:space="preserve"> valida que la solicitud de baja cumple con los requisitos establecidos en los formatos. Se asignará de forma automática un NIS. </w:t>
            </w:r>
          </w:p>
          <w:p w:rsidR="007C4016" w:rsidRPr="00CE5D0C" w:rsidRDefault="007C4016" w:rsidP="005C782A">
            <w:pPr>
              <w:pStyle w:val="IFTnormal"/>
              <w:numPr>
                <w:ilvl w:val="0"/>
                <w:numId w:val="62"/>
              </w:numPr>
              <w:spacing w:after="0"/>
            </w:pPr>
            <w:r w:rsidRPr="00CE5D0C">
              <w:t xml:space="preserve">Rechazado, en caso de que la solicitud no cumpliera con los requisitos, </w:t>
            </w:r>
            <w:r>
              <w:t>Telnor</w:t>
            </w:r>
            <w:r w:rsidRPr="00CE5D0C">
              <w:t xml:space="preserve"> notificará al CS a través del SEG que la solicitud ha sido rechazada y el motivo por el cual no se pudo procesar, de tal forma que el CS pueda corregir la información y reenviar la solicitud.</w:t>
            </w:r>
          </w:p>
        </w:tc>
      </w:tr>
      <w:tr w:rsidR="007C4016" w:rsidRPr="00C30CF8" w:rsidTr="005C782A">
        <w:tc>
          <w:tcPr>
            <w:tcW w:w="1340" w:type="pct"/>
          </w:tcPr>
          <w:p w:rsidR="007C4016" w:rsidRPr="00CE5D0C" w:rsidRDefault="007C4016" w:rsidP="005C782A">
            <w:pPr>
              <w:pStyle w:val="IFTnormal"/>
              <w:tabs>
                <w:tab w:val="left" w:pos="567"/>
              </w:tabs>
              <w:spacing w:after="0"/>
            </w:pPr>
            <w:r w:rsidRPr="00CE5D0C">
              <w:t>Elaboración de Programa de Trabajo</w:t>
            </w:r>
          </w:p>
        </w:tc>
        <w:tc>
          <w:tcPr>
            <w:tcW w:w="3660" w:type="pct"/>
            <w:shd w:val="clear" w:color="auto" w:fill="auto"/>
          </w:tcPr>
          <w:p w:rsidR="007C4016" w:rsidRPr="00CE5D0C" w:rsidRDefault="007C4016" w:rsidP="005C782A">
            <w:pPr>
              <w:pStyle w:val="IFTnormal"/>
              <w:spacing w:after="0"/>
            </w:pPr>
            <w:r w:rsidRPr="00CE5D0C">
              <w:t>El CS elaborará y enviará el Plan de Trabajo detallando la fecha de inicio y fin del retiro de su infraestructura, adjuntando la documentación correspondiente (</w:t>
            </w:r>
            <w:r w:rsidRPr="00412835">
              <w:t>10 días hábiles</w:t>
            </w:r>
            <w:r w:rsidRPr="00CE5D0C">
              <w:t>).</w:t>
            </w:r>
          </w:p>
        </w:tc>
      </w:tr>
      <w:tr w:rsidR="007C4016" w:rsidRPr="00C30CF8" w:rsidTr="005C782A">
        <w:tc>
          <w:tcPr>
            <w:tcW w:w="1340" w:type="pct"/>
          </w:tcPr>
          <w:p w:rsidR="007C4016" w:rsidRPr="00CE5D0C" w:rsidRDefault="007C4016" w:rsidP="005C782A">
            <w:pPr>
              <w:pStyle w:val="IFTnormal"/>
              <w:spacing w:after="0"/>
            </w:pPr>
            <w:r w:rsidRPr="00CE5D0C">
              <w:t>Análisis de Factibilidad</w:t>
            </w:r>
          </w:p>
        </w:tc>
        <w:tc>
          <w:tcPr>
            <w:tcW w:w="3660" w:type="pct"/>
          </w:tcPr>
          <w:p w:rsidR="007C4016" w:rsidRPr="00CE5D0C" w:rsidRDefault="007C4016" w:rsidP="005C782A">
            <w:pPr>
              <w:pStyle w:val="IFTnormal"/>
              <w:spacing w:after="0"/>
            </w:pPr>
            <w:r>
              <w:t>Telnor</w:t>
            </w:r>
            <w:r w:rsidRPr="00CE5D0C">
              <w:t xml:space="preserve"> recibirá y validará </w:t>
            </w:r>
            <w:r>
              <w:t xml:space="preserve">en máximo 5 días hábiles </w:t>
            </w:r>
            <w:r w:rsidRPr="00CE5D0C">
              <w:t xml:space="preserve">el Plan de Trabajo enviado por el CS, verificando que cumpla con los requisitos mínimos de acuerdo a los formatos correspondientes. </w:t>
            </w:r>
            <w:r>
              <w:t>Telnor</w:t>
            </w:r>
            <w:r w:rsidRPr="00CE5D0C">
              <w:t xml:space="preserve"> notificará al CS el resultado del Análisis de Factibilidad:</w:t>
            </w:r>
          </w:p>
          <w:p w:rsidR="007C4016" w:rsidRPr="00CE5D0C" w:rsidRDefault="007C4016" w:rsidP="005C782A">
            <w:pPr>
              <w:pStyle w:val="IFTnormal"/>
              <w:numPr>
                <w:ilvl w:val="0"/>
                <w:numId w:val="64"/>
              </w:numPr>
              <w:spacing w:after="0"/>
            </w:pPr>
            <w:r w:rsidRPr="00CE5D0C">
              <w:t xml:space="preserve">Valido. </w:t>
            </w:r>
            <w:r>
              <w:t>Telnor</w:t>
            </w:r>
            <w:r w:rsidRPr="00CE5D0C">
              <w:t xml:space="preserve"> lo notificará al CS y que puede comenzar con el retiro de su infraestructura.</w:t>
            </w:r>
          </w:p>
          <w:p w:rsidR="007C4016" w:rsidRPr="00CE5D0C" w:rsidRDefault="007C4016" w:rsidP="005C782A">
            <w:pPr>
              <w:pStyle w:val="IFTnormal"/>
              <w:numPr>
                <w:ilvl w:val="0"/>
                <w:numId w:val="64"/>
              </w:numPr>
              <w:spacing w:after="0"/>
            </w:pPr>
            <w:r w:rsidRPr="00CE5D0C">
              <w:t xml:space="preserve">No Valido. </w:t>
            </w:r>
            <w:r>
              <w:t>Telnor</w:t>
            </w:r>
            <w:r w:rsidRPr="00CE5D0C">
              <w:t xml:space="preserve"> deberá notificar dicha situación al CS, así como aquello que deba ser ajustado para que el CS realice las modificaciones necesarias y reenvíe el Plan de Trabajo (</w:t>
            </w:r>
            <w:r w:rsidRPr="00590D67">
              <w:t>10 días hábiles</w:t>
            </w:r>
            <w:r w:rsidRPr="00CE5D0C">
              <w:t>).</w:t>
            </w:r>
          </w:p>
          <w:p w:rsidR="007C4016" w:rsidRPr="00CE5D0C" w:rsidRDefault="007C4016" w:rsidP="005C782A">
            <w:pPr>
              <w:pStyle w:val="IFTnormal"/>
              <w:spacing w:after="0"/>
            </w:pPr>
            <w:r w:rsidRPr="00CE5D0C">
              <w:lastRenderedPageBreak/>
              <w:t>Cualquier comentario o ajuste al Anteproyecto o a los documentos relacionados al proyecto deberá hacerse a través del SEG, el CS deberá tener actualizada la documentación.</w:t>
            </w:r>
          </w:p>
        </w:tc>
      </w:tr>
      <w:tr w:rsidR="007C4016" w:rsidRPr="00C30CF8" w:rsidTr="005C782A">
        <w:tc>
          <w:tcPr>
            <w:tcW w:w="1340" w:type="pct"/>
          </w:tcPr>
          <w:p w:rsidR="007C4016" w:rsidRPr="00CE5D0C" w:rsidRDefault="007C4016" w:rsidP="005C782A">
            <w:pPr>
              <w:pStyle w:val="IFTnormal"/>
              <w:spacing w:after="0"/>
              <w:rPr>
                <w:highlight w:val="cyan"/>
              </w:rPr>
            </w:pPr>
            <w:r w:rsidRPr="00CE5D0C">
              <w:lastRenderedPageBreak/>
              <w:t>Retiro de Infraestructura</w:t>
            </w:r>
          </w:p>
        </w:tc>
        <w:tc>
          <w:tcPr>
            <w:tcW w:w="3660" w:type="pct"/>
          </w:tcPr>
          <w:p w:rsidR="007C4016" w:rsidRPr="00CE5D0C" w:rsidRDefault="007C4016" w:rsidP="005C782A">
            <w:pPr>
              <w:pStyle w:val="IFTnormal"/>
              <w:spacing w:after="0"/>
            </w:pPr>
            <w:r w:rsidRPr="00CE5D0C">
              <w:t>Una vez que el CS recibió el resultado positivo del Análisis de Factibilidad, realizará el Retiro de la Infraestructura apegándose Programa de trabajo aprobados previamente.</w:t>
            </w:r>
            <w:r>
              <w:t xml:space="preserve"> La baja del servicio incluye el retiro de equipo y cableado que se haya instalado.</w:t>
            </w:r>
          </w:p>
          <w:p w:rsidR="007C4016" w:rsidRPr="00CE5D0C" w:rsidRDefault="007C4016" w:rsidP="005C782A">
            <w:pPr>
              <w:pStyle w:val="IFTnormal"/>
              <w:spacing w:after="0"/>
            </w:pPr>
            <w:r w:rsidRPr="00CE5D0C">
              <w:t xml:space="preserve">Al finalizar la instalación el CS informará a </w:t>
            </w:r>
            <w:r>
              <w:t>Telnor</w:t>
            </w:r>
            <w:r w:rsidRPr="00CE5D0C">
              <w:t xml:space="preserve"> para que realice la Verificación de la Instalación.</w:t>
            </w:r>
          </w:p>
        </w:tc>
      </w:tr>
      <w:tr w:rsidR="007C4016" w:rsidRPr="00C30CF8" w:rsidTr="005C782A">
        <w:tc>
          <w:tcPr>
            <w:tcW w:w="1340" w:type="pct"/>
          </w:tcPr>
          <w:p w:rsidR="007C4016" w:rsidRPr="00CE5D0C" w:rsidRDefault="007C4016" w:rsidP="005C782A">
            <w:pPr>
              <w:pStyle w:val="IFTnormal"/>
              <w:spacing w:after="0"/>
            </w:pPr>
            <w:r w:rsidRPr="00CE5D0C">
              <w:t>Verificación de Retiro de Infraestructura</w:t>
            </w:r>
          </w:p>
        </w:tc>
        <w:tc>
          <w:tcPr>
            <w:tcW w:w="3660" w:type="pct"/>
          </w:tcPr>
          <w:p w:rsidR="007C4016" w:rsidRPr="00CE5D0C" w:rsidRDefault="007C4016" w:rsidP="005C782A">
            <w:pPr>
              <w:pStyle w:val="IFTnormal"/>
              <w:spacing w:after="0"/>
            </w:pPr>
            <w:r w:rsidRPr="00CE5D0C">
              <w:t xml:space="preserve">Una vez que </w:t>
            </w:r>
            <w:r>
              <w:t>Telnor</w:t>
            </w:r>
            <w:r w:rsidRPr="00CE5D0C">
              <w:t xml:space="preserve"> </w:t>
            </w:r>
            <w:r w:rsidRPr="00CE2104">
              <w:t>reciba</w:t>
            </w:r>
            <w:r w:rsidRPr="00CE5D0C">
              <w:t xml:space="preserve"> la </w:t>
            </w:r>
            <w:r w:rsidRPr="00CE2104">
              <w:t>notificación por parte</w:t>
            </w:r>
            <w:r w:rsidRPr="00CE5D0C">
              <w:t xml:space="preserve"> del CS, revisará la disponibilidad de fecha y horarios para llevar a cabo la verificación </w:t>
            </w:r>
            <w:r w:rsidRPr="004621E4">
              <w:t xml:space="preserve">en un máximo de </w:t>
            </w:r>
            <w:r w:rsidRPr="00B21FA5">
              <w:t>5 días hábiles</w:t>
            </w:r>
            <w:r w:rsidRPr="004621E4">
              <w:t xml:space="preserve"> </w:t>
            </w:r>
            <w:r w:rsidRPr="00CE5D0C">
              <w:t xml:space="preserve">e informará al CS para que acepte o rechace la propuesta.  En caso de no aceptarse la fecha propuesta, el CS podrá solicitar una nueva fecha, con lo que esta actividad </w:t>
            </w:r>
            <w:r>
              <w:t>podrá</w:t>
            </w:r>
            <w:r w:rsidRPr="00CE5D0C">
              <w:t xml:space="preserve"> repetirse hasta </w:t>
            </w:r>
            <w:r>
              <w:t>en 3 ocasiones. No se podrán acordar fechas de verificación posteriores a 10 días hábiles a partir de que el CS envíe la fecha de término de desinstalación, a menos que sea por solicitud expresa del CS.</w:t>
            </w:r>
          </w:p>
          <w:p w:rsidR="007C4016" w:rsidRPr="00CE5D0C" w:rsidRDefault="007C4016" w:rsidP="005C782A">
            <w:pPr>
              <w:pStyle w:val="IFTnormal"/>
              <w:spacing w:after="0"/>
            </w:pPr>
            <w:r w:rsidRPr="00CE5D0C">
              <w:t xml:space="preserve">Habiéndose definido la fecha, </w:t>
            </w:r>
            <w:r>
              <w:t>Telnor</w:t>
            </w:r>
            <w:r w:rsidRPr="00CE5D0C">
              <w:t xml:space="preserve"> y el CS realizarán en conjunto la Verificación de la Instalación en sitio, determinando:</w:t>
            </w:r>
          </w:p>
          <w:p w:rsidR="007C4016" w:rsidRPr="00916B17" w:rsidRDefault="007C4016" w:rsidP="005C782A">
            <w:pPr>
              <w:pStyle w:val="IFTnormal"/>
              <w:numPr>
                <w:ilvl w:val="0"/>
                <w:numId w:val="65"/>
              </w:numPr>
              <w:spacing w:after="0"/>
            </w:pPr>
            <w:r w:rsidRPr="00916B17">
              <w:t xml:space="preserve">El retiro de la infraestructura del CS </w:t>
            </w:r>
            <w:r>
              <w:t>será</w:t>
            </w:r>
            <w:r w:rsidRPr="00916B17">
              <w:t xml:space="preserve"> de acuerdo </w:t>
            </w:r>
            <w:r>
              <w:t xml:space="preserve">con el </w:t>
            </w:r>
            <w:r w:rsidRPr="00916B17">
              <w:t xml:space="preserve">proyecto y normativa, </w:t>
            </w:r>
            <w:r>
              <w:t>Telnor</w:t>
            </w:r>
            <w:r w:rsidRPr="00916B17">
              <w:t xml:space="preserve"> registrará la verificación como satisfactoria y se firmará en sitio el acta</w:t>
            </w:r>
          </w:p>
          <w:p w:rsidR="007C4016" w:rsidRPr="00CE5D0C" w:rsidRDefault="007C4016" w:rsidP="005C782A">
            <w:pPr>
              <w:pStyle w:val="IFTnormal"/>
              <w:numPr>
                <w:ilvl w:val="0"/>
                <w:numId w:val="65"/>
              </w:numPr>
              <w:spacing w:after="0"/>
            </w:pPr>
            <w:r w:rsidRPr="00CE5D0C">
              <w:t xml:space="preserve">En caso contrario, </w:t>
            </w:r>
            <w:r>
              <w:t>Telnor</w:t>
            </w:r>
            <w:r w:rsidRPr="00CE5D0C">
              <w:t xml:space="preserve"> y el CS registran en el Formato de Acuerdo de </w:t>
            </w:r>
            <w:r w:rsidRPr="00CE5D0C">
              <w:lastRenderedPageBreak/>
              <w:t>Compartición de Infraestructura los cambios y ajustes que debe hacer el CS para cumplir con la Verificación. Esta actividad deberá repetirse en tanto no se logre la Verificación satisfactoria y la firma del acta.</w:t>
            </w:r>
          </w:p>
          <w:p w:rsidR="007C4016" w:rsidRPr="00CE5D0C" w:rsidRDefault="007C4016" w:rsidP="005C782A">
            <w:pPr>
              <w:pStyle w:val="IFTnormal"/>
              <w:spacing w:after="0"/>
            </w:pPr>
            <w:r w:rsidRPr="00712037">
              <w:t xml:space="preserve">El primer servicio de verificación no tendrá cargo alguno. De requerirse verificaciones adicionales por inconsistencias en la </w:t>
            </w:r>
            <w:r>
              <w:t>des</w:t>
            </w:r>
            <w:r w:rsidRPr="00712037">
              <w:t>instalación realizada por el CS con el anteproyecto</w:t>
            </w:r>
            <w:r>
              <w:t xml:space="preserve"> se aplicará una contraprestación</w:t>
            </w:r>
            <w:r w:rsidRPr="00712037">
              <w:t>.</w:t>
            </w:r>
          </w:p>
        </w:tc>
      </w:tr>
      <w:tr w:rsidR="007C4016" w:rsidRPr="00C30CF8" w:rsidTr="005C782A">
        <w:tc>
          <w:tcPr>
            <w:tcW w:w="1340" w:type="pct"/>
            <w:shd w:val="clear" w:color="auto" w:fill="auto"/>
          </w:tcPr>
          <w:p w:rsidR="007C4016" w:rsidRPr="00CE5D0C" w:rsidRDefault="007C4016" w:rsidP="005C782A">
            <w:pPr>
              <w:pStyle w:val="IFTnormal"/>
              <w:spacing w:after="0"/>
            </w:pPr>
            <w:r w:rsidRPr="00CE5D0C">
              <w:lastRenderedPageBreak/>
              <w:t>Facturación</w:t>
            </w:r>
          </w:p>
        </w:tc>
        <w:tc>
          <w:tcPr>
            <w:tcW w:w="3660" w:type="pct"/>
            <w:shd w:val="clear" w:color="auto" w:fill="auto"/>
          </w:tcPr>
          <w:p w:rsidR="007C4016" w:rsidRPr="00CE5D0C" w:rsidRDefault="007C4016" w:rsidP="005C782A">
            <w:pPr>
              <w:pStyle w:val="IFTnormal"/>
              <w:spacing w:after="0"/>
            </w:pPr>
            <w:r w:rsidRPr="00CE5D0C">
              <w:t xml:space="preserve">Una vez firmada el acta se </w:t>
            </w:r>
            <w:r>
              <w:t>concluye</w:t>
            </w:r>
            <w:r w:rsidRPr="00CE5D0C">
              <w:t xml:space="preserve"> con la facturación del Servicio, </w:t>
            </w:r>
            <w:r>
              <w:t>Telnor</w:t>
            </w:r>
            <w:r w:rsidRPr="00CE5D0C">
              <w:t xml:space="preserve"> deberá integrar el Formato escaneada al SEG.</w:t>
            </w:r>
          </w:p>
        </w:tc>
      </w:tr>
    </w:tbl>
    <w:p w:rsidR="007C4016" w:rsidRPr="00D9755C" w:rsidRDefault="007C4016" w:rsidP="007C4016">
      <w:pPr>
        <w:pStyle w:val="CondicionesFinales"/>
        <w:spacing w:before="240" w:after="0"/>
      </w:pPr>
    </w:p>
    <w:p w:rsidR="007C4016" w:rsidRDefault="007C4016" w:rsidP="007C4016">
      <w:pPr>
        <w:pStyle w:val="CondicionesFinales"/>
        <w:spacing w:before="240" w:after="0"/>
      </w:pPr>
      <w:r w:rsidRPr="00D9755C">
        <w:t>El CS deberá realizar la desinstalación de su red o de infraestructura de acuerdo con las características y normatividad técnica para Sitios, Predios y Espacios Físicos se documentan en el Anexo 2 de la Oferta dejando la infraestructura libre y</w:t>
      </w:r>
      <w:r>
        <w:t xml:space="preserve"> sin desperdicios</w:t>
      </w:r>
      <w:r w:rsidRPr="00716C42">
        <w:t>.</w:t>
      </w:r>
    </w:p>
    <w:p w:rsidR="007C4016" w:rsidRDefault="007C4016" w:rsidP="007C4016">
      <w:pPr>
        <w:pStyle w:val="CondicionesFinales"/>
        <w:spacing w:before="240" w:after="0"/>
        <w:rPr>
          <w:color w:val="0070C0"/>
        </w:rPr>
      </w:pPr>
      <w:r w:rsidRPr="00716C42">
        <w:t>El procedimiento para la notificación de fallas y gestión de incidencias, así como el procedimiento para Accesos a la Infraestructura Compartida se establecen en el Anexo 3 de la Oferta.</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5.</w:t>
      </w:r>
      <w:r w:rsidRPr="006A7AA7">
        <w:rPr>
          <w:rFonts w:ascii="ITC Avant Garde" w:hAnsi="ITC Avant Garde"/>
          <w:b/>
          <w:sz w:val="22"/>
          <w:szCs w:val="22"/>
        </w:rPr>
        <w:tab/>
        <w:t xml:space="preserve"> SERVICIO DE TENDIDO DE CABLE SOBRE INFRAESTRUCTURA DESAGREGADA.</w:t>
      </w:r>
    </w:p>
    <w:p w:rsidR="007C4016" w:rsidRPr="00BF4959" w:rsidRDefault="007C4016" w:rsidP="007C4016">
      <w:pPr>
        <w:pStyle w:val="IFTnormal"/>
        <w:spacing w:before="240" w:after="0"/>
        <w:rPr>
          <w:b/>
        </w:rPr>
      </w:pPr>
      <w:r w:rsidRPr="00BF4959">
        <w:rPr>
          <w:b/>
        </w:rPr>
        <w:t>Consideraciones del Instituto</w:t>
      </w:r>
    </w:p>
    <w:p w:rsidR="007C4016" w:rsidRDefault="007C4016" w:rsidP="007C4016">
      <w:pPr>
        <w:pStyle w:val="IFTnormal"/>
        <w:spacing w:before="240" w:after="0"/>
        <w:rPr>
          <w:b/>
          <w:lang w:val="es-ES"/>
        </w:rPr>
      </w:pPr>
      <w:r w:rsidRPr="002802DB">
        <w:rPr>
          <w:b/>
          <w:lang w:val="es-ES"/>
        </w:rPr>
        <w:t xml:space="preserve">CASO 1. </w:t>
      </w:r>
      <w:r w:rsidRPr="002802DB">
        <w:rPr>
          <w:b/>
        </w:rPr>
        <w:t>Cambios que recuperan la redacción de la Oferta de Referencia Vigente</w:t>
      </w:r>
      <w:r w:rsidRPr="002802DB">
        <w:rPr>
          <w:b/>
          <w:lang w:val="es-ES"/>
        </w:rPr>
        <w:t>.</w:t>
      </w:r>
    </w:p>
    <w:p w:rsidR="007C4016" w:rsidRDefault="007C4016" w:rsidP="007C4016">
      <w:pPr>
        <w:pStyle w:val="IFTnormal"/>
        <w:spacing w:before="240" w:after="0"/>
      </w:pPr>
      <w:r>
        <w:t>En la Propuesta de Oferta de Referencia el</w:t>
      </w:r>
      <w:r w:rsidRPr="00591336">
        <w:t xml:space="preserve"> AEP ha elimin</w:t>
      </w:r>
      <w:r>
        <w:t xml:space="preserve">ado de la Oferta de Referencia Vigente un texto respecto a los cargos recurrentes, el cual indica que </w:t>
      </w:r>
      <w:r w:rsidRPr="00F57FC2">
        <w:rPr>
          <w:i/>
        </w:rPr>
        <w:t>“La facturación de los cargos recurrentes se realizará a mes corriente”</w:t>
      </w:r>
      <w:r>
        <w:rPr>
          <w:i/>
        </w:rPr>
        <w:t xml:space="preserve">. </w:t>
      </w:r>
      <w:r w:rsidRPr="00F57FC2">
        <w:t>A</w:t>
      </w:r>
      <w:r>
        <w:t>l respecto, y a</w:t>
      </w:r>
      <w:r w:rsidRPr="00F57FC2">
        <w:t xml:space="preserve"> juicio del Instituto</w:t>
      </w:r>
      <w:r>
        <w:t xml:space="preserve">, el no especificar el periodo en el cual se realizará la </w:t>
      </w:r>
      <w:r>
        <w:lastRenderedPageBreak/>
        <w:t>facturación deja en incertidumbre a los concesionarios y se podrían establecer posibles condiciones que inhiban la competencia en la prestación de los servicios, de acuerdo a la Medida CUADRAGÉSIMA PRIMERA. Por consiguiente, el Instituto considera que se debe mantener la equivalencia de condiciones conforme a lo estipulado en la Medidas Fijas.</w:t>
      </w:r>
    </w:p>
    <w:p w:rsidR="007C4016" w:rsidRDefault="007C4016" w:rsidP="007C4016">
      <w:pPr>
        <w:pStyle w:val="IFTnormal"/>
        <w:spacing w:before="240" w:after="0"/>
      </w:pPr>
      <w:r>
        <w:t>A continuación se cita el texto de la Propuesta de Oferta de Referencia en comento:</w:t>
      </w:r>
    </w:p>
    <w:p w:rsidR="007C4016" w:rsidRPr="001C72A5" w:rsidRDefault="007C4016" w:rsidP="007C4016">
      <w:pPr>
        <w:pStyle w:val="IFTcita"/>
        <w:spacing w:before="240" w:after="0"/>
      </w:pPr>
      <w:r>
        <w:rPr>
          <w:b w:val="0"/>
        </w:rPr>
        <w:t>“</w:t>
      </w:r>
      <w:r w:rsidRPr="00473BA7">
        <w:t>5. Servicio de Tendido de Cable sobr</w:t>
      </w:r>
      <w:r>
        <w:t>e Infraestructura Desagregada.</w:t>
      </w:r>
    </w:p>
    <w:p w:rsidR="007C4016" w:rsidRDefault="007C4016" w:rsidP="007C4016">
      <w:pPr>
        <w:pStyle w:val="IFTcita"/>
        <w:spacing w:before="240" w:after="0"/>
        <w:rPr>
          <w:b w:val="0"/>
        </w:rPr>
      </w:pPr>
      <w:r w:rsidRPr="00473BA7">
        <w:rPr>
          <w:b w:val="0"/>
        </w:rPr>
        <w:t xml:space="preserve">El Servicio de Tendido de Cable sobre Infraestructura Desagregada, es el servicio mediante el cual </w:t>
      </w:r>
      <w:r>
        <w:rPr>
          <w:b w:val="0"/>
        </w:rPr>
        <w:t>Telnor</w:t>
      </w:r>
      <w:r w:rsidRPr="00473BA7">
        <w:rPr>
          <w:b w:val="0"/>
        </w:rPr>
        <w:t xml:space="preserve"> realiza la conexión de cable desde la Coubicación del CS donde tenga contratados los Servicios de Desagregación, hasta el pozo más cercano al pozo de acometida de las centrales de </w:t>
      </w:r>
      <w:r>
        <w:rPr>
          <w:b w:val="0"/>
        </w:rPr>
        <w:t>Telnor</w:t>
      </w:r>
      <w:r w:rsidRPr="00473BA7">
        <w:rPr>
          <w:b w:val="0"/>
        </w:rPr>
        <w:t xml:space="preserve">. Es necesario que el CS cuente con una Coubicación para Desagregación. </w:t>
      </w:r>
    </w:p>
    <w:p w:rsidR="007C4016" w:rsidRPr="00473BA7" w:rsidRDefault="007C4016" w:rsidP="007C4016">
      <w:pPr>
        <w:pStyle w:val="IFTcita"/>
        <w:spacing w:before="240" w:after="0"/>
        <w:rPr>
          <w:b w:val="0"/>
        </w:rPr>
      </w:pPr>
      <w:r>
        <w:rPr>
          <w:b w:val="0"/>
        </w:rPr>
        <w:t>[…]</w:t>
      </w:r>
    </w:p>
    <w:p w:rsidR="007C4016" w:rsidRPr="00473BA7" w:rsidRDefault="007C4016" w:rsidP="007C4016">
      <w:pPr>
        <w:pStyle w:val="IFTcita"/>
        <w:spacing w:before="240" w:after="0"/>
        <w:rPr>
          <w:b w:val="0"/>
        </w:rPr>
      </w:pPr>
      <w:r w:rsidRPr="00473BA7">
        <w:rPr>
          <w:b w:val="0"/>
        </w:rPr>
        <w:t>La facturación de las actividades antes mencionadas se realizará posteriormente a su ejecución.</w:t>
      </w:r>
    </w:p>
    <w:p w:rsidR="007C4016" w:rsidRPr="00473BA7" w:rsidRDefault="007C4016" w:rsidP="007C4016">
      <w:pPr>
        <w:pStyle w:val="IFTcita"/>
        <w:spacing w:before="240" w:after="0"/>
        <w:rPr>
          <w:b w:val="0"/>
        </w:rPr>
      </w:pPr>
      <w:r w:rsidRPr="00473BA7">
        <w:rPr>
          <w:b w:val="0"/>
        </w:rPr>
        <w:t>Cargos Recurrentes con cobro anticipado:</w:t>
      </w:r>
    </w:p>
    <w:p w:rsidR="007C4016" w:rsidRDefault="007C4016" w:rsidP="007C4016">
      <w:pPr>
        <w:pStyle w:val="IFTcita"/>
        <w:numPr>
          <w:ilvl w:val="0"/>
          <w:numId w:val="20"/>
        </w:numPr>
        <w:spacing w:before="240" w:after="0"/>
        <w:rPr>
          <w:b w:val="0"/>
        </w:rPr>
      </w:pPr>
      <w:r w:rsidRPr="00473BA7">
        <w:rPr>
          <w:b w:val="0"/>
        </w:rPr>
        <w:t>Contraprestación mensual por el uso de la trayectoria</w:t>
      </w:r>
      <w:r>
        <w:rPr>
          <w:b w:val="0"/>
        </w:rPr>
        <w:t>.</w:t>
      </w:r>
    </w:p>
    <w:p w:rsidR="007C4016" w:rsidRPr="00D841C7" w:rsidRDefault="007C4016" w:rsidP="007C4016">
      <w:pPr>
        <w:pStyle w:val="IFTcita"/>
        <w:spacing w:before="240" w:after="0"/>
        <w:rPr>
          <w:b w:val="0"/>
          <w:sz w:val="16"/>
        </w:rPr>
      </w:pPr>
      <w:r w:rsidRPr="00D841C7">
        <w:rPr>
          <w:b w:val="0"/>
          <w:sz w:val="16"/>
        </w:rPr>
        <w:t>________________________________</w:t>
      </w:r>
    </w:p>
    <w:p w:rsidR="007C4016" w:rsidRPr="00B07F7E" w:rsidRDefault="007C4016" w:rsidP="007C4016">
      <w:pPr>
        <w:pStyle w:val="IFTcita"/>
        <w:spacing w:before="240" w:after="0"/>
        <w:rPr>
          <w:b w:val="0"/>
        </w:rPr>
      </w:pPr>
      <w:r w:rsidRPr="00CA0198">
        <w:rPr>
          <w:b w:val="0"/>
          <w:sz w:val="16"/>
          <w:vertAlign w:val="superscript"/>
        </w:rPr>
        <w:t>10</w:t>
      </w:r>
      <w:r w:rsidRPr="00CA0198">
        <w:rPr>
          <w:b w:val="0"/>
          <w:sz w:val="16"/>
        </w:rPr>
        <w:t xml:space="preserve"> El suministro e instalación de un cable diferente a fibra óptica, se considerará como trabajo especial. No se instala Distribuidor de Fibra Óptica del CS</w:t>
      </w:r>
      <w:r>
        <w:rPr>
          <w:b w:val="0"/>
          <w:sz w:val="16"/>
        </w:rPr>
        <w:t>.</w:t>
      </w:r>
      <w:r w:rsidRPr="00CA0198">
        <w:rPr>
          <w:b w:val="0"/>
        </w:rPr>
        <w:t>”</w:t>
      </w:r>
    </w:p>
    <w:p w:rsidR="007C4016" w:rsidRDefault="007C4016" w:rsidP="007C4016">
      <w:pPr>
        <w:pStyle w:val="IFTnormal"/>
        <w:spacing w:before="240" w:after="0"/>
      </w:pPr>
    </w:p>
    <w:p w:rsidR="007C4016" w:rsidRDefault="007C4016" w:rsidP="007C4016">
      <w:pPr>
        <w:pStyle w:val="IFTnormal"/>
        <w:spacing w:before="240" w:after="0"/>
        <w:rPr>
          <w:lang w:val="es-ES"/>
        </w:rPr>
      </w:pPr>
      <w:r w:rsidRPr="00D94943">
        <w:t xml:space="preserve">El Instituto considera que </w:t>
      </w:r>
      <w:r>
        <w:t>lo</w:t>
      </w:r>
      <w:r w:rsidRPr="00D94943">
        <w:t xml:space="preserve"> presentado por el AEP en el </w:t>
      </w:r>
      <w:r>
        <w:t>numeral “</w:t>
      </w:r>
      <w:r w:rsidRPr="00C165B1">
        <w:rPr>
          <w:i/>
        </w:rPr>
        <w:t>5.</w:t>
      </w:r>
      <w:r w:rsidRPr="00C165B1">
        <w:rPr>
          <w:i/>
        </w:rPr>
        <w:tab/>
        <w:t xml:space="preserve"> SERVICIO DE TENDIDO DE CABLE SOBRE INFRAESTRUCTURA DESAGREGADA</w:t>
      </w:r>
      <w:r>
        <w:t xml:space="preserve">”, </w:t>
      </w:r>
      <w:r w:rsidRPr="00D94943">
        <w:t xml:space="preserve">no </w:t>
      </w:r>
      <w:r>
        <w:t xml:space="preserve">cumple parcialmente con lo establecido en la multicitada Medida CUADRAGÉSIMA PRIMERA de las </w:t>
      </w:r>
      <w:r w:rsidRPr="00566821">
        <w:rPr>
          <w:lang w:val="es-ES"/>
        </w:rPr>
        <w:t>Medidas Fijas</w:t>
      </w:r>
      <w:r>
        <w:rPr>
          <w:lang w:val="es-ES"/>
        </w:rPr>
        <w:t xml:space="preserve">, </w:t>
      </w:r>
      <w:r w:rsidRPr="00444D4E">
        <w:rPr>
          <w:lang w:val="es-ES"/>
        </w:rPr>
        <w:t xml:space="preserve">la cual </w:t>
      </w:r>
      <w:r>
        <w:rPr>
          <w:lang w:val="es-ES"/>
        </w:rPr>
        <w:t>indica</w:t>
      </w:r>
      <w:r w:rsidRPr="00444D4E">
        <w:rPr>
          <w:lang w:val="es-ES"/>
        </w:rPr>
        <w:t xml:space="preserve"> que la </w:t>
      </w:r>
      <w:r w:rsidRPr="006A0E16">
        <w:rPr>
          <w:lang w:val="es-ES"/>
        </w:rPr>
        <w:t>Propuesta de Oferta de Referencia</w:t>
      </w:r>
      <w:r w:rsidRPr="00444D4E">
        <w:rPr>
          <w:lang w:val="es-ES"/>
        </w:rPr>
        <w:t xml:space="preserve"> deberá contener condiciones equivalentes a la vigente</w:t>
      </w:r>
      <w:r>
        <w:rPr>
          <w:lang w:val="es-ES"/>
        </w:rPr>
        <w:t>. Por consiguiente, d</w:t>
      </w:r>
      <w:r w:rsidRPr="003B2A08">
        <w:rPr>
          <w:lang w:val="es-ES"/>
        </w:rPr>
        <w:t>erivado</w:t>
      </w:r>
      <w:r w:rsidRPr="000B50E0">
        <w:rPr>
          <w:lang w:val="es-ES"/>
        </w:rPr>
        <w:t xml:space="preserve"> del análisis previo</w:t>
      </w:r>
      <w:r>
        <w:rPr>
          <w:bCs w:val="0"/>
          <w:lang w:val="es-ES"/>
        </w:rPr>
        <w:t>,</w:t>
      </w:r>
      <w:r>
        <w:rPr>
          <w:lang w:val="es-ES"/>
        </w:rPr>
        <w:t xml:space="preserve"> </w:t>
      </w:r>
      <w:r w:rsidRPr="000B50E0">
        <w:rPr>
          <w:bCs w:val="0"/>
          <w:lang w:val="es-ES"/>
        </w:rPr>
        <w:t>el Instituto resue</w:t>
      </w:r>
      <w:r>
        <w:rPr>
          <w:bCs w:val="0"/>
          <w:lang w:val="es-ES"/>
        </w:rPr>
        <w:t xml:space="preserve">lve </w:t>
      </w:r>
      <w:r w:rsidRPr="00767948">
        <w:rPr>
          <w:bCs w:val="0"/>
          <w:lang w:val="es-ES"/>
        </w:rPr>
        <w:t xml:space="preserve">que el numeral </w:t>
      </w:r>
      <w:r w:rsidRPr="000B50E0">
        <w:rPr>
          <w:bCs w:val="0"/>
          <w:lang w:val="es-ES"/>
        </w:rPr>
        <w:t>“</w:t>
      </w:r>
      <w:r w:rsidRPr="00C165B1">
        <w:rPr>
          <w:i/>
          <w:lang w:val="es-ES"/>
        </w:rPr>
        <w:t>5. SERVICIO DE TENDIDO DE CABLE SOBRE INFRAESTRUCTURA DESAGREGADA</w:t>
      </w:r>
      <w:r w:rsidRPr="000B50E0">
        <w:rPr>
          <w:bCs w:val="0"/>
          <w:lang w:val="es-ES"/>
        </w:rPr>
        <w:t xml:space="preserve">” </w:t>
      </w:r>
      <w:r w:rsidRPr="00767948">
        <w:rPr>
          <w:bCs w:val="0"/>
          <w:lang w:val="es-ES"/>
        </w:rPr>
        <w:t xml:space="preserve">deberá </w:t>
      </w:r>
      <w:r>
        <w:rPr>
          <w:bCs w:val="0"/>
          <w:lang w:val="es-ES"/>
        </w:rPr>
        <w:t>recuperar el texto de la Oferta de Referencia Vigente a efectos de mantener la equivalencia de condiciones y asimismo, evitar posibles condiciones que inhiban la competencia en la prestación del servicio.</w:t>
      </w:r>
    </w:p>
    <w:p w:rsidR="007C4016" w:rsidRPr="002802DB" w:rsidRDefault="007C4016" w:rsidP="007C4016">
      <w:pPr>
        <w:pStyle w:val="IFTnormal"/>
        <w:spacing w:before="240" w:after="0"/>
        <w:rPr>
          <w:b/>
        </w:rPr>
      </w:pPr>
      <w:r w:rsidRPr="002802DB">
        <w:rPr>
          <w:b/>
          <w:lang w:val="es-ES"/>
        </w:rPr>
        <w:lastRenderedPageBreak/>
        <w:t xml:space="preserve">CASO 2. Cambios que </w:t>
      </w:r>
      <w:r w:rsidRPr="002802DB">
        <w:rPr>
          <w:b/>
        </w:rPr>
        <w:t>modifican la redacción de la Propuesta de Oferta de Referencia.</w:t>
      </w:r>
    </w:p>
    <w:p w:rsidR="007C4016" w:rsidRDefault="007C4016" w:rsidP="007C4016">
      <w:pPr>
        <w:pStyle w:val="IFTnormal"/>
        <w:spacing w:before="240" w:after="0"/>
        <w:rPr>
          <w:lang w:val="es-ES"/>
        </w:rPr>
      </w:pPr>
      <w:r>
        <w:rPr>
          <w:lang w:val="es-ES"/>
        </w:rPr>
        <w:t xml:space="preserve">Por otra parte, </w:t>
      </w:r>
      <w:r w:rsidRPr="002B7230">
        <w:rPr>
          <w:lang w:val="es-ES"/>
        </w:rPr>
        <w:t>el Ins</w:t>
      </w:r>
      <w:r>
        <w:rPr>
          <w:lang w:val="es-ES"/>
        </w:rPr>
        <w:t>tituto observa que en el</w:t>
      </w:r>
      <w:r w:rsidRPr="002B7230">
        <w:rPr>
          <w:lang w:val="es-ES"/>
        </w:rPr>
        <w:t xml:space="preserve"> </w:t>
      </w:r>
      <w:r>
        <w:rPr>
          <w:lang w:val="es-ES"/>
        </w:rPr>
        <w:t>“</w:t>
      </w:r>
      <w:r w:rsidRPr="004952DB">
        <w:rPr>
          <w:i/>
          <w:lang w:val="es-ES"/>
        </w:rPr>
        <w:t>ANEXO 2 NORMATIVIDAD TECNICA</w:t>
      </w:r>
      <w:r>
        <w:rPr>
          <w:lang w:val="es-ES"/>
        </w:rPr>
        <w:t>”</w:t>
      </w:r>
      <w:r w:rsidRPr="00373903">
        <w:rPr>
          <w:lang w:val="es-ES"/>
        </w:rPr>
        <w:tab/>
      </w:r>
      <w:r>
        <w:rPr>
          <w:lang w:val="es-ES"/>
        </w:rPr>
        <w:t>“</w:t>
      </w:r>
      <w:r w:rsidRPr="004952DB">
        <w:rPr>
          <w:i/>
          <w:lang w:val="es-ES"/>
        </w:rPr>
        <w:t xml:space="preserve">NORMA 1: COMPARTICIÓN DE CANALIZACIÓN DE </w:t>
      </w:r>
      <w:r>
        <w:rPr>
          <w:i/>
          <w:lang w:val="es-ES"/>
        </w:rPr>
        <w:t>TELNOR</w:t>
      </w:r>
      <w:r w:rsidRPr="004952DB">
        <w:rPr>
          <w:i/>
          <w:lang w:val="es-ES"/>
        </w:rPr>
        <w:t xml:space="preserve"> PARA NUEVOS CONCESIONARIOS</w:t>
      </w:r>
      <w:r>
        <w:rPr>
          <w:lang w:val="es-ES"/>
        </w:rPr>
        <w:t xml:space="preserve">” </w:t>
      </w:r>
      <w:r w:rsidRPr="002B7230">
        <w:rPr>
          <w:lang w:val="es-ES"/>
        </w:rPr>
        <w:t xml:space="preserve">el AEP integra condiciones fuera de </w:t>
      </w:r>
      <w:r>
        <w:rPr>
          <w:lang w:val="es-ES"/>
        </w:rPr>
        <w:t xml:space="preserve">la </w:t>
      </w:r>
      <w:r w:rsidRPr="002B7230">
        <w:rPr>
          <w:lang w:val="es-ES"/>
        </w:rPr>
        <w:t>Normativa Técnica, esto es, se establecen cuestiones que obedecen al alcance, procedimiento, términos y condiciones par</w:t>
      </w:r>
      <w:r>
        <w:rPr>
          <w:lang w:val="es-ES"/>
        </w:rPr>
        <w:t>a la prestación de los</w:t>
      </w:r>
      <w:r w:rsidRPr="00291DBC">
        <w:rPr>
          <w:lang w:val="es-ES"/>
        </w:rPr>
        <w:t xml:space="preserve"> servicio</w:t>
      </w:r>
      <w:r>
        <w:rPr>
          <w:lang w:val="es-ES"/>
        </w:rPr>
        <w:t>s, lo cual no es consistente con  la Medida VIGÉSIMA SÉPTIMA que se cita a continuación:</w:t>
      </w:r>
    </w:p>
    <w:p w:rsidR="007C4016" w:rsidRPr="00291DBC" w:rsidRDefault="007C4016" w:rsidP="007C4016">
      <w:pPr>
        <w:pStyle w:val="Citaift0"/>
        <w:spacing w:before="240" w:after="0"/>
        <w:rPr>
          <w:lang w:val="es-ES_tradnl"/>
        </w:rPr>
      </w:pPr>
      <w:r w:rsidRPr="00916B17">
        <w:rPr>
          <w:lang w:val="es-ES_tradnl"/>
        </w:rPr>
        <w:t>“</w:t>
      </w:r>
      <w:r w:rsidRPr="00291DBC">
        <w:rPr>
          <w:b/>
          <w:lang w:val="es-ES_tradnl"/>
        </w:rPr>
        <w:t xml:space="preserve">VIGÉSIMA SÉPTIMA. </w:t>
      </w:r>
      <w:r w:rsidRPr="00291DBC">
        <w:rPr>
          <w:lang w:val="es-ES_tradnl"/>
        </w:rPr>
        <w:t xml:space="preserve">El Agente Económico Preponderante deberá proporcionar al Instituto, y a los Concesionarios Solicitantes, a través del Sistema Electrónico de Gestión, la normativa técnica, aprobada por el Instituto mediante el procedimiento previsto en la Medida Cuadragésima Primera, </w:t>
      </w:r>
      <w:r w:rsidRPr="00291DBC">
        <w:rPr>
          <w:b/>
          <w:u w:val="single"/>
          <w:lang w:val="es-ES_tradnl"/>
        </w:rPr>
        <w:t>que contenga los criterios técnicos para la utilización y acceso a la infraestructura que se pone a disposición de otros concesionarios,</w:t>
      </w:r>
      <w:r w:rsidRPr="00291DBC">
        <w:rPr>
          <w:lang w:val="es-ES_tradnl"/>
        </w:rPr>
        <w:t xml:space="preserve"> así como para la instalación de cables y de otros elementos de red que sean necesarios para la eficiente prestación de los servicios de telecomunicaciones, y todas las demás que sean relevantes.  </w:t>
      </w:r>
    </w:p>
    <w:p w:rsidR="007C4016" w:rsidRPr="00291DBC" w:rsidRDefault="007C4016" w:rsidP="007C4016">
      <w:pPr>
        <w:pStyle w:val="Citaift0"/>
        <w:spacing w:before="240" w:after="0"/>
        <w:rPr>
          <w:b/>
          <w:u w:val="single"/>
          <w:lang w:val="es-ES_tradnl"/>
        </w:rPr>
      </w:pPr>
      <w:r w:rsidRPr="00291DBC">
        <w:rPr>
          <w:b/>
          <w:u w:val="single"/>
          <w:lang w:val="es-ES_tradnl"/>
        </w:rPr>
        <w:t>Los Concesionarios Solicitantes deberán observar la normativa técnica cuando hagan uso del servicio de Acceso y Uso Compartido de Infraestructura Pasiva, prevista en la Oferta Pública de Referencia.”</w:t>
      </w:r>
    </w:p>
    <w:p w:rsidR="007C4016" w:rsidRPr="00291DBC" w:rsidRDefault="007C4016" w:rsidP="007C4016">
      <w:pPr>
        <w:pStyle w:val="Citaift0"/>
        <w:spacing w:before="240" w:after="0"/>
        <w:jc w:val="right"/>
      </w:pPr>
      <w:r w:rsidRPr="00291DBC">
        <w:t>(Énfasis añadido)</w:t>
      </w:r>
    </w:p>
    <w:p w:rsidR="007C4016" w:rsidRPr="00291DBC" w:rsidRDefault="007C4016" w:rsidP="007C4016">
      <w:pPr>
        <w:pStyle w:val="IFTnormal"/>
        <w:spacing w:before="240" w:after="0"/>
      </w:pPr>
      <w:r w:rsidRPr="00291DBC">
        <w:t>De lo anterior se desprende que el AEP deberá proporcionar la normativa técnica que contenga criterios técnicos para la utilización y acceso a la infraestructura, así como la instalación de cables, y de otros elementos necesarios para la eficiente prestación de los servicios de telecomunicaciones. En este sentido, el contener la normativa técnica con cuestiones diferentes a las establecidas por la Medida anterior</w:t>
      </w:r>
      <w:r>
        <w:t>mente</w:t>
      </w:r>
      <w:r w:rsidRPr="00291DBC">
        <w:t xml:space="preserve"> citada, no dota claridad al documento de la ORCI, ni da certeza a los CS sobre los alcances del servicio.</w:t>
      </w:r>
    </w:p>
    <w:p w:rsidR="007C4016" w:rsidRPr="00291DBC" w:rsidRDefault="007C4016" w:rsidP="007C4016">
      <w:pPr>
        <w:pStyle w:val="IFTnormal"/>
        <w:spacing w:before="240" w:after="0"/>
      </w:pPr>
      <w:r>
        <w:t>Al respecto</w:t>
      </w:r>
      <w:r w:rsidRPr="00291DBC">
        <w:t>, a juicio del Instituto, en el apartado “</w:t>
      </w:r>
      <w:r w:rsidRPr="004952DB">
        <w:rPr>
          <w:i/>
        </w:rPr>
        <w:t>6.2.3.- Tendido de Cable e Instalación de otros Elementos de Red Sobre la Infraestructura Desagregada</w:t>
      </w:r>
      <w:r w:rsidRPr="00291DBC">
        <w:t>” de la NORMA 1</w:t>
      </w:r>
      <w:r>
        <w:t>, correspondiente al numeral “</w:t>
      </w:r>
      <w:r w:rsidRPr="004952DB">
        <w:rPr>
          <w:i/>
          <w:lang w:val="es-ES"/>
        </w:rPr>
        <w:t>5. SERVICIO DE TENDIDO DE CABLE SOBRE INFRAESTRUCTURA DESAGREGADA</w:t>
      </w:r>
      <w:r>
        <w:rPr>
          <w:bCs w:val="0"/>
          <w:lang w:val="es-ES"/>
        </w:rPr>
        <w:t>”,</w:t>
      </w:r>
      <w:r w:rsidRPr="00291DBC">
        <w:t xml:space="preserve"> existen </w:t>
      </w:r>
      <w:r>
        <w:t xml:space="preserve">elementos no necesariamente relacionados con </w:t>
      </w:r>
      <w:r w:rsidRPr="00291DBC">
        <w:t>criterios técnicos</w:t>
      </w:r>
      <w:r>
        <w:t>,</w:t>
      </w:r>
      <w:r w:rsidRPr="00291DBC">
        <w:t xml:space="preserve"> </w:t>
      </w:r>
      <w:r>
        <w:t>que</w:t>
      </w:r>
      <w:r w:rsidRPr="00291DBC">
        <w:t xml:space="preserve"> obedecen al alcance o al procedimiento para la prestación del servicio</w:t>
      </w:r>
      <w:r>
        <w:t xml:space="preserve">, como se señala a </w:t>
      </w:r>
      <w:r w:rsidRPr="00291DBC">
        <w:t>continuación</w:t>
      </w:r>
      <w:r>
        <w:t>:</w:t>
      </w:r>
    </w:p>
    <w:p w:rsidR="007C4016" w:rsidRPr="00291DBC" w:rsidRDefault="007C4016" w:rsidP="007C4016">
      <w:pPr>
        <w:pStyle w:val="Citaift0"/>
        <w:spacing w:before="240" w:after="0"/>
        <w:rPr>
          <w:b/>
        </w:rPr>
      </w:pPr>
      <w:r w:rsidRPr="00291DBC">
        <w:rPr>
          <w:b/>
        </w:rPr>
        <w:t xml:space="preserve"> “6.2.3.- Tendido de Cable e Instalación de otros Elementos de Red Sobre la Infraestructura Desagregada.</w:t>
      </w:r>
    </w:p>
    <w:p w:rsidR="007C4016" w:rsidRPr="00291DBC" w:rsidRDefault="007C4016" w:rsidP="007C4016">
      <w:pPr>
        <w:pStyle w:val="Citaift0"/>
        <w:spacing w:before="240" w:after="0"/>
      </w:pPr>
      <w:r w:rsidRPr="00291DBC">
        <w:lastRenderedPageBreak/>
        <w:t xml:space="preserve">El método a seguir para introducir los cables de cobre o de fibra óptica de los Concesionarios Solicitantes en la Infraestructura Desagregada en centrales de </w:t>
      </w:r>
      <w:r>
        <w:t>TELNOR</w:t>
      </w:r>
      <w:r w:rsidRPr="00291DBC">
        <w:t xml:space="preserve"> es de la siguiente forma:</w:t>
      </w:r>
    </w:p>
    <w:p w:rsidR="007C4016" w:rsidRPr="00291DBC" w:rsidRDefault="007C4016" w:rsidP="007C4016">
      <w:pPr>
        <w:pStyle w:val="Citaift0"/>
        <w:spacing w:before="240" w:after="0"/>
      </w:pPr>
      <w:r w:rsidRPr="00291DBC">
        <w:t>[…]</w:t>
      </w:r>
    </w:p>
    <w:p w:rsidR="007C4016" w:rsidRPr="00291DBC" w:rsidRDefault="007C4016" w:rsidP="007C4016">
      <w:pPr>
        <w:pStyle w:val="Citaift0"/>
        <w:numPr>
          <w:ilvl w:val="0"/>
          <w:numId w:val="35"/>
        </w:numPr>
        <w:spacing w:before="240" w:after="0"/>
      </w:pPr>
      <w:r w:rsidRPr="00291DBC">
        <w:t>Tendido de cable de fibra óptica:</w:t>
      </w:r>
    </w:p>
    <w:p w:rsidR="007C4016" w:rsidRPr="00291DBC" w:rsidRDefault="007C4016" w:rsidP="007C4016">
      <w:pPr>
        <w:pStyle w:val="Citaift0"/>
        <w:spacing w:before="240" w:after="0"/>
      </w:pPr>
      <w:r w:rsidRPr="00291DBC">
        <w:t xml:space="preserve"> […]</w:t>
      </w:r>
    </w:p>
    <w:p w:rsidR="007C4016" w:rsidRPr="00291DBC" w:rsidRDefault="007C4016" w:rsidP="007C4016">
      <w:pPr>
        <w:pStyle w:val="Citaift0"/>
        <w:numPr>
          <w:ilvl w:val="0"/>
          <w:numId w:val="38"/>
        </w:numPr>
        <w:spacing w:before="240" w:after="0"/>
        <w:ind w:left="1701"/>
        <w:rPr>
          <w:b/>
          <w:u w:val="single"/>
        </w:rPr>
      </w:pPr>
      <w:r w:rsidRPr="00291DBC">
        <w:rPr>
          <w:b/>
          <w:u w:val="single"/>
        </w:rPr>
        <w:t xml:space="preserve">Los Concesionarios Solicitantes podrán requerir un segundo tendido de cable de cobre o fibra en una misma central, independientemente de que el nuevo cable sea para disponer de rutas independientes o para ampliar la capacidad inicialmente dispuesta, siempre y cuando no concurran las situaciones de escasez de espacio, considerando para ello el procedimiento de Modificación de Infraestructura Compartida. El Concesionario Solicitante podrá solicitar a </w:t>
      </w:r>
      <w:r>
        <w:rPr>
          <w:b/>
          <w:u w:val="single"/>
        </w:rPr>
        <w:t>TELNOR</w:t>
      </w:r>
      <w:r w:rsidRPr="00291DBC">
        <w:rPr>
          <w:b/>
          <w:u w:val="single"/>
        </w:rPr>
        <w:t xml:space="preserve"> la sustitución del cable actual por otro de mayor capacidad.”</w:t>
      </w:r>
    </w:p>
    <w:p w:rsidR="007C4016" w:rsidRPr="00291DBC" w:rsidRDefault="007C4016" w:rsidP="007C4016">
      <w:pPr>
        <w:pStyle w:val="Citaift0"/>
        <w:spacing w:before="240" w:after="0"/>
        <w:ind w:left="1341"/>
        <w:jc w:val="right"/>
        <w:rPr>
          <w:b/>
        </w:rPr>
      </w:pPr>
      <w:r w:rsidRPr="00291DBC">
        <w:rPr>
          <w:b/>
        </w:rPr>
        <w:t>(Énfasis añadido)</w:t>
      </w:r>
    </w:p>
    <w:p w:rsidR="007C4016" w:rsidRDefault="007C4016" w:rsidP="007C4016">
      <w:pPr>
        <w:pStyle w:val="IFTnormal"/>
        <w:spacing w:before="240" w:after="0"/>
        <w:rPr>
          <w:bCs w:val="0"/>
          <w:lang w:val="es-ES"/>
        </w:rPr>
      </w:pPr>
      <w:r>
        <w:t>Es decir, el IFT considera que</w:t>
      </w:r>
      <w:r w:rsidRPr="00291DBC">
        <w:t xml:space="preserve"> los criterios descriptivos del alcance para la prestación del servicio deben situarse en su correspondiente descripción del servicio, con la finalidad de que su respectivo anexo se enfoque en cuestiones técnicas. Por consiguiente, con la finalidad de brindar mayor certeza a los CS sobre lo </w:t>
      </w:r>
      <w:r>
        <w:t>descrito</w:t>
      </w:r>
      <w:r w:rsidRPr="00291DBC">
        <w:t xml:space="preserve"> en </w:t>
      </w:r>
      <w:r w:rsidRPr="009E04A2">
        <w:t>el apartado “</w:t>
      </w:r>
      <w:r w:rsidRPr="004952DB">
        <w:rPr>
          <w:i/>
        </w:rPr>
        <w:t>6.2.3.- Tendido de Cable e Instalación de otros Elementos de Red Sobre la Infraestructura Desagregada</w:t>
      </w:r>
      <w:r w:rsidRPr="00291DBC">
        <w:t xml:space="preserve">”, es necesario modificarlo para que queden solo cuestiones de criterios técnicos y su normativa. </w:t>
      </w:r>
      <w:r>
        <w:t xml:space="preserve">En consecuencia, lo relacionado con </w:t>
      </w:r>
      <w:r w:rsidRPr="00291DBC">
        <w:t>la descripción alcance y p</w:t>
      </w:r>
      <w:r>
        <w:t xml:space="preserve">rocedimiento para prestar el </w:t>
      </w:r>
      <w:r>
        <w:tab/>
        <w:t xml:space="preserve"> servicio, debe ser atendido en el numeral </w:t>
      </w:r>
      <w:r w:rsidRPr="000B50E0">
        <w:rPr>
          <w:bCs w:val="0"/>
          <w:lang w:val="es-ES"/>
        </w:rPr>
        <w:t>“</w:t>
      </w:r>
      <w:r w:rsidRPr="004952DB">
        <w:rPr>
          <w:i/>
          <w:lang w:val="es-ES"/>
        </w:rPr>
        <w:t>5. SERVICIO DE TENDIDO DE CABLE SOBRE INFRAESTRUCTURA DESAGREGADA</w:t>
      </w:r>
      <w:r w:rsidRPr="000B50E0">
        <w:rPr>
          <w:bCs w:val="0"/>
          <w:lang w:val="es-ES"/>
        </w:rPr>
        <w:t>”</w:t>
      </w:r>
      <w:r>
        <w:rPr>
          <w:bCs w:val="0"/>
          <w:lang w:val="es-ES"/>
        </w:rPr>
        <w:t>.</w:t>
      </w:r>
    </w:p>
    <w:p w:rsidR="007C4016" w:rsidRPr="00DE6A78" w:rsidRDefault="007C4016" w:rsidP="007C4016">
      <w:pPr>
        <w:pStyle w:val="IFTnormal"/>
        <w:spacing w:before="240" w:after="0"/>
        <w:rPr>
          <w:b/>
          <w:bCs w:val="0"/>
          <w:lang w:val="es-ES"/>
        </w:rPr>
      </w:pPr>
      <w:r>
        <w:rPr>
          <w:b/>
          <w:bCs w:val="0"/>
          <w:lang w:val="es-ES"/>
        </w:rPr>
        <w:t>Redacción Definitiva</w:t>
      </w:r>
    </w:p>
    <w:p w:rsidR="007C4016" w:rsidRDefault="007C4016" w:rsidP="007C4016">
      <w:pPr>
        <w:suppressAutoHyphens w:val="0"/>
        <w:spacing w:before="240" w:after="0" w:line="276" w:lineRule="auto"/>
        <w:ind w:right="567"/>
        <w:contextualSpacing w:val="0"/>
        <w:rPr>
          <w:rFonts w:ascii="ITC Avant Garde" w:eastAsia="Calibri" w:hAnsi="ITC Avant Garde"/>
          <w:b/>
          <w:i/>
          <w:sz w:val="18"/>
          <w:szCs w:val="22"/>
          <w:lang w:val="es-ES" w:eastAsia="en-US"/>
        </w:rPr>
      </w:pPr>
      <w:r w:rsidRPr="000B50E0">
        <w:rPr>
          <w:rFonts w:ascii="ITC Avant Garde" w:eastAsia="MS Mincho" w:hAnsi="ITC Avant Garde" w:cs="Calibri"/>
          <w:bCs/>
          <w:sz w:val="22"/>
          <w:szCs w:val="22"/>
          <w:lang w:val="es-ES" w:eastAsia="en-US"/>
        </w:rPr>
        <w:t>Derivado del análisis previo</w:t>
      </w:r>
      <w:r>
        <w:rPr>
          <w:rFonts w:ascii="ITC Avant Garde" w:eastAsia="MS Mincho" w:hAnsi="ITC Avant Garde" w:cs="Calibri"/>
          <w:bCs/>
          <w:sz w:val="22"/>
          <w:szCs w:val="22"/>
          <w:lang w:val="es-ES" w:eastAsia="en-US"/>
        </w:rPr>
        <w:t xml:space="preserve"> </w:t>
      </w:r>
      <w:r w:rsidRPr="00DE6A78">
        <w:rPr>
          <w:rFonts w:ascii="ITC Avant Garde" w:eastAsia="MS Mincho" w:hAnsi="ITC Avant Garde" w:cs="Calibri"/>
          <w:bCs/>
          <w:sz w:val="22"/>
          <w:szCs w:val="22"/>
          <w:lang w:val="es-ES" w:eastAsia="en-US"/>
        </w:rPr>
        <w:t>y el “</w:t>
      </w:r>
      <w:r w:rsidRPr="004952DB">
        <w:rPr>
          <w:rFonts w:ascii="ITC Avant Garde" w:eastAsia="MS Mincho" w:hAnsi="ITC Avant Garde" w:cs="Calibri"/>
          <w:i/>
          <w:sz w:val="22"/>
          <w:szCs w:val="22"/>
          <w:lang w:val="es-ES" w:eastAsia="en-US"/>
        </w:rPr>
        <w:t>ANEXO 2 NORMATIVIDAD TECNICA</w:t>
      </w:r>
      <w:r w:rsidRPr="00DE6A78">
        <w:rPr>
          <w:rFonts w:ascii="ITC Avant Garde" w:eastAsia="MS Mincho" w:hAnsi="ITC Avant Garde" w:cs="Calibri"/>
          <w:bCs/>
          <w:sz w:val="22"/>
          <w:szCs w:val="22"/>
          <w:lang w:val="es-ES" w:eastAsia="en-US"/>
        </w:rPr>
        <w:t>”</w:t>
      </w:r>
      <w:r w:rsidRPr="000B50E0">
        <w:rPr>
          <w:rFonts w:ascii="ITC Avant Garde" w:eastAsia="MS Mincho" w:hAnsi="ITC Avant Garde" w:cs="Calibri"/>
          <w:bCs/>
          <w:sz w:val="22"/>
          <w:szCs w:val="22"/>
          <w:lang w:val="es-ES" w:eastAsia="en-US"/>
        </w:rPr>
        <w:t>, el Instituto resue</w:t>
      </w:r>
      <w:r>
        <w:rPr>
          <w:rFonts w:ascii="ITC Avant Garde" w:eastAsia="MS Mincho" w:hAnsi="ITC Avant Garde" w:cs="Calibri"/>
          <w:bCs/>
          <w:sz w:val="22"/>
          <w:szCs w:val="22"/>
          <w:lang w:val="es-ES" w:eastAsia="en-US"/>
        </w:rPr>
        <w:t xml:space="preserve">lve </w:t>
      </w:r>
      <w:r w:rsidRPr="00767948">
        <w:rPr>
          <w:rFonts w:ascii="ITC Avant Garde" w:eastAsia="MS Mincho" w:hAnsi="ITC Avant Garde" w:cs="Calibri"/>
          <w:bCs/>
          <w:sz w:val="22"/>
          <w:szCs w:val="22"/>
          <w:lang w:val="es-ES" w:eastAsia="en-US"/>
        </w:rPr>
        <w:t xml:space="preserve">que el numeral </w:t>
      </w:r>
      <w:r w:rsidRPr="000B50E0">
        <w:rPr>
          <w:rFonts w:ascii="ITC Avant Garde" w:eastAsia="MS Mincho" w:hAnsi="ITC Avant Garde" w:cs="Calibri"/>
          <w:bCs/>
          <w:sz w:val="22"/>
          <w:szCs w:val="22"/>
          <w:lang w:val="es-ES" w:eastAsia="en-US"/>
        </w:rPr>
        <w:t>“</w:t>
      </w:r>
      <w:r w:rsidRPr="004952DB">
        <w:rPr>
          <w:rFonts w:ascii="ITC Avant Garde" w:eastAsia="MS Mincho" w:hAnsi="ITC Avant Garde" w:cs="Calibri"/>
          <w:i/>
          <w:sz w:val="22"/>
          <w:szCs w:val="22"/>
          <w:lang w:val="es-ES" w:eastAsia="en-US"/>
        </w:rPr>
        <w:t>5. SERVICIO DE TENDIDO DE CABLE SOBRE INFRAESTRUCTURA DESAGREGADA</w:t>
      </w:r>
      <w:r w:rsidRPr="000B50E0">
        <w:rPr>
          <w:rFonts w:ascii="ITC Avant Garde" w:eastAsia="MS Mincho" w:hAnsi="ITC Avant Garde" w:cs="Calibri"/>
          <w:bCs/>
          <w:sz w:val="22"/>
          <w:szCs w:val="22"/>
          <w:lang w:val="es-ES" w:eastAsia="en-US"/>
        </w:rPr>
        <w:t xml:space="preserve">” </w:t>
      </w:r>
      <w:r w:rsidRPr="00767948">
        <w:rPr>
          <w:rFonts w:ascii="ITC Avant Garde" w:eastAsia="MS Mincho" w:hAnsi="ITC Avant Garde" w:cs="Calibri"/>
          <w:bCs/>
          <w:sz w:val="22"/>
          <w:szCs w:val="22"/>
          <w:lang w:val="es-ES" w:eastAsia="en-US"/>
        </w:rPr>
        <w:t>deberá quedar de la siguiente manera:</w:t>
      </w:r>
    </w:p>
    <w:p w:rsidR="007C4016" w:rsidRPr="005B40F5" w:rsidRDefault="007C4016" w:rsidP="007C4016">
      <w:pPr>
        <w:suppressAutoHyphens w:val="0"/>
        <w:spacing w:before="240" w:after="0" w:line="276" w:lineRule="auto"/>
        <w:ind w:left="567" w:right="567"/>
        <w:contextualSpacing w:val="0"/>
        <w:rPr>
          <w:rFonts w:ascii="ITC Avant Garde" w:eastAsia="Calibri" w:hAnsi="ITC Avant Garde"/>
          <w:b/>
          <w:sz w:val="22"/>
          <w:szCs w:val="22"/>
          <w:lang w:val="es-ES" w:eastAsia="en-US"/>
        </w:rPr>
      </w:pPr>
      <w:r w:rsidRPr="005B40F5">
        <w:rPr>
          <w:rFonts w:ascii="ITC Avant Garde" w:eastAsia="Calibri" w:hAnsi="ITC Avant Garde"/>
          <w:b/>
          <w:sz w:val="22"/>
          <w:szCs w:val="22"/>
          <w:lang w:val="es-ES" w:eastAsia="en-US"/>
        </w:rPr>
        <w:t xml:space="preserve">5. Servicio de Tendido de Cable sobre Infraestructura Desagregada. </w:t>
      </w:r>
    </w:p>
    <w:p w:rsidR="007C4016" w:rsidRPr="00DC3CD5" w:rsidRDefault="007C4016" w:rsidP="007C4016">
      <w:pPr>
        <w:suppressAutoHyphens w:val="0"/>
        <w:spacing w:before="240" w:after="0" w:line="276" w:lineRule="auto"/>
        <w:ind w:left="567" w:right="567"/>
        <w:contextualSpacing w:val="0"/>
        <w:rPr>
          <w:rFonts w:ascii="ITC Avant Garde" w:eastAsia="Calibri" w:hAnsi="ITC Avant Garde"/>
          <w:sz w:val="22"/>
          <w:szCs w:val="22"/>
          <w:lang w:val="es-ES" w:eastAsia="en-US"/>
        </w:rPr>
      </w:pPr>
      <w:r w:rsidRPr="00DC3CD5">
        <w:rPr>
          <w:rFonts w:ascii="ITC Avant Garde" w:eastAsia="Calibri" w:hAnsi="ITC Avant Garde"/>
          <w:sz w:val="22"/>
          <w:szCs w:val="22"/>
          <w:lang w:val="es-ES" w:eastAsia="en-US"/>
        </w:rPr>
        <w:t xml:space="preserve">El Servicio de Tendido de Cable sobre Infraestructura Desagregada, es el servicio mediante el cual </w:t>
      </w:r>
      <w:r>
        <w:rPr>
          <w:rFonts w:ascii="ITC Avant Garde" w:eastAsia="Calibri" w:hAnsi="ITC Avant Garde"/>
          <w:sz w:val="22"/>
          <w:szCs w:val="22"/>
          <w:lang w:val="es-ES" w:eastAsia="en-US"/>
        </w:rPr>
        <w:t>Telnor</w:t>
      </w:r>
      <w:r w:rsidRPr="00DC3CD5">
        <w:rPr>
          <w:rFonts w:ascii="ITC Avant Garde" w:eastAsia="Calibri" w:hAnsi="ITC Avant Garde"/>
          <w:sz w:val="22"/>
          <w:szCs w:val="22"/>
          <w:lang w:val="es-ES" w:eastAsia="en-US"/>
        </w:rPr>
        <w:t xml:space="preserve"> realiza la conexión de cable desde la Coubicación del CS donde tenga contratados los Servicios de </w:t>
      </w:r>
      <w:r w:rsidRPr="00DC3CD5">
        <w:rPr>
          <w:rFonts w:ascii="ITC Avant Garde" w:eastAsia="Calibri" w:hAnsi="ITC Avant Garde"/>
          <w:sz w:val="22"/>
          <w:szCs w:val="22"/>
          <w:lang w:val="es-ES" w:eastAsia="en-US"/>
        </w:rPr>
        <w:lastRenderedPageBreak/>
        <w:t xml:space="preserve">Desagregación, hasta el pozo más cercano al pozo de acometida de las centrales de </w:t>
      </w:r>
      <w:r>
        <w:rPr>
          <w:rFonts w:ascii="ITC Avant Garde" w:eastAsia="Calibri" w:hAnsi="ITC Avant Garde"/>
          <w:sz w:val="22"/>
          <w:szCs w:val="22"/>
          <w:lang w:val="es-ES" w:eastAsia="en-US"/>
        </w:rPr>
        <w:t>Telnor</w:t>
      </w:r>
      <w:r w:rsidRPr="00DC3CD5">
        <w:rPr>
          <w:rFonts w:ascii="ITC Avant Garde" w:eastAsia="Calibri" w:hAnsi="ITC Avant Garde"/>
          <w:sz w:val="22"/>
          <w:szCs w:val="22"/>
          <w:lang w:val="es-ES" w:eastAsia="en-US"/>
        </w:rPr>
        <w:t>. Es necesario que el CS cuente con una Coubicación para Desagregación.</w:t>
      </w:r>
    </w:p>
    <w:p w:rsidR="007C4016" w:rsidRPr="00DC3CD5" w:rsidRDefault="007C4016" w:rsidP="007C4016">
      <w:pPr>
        <w:suppressAutoHyphens w:val="0"/>
        <w:spacing w:before="240" w:after="0" w:line="276" w:lineRule="auto"/>
        <w:ind w:left="567" w:right="567"/>
        <w:contextualSpacing w:val="0"/>
        <w:rPr>
          <w:rFonts w:ascii="ITC Avant Garde" w:eastAsia="Calibri" w:hAnsi="ITC Avant Garde"/>
          <w:sz w:val="22"/>
          <w:szCs w:val="22"/>
          <w:lang w:val="es-ES" w:eastAsia="en-US"/>
        </w:rPr>
      </w:pPr>
      <w:r>
        <w:rPr>
          <w:rFonts w:ascii="ITC Avant Garde" w:eastAsia="Calibri" w:hAnsi="ITC Avant Garde"/>
          <w:noProof/>
          <w:sz w:val="22"/>
          <w:szCs w:val="22"/>
          <w:lang w:eastAsia="es-MX"/>
        </w:rPr>
        <w:drawing>
          <wp:inline distT="0" distB="0" distL="0" distR="0" wp14:anchorId="0F0966FA" wp14:editId="76C04F39">
            <wp:extent cx="4584700" cy="4194175"/>
            <wp:effectExtent l="0" t="0" r="6350" b="0"/>
            <wp:docPr id="19" name="Imagen 19" descr="Figura 4. Tendido de Cable sobre Infraestructura Desagregad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4194175"/>
                    </a:xfrm>
                    <a:prstGeom prst="rect">
                      <a:avLst/>
                    </a:prstGeom>
                    <a:noFill/>
                  </pic:spPr>
                </pic:pic>
              </a:graphicData>
            </a:graphic>
          </wp:inline>
        </w:drawing>
      </w:r>
    </w:p>
    <w:p w:rsidR="007C4016" w:rsidRDefault="007C4016" w:rsidP="007C4016">
      <w:pPr>
        <w:suppressAutoHyphens w:val="0"/>
        <w:spacing w:before="240" w:after="0" w:line="276" w:lineRule="auto"/>
        <w:ind w:left="567" w:right="567"/>
        <w:contextualSpacing w:val="0"/>
        <w:jc w:val="center"/>
        <w:rPr>
          <w:rFonts w:ascii="ITC Avant Garde" w:eastAsia="Calibri" w:hAnsi="ITC Avant Garde"/>
          <w:sz w:val="18"/>
          <w:szCs w:val="22"/>
          <w:lang w:val="es-ES" w:eastAsia="en-US"/>
        </w:rPr>
      </w:pPr>
      <w:r w:rsidRPr="007C2F1E">
        <w:rPr>
          <w:rFonts w:ascii="ITC Avant Garde" w:eastAsia="Calibri" w:hAnsi="ITC Avant Garde"/>
          <w:sz w:val="18"/>
          <w:szCs w:val="22"/>
          <w:lang w:val="es-ES" w:eastAsia="en-US"/>
        </w:rPr>
        <w:t>Figura 4. Tendido de Cable sobre Infraestructura Desagregada. </w:t>
      </w:r>
    </w:p>
    <w:p w:rsidR="007C4016" w:rsidRPr="00DC3CD5" w:rsidRDefault="007C4016" w:rsidP="007C4016">
      <w:pPr>
        <w:suppressAutoHyphens w:val="0"/>
        <w:spacing w:before="240" w:after="0" w:line="276" w:lineRule="auto"/>
        <w:ind w:left="567" w:right="567"/>
        <w:contextualSpacing w:val="0"/>
        <w:rPr>
          <w:rFonts w:ascii="ITC Avant Garde" w:eastAsia="Calibri" w:hAnsi="ITC Avant Garde"/>
          <w:sz w:val="22"/>
          <w:szCs w:val="22"/>
          <w:lang w:val="es-ES" w:eastAsia="en-US"/>
        </w:rPr>
      </w:pPr>
      <w:r w:rsidRPr="00DC3CD5">
        <w:rPr>
          <w:rFonts w:ascii="ITC Avant Garde" w:eastAsia="Calibri" w:hAnsi="ITC Avant Garde"/>
          <w:sz w:val="22"/>
          <w:szCs w:val="22"/>
          <w:lang w:val="es-ES" w:eastAsia="en-US"/>
        </w:rPr>
        <w:t>El Servicio de Tendido de Cable en la Infraestructura Desagregada</w:t>
      </w:r>
      <w:r>
        <w:rPr>
          <w:rFonts w:ascii="ITC Avant Garde" w:eastAsia="Calibri" w:hAnsi="ITC Avant Garde"/>
          <w:sz w:val="22"/>
          <w:szCs w:val="22"/>
          <w:vertAlign w:val="superscript"/>
          <w:lang w:val="es-ES" w:eastAsia="en-US"/>
        </w:rPr>
        <w:t>10</w:t>
      </w:r>
      <w:r w:rsidRPr="00DC3CD5">
        <w:rPr>
          <w:rFonts w:ascii="ITC Avant Garde" w:eastAsia="Calibri" w:hAnsi="ITC Avant Garde"/>
          <w:sz w:val="22"/>
          <w:szCs w:val="22"/>
          <w:lang w:val="es-ES" w:eastAsia="en-US"/>
        </w:rPr>
        <w:t xml:space="preserve"> está formado por las siguientes actividades:</w:t>
      </w:r>
    </w:p>
    <w:p w:rsidR="007C4016" w:rsidRPr="007C2F1E" w:rsidRDefault="007C4016" w:rsidP="007C4016">
      <w:pPr>
        <w:pStyle w:val="Prrafodelista"/>
        <w:numPr>
          <w:ilvl w:val="0"/>
          <w:numId w:val="141"/>
        </w:numPr>
        <w:suppressAutoHyphens w:val="0"/>
        <w:spacing w:before="240" w:after="0" w:line="276" w:lineRule="auto"/>
        <w:ind w:right="567"/>
        <w:contextualSpacing w:val="0"/>
        <w:rPr>
          <w:rFonts w:ascii="ITC Avant Garde" w:eastAsia="Calibri" w:hAnsi="ITC Avant Garde"/>
          <w:sz w:val="22"/>
          <w:szCs w:val="22"/>
          <w:lang w:val="es-ES" w:eastAsia="en-US"/>
        </w:rPr>
      </w:pPr>
      <w:r w:rsidRPr="007C2F1E">
        <w:rPr>
          <w:rFonts w:ascii="ITC Avant Garde" w:eastAsia="Calibri" w:hAnsi="ITC Avant Garde"/>
          <w:i/>
          <w:sz w:val="22"/>
          <w:szCs w:val="22"/>
          <w:lang w:val="es-ES" w:eastAsia="en-US"/>
        </w:rPr>
        <w:t xml:space="preserve">Suministro e instalación de cableado interior </w:t>
      </w:r>
      <w:r w:rsidRPr="005B40F5">
        <w:rPr>
          <w:rFonts w:ascii="ITC Avant Garde" w:eastAsia="Calibri" w:hAnsi="ITC Avant Garde"/>
          <w:sz w:val="22"/>
          <w:szCs w:val="22"/>
          <w:lang w:val="es-ES" w:eastAsia="en-US"/>
        </w:rPr>
        <w:t xml:space="preserve">que va de la fosa de cables de </w:t>
      </w:r>
      <w:r>
        <w:rPr>
          <w:rFonts w:ascii="ITC Avant Garde" w:eastAsia="Calibri" w:hAnsi="ITC Avant Garde"/>
          <w:sz w:val="22"/>
          <w:szCs w:val="22"/>
          <w:lang w:val="es-ES" w:eastAsia="en-US"/>
        </w:rPr>
        <w:t>Telnor</w:t>
      </w:r>
      <w:r w:rsidRPr="005B40F5">
        <w:rPr>
          <w:rFonts w:ascii="ITC Avant Garde" w:eastAsia="Calibri" w:hAnsi="ITC Avant Garde"/>
          <w:sz w:val="22"/>
          <w:szCs w:val="22"/>
          <w:lang w:val="es-ES" w:eastAsia="en-US"/>
        </w:rPr>
        <w:t xml:space="preserve"> hasta la Coubicación del CS, incluye el cierre de empalme en fosa de cables, no incluye empalme en su sala de Coubicación donde se tienen contratados servicios de Desagregación;</w:t>
      </w:r>
    </w:p>
    <w:p w:rsidR="007C4016" w:rsidRPr="005B40F5" w:rsidRDefault="007C4016" w:rsidP="007C4016">
      <w:pPr>
        <w:pStyle w:val="Prrafodelista"/>
        <w:numPr>
          <w:ilvl w:val="0"/>
          <w:numId w:val="141"/>
        </w:numPr>
        <w:suppressAutoHyphens w:val="0"/>
        <w:spacing w:after="0" w:line="276" w:lineRule="auto"/>
        <w:ind w:right="567"/>
        <w:contextualSpacing w:val="0"/>
        <w:rPr>
          <w:rFonts w:ascii="ITC Avant Garde" w:eastAsia="Calibri" w:hAnsi="ITC Avant Garde"/>
          <w:sz w:val="22"/>
          <w:szCs w:val="22"/>
          <w:lang w:val="es-ES" w:eastAsia="en-US"/>
        </w:rPr>
      </w:pPr>
      <w:r w:rsidRPr="007C2F1E">
        <w:rPr>
          <w:rFonts w:ascii="ITC Avant Garde" w:eastAsia="Calibri" w:hAnsi="ITC Avant Garde"/>
          <w:i/>
          <w:sz w:val="22"/>
          <w:szCs w:val="22"/>
          <w:lang w:val="es-ES" w:eastAsia="en-US"/>
        </w:rPr>
        <w:t>Instalación de cable de exterior</w:t>
      </w:r>
      <w:r w:rsidRPr="005B40F5">
        <w:rPr>
          <w:rFonts w:ascii="ITC Avant Garde" w:eastAsia="Calibri" w:hAnsi="ITC Avant Garde"/>
          <w:sz w:val="22"/>
          <w:szCs w:val="22"/>
          <w:lang w:val="es-ES" w:eastAsia="en-US"/>
        </w:rPr>
        <w:t xml:space="preserve"> del CS del pozo de </w:t>
      </w:r>
      <w:r>
        <w:rPr>
          <w:rFonts w:ascii="ITC Avant Garde" w:eastAsia="Calibri" w:hAnsi="ITC Avant Garde"/>
          <w:sz w:val="22"/>
          <w:szCs w:val="22"/>
          <w:lang w:val="es-ES" w:eastAsia="en-US"/>
        </w:rPr>
        <w:t>Telnor</w:t>
      </w:r>
      <w:r w:rsidRPr="005B40F5">
        <w:rPr>
          <w:rFonts w:ascii="ITC Avant Garde" w:eastAsia="Calibri" w:hAnsi="ITC Avant Garde"/>
          <w:sz w:val="22"/>
          <w:szCs w:val="22"/>
          <w:lang w:val="es-ES" w:eastAsia="en-US"/>
        </w:rPr>
        <w:t xml:space="preserve"> más cercano al pozo de acometida de </w:t>
      </w:r>
      <w:r>
        <w:rPr>
          <w:rFonts w:ascii="ITC Avant Garde" w:eastAsia="Calibri" w:hAnsi="ITC Avant Garde"/>
          <w:sz w:val="22"/>
          <w:szCs w:val="22"/>
          <w:lang w:val="es-ES" w:eastAsia="en-US"/>
        </w:rPr>
        <w:t>Telnor</w:t>
      </w:r>
      <w:r w:rsidRPr="005B40F5">
        <w:rPr>
          <w:rFonts w:ascii="ITC Avant Garde" w:eastAsia="Calibri" w:hAnsi="ITC Avant Garde"/>
          <w:sz w:val="22"/>
          <w:szCs w:val="22"/>
          <w:lang w:val="es-ES" w:eastAsia="en-US"/>
        </w:rPr>
        <w:t>;</w:t>
      </w:r>
    </w:p>
    <w:p w:rsidR="007C4016" w:rsidRDefault="007C4016" w:rsidP="007C4016">
      <w:pPr>
        <w:pStyle w:val="Prrafodelista"/>
        <w:numPr>
          <w:ilvl w:val="0"/>
          <w:numId w:val="141"/>
        </w:numPr>
        <w:suppressAutoHyphens w:val="0"/>
        <w:spacing w:after="0" w:line="276" w:lineRule="auto"/>
        <w:ind w:right="567"/>
        <w:contextualSpacing w:val="0"/>
        <w:rPr>
          <w:rFonts w:ascii="ITC Avant Garde" w:eastAsia="Calibri" w:hAnsi="ITC Avant Garde"/>
          <w:sz w:val="22"/>
          <w:szCs w:val="22"/>
          <w:lang w:val="es-ES" w:eastAsia="en-US"/>
        </w:rPr>
      </w:pPr>
      <w:r w:rsidRPr="007C2F1E">
        <w:rPr>
          <w:rFonts w:ascii="ITC Avant Garde" w:eastAsia="Calibri" w:hAnsi="ITC Avant Garde"/>
          <w:i/>
          <w:sz w:val="22"/>
          <w:szCs w:val="22"/>
          <w:lang w:val="es-ES" w:eastAsia="en-US"/>
        </w:rPr>
        <w:lastRenderedPageBreak/>
        <w:t xml:space="preserve">Acondicionamiento para trayectorias de cable dentro de la central: </w:t>
      </w:r>
      <w:r w:rsidRPr="005B40F5">
        <w:rPr>
          <w:rFonts w:ascii="ITC Avant Garde" w:eastAsia="Calibri" w:hAnsi="ITC Avant Garde"/>
          <w:sz w:val="22"/>
          <w:szCs w:val="22"/>
          <w:lang w:val="es-ES" w:eastAsia="en-US"/>
        </w:rPr>
        <w:t xml:space="preserve">son los elementos dentro del Edificio de </w:t>
      </w:r>
      <w:r>
        <w:rPr>
          <w:rFonts w:ascii="ITC Avant Garde" w:eastAsia="Calibri" w:hAnsi="ITC Avant Garde"/>
          <w:sz w:val="22"/>
          <w:szCs w:val="22"/>
          <w:lang w:val="es-ES" w:eastAsia="en-US"/>
        </w:rPr>
        <w:t>Telnor</w:t>
      </w:r>
      <w:r w:rsidRPr="005B40F5">
        <w:rPr>
          <w:rFonts w:ascii="ITC Avant Garde" w:eastAsia="Calibri" w:hAnsi="ITC Avant Garde"/>
          <w:sz w:val="22"/>
          <w:szCs w:val="22"/>
          <w:lang w:val="es-ES" w:eastAsia="en-US"/>
        </w:rPr>
        <w:t xml:space="preserve"> por los que pasa el cable tendido, que son, de manera enunciativa más no limitativa: escalerillas, canaletas, paso de loza, pasos de muro, sellados de paso, acomodo y raqueo, entre otros. </w:t>
      </w:r>
    </w:p>
    <w:p w:rsidR="007C4016" w:rsidRPr="00DC3CD5" w:rsidRDefault="007C4016" w:rsidP="007C4016">
      <w:pPr>
        <w:suppressAutoHyphens w:val="0"/>
        <w:spacing w:before="240" w:after="0" w:line="276" w:lineRule="auto"/>
        <w:ind w:left="567" w:right="567"/>
        <w:contextualSpacing w:val="0"/>
        <w:rPr>
          <w:rFonts w:ascii="ITC Avant Garde" w:eastAsia="Calibri" w:hAnsi="ITC Avant Garde"/>
          <w:sz w:val="22"/>
          <w:szCs w:val="22"/>
          <w:lang w:val="es-ES" w:eastAsia="en-US"/>
        </w:rPr>
      </w:pPr>
      <w:r w:rsidRPr="00DC3CD5">
        <w:rPr>
          <w:rFonts w:ascii="ITC Avant Garde" w:eastAsia="Calibri" w:hAnsi="ITC Avant Garde"/>
          <w:sz w:val="22"/>
          <w:szCs w:val="22"/>
          <w:lang w:val="es-ES" w:eastAsia="en-US"/>
        </w:rPr>
        <w:t xml:space="preserve">En caso de que la instalación solicitada por el CS sea para un cable multipar de cobre, se realizarán las adecuaciones necesarias a la infraestructura para la prestación del servicio, el cable se entregará en sala de Coubicación para desagregación o en DFO/DG si es ubicación distante, en punta protegida y etiquetado con el nombre del CS. </w:t>
      </w:r>
    </w:p>
    <w:p w:rsidR="007C4016" w:rsidRPr="005B40F5" w:rsidRDefault="007C4016" w:rsidP="007C4016">
      <w:pPr>
        <w:suppressAutoHyphens w:val="0"/>
        <w:spacing w:before="240" w:after="0" w:line="276" w:lineRule="auto"/>
        <w:ind w:left="567" w:right="567"/>
        <w:contextualSpacing w:val="0"/>
        <w:rPr>
          <w:rFonts w:ascii="ITC Avant Garde" w:eastAsia="Calibri" w:hAnsi="ITC Avant Garde"/>
          <w:sz w:val="22"/>
          <w:szCs w:val="22"/>
          <w:lang w:val="es-ES" w:eastAsia="en-US"/>
        </w:rPr>
      </w:pPr>
      <w:r>
        <w:rPr>
          <w:rFonts w:ascii="ITC Avant Garde" w:eastAsia="Calibri" w:hAnsi="ITC Avant Garde"/>
          <w:sz w:val="22"/>
          <w:szCs w:val="22"/>
          <w:lang w:val="es-ES" w:eastAsia="en-US"/>
        </w:rPr>
        <w:t>Los CS</w:t>
      </w:r>
      <w:r w:rsidRPr="00DE6A78">
        <w:rPr>
          <w:rFonts w:ascii="ITC Avant Garde" w:eastAsia="Calibri" w:hAnsi="ITC Avant Garde"/>
          <w:sz w:val="22"/>
          <w:szCs w:val="22"/>
          <w:lang w:val="es-ES" w:eastAsia="en-US"/>
        </w:rPr>
        <w:t xml:space="preserve"> podrán requerir un segundo tendido de cable de cobre o fibra en una misma central, independientemente de que el nuevo cable sea para disponer de rutas independientes o para ampliar la capacidad inicialmente dispuesta, siempre y cuando no concurran las situaciones de escasez de espacio, considerando para ello el procedimiento de Modificación de Infraestructura Compartida. El Concesionario Solicitante podrá solicitar a </w:t>
      </w:r>
      <w:r>
        <w:rPr>
          <w:rFonts w:ascii="ITC Avant Garde" w:eastAsia="Calibri" w:hAnsi="ITC Avant Garde"/>
          <w:sz w:val="22"/>
          <w:szCs w:val="22"/>
          <w:lang w:val="es-ES" w:eastAsia="en-US"/>
        </w:rPr>
        <w:t>Telnor</w:t>
      </w:r>
      <w:r w:rsidRPr="00DE6A78">
        <w:rPr>
          <w:rFonts w:ascii="ITC Avant Garde" w:eastAsia="Calibri" w:hAnsi="ITC Avant Garde"/>
          <w:sz w:val="22"/>
          <w:szCs w:val="22"/>
          <w:lang w:val="es-ES" w:eastAsia="en-US"/>
        </w:rPr>
        <w:t xml:space="preserve"> la sustitución del cable actu</w:t>
      </w:r>
      <w:r>
        <w:rPr>
          <w:rFonts w:ascii="ITC Avant Garde" w:eastAsia="Calibri" w:hAnsi="ITC Avant Garde"/>
          <w:sz w:val="22"/>
          <w:szCs w:val="22"/>
          <w:lang w:val="es-ES" w:eastAsia="en-US"/>
        </w:rPr>
        <w:t>al por otro de mayor capacidad.</w:t>
      </w:r>
    </w:p>
    <w:p w:rsidR="007C4016" w:rsidRPr="00DC3CD5" w:rsidRDefault="007C4016" w:rsidP="007C4016">
      <w:pPr>
        <w:suppressAutoHyphens w:val="0"/>
        <w:spacing w:before="240" w:after="0" w:line="276" w:lineRule="auto"/>
        <w:ind w:left="567" w:right="567"/>
        <w:contextualSpacing w:val="0"/>
        <w:rPr>
          <w:rFonts w:ascii="ITC Avant Garde" w:eastAsia="Calibri" w:hAnsi="ITC Avant Garde"/>
          <w:sz w:val="22"/>
          <w:szCs w:val="22"/>
          <w:lang w:val="es-ES" w:eastAsia="en-US"/>
        </w:rPr>
      </w:pPr>
      <w:r w:rsidRPr="00DC3CD5">
        <w:rPr>
          <w:rFonts w:ascii="ITC Avant Garde" w:eastAsia="Calibri" w:hAnsi="ITC Avant Garde"/>
          <w:sz w:val="22"/>
          <w:szCs w:val="22"/>
          <w:lang w:val="es-ES" w:eastAsia="en-US"/>
        </w:rPr>
        <w:t>Los conceptos facturables son:</w:t>
      </w:r>
    </w:p>
    <w:p w:rsidR="007C4016" w:rsidRPr="00967D68" w:rsidRDefault="007C4016" w:rsidP="007C4016">
      <w:pPr>
        <w:suppressAutoHyphens w:val="0"/>
        <w:spacing w:before="240" w:after="0" w:line="276" w:lineRule="auto"/>
        <w:ind w:left="567" w:right="567"/>
        <w:contextualSpacing w:val="0"/>
        <w:rPr>
          <w:rFonts w:ascii="ITC Avant Garde" w:eastAsia="Calibri" w:hAnsi="ITC Avant Garde"/>
          <w:b/>
          <w:sz w:val="22"/>
          <w:szCs w:val="22"/>
          <w:lang w:val="es-ES" w:eastAsia="en-US"/>
        </w:rPr>
      </w:pPr>
      <w:r w:rsidRPr="00967D68">
        <w:rPr>
          <w:rFonts w:ascii="ITC Avant Garde" w:eastAsia="Calibri" w:hAnsi="ITC Avant Garde"/>
          <w:b/>
          <w:sz w:val="22"/>
          <w:szCs w:val="22"/>
          <w:lang w:val="es-ES" w:eastAsia="en-US"/>
        </w:rPr>
        <w:t>Cargos No Recurrentes:</w:t>
      </w:r>
    </w:p>
    <w:p w:rsidR="007C4016" w:rsidRPr="00575E97" w:rsidRDefault="007C4016" w:rsidP="007C4016">
      <w:pPr>
        <w:pStyle w:val="Prrafodelista"/>
        <w:numPr>
          <w:ilvl w:val="0"/>
          <w:numId w:val="142"/>
        </w:numPr>
        <w:suppressAutoHyphens w:val="0"/>
        <w:spacing w:before="240" w:after="0" w:line="276" w:lineRule="auto"/>
        <w:ind w:right="567"/>
        <w:contextualSpacing w:val="0"/>
        <w:rPr>
          <w:rFonts w:ascii="ITC Avant Garde" w:eastAsia="Calibri" w:hAnsi="ITC Avant Garde"/>
          <w:sz w:val="22"/>
          <w:szCs w:val="22"/>
          <w:lang w:val="es-ES" w:eastAsia="en-US"/>
        </w:rPr>
      </w:pPr>
      <w:r w:rsidRPr="00575E97">
        <w:rPr>
          <w:rFonts w:ascii="ITC Avant Garde" w:eastAsia="Calibri" w:hAnsi="ITC Avant Garde"/>
          <w:sz w:val="22"/>
          <w:szCs w:val="22"/>
          <w:lang w:val="es-ES" w:eastAsia="en-US"/>
        </w:rPr>
        <w:t>Visita Técnica para Tendido de Cable sobre Infraestructura Desagregada, en caso de haber sido solicitada por el CS.</w:t>
      </w:r>
    </w:p>
    <w:p w:rsidR="007C4016" w:rsidRPr="00575E97" w:rsidRDefault="007C4016" w:rsidP="007C4016">
      <w:pPr>
        <w:pStyle w:val="Prrafodelista"/>
        <w:numPr>
          <w:ilvl w:val="0"/>
          <w:numId w:val="142"/>
        </w:numPr>
        <w:suppressAutoHyphens w:val="0"/>
        <w:spacing w:after="0" w:line="276" w:lineRule="auto"/>
        <w:ind w:right="567"/>
        <w:contextualSpacing w:val="0"/>
        <w:rPr>
          <w:rFonts w:ascii="ITC Avant Garde" w:eastAsia="Calibri" w:hAnsi="ITC Avant Garde"/>
          <w:sz w:val="22"/>
          <w:szCs w:val="22"/>
          <w:lang w:val="es-ES" w:eastAsia="en-US"/>
        </w:rPr>
      </w:pPr>
      <w:r w:rsidRPr="00575E97">
        <w:rPr>
          <w:rFonts w:ascii="ITC Avant Garde" w:eastAsia="Calibri" w:hAnsi="ITC Avant Garde"/>
          <w:sz w:val="22"/>
          <w:szCs w:val="22"/>
          <w:lang w:val="es-ES" w:eastAsia="en-US"/>
        </w:rPr>
        <w:t>Análisis de Factibilidad.</w:t>
      </w:r>
    </w:p>
    <w:p w:rsidR="007C4016" w:rsidRPr="00575E97" w:rsidRDefault="007C4016" w:rsidP="007C4016">
      <w:pPr>
        <w:pStyle w:val="Prrafodelista"/>
        <w:numPr>
          <w:ilvl w:val="0"/>
          <w:numId w:val="142"/>
        </w:numPr>
        <w:suppressAutoHyphens w:val="0"/>
        <w:spacing w:after="0" w:line="276" w:lineRule="auto"/>
        <w:ind w:right="567"/>
        <w:contextualSpacing w:val="0"/>
        <w:rPr>
          <w:rFonts w:ascii="ITC Avant Garde" w:eastAsia="Calibri" w:hAnsi="ITC Avant Garde"/>
          <w:sz w:val="22"/>
          <w:szCs w:val="22"/>
          <w:lang w:val="es-ES" w:eastAsia="en-US"/>
        </w:rPr>
      </w:pPr>
      <w:r w:rsidRPr="00575E97">
        <w:rPr>
          <w:rFonts w:ascii="ITC Avant Garde" w:eastAsia="Calibri" w:hAnsi="ITC Avant Garde"/>
          <w:sz w:val="22"/>
          <w:szCs w:val="22"/>
          <w:lang w:val="es-ES" w:eastAsia="en-US"/>
        </w:rPr>
        <w:t>Gastos de Instalación por Tendido de Cable en el interior.</w:t>
      </w:r>
    </w:p>
    <w:p w:rsidR="007C4016" w:rsidRPr="00575E97" w:rsidRDefault="007C4016" w:rsidP="007C4016">
      <w:pPr>
        <w:pStyle w:val="Prrafodelista"/>
        <w:numPr>
          <w:ilvl w:val="0"/>
          <w:numId w:val="142"/>
        </w:numPr>
        <w:suppressAutoHyphens w:val="0"/>
        <w:spacing w:after="0" w:line="276" w:lineRule="auto"/>
        <w:ind w:right="567"/>
        <w:contextualSpacing w:val="0"/>
        <w:rPr>
          <w:rFonts w:ascii="ITC Avant Garde" w:eastAsia="Calibri" w:hAnsi="ITC Avant Garde"/>
          <w:sz w:val="22"/>
          <w:szCs w:val="22"/>
          <w:lang w:val="es-ES" w:eastAsia="en-US"/>
        </w:rPr>
      </w:pPr>
      <w:r w:rsidRPr="00575E97">
        <w:rPr>
          <w:rFonts w:ascii="ITC Avant Garde" w:eastAsia="Calibri" w:hAnsi="ITC Avant Garde"/>
          <w:sz w:val="22"/>
          <w:szCs w:val="22"/>
          <w:lang w:val="es-ES" w:eastAsia="en-US"/>
        </w:rPr>
        <w:t>Gastos por empalme por hilo de fibra óptica.</w:t>
      </w:r>
    </w:p>
    <w:p w:rsidR="007C4016" w:rsidRPr="00575E97" w:rsidRDefault="007C4016" w:rsidP="007C4016">
      <w:pPr>
        <w:pStyle w:val="Prrafodelista"/>
        <w:numPr>
          <w:ilvl w:val="0"/>
          <w:numId w:val="142"/>
        </w:numPr>
        <w:suppressAutoHyphens w:val="0"/>
        <w:spacing w:after="0" w:line="276" w:lineRule="auto"/>
        <w:ind w:right="567"/>
        <w:contextualSpacing w:val="0"/>
        <w:rPr>
          <w:rFonts w:ascii="ITC Avant Garde" w:eastAsia="Calibri" w:hAnsi="ITC Avant Garde"/>
          <w:sz w:val="22"/>
          <w:szCs w:val="22"/>
          <w:lang w:val="es-ES" w:eastAsia="en-US"/>
        </w:rPr>
      </w:pPr>
      <w:r w:rsidRPr="00575E97">
        <w:rPr>
          <w:rFonts w:ascii="ITC Avant Garde" w:eastAsia="Calibri" w:hAnsi="ITC Avant Garde"/>
          <w:sz w:val="22"/>
          <w:szCs w:val="22"/>
          <w:lang w:val="es-ES" w:eastAsia="en-US"/>
        </w:rPr>
        <w:t>Acondicionamiento de Infraestructura Pasiva, en caso de que se requiera.</w:t>
      </w:r>
    </w:p>
    <w:p w:rsidR="007C4016" w:rsidRPr="00575E97" w:rsidRDefault="007C4016" w:rsidP="007C4016">
      <w:pPr>
        <w:pStyle w:val="Prrafodelista"/>
        <w:numPr>
          <w:ilvl w:val="0"/>
          <w:numId w:val="142"/>
        </w:numPr>
        <w:suppressAutoHyphens w:val="0"/>
        <w:spacing w:after="0" w:line="276" w:lineRule="auto"/>
        <w:ind w:right="567"/>
        <w:contextualSpacing w:val="0"/>
        <w:rPr>
          <w:rFonts w:ascii="ITC Avant Garde" w:eastAsia="Calibri" w:hAnsi="ITC Avant Garde"/>
          <w:sz w:val="22"/>
          <w:szCs w:val="22"/>
          <w:lang w:val="es-ES" w:eastAsia="en-US"/>
        </w:rPr>
      </w:pPr>
      <w:r w:rsidRPr="00575E97">
        <w:rPr>
          <w:rFonts w:ascii="ITC Avant Garde" w:eastAsia="Calibri" w:hAnsi="ITC Avant Garde"/>
          <w:sz w:val="22"/>
          <w:szCs w:val="22"/>
          <w:lang w:val="es-ES" w:eastAsia="en-US"/>
        </w:rPr>
        <w:t>Recuperación de espacio, en caso de que se requiera.</w:t>
      </w:r>
    </w:p>
    <w:p w:rsidR="007C4016" w:rsidRDefault="007C4016" w:rsidP="007C4016">
      <w:pPr>
        <w:suppressAutoHyphens w:val="0"/>
        <w:spacing w:before="240" w:after="0" w:line="276" w:lineRule="auto"/>
        <w:ind w:left="567" w:right="567"/>
        <w:contextualSpacing w:val="0"/>
        <w:rPr>
          <w:rFonts w:ascii="ITC Avant Garde" w:eastAsia="Calibri" w:hAnsi="ITC Avant Garde"/>
          <w:sz w:val="22"/>
          <w:szCs w:val="22"/>
          <w:lang w:val="es-ES" w:eastAsia="en-US"/>
        </w:rPr>
      </w:pPr>
      <w:r w:rsidRPr="00DC3CD5">
        <w:rPr>
          <w:rFonts w:ascii="ITC Avant Garde" w:eastAsia="Calibri" w:hAnsi="ITC Avant Garde"/>
          <w:sz w:val="22"/>
          <w:szCs w:val="22"/>
          <w:lang w:val="es-ES" w:eastAsia="en-US"/>
        </w:rPr>
        <w:t>La facturación de las actividades antes mencionadas se realizará posteriormente a su ejecución.</w:t>
      </w:r>
    </w:p>
    <w:p w:rsidR="007C4016" w:rsidRPr="00967D68" w:rsidRDefault="007C4016" w:rsidP="007C4016">
      <w:pPr>
        <w:suppressAutoHyphens w:val="0"/>
        <w:spacing w:before="240" w:after="0" w:line="276" w:lineRule="auto"/>
        <w:ind w:left="567" w:right="567"/>
        <w:contextualSpacing w:val="0"/>
        <w:rPr>
          <w:rFonts w:ascii="ITC Avant Garde" w:eastAsia="Calibri" w:hAnsi="ITC Avant Garde"/>
          <w:b/>
          <w:sz w:val="22"/>
          <w:szCs w:val="22"/>
          <w:lang w:val="es-ES" w:eastAsia="en-US"/>
        </w:rPr>
      </w:pPr>
      <w:r w:rsidRPr="00967D68">
        <w:rPr>
          <w:rFonts w:ascii="ITC Avant Garde" w:eastAsia="Calibri" w:hAnsi="ITC Avant Garde"/>
          <w:b/>
          <w:sz w:val="22"/>
          <w:szCs w:val="22"/>
          <w:lang w:val="es-ES" w:eastAsia="en-US"/>
        </w:rPr>
        <w:t>Cargos Recurrentes con cobro anticipado:</w:t>
      </w:r>
    </w:p>
    <w:p w:rsidR="007C4016" w:rsidRPr="00575E97" w:rsidRDefault="007C4016" w:rsidP="007C4016">
      <w:pPr>
        <w:pStyle w:val="Prrafodelista"/>
        <w:numPr>
          <w:ilvl w:val="0"/>
          <w:numId w:val="143"/>
        </w:numPr>
        <w:suppressAutoHyphens w:val="0"/>
        <w:spacing w:before="240" w:after="0" w:line="276" w:lineRule="auto"/>
        <w:ind w:right="567"/>
        <w:contextualSpacing w:val="0"/>
        <w:rPr>
          <w:rFonts w:ascii="ITC Avant Garde" w:eastAsia="Calibri" w:hAnsi="ITC Avant Garde"/>
          <w:sz w:val="22"/>
          <w:szCs w:val="22"/>
          <w:lang w:val="es-ES" w:eastAsia="en-US"/>
        </w:rPr>
      </w:pPr>
      <w:r w:rsidRPr="00575E97">
        <w:rPr>
          <w:rFonts w:ascii="ITC Avant Garde" w:eastAsia="Calibri" w:hAnsi="ITC Avant Garde"/>
          <w:sz w:val="22"/>
          <w:szCs w:val="22"/>
          <w:lang w:val="es-ES" w:eastAsia="en-US"/>
        </w:rPr>
        <w:t xml:space="preserve">Contraprestación mensual por el uso de la trayectoria. </w:t>
      </w:r>
    </w:p>
    <w:p w:rsidR="007C4016" w:rsidRPr="00DC3CD5" w:rsidRDefault="007C4016" w:rsidP="007C4016">
      <w:pPr>
        <w:suppressAutoHyphens w:val="0"/>
        <w:spacing w:before="240" w:after="0" w:line="276" w:lineRule="auto"/>
        <w:ind w:left="567" w:right="567"/>
        <w:contextualSpacing w:val="0"/>
        <w:rPr>
          <w:rFonts w:ascii="ITC Avant Garde" w:eastAsia="Calibri" w:hAnsi="ITC Avant Garde"/>
          <w:sz w:val="22"/>
          <w:szCs w:val="22"/>
          <w:lang w:val="es-ES" w:eastAsia="en-US"/>
        </w:rPr>
      </w:pPr>
      <w:r w:rsidRPr="003E1856">
        <w:rPr>
          <w:rFonts w:ascii="ITC Avant Garde" w:eastAsia="Calibri" w:hAnsi="ITC Avant Garde"/>
          <w:sz w:val="22"/>
          <w:szCs w:val="22"/>
          <w:lang w:val="es-ES" w:eastAsia="en-US"/>
        </w:rPr>
        <w:lastRenderedPageBreak/>
        <w:t>La facturación de los cargos recurrentes se realizará a mes corriente.</w:t>
      </w:r>
    </w:p>
    <w:p w:rsidR="007C4016" w:rsidRDefault="007C4016" w:rsidP="007C4016">
      <w:pPr>
        <w:suppressAutoHyphens w:val="0"/>
        <w:spacing w:before="240" w:after="0" w:line="276" w:lineRule="auto"/>
        <w:ind w:left="567" w:right="567"/>
        <w:contextualSpacing w:val="0"/>
        <w:rPr>
          <w:rFonts w:ascii="ITC Avant Garde" w:eastAsia="Calibri" w:hAnsi="ITC Avant Garde"/>
          <w:sz w:val="22"/>
          <w:szCs w:val="22"/>
          <w:lang w:val="es-ES" w:eastAsia="en-US"/>
        </w:rPr>
      </w:pPr>
      <w:r>
        <w:rPr>
          <w:rFonts w:ascii="ITC Avant Garde" w:eastAsia="Calibri" w:hAnsi="ITC Avant Garde"/>
          <w:sz w:val="22"/>
          <w:szCs w:val="22"/>
          <w:lang w:val="es-ES" w:eastAsia="en-US"/>
        </w:rPr>
        <w:t>________________________________</w:t>
      </w:r>
    </w:p>
    <w:p w:rsidR="007C4016" w:rsidRDefault="007C4016" w:rsidP="007C4016">
      <w:pPr>
        <w:suppressAutoHyphens w:val="0"/>
        <w:spacing w:before="240" w:after="0" w:line="276" w:lineRule="auto"/>
        <w:ind w:left="567" w:right="567"/>
        <w:contextualSpacing w:val="0"/>
        <w:rPr>
          <w:rFonts w:ascii="ITC Avant Garde" w:eastAsia="Calibri" w:hAnsi="ITC Avant Garde"/>
          <w:sz w:val="18"/>
          <w:szCs w:val="22"/>
          <w:lang w:val="es-ES" w:eastAsia="en-US"/>
        </w:rPr>
      </w:pPr>
      <w:r>
        <w:rPr>
          <w:rFonts w:ascii="ITC Avant Garde" w:eastAsia="Calibri" w:hAnsi="ITC Avant Garde"/>
          <w:sz w:val="22"/>
          <w:szCs w:val="22"/>
          <w:vertAlign w:val="superscript"/>
          <w:lang w:val="es-ES" w:eastAsia="en-US"/>
        </w:rPr>
        <w:t>10</w:t>
      </w:r>
      <w:r>
        <w:rPr>
          <w:rFonts w:ascii="ITC Avant Garde" w:eastAsia="Calibri" w:hAnsi="ITC Avant Garde"/>
          <w:sz w:val="22"/>
          <w:szCs w:val="22"/>
          <w:lang w:val="es-ES" w:eastAsia="en-US"/>
        </w:rPr>
        <w:t xml:space="preserve"> </w:t>
      </w:r>
      <w:r w:rsidRPr="0065056E">
        <w:rPr>
          <w:rFonts w:ascii="ITC Avant Garde" w:eastAsia="Calibri" w:hAnsi="ITC Avant Garde"/>
          <w:sz w:val="18"/>
          <w:szCs w:val="22"/>
          <w:lang w:val="es-ES" w:eastAsia="en-US"/>
        </w:rPr>
        <w:t>El suministro e instalación de un cable diferente a fibra óptica, se considerará como trabajo especial. No se instala Distribuidor de Fibra Óptica del CS</w:t>
      </w:r>
      <w:r>
        <w:rPr>
          <w:rFonts w:ascii="ITC Avant Garde" w:eastAsia="Calibri" w:hAnsi="ITC Avant Garde"/>
          <w:sz w:val="18"/>
          <w:szCs w:val="22"/>
          <w:lang w:val="es-ES" w:eastAsia="en-US"/>
        </w:rPr>
        <w:t>.</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5.1</w:t>
      </w:r>
      <w:r w:rsidRPr="006A7AA7">
        <w:rPr>
          <w:rFonts w:ascii="ITC Avant Garde" w:hAnsi="ITC Avant Garde"/>
          <w:b/>
          <w:sz w:val="22"/>
          <w:szCs w:val="22"/>
        </w:rPr>
        <w:tab/>
        <w:t xml:space="preserve"> PROCEDIMIENTOS PARA LA CONTRATACIÓN, MODIFICACIÓN Y BAJA DE LOS SERVICIOS.</w:t>
      </w:r>
    </w:p>
    <w:p w:rsidR="007C4016" w:rsidRPr="00BF4959" w:rsidRDefault="007C4016" w:rsidP="007C4016">
      <w:pPr>
        <w:pStyle w:val="IFTnormal"/>
        <w:spacing w:before="240" w:after="0"/>
        <w:rPr>
          <w:b/>
        </w:rPr>
      </w:pPr>
      <w:r>
        <w:rPr>
          <w:b/>
        </w:rPr>
        <w:t>Consideraciones del Instituto</w:t>
      </w:r>
    </w:p>
    <w:p w:rsidR="007C4016" w:rsidRDefault="007C4016" w:rsidP="007C4016">
      <w:pPr>
        <w:pStyle w:val="IFTnormal"/>
        <w:spacing w:before="240" w:after="0"/>
        <w:rPr>
          <w:b/>
          <w:lang w:val="es-ES"/>
        </w:rPr>
      </w:pPr>
      <w:r w:rsidRPr="009270CE">
        <w:rPr>
          <w:lang w:val="es-ES"/>
        </w:rPr>
        <w:t>Derivado del análisis realizado al numeral “</w:t>
      </w:r>
      <w:r w:rsidRPr="00332200">
        <w:rPr>
          <w:i/>
          <w:lang w:val="es-ES"/>
        </w:rPr>
        <w:t>1.1 Procedimiento para la contratación, modificación y baja de servicio</w:t>
      </w:r>
      <w:r w:rsidRPr="009270CE">
        <w:rPr>
          <w:lang w:val="es-ES"/>
        </w:rPr>
        <w:t>”, el Instituto identificó que dicho análisis</w:t>
      </w:r>
      <w:r>
        <w:rPr>
          <w:lang w:val="es-ES"/>
        </w:rPr>
        <w:t xml:space="preserve"> y resolución</w:t>
      </w:r>
      <w:r w:rsidRPr="009270CE">
        <w:rPr>
          <w:lang w:val="es-ES"/>
        </w:rPr>
        <w:t xml:space="preserve"> puede hacerse extensivo a los procedimientos de los demás servicios contemplados en la Propuesta de Oferta de Referencia, con excepción de aquellos temas particulares y exclusivos que deban tratarse de manera específica en su sección correspondiente.</w:t>
      </w:r>
      <w:r>
        <w:rPr>
          <w:lang w:val="es-ES"/>
        </w:rPr>
        <w:t xml:space="preserve"> Por lo tanto y a juicio del Instituto, los procedimientos “</w:t>
      </w:r>
      <w:r>
        <w:rPr>
          <w:i/>
          <w:lang w:val="es-ES"/>
        </w:rPr>
        <w:t>5</w:t>
      </w:r>
      <w:r w:rsidRPr="00332200">
        <w:rPr>
          <w:i/>
          <w:lang w:val="es-ES"/>
        </w:rPr>
        <w:t>.1 Procedimientos para la contracción y baja de los servicios</w:t>
      </w:r>
      <w:r>
        <w:rPr>
          <w:lang w:val="es-ES"/>
        </w:rPr>
        <w:t xml:space="preserve">” del </w:t>
      </w:r>
      <w:r w:rsidRPr="00332200">
        <w:rPr>
          <w:i/>
          <w:lang w:val="es-ES"/>
        </w:rPr>
        <w:t>Servicio Tend</w:t>
      </w:r>
      <w:r>
        <w:rPr>
          <w:i/>
          <w:lang w:val="es-ES"/>
        </w:rPr>
        <w:t>ido de Cable sobre Estructura De</w:t>
      </w:r>
      <w:r w:rsidRPr="00332200">
        <w:rPr>
          <w:i/>
          <w:lang w:val="es-ES"/>
        </w:rPr>
        <w:t>sagregada</w:t>
      </w:r>
      <w:r>
        <w:rPr>
          <w:lang w:val="es-ES"/>
        </w:rPr>
        <w:t xml:space="preserve"> deben ser modificados de acuerdo a lo resuelto en el numeral mencionado inicialmente.</w:t>
      </w:r>
    </w:p>
    <w:p w:rsidR="007C4016" w:rsidRPr="003B2A08" w:rsidRDefault="007C4016" w:rsidP="007C4016">
      <w:pPr>
        <w:pStyle w:val="IFTnormal"/>
        <w:spacing w:before="240" w:after="0"/>
        <w:rPr>
          <w:b/>
        </w:rPr>
      </w:pPr>
      <w:r w:rsidRPr="002802DB">
        <w:rPr>
          <w:b/>
          <w:lang w:val="es-ES"/>
        </w:rPr>
        <w:t xml:space="preserve"> CASO 2. Cambios que </w:t>
      </w:r>
      <w:r w:rsidRPr="002802DB">
        <w:rPr>
          <w:b/>
        </w:rPr>
        <w:t>modifican la redacción de la Propuesta de Oferta de Referencia.</w:t>
      </w:r>
    </w:p>
    <w:p w:rsidR="007C4016" w:rsidRPr="004C0456" w:rsidRDefault="007C4016" w:rsidP="007C4016">
      <w:pPr>
        <w:pStyle w:val="IFTnormal"/>
        <w:spacing w:before="240" w:after="0"/>
        <w:rPr>
          <w:b/>
        </w:rPr>
      </w:pPr>
      <w:r>
        <w:rPr>
          <w:b/>
        </w:rPr>
        <w:t>Redacción Definitiva</w:t>
      </w:r>
    </w:p>
    <w:p w:rsidR="007C4016" w:rsidRDefault="007C4016" w:rsidP="007C4016">
      <w:pPr>
        <w:suppressAutoHyphens w:val="0"/>
        <w:spacing w:before="240" w:after="0" w:line="276" w:lineRule="auto"/>
        <w:ind w:right="567"/>
        <w:contextualSpacing w:val="0"/>
        <w:rPr>
          <w:rFonts w:ascii="ITC Avant Garde" w:eastAsia="MS Mincho" w:hAnsi="ITC Avant Garde" w:cs="Calibri"/>
          <w:sz w:val="22"/>
          <w:szCs w:val="22"/>
          <w:lang w:val="es-ES" w:eastAsia="en-US"/>
        </w:rPr>
      </w:pPr>
      <w:r w:rsidRPr="000B50E0">
        <w:rPr>
          <w:rFonts w:ascii="ITC Avant Garde" w:eastAsia="MS Mincho" w:hAnsi="ITC Avant Garde" w:cs="Calibri"/>
          <w:bCs/>
          <w:sz w:val="22"/>
          <w:szCs w:val="22"/>
          <w:lang w:val="es-ES" w:eastAsia="en-US"/>
        </w:rPr>
        <w:t>Derivado del análisis previo, el Instituto resue</w:t>
      </w:r>
      <w:r>
        <w:rPr>
          <w:rFonts w:ascii="ITC Avant Garde" w:eastAsia="MS Mincho" w:hAnsi="ITC Avant Garde" w:cs="Calibri"/>
          <w:bCs/>
          <w:sz w:val="22"/>
          <w:szCs w:val="22"/>
          <w:lang w:val="es-ES" w:eastAsia="en-US"/>
        </w:rPr>
        <w:t xml:space="preserve">lve </w:t>
      </w:r>
      <w:r w:rsidRPr="000B50E0">
        <w:rPr>
          <w:rFonts w:ascii="ITC Avant Garde" w:eastAsia="MS Mincho" w:hAnsi="ITC Avant Garde" w:cs="Calibri"/>
          <w:bCs/>
          <w:sz w:val="22"/>
          <w:szCs w:val="22"/>
          <w:lang w:val="es-ES" w:eastAsia="en-US"/>
        </w:rPr>
        <w:t xml:space="preserve">que </w:t>
      </w:r>
      <w:r w:rsidRPr="00EF65DD">
        <w:rPr>
          <w:rFonts w:ascii="ITC Avant Garde" w:eastAsia="MS Mincho" w:hAnsi="ITC Avant Garde" w:cs="Calibri"/>
          <w:bCs/>
          <w:sz w:val="22"/>
          <w:szCs w:val="22"/>
          <w:lang w:val="es-ES" w:eastAsia="en-US"/>
        </w:rPr>
        <w:t xml:space="preserve">el numeral </w:t>
      </w:r>
      <w:r w:rsidRPr="000E071A">
        <w:rPr>
          <w:rFonts w:ascii="ITC Avant Garde" w:eastAsia="MS Mincho" w:hAnsi="ITC Avant Garde" w:cs="Calibri"/>
          <w:bCs/>
          <w:sz w:val="22"/>
          <w:szCs w:val="22"/>
          <w:lang w:val="es-ES" w:eastAsia="en-US"/>
        </w:rPr>
        <w:t>“</w:t>
      </w:r>
      <w:r>
        <w:rPr>
          <w:rFonts w:ascii="ITC Avant Garde" w:eastAsia="MS Mincho" w:hAnsi="ITC Avant Garde" w:cs="Calibri"/>
          <w:bCs/>
          <w:sz w:val="22"/>
          <w:szCs w:val="22"/>
          <w:lang w:val="es-ES" w:eastAsia="en-US"/>
        </w:rPr>
        <w:t xml:space="preserve">5.1 </w:t>
      </w:r>
      <w:r w:rsidRPr="000E071A">
        <w:rPr>
          <w:rFonts w:ascii="ITC Avant Garde" w:eastAsia="MS Mincho" w:hAnsi="ITC Avant Garde" w:cs="Calibri"/>
          <w:bCs/>
          <w:sz w:val="22"/>
          <w:szCs w:val="22"/>
          <w:lang w:val="es-ES" w:eastAsia="en-US"/>
        </w:rPr>
        <w:t>PROCEDIMIENTOS PARA LA CONTRATACIÓN, MODIFI</w:t>
      </w:r>
      <w:r>
        <w:rPr>
          <w:rFonts w:ascii="ITC Avant Garde" w:eastAsia="MS Mincho" w:hAnsi="ITC Avant Garde" w:cs="Calibri"/>
          <w:bCs/>
          <w:sz w:val="22"/>
          <w:szCs w:val="22"/>
          <w:lang w:val="es-ES" w:eastAsia="en-US"/>
        </w:rPr>
        <w:t>CACIÓN Y BAJA DE LOS SERVICIOS”</w:t>
      </w:r>
      <w:r w:rsidRPr="000B50E0">
        <w:rPr>
          <w:rFonts w:ascii="ITC Avant Garde" w:eastAsia="MS Mincho" w:hAnsi="ITC Avant Garde" w:cs="Calibri"/>
          <w:bCs/>
          <w:sz w:val="22"/>
          <w:szCs w:val="22"/>
          <w:lang w:val="es-ES" w:eastAsia="en-US"/>
        </w:rPr>
        <w:t xml:space="preserve"> </w:t>
      </w:r>
      <w:r w:rsidRPr="00EF65DD">
        <w:rPr>
          <w:rFonts w:ascii="ITC Avant Garde" w:eastAsia="MS Mincho" w:hAnsi="ITC Avant Garde" w:cs="Calibri"/>
          <w:bCs/>
          <w:sz w:val="22"/>
          <w:szCs w:val="22"/>
          <w:lang w:val="es-ES" w:eastAsia="en-US"/>
        </w:rPr>
        <w:t xml:space="preserve">correspondiente al “SERVICIO DE TENDIDO DE CABLE SOBRE INFRAESTRUCTURA DESAGREGADA” deberá quedar de la </w:t>
      </w:r>
      <w:r w:rsidRPr="000B50E0">
        <w:rPr>
          <w:rFonts w:ascii="ITC Avant Garde" w:eastAsia="MS Mincho" w:hAnsi="ITC Avant Garde" w:cs="Calibri"/>
          <w:bCs/>
          <w:sz w:val="22"/>
          <w:szCs w:val="22"/>
          <w:lang w:val="es-ES" w:eastAsia="en-US"/>
        </w:rPr>
        <w:t>siguiente</w:t>
      </w:r>
      <w:r w:rsidRPr="00EF65DD">
        <w:rPr>
          <w:rFonts w:ascii="ITC Avant Garde" w:eastAsia="MS Mincho" w:hAnsi="ITC Avant Garde" w:cs="Calibri"/>
          <w:bCs/>
          <w:sz w:val="22"/>
          <w:szCs w:val="22"/>
          <w:lang w:val="es-ES" w:eastAsia="en-US"/>
        </w:rPr>
        <w:t xml:space="preserve"> manera</w:t>
      </w:r>
      <w:r w:rsidRPr="000B50E0">
        <w:rPr>
          <w:rFonts w:ascii="ITC Avant Garde" w:eastAsia="MS Mincho" w:hAnsi="ITC Avant Garde" w:cs="Calibri"/>
          <w:bCs/>
          <w:sz w:val="22"/>
          <w:szCs w:val="22"/>
          <w:lang w:val="es-ES" w:eastAsia="en-US"/>
        </w:rPr>
        <w:t>:</w:t>
      </w:r>
    </w:p>
    <w:p w:rsidR="007C4016" w:rsidRDefault="007C4016" w:rsidP="007C4016">
      <w:pPr>
        <w:pStyle w:val="CondicionesFinales"/>
        <w:spacing w:before="240" w:after="0"/>
        <w:rPr>
          <w:b/>
        </w:rPr>
      </w:pPr>
      <w:bookmarkStart w:id="67" w:name="_Toc388972141"/>
      <w:bookmarkStart w:id="68" w:name="_Toc388869617"/>
      <w:bookmarkStart w:id="69" w:name="_Toc398890445"/>
      <w:bookmarkStart w:id="70" w:name="_Toc400610135"/>
      <w:bookmarkStart w:id="71" w:name="_Toc423018253"/>
      <w:bookmarkStart w:id="72" w:name="_Toc433915588"/>
      <w:bookmarkStart w:id="73" w:name="_Toc435555552"/>
      <w:bookmarkStart w:id="74" w:name="_Toc436229706"/>
      <w:bookmarkStart w:id="75" w:name="_Toc436230621"/>
      <w:bookmarkStart w:id="76" w:name="_Toc488945235"/>
      <w:r w:rsidRPr="00EB170F">
        <w:rPr>
          <w:b/>
        </w:rPr>
        <w:t>5.1Procedimientos para la contratación, modificación y baja de los servicios.</w:t>
      </w:r>
      <w:bookmarkEnd w:id="67"/>
      <w:bookmarkEnd w:id="68"/>
      <w:bookmarkEnd w:id="69"/>
      <w:bookmarkEnd w:id="70"/>
      <w:bookmarkEnd w:id="71"/>
      <w:bookmarkEnd w:id="72"/>
      <w:bookmarkEnd w:id="73"/>
      <w:bookmarkEnd w:id="74"/>
      <w:bookmarkEnd w:id="75"/>
      <w:bookmarkEnd w:id="76"/>
    </w:p>
    <w:p w:rsidR="007C4016" w:rsidRDefault="007C4016" w:rsidP="007C4016">
      <w:pPr>
        <w:pStyle w:val="CondicionesFinales"/>
        <w:spacing w:before="240" w:after="0"/>
        <w:rPr>
          <w:lang w:val="es-ES"/>
        </w:rPr>
      </w:pPr>
      <w:r w:rsidRPr="00716C42">
        <w:rPr>
          <w:lang w:val="es-ES"/>
        </w:rPr>
        <w:t>A continuación se describen los procedimientos a seguir para la contratación, modificación y baja de del servicio</w:t>
      </w:r>
      <w:r>
        <w:rPr>
          <w:lang w:val="es-ES"/>
        </w:rPr>
        <w:t xml:space="preserve"> de tendido de cable</w:t>
      </w:r>
      <w:r w:rsidRPr="00716C42">
        <w:rPr>
          <w:lang w:val="es-ES"/>
        </w:rPr>
        <w:t>. Los plazos para la realización de estas actividades así como los indicadores de</w:t>
      </w:r>
      <w:r w:rsidRPr="00242919">
        <w:rPr>
          <w:lang w:val="es-ES"/>
        </w:rPr>
        <w:t xml:space="preserve"> nivel de servicio se encuentran detallados en el Anexo 4 de la Oferta.</w:t>
      </w:r>
    </w:p>
    <w:p w:rsidR="007C4016" w:rsidRPr="00EB170F" w:rsidRDefault="007C4016" w:rsidP="007C4016">
      <w:pPr>
        <w:pStyle w:val="CondicionesFinales"/>
        <w:spacing w:before="240" w:after="0"/>
        <w:rPr>
          <w:b/>
        </w:rPr>
      </w:pPr>
      <w:bookmarkStart w:id="77" w:name="_Toc435548539"/>
      <w:bookmarkStart w:id="78" w:name="_Toc435548540"/>
      <w:bookmarkStart w:id="79" w:name="_Toc435548541"/>
      <w:bookmarkEnd w:id="77"/>
      <w:bookmarkEnd w:id="78"/>
      <w:bookmarkEnd w:id="79"/>
      <w:r w:rsidRPr="00EB170F">
        <w:rPr>
          <w:b/>
        </w:rPr>
        <w:lastRenderedPageBreak/>
        <w:t xml:space="preserve">a. </w:t>
      </w:r>
      <w:bookmarkStart w:id="80" w:name="_Toc435555553"/>
      <w:bookmarkStart w:id="81" w:name="_Toc436229707"/>
      <w:bookmarkStart w:id="82" w:name="_Toc436230622"/>
      <w:bookmarkStart w:id="83" w:name="_Toc488945236"/>
      <w:r w:rsidRPr="00EB170F">
        <w:rPr>
          <w:b/>
        </w:rPr>
        <w:t>Contratación</w:t>
      </w:r>
      <w:bookmarkEnd w:id="80"/>
      <w:bookmarkEnd w:id="81"/>
      <w:bookmarkEnd w:id="82"/>
      <w:bookmarkEnd w:id="83"/>
    </w:p>
    <w:p w:rsidR="007C4016" w:rsidRDefault="007C4016" w:rsidP="007C4016">
      <w:pPr>
        <w:pStyle w:val="CondicionesFinales"/>
        <w:spacing w:before="240" w:after="0"/>
      </w:pPr>
      <w:r w:rsidRPr="00716C42">
        <w:t xml:space="preserve">Queda establecido que mediante el envío de la solicitud, el CS consiente realizar el pago por </w:t>
      </w:r>
      <w:r>
        <w:t>los cargos no recurrentes</w:t>
      </w:r>
      <w:r w:rsidRPr="00716C42">
        <w:t xml:space="preserve"> así como por los elementos de cobro que conforman el servicio. Asimismo si el CS rechaza el servicio o decide no continuar con el procedimiento deberá liquidar el monto generado por las actividades realizadas hasta el momento que decidió </w:t>
      </w:r>
      <w:r>
        <w:t>finalizar el mismo</w:t>
      </w:r>
      <w:r w:rsidRPr="00716C42">
        <w:t xml:space="preserve">. </w:t>
      </w:r>
    </w:p>
    <w:p w:rsidR="007C4016" w:rsidRPr="00716C42" w:rsidRDefault="007C4016" w:rsidP="007C4016">
      <w:pPr>
        <w:pStyle w:val="CondicionesFinales"/>
        <w:spacing w:before="240" w:after="0"/>
      </w:pPr>
      <w:r w:rsidRPr="00716C42">
        <w:t>Las actividades que conforman el procedimiento de contratación son las siguientes</w:t>
      </w:r>
      <w:r>
        <w:t>:</w:t>
      </w:r>
    </w:p>
    <w:tbl>
      <w:tblPr>
        <w:tblStyle w:val="Tablaconcuadrcula"/>
        <w:tblW w:w="4070" w:type="pct"/>
        <w:tblInd w:w="959" w:type="dxa"/>
        <w:tblLook w:val="04A0" w:firstRow="1" w:lastRow="0" w:firstColumn="1" w:lastColumn="0" w:noHBand="0" w:noVBand="1"/>
        <w:tblCaption w:val="Tabla"/>
        <w:tblDescription w:val="Las actividades que conforman el procedimiento de contratación "/>
      </w:tblPr>
      <w:tblGrid>
        <w:gridCol w:w="1889"/>
        <w:gridCol w:w="5299"/>
      </w:tblGrid>
      <w:tr w:rsidR="007C4016" w:rsidRPr="00EB170F" w:rsidTr="005C782A">
        <w:trPr>
          <w:tblHeader/>
        </w:trPr>
        <w:tc>
          <w:tcPr>
            <w:tcW w:w="1314" w:type="pct"/>
            <w:shd w:val="clear" w:color="auto" w:fill="D9D9D9" w:themeFill="background1" w:themeFillShade="D9"/>
          </w:tcPr>
          <w:p w:rsidR="007C4016" w:rsidRPr="006B7FE5" w:rsidRDefault="007C4016" w:rsidP="005C782A">
            <w:pPr>
              <w:pStyle w:val="IFTnormal"/>
              <w:spacing w:after="0"/>
            </w:pPr>
            <w:r w:rsidRPr="006B7FE5">
              <w:t>Etapa</w:t>
            </w:r>
          </w:p>
        </w:tc>
        <w:tc>
          <w:tcPr>
            <w:tcW w:w="3686" w:type="pct"/>
            <w:shd w:val="clear" w:color="auto" w:fill="D9D9D9" w:themeFill="background1" w:themeFillShade="D9"/>
          </w:tcPr>
          <w:p w:rsidR="007C4016" w:rsidRPr="006B7FE5" w:rsidRDefault="007C4016" w:rsidP="005C782A">
            <w:pPr>
              <w:pStyle w:val="IFTnormal"/>
              <w:spacing w:after="0"/>
            </w:pPr>
            <w:r w:rsidRPr="006B7FE5">
              <w:t>Descripción</w:t>
            </w:r>
          </w:p>
        </w:tc>
      </w:tr>
      <w:tr w:rsidR="007C4016" w:rsidRPr="00EB170F" w:rsidTr="005C782A">
        <w:tc>
          <w:tcPr>
            <w:tcW w:w="1314" w:type="pct"/>
          </w:tcPr>
          <w:p w:rsidR="007C4016" w:rsidRPr="006B7FE5" w:rsidRDefault="007C4016" w:rsidP="005C782A">
            <w:pPr>
              <w:pStyle w:val="IFTnormal"/>
              <w:spacing w:after="0"/>
            </w:pPr>
            <w:r w:rsidRPr="006B7FE5">
              <w:t>Envío y Validación de solicitud</w:t>
            </w:r>
          </w:p>
        </w:tc>
        <w:tc>
          <w:tcPr>
            <w:tcW w:w="3686" w:type="pct"/>
          </w:tcPr>
          <w:p w:rsidR="007C4016" w:rsidRPr="006B7FE5" w:rsidRDefault="007C4016" w:rsidP="005C782A">
            <w:pPr>
              <w:pStyle w:val="IFTnormal"/>
              <w:spacing w:after="0"/>
            </w:pPr>
            <w:r w:rsidRPr="006B7FE5">
              <w:t xml:space="preserve">El CS presentará la solicitud de contratación en el formato correspondiente a través del SEG. </w:t>
            </w:r>
            <w:r>
              <w:t>Telnor</w:t>
            </w:r>
            <w:r w:rsidRPr="006B7FE5">
              <w:t xml:space="preserve"> recibirá la solicitud y determinará</w:t>
            </w:r>
            <w:r>
              <w:t xml:space="preserve"> en 2 días hábiles</w:t>
            </w:r>
            <w:r w:rsidRPr="006B7FE5">
              <w:t xml:space="preserve"> si la solicitud es: </w:t>
            </w:r>
          </w:p>
          <w:p w:rsidR="007C4016" w:rsidRPr="006B7FE5" w:rsidRDefault="007C4016" w:rsidP="005C782A">
            <w:pPr>
              <w:pStyle w:val="IFTnormal"/>
              <w:numPr>
                <w:ilvl w:val="0"/>
                <w:numId w:val="62"/>
              </w:numPr>
              <w:spacing w:after="0"/>
            </w:pPr>
            <w:r w:rsidRPr="006B7FE5">
              <w:t xml:space="preserve">Aceptada, </w:t>
            </w:r>
            <w:r>
              <w:t>Telnor</w:t>
            </w:r>
            <w:r w:rsidRPr="006B7FE5">
              <w:t xml:space="preserve"> valida que la solicitud cumple con los requisit</w:t>
            </w:r>
            <w:r>
              <w:t>os establecidos en los formatos</w:t>
            </w:r>
            <w:r w:rsidRPr="006B7FE5">
              <w:t>, por lo tanto proceden con la Visita Técnica. Se asignará de forma automática un NIS.</w:t>
            </w:r>
          </w:p>
          <w:p w:rsidR="007C4016" w:rsidRPr="006B7FE5" w:rsidRDefault="007C4016" w:rsidP="005C782A">
            <w:pPr>
              <w:pStyle w:val="IFTnormal"/>
              <w:numPr>
                <w:ilvl w:val="0"/>
                <w:numId w:val="62"/>
              </w:numPr>
              <w:spacing w:after="0"/>
            </w:pPr>
            <w:r w:rsidRPr="006B7FE5">
              <w:t xml:space="preserve">Rechazado, en caso de que la solicitud no cumpliera con los requisitos, </w:t>
            </w:r>
            <w:r>
              <w:t>Telnor</w:t>
            </w:r>
            <w:r w:rsidRPr="006B7FE5">
              <w:t xml:space="preserve"> notificará al CS a través del SEG que la solicitud ha sido rechazada y el motivo por el cual no se pudo procesar, de tal forma que el CS pueda corregir la información y reenviar la solicitud.</w:t>
            </w:r>
          </w:p>
        </w:tc>
      </w:tr>
      <w:tr w:rsidR="007C4016" w:rsidRPr="00EB170F" w:rsidTr="005C782A">
        <w:tc>
          <w:tcPr>
            <w:tcW w:w="1314" w:type="pct"/>
          </w:tcPr>
          <w:p w:rsidR="007C4016" w:rsidRPr="006B7FE5" w:rsidRDefault="007C4016" w:rsidP="005C782A">
            <w:pPr>
              <w:pStyle w:val="IFTnormal"/>
              <w:spacing w:after="0"/>
            </w:pPr>
            <w:r w:rsidRPr="006B7FE5">
              <w:t>Visita Técnica</w:t>
            </w:r>
          </w:p>
        </w:tc>
        <w:tc>
          <w:tcPr>
            <w:tcW w:w="3686" w:type="pct"/>
          </w:tcPr>
          <w:p w:rsidR="007C4016" w:rsidRPr="00916B17" w:rsidRDefault="007C4016" w:rsidP="005C782A">
            <w:pPr>
              <w:pStyle w:val="IFTnormal"/>
              <w:spacing w:after="0"/>
            </w:pPr>
            <w:r w:rsidRPr="00916B17">
              <w:t xml:space="preserve">Una vez que se validó la solicitud y cuenta con NIS, </w:t>
            </w:r>
            <w:r>
              <w:t>Telnor</w:t>
            </w:r>
            <w:r w:rsidRPr="00916B17">
              <w:t xml:space="preserve"> revisará la disponibilidad de fechas y horarios para realizar la programación en máximo 5 días hábiles de Visita Técnica conjunta, e informará al CS para que acepte o rechace. En caso de no aceptarse la fecha propuesta, el CS podrá solicitar una nueva fecha, con lo que esta actividad podrá repetirse hasta en 3 ocasiones. La Visita Técnica </w:t>
            </w:r>
            <w:r w:rsidRPr="00916B17">
              <w:lastRenderedPageBreak/>
              <w:t>tendrá que realizarse en un máximo de 20 días hábiles a partir del ingreso de la solicitud.</w:t>
            </w:r>
          </w:p>
          <w:p w:rsidR="007C4016" w:rsidRPr="00916B17" w:rsidRDefault="007C4016" w:rsidP="005C782A">
            <w:pPr>
              <w:pStyle w:val="IFTnormal"/>
              <w:spacing w:after="0"/>
            </w:pPr>
            <w:r w:rsidRPr="00916B17">
              <w:t xml:space="preserve">Al concluir la Visita Técnica se firmará el documento Reporte de Visita Técnica, por lo que </w:t>
            </w:r>
            <w:r>
              <w:t>Telnor</w:t>
            </w:r>
            <w:r w:rsidRPr="00916B17">
              <w:t xml:space="preserve"> y el CS deberá asegurarse que la información recabada es correcta y completa con todos los detalles necesarios para el desarrollo del anteproyecto. En esta etapa deberán ejecutarse todas las mediciones y cálculos que considere pertinente el CS para determinar la capacidad excedente de la infraestructura, entre otros aspectos para la correcta prestación del servicio.</w:t>
            </w:r>
          </w:p>
          <w:p w:rsidR="007C4016" w:rsidRPr="00916B17" w:rsidRDefault="007C4016" w:rsidP="005C782A">
            <w:pPr>
              <w:pStyle w:val="IFTnormal"/>
              <w:spacing w:after="0"/>
            </w:pPr>
            <w:r w:rsidRPr="00916B17">
              <w:t xml:space="preserve">El Reporte de Visita Técnica deberá ser escaneado e integrado en el SEG. </w:t>
            </w:r>
            <w:r>
              <w:t>Telnor</w:t>
            </w:r>
            <w:r w:rsidRPr="00916B17">
              <w:t xml:space="preserve"> deberá actualizar la información correspondiente en el SEG en un plazo máximo de 5 días hábiles.</w:t>
            </w:r>
          </w:p>
          <w:p w:rsidR="007C4016" w:rsidRPr="00916B17" w:rsidRDefault="007C4016" w:rsidP="005C782A">
            <w:pPr>
              <w:pStyle w:val="IFTnormal"/>
              <w:spacing w:after="0"/>
              <w:rPr>
                <w:rFonts w:asciiTheme="minorHAnsi" w:eastAsia="Times New Roman" w:hAnsiTheme="minorHAnsi" w:cs="Times New Roman"/>
                <w:bCs w:val="0"/>
                <w:sz w:val="24"/>
                <w:szCs w:val="24"/>
                <w:lang w:eastAsia="es-ES"/>
              </w:rPr>
            </w:pPr>
            <w:r w:rsidRPr="00916B17">
              <w:t>El resultado de la Visita Técnica determinará una de las siguientes opciones:</w:t>
            </w:r>
          </w:p>
          <w:p w:rsidR="007C4016" w:rsidRPr="00916B17" w:rsidRDefault="007C4016" w:rsidP="005C782A">
            <w:pPr>
              <w:pStyle w:val="IFTnormal"/>
              <w:numPr>
                <w:ilvl w:val="0"/>
                <w:numId w:val="74"/>
              </w:numPr>
              <w:spacing w:after="0"/>
            </w:pPr>
            <w:r w:rsidRPr="00916B17">
              <w:t xml:space="preserve">Existe capacidad excedente para brindar el Servicio. </w:t>
            </w:r>
            <w:r>
              <w:t>Telnor</w:t>
            </w:r>
            <w:r w:rsidRPr="00916B17">
              <w:t xml:space="preserve"> procede a entregar información al CS para la realización del Anteproyecto (8 días hábiles).</w:t>
            </w:r>
          </w:p>
          <w:p w:rsidR="007C4016" w:rsidRPr="00916B17" w:rsidRDefault="007C4016" w:rsidP="005C782A">
            <w:pPr>
              <w:pStyle w:val="IFTnormal"/>
              <w:numPr>
                <w:ilvl w:val="0"/>
                <w:numId w:val="74"/>
              </w:numPr>
              <w:spacing w:after="0"/>
            </w:pPr>
            <w:r w:rsidRPr="00916B17">
              <w:t xml:space="preserve">Existen tramos con capacidad excedente para brindar el servicio entre los puntos solicitados y tramos en los que se requiere un trabajo especial (acondicionamiento de infraestructura o recuperación de espacios). </w:t>
            </w:r>
            <w:r>
              <w:t>Telnor</w:t>
            </w:r>
            <w:r w:rsidRPr="00916B17">
              <w:t xml:space="preserve"> proporcionará la cotización de los trabajos a realizar y el programa de trabajo necesario. </w:t>
            </w:r>
          </w:p>
          <w:p w:rsidR="007C4016" w:rsidRPr="00916B17" w:rsidRDefault="007C4016" w:rsidP="005C782A">
            <w:pPr>
              <w:pStyle w:val="IFTnormal"/>
              <w:numPr>
                <w:ilvl w:val="1"/>
                <w:numId w:val="74"/>
              </w:numPr>
              <w:spacing w:after="0"/>
            </w:pPr>
            <w:r w:rsidRPr="00916B17">
              <w:t xml:space="preserve">CS acepta y autoriza Trabajos Especiales asociados al servicio. </w:t>
            </w:r>
            <w:r>
              <w:t>Telnor</w:t>
            </w:r>
            <w:r w:rsidRPr="00916B17">
              <w:t xml:space="preserve"> realizará la ejecución de los </w:t>
            </w:r>
            <w:r w:rsidRPr="00916B17">
              <w:lastRenderedPageBreak/>
              <w:t xml:space="preserve">mismos, notificando al CS la fecha de inicio y terminación de los trabajos, una vez concluidos estos trabajos, </w:t>
            </w:r>
            <w:r>
              <w:t>Telnor</w:t>
            </w:r>
            <w:r w:rsidRPr="00916B17">
              <w:t xml:space="preserve"> procede a entregar la información para la elaboración del Anteproyecto. </w:t>
            </w:r>
          </w:p>
          <w:p w:rsidR="007C4016" w:rsidRPr="00916B17" w:rsidRDefault="007C4016" w:rsidP="005C782A">
            <w:pPr>
              <w:pStyle w:val="IFTnormal"/>
              <w:numPr>
                <w:ilvl w:val="1"/>
                <w:numId w:val="74"/>
              </w:numPr>
              <w:spacing w:after="0"/>
            </w:pPr>
            <w:r w:rsidRPr="00916B17">
              <w:t>En caso de no aceptar los Trabajos Especiales el CS,  no es factible el servicio y se termina el procedimiento.</w:t>
            </w:r>
          </w:p>
        </w:tc>
      </w:tr>
      <w:tr w:rsidR="007C4016" w:rsidRPr="00EB170F" w:rsidTr="005C782A">
        <w:tc>
          <w:tcPr>
            <w:tcW w:w="1314" w:type="pct"/>
          </w:tcPr>
          <w:p w:rsidR="007C4016" w:rsidRPr="006B7FE5" w:rsidRDefault="007C4016" w:rsidP="005C782A">
            <w:pPr>
              <w:pStyle w:val="IFTnormal"/>
              <w:tabs>
                <w:tab w:val="left" w:pos="567"/>
              </w:tabs>
              <w:spacing w:after="0"/>
            </w:pPr>
            <w:r w:rsidRPr="004621E4">
              <w:lastRenderedPageBreak/>
              <w:t>Entrega de Información de Visita Técnica</w:t>
            </w:r>
          </w:p>
        </w:tc>
        <w:tc>
          <w:tcPr>
            <w:tcW w:w="3686" w:type="pct"/>
            <w:shd w:val="clear" w:color="auto" w:fill="auto"/>
          </w:tcPr>
          <w:p w:rsidR="007C4016" w:rsidRPr="006B7FE5" w:rsidRDefault="007C4016" w:rsidP="005C782A">
            <w:pPr>
              <w:pStyle w:val="IFTnormal"/>
              <w:spacing w:after="0"/>
            </w:pPr>
            <w:r>
              <w:t>Telnor</w:t>
            </w:r>
            <w:r w:rsidRPr="004621E4">
              <w:t xml:space="preserve"> entregará de manera formal al CS la información para la elaboración del Anteproyecto en un máximo </w:t>
            </w:r>
            <w:r w:rsidRPr="00D03820">
              <w:t>de 5 días hábiles</w:t>
            </w:r>
            <w:r w:rsidRPr="004621E4">
              <w:t xml:space="preserve"> posteriores a que fue concluida la Visita Técnica.</w:t>
            </w:r>
          </w:p>
        </w:tc>
      </w:tr>
      <w:tr w:rsidR="007C4016" w:rsidRPr="00EB170F" w:rsidTr="005C782A">
        <w:tc>
          <w:tcPr>
            <w:tcW w:w="1314" w:type="pct"/>
          </w:tcPr>
          <w:p w:rsidR="007C4016" w:rsidRPr="006B7FE5" w:rsidRDefault="007C4016" w:rsidP="005C782A">
            <w:pPr>
              <w:pStyle w:val="IFTnormal"/>
              <w:tabs>
                <w:tab w:val="left" w:pos="567"/>
              </w:tabs>
              <w:spacing w:after="0"/>
            </w:pPr>
            <w:r w:rsidRPr="006B7FE5">
              <w:t>Elaboración de Anteproyecto y Programa de Trabajo</w:t>
            </w:r>
          </w:p>
        </w:tc>
        <w:tc>
          <w:tcPr>
            <w:tcW w:w="3686" w:type="pct"/>
            <w:shd w:val="clear" w:color="auto" w:fill="auto"/>
          </w:tcPr>
          <w:p w:rsidR="007C4016" w:rsidRPr="006B7FE5" w:rsidRDefault="007C4016" w:rsidP="005C782A">
            <w:pPr>
              <w:pStyle w:val="IFTnormal"/>
              <w:spacing w:after="0"/>
            </w:pPr>
            <w:r w:rsidRPr="006B7FE5">
              <w:t>El CS elaborará el Anteproyecto</w:t>
            </w:r>
            <w:r>
              <w:t xml:space="preserve"> </w:t>
            </w:r>
            <w:r w:rsidRPr="006B7FE5">
              <w:t>(</w:t>
            </w:r>
            <w:r>
              <w:t>20 días hábiles</w:t>
            </w:r>
            <w:r w:rsidRPr="006B7FE5">
              <w:t xml:space="preserve">) con la información proporcionada por </w:t>
            </w:r>
            <w:r>
              <w:t>Telnor</w:t>
            </w:r>
            <w:r w:rsidRPr="006B7FE5">
              <w:t xml:space="preserve"> (en caso de </w:t>
            </w:r>
            <w:r>
              <w:t>requerir</w:t>
            </w:r>
            <w:r w:rsidRPr="006B7FE5">
              <w:t xml:space="preserve"> trabajos especiales, el Anteproyecto deberá contemplar los trabajos) y la recopilada durante Visita Técnica. La siguiente información deberá estar disponible en el SEG </w:t>
            </w:r>
            <w:r>
              <w:t xml:space="preserve"> la cual deberá incluir al menos</w:t>
            </w:r>
            <w:r w:rsidRPr="006B7FE5">
              <w:t>:</w:t>
            </w:r>
          </w:p>
          <w:p w:rsidR="007C4016" w:rsidRPr="006B7FE5" w:rsidRDefault="007C4016" w:rsidP="005C782A">
            <w:pPr>
              <w:pStyle w:val="IFTnormal"/>
              <w:numPr>
                <w:ilvl w:val="0"/>
                <w:numId w:val="63"/>
              </w:numPr>
              <w:spacing w:after="0"/>
            </w:pPr>
            <w:r w:rsidRPr="006B7FE5">
              <w:t>Anteproyecto</w:t>
            </w:r>
          </w:p>
          <w:p w:rsidR="007C4016" w:rsidRPr="006B7FE5" w:rsidRDefault="007C4016" w:rsidP="005C782A">
            <w:pPr>
              <w:pStyle w:val="IFTnormal"/>
              <w:numPr>
                <w:ilvl w:val="0"/>
                <w:numId w:val="63"/>
              </w:numPr>
              <w:spacing w:after="0"/>
            </w:pPr>
            <w:r w:rsidRPr="006B7FE5">
              <w:t>Plano(s)</w:t>
            </w:r>
          </w:p>
          <w:p w:rsidR="007C4016" w:rsidRPr="006B7FE5" w:rsidRDefault="007C4016" w:rsidP="005C782A">
            <w:pPr>
              <w:pStyle w:val="IFTnormal"/>
              <w:numPr>
                <w:ilvl w:val="0"/>
                <w:numId w:val="63"/>
              </w:numPr>
              <w:spacing w:after="0"/>
            </w:pPr>
            <w:r w:rsidRPr="006B7FE5">
              <w:t>Programa de trabajo para la Instalación de Infraestructura.</w:t>
            </w:r>
          </w:p>
          <w:p w:rsidR="007C4016" w:rsidRDefault="007C4016" w:rsidP="005C782A">
            <w:pPr>
              <w:pStyle w:val="IFTnormal"/>
              <w:spacing w:after="0"/>
            </w:pPr>
            <w:r>
              <w:t>El CS podrá solicitar a Telnor un plazo de hasta 20 días hábiles adicionales para la elaboración y entrega del Anteproyecto.</w:t>
            </w:r>
          </w:p>
          <w:p w:rsidR="007C4016" w:rsidRPr="00712037" w:rsidRDefault="007C4016" w:rsidP="005C782A">
            <w:pPr>
              <w:pStyle w:val="IFTnormal"/>
              <w:spacing w:after="0"/>
            </w:pPr>
            <w:r w:rsidRPr="00712037">
              <w:t xml:space="preserve"> </w:t>
            </w:r>
            <w:r>
              <w:t>Telnor</w:t>
            </w:r>
            <w:r w:rsidRPr="00712037">
              <w:t xml:space="preserve"> no podrá negar la autorización del Anteproyecto por diferencias o deficiencias de información que no se hayan señalado o identificado durante la Visita Técnica.</w:t>
            </w:r>
          </w:p>
          <w:p w:rsidR="007C4016" w:rsidRPr="006B7FE5" w:rsidRDefault="007C4016" w:rsidP="005C782A">
            <w:pPr>
              <w:pStyle w:val="IFTnormal"/>
              <w:spacing w:after="0"/>
            </w:pPr>
            <w:r w:rsidRPr="00712037">
              <w:t xml:space="preserve">Una vez revisado el Anteproyecto y este no pueda ser aprobado, derivado de que la información recabada no fue correcta y </w:t>
            </w:r>
            <w:r w:rsidRPr="00712037">
              <w:lastRenderedPageBreak/>
              <w:t xml:space="preserve">completa por causas imputables a </w:t>
            </w:r>
            <w:r>
              <w:t>Telnor</w:t>
            </w:r>
            <w:r w:rsidRPr="00712037">
              <w:t>, se podrán programar Visitas Técnicas adicionales sin costo para el CS.</w:t>
            </w:r>
          </w:p>
        </w:tc>
      </w:tr>
      <w:tr w:rsidR="007C4016" w:rsidRPr="00EB170F" w:rsidTr="005C782A">
        <w:tc>
          <w:tcPr>
            <w:tcW w:w="1314" w:type="pct"/>
          </w:tcPr>
          <w:p w:rsidR="007C4016" w:rsidRPr="006B7FE5" w:rsidRDefault="007C4016" w:rsidP="005C782A">
            <w:pPr>
              <w:pStyle w:val="IFTnormal"/>
              <w:spacing w:after="0"/>
            </w:pPr>
            <w:r w:rsidRPr="006B7FE5">
              <w:lastRenderedPageBreak/>
              <w:t>Análisis de Factibilidad</w:t>
            </w:r>
          </w:p>
        </w:tc>
        <w:tc>
          <w:tcPr>
            <w:tcW w:w="3686" w:type="pct"/>
          </w:tcPr>
          <w:p w:rsidR="007C4016" w:rsidRPr="006B7FE5" w:rsidRDefault="007C4016" w:rsidP="005C782A">
            <w:pPr>
              <w:pStyle w:val="IFTnormal"/>
              <w:spacing w:after="0"/>
            </w:pPr>
            <w:r>
              <w:t>Telnor</w:t>
            </w:r>
            <w:r w:rsidRPr="006B7FE5">
              <w:t xml:space="preserve"> revisará que la información del Anteproyecto sea consistente con el levantamiento realizado en la Visita de Técnica, validando </w:t>
            </w:r>
            <w:r>
              <w:t>en máximo 5 días hábiles</w:t>
            </w:r>
            <w:r w:rsidRPr="006B7FE5">
              <w:t xml:space="preserve"> que el documento cumpla con los requisitos establecidos y la normatividad correspondiente. </w:t>
            </w:r>
            <w:r>
              <w:t>Telnor</w:t>
            </w:r>
            <w:r w:rsidRPr="006B7FE5">
              <w:t xml:space="preserve"> notificará al CS el resultado del Análisis de Factibilidad:</w:t>
            </w:r>
          </w:p>
          <w:p w:rsidR="007C4016" w:rsidRPr="006B7FE5" w:rsidRDefault="007C4016" w:rsidP="005C782A">
            <w:pPr>
              <w:pStyle w:val="IFTnormal"/>
              <w:numPr>
                <w:ilvl w:val="0"/>
                <w:numId w:val="64"/>
              </w:numPr>
              <w:spacing w:after="0"/>
            </w:pPr>
            <w:r w:rsidRPr="006B7FE5">
              <w:t>Positivo. Con el cual el CS dará inicio a la Instalación de la Infraestructura, basándose en el Programa de Trabajo.</w:t>
            </w:r>
          </w:p>
          <w:p w:rsidR="007C4016" w:rsidRPr="006B7FE5" w:rsidRDefault="007C4016" w:rsidP="005C782A">
            <w:pPr>
              <w:pStyle w:val="IFTnormal"/>
              <w:numPr>
                <w:ilvl w:val="0"/>
                <w:numId w:val="64"/>
              </w:numPr>
              <w:spacing w:after="0"/>
            </w:pPr>
            <w:r w:rsidRPr="006B7FE5">
              <w:t xml:space="preserve">Negativo. </w:t>
            </w:r>
            <w:r>
              <w:t>Telnor</w:t>
            </w:r>
            <w:r w:rsidRPr="006B7FE5">
              <w:t xml:space="preserve"> notificará al CS el motivo del resultado, de tal forma que el CS pueda corregir la información y reenviarla.</w:t>
            </w:r>
          </w:p>
          <w:p w:rsidR="007C4016" w:rsidRPr="006B7FE5" w:rsidRDefault="007C4016" w:rsidP="005C782A">
            <w:pPr>
              <w:pStyle w:val="IFTnormal"/>
              <w:spacing w:after="0"/>
            </w:pPr>
            <w:r w:rsidRPr="00712037">
              <w:t>Cualquier comentario o ajuste al Anteproyecto o a los documentos relacionados al proyecto deberá estar plenamente justificado y hacerse a través del SEG, el CS deberá mantener actualizada la documentación.</w:t>
            </w:r>
          </w:p>
        </w:tc>
      </w:tr>
      <w:tr w:rsidR="007C4016" w:rsidRPr="00EB170F" w:rsidTr="005C782A">
        <w:tc>
          <w:tcPr>
            <w:tcW w:w="1314" w:type="pct"/>
          </w:tcPr>
          <w:p w:rsidR="007C4016" w:rsidRPr="006B7FE5" w:rsidRDefault="007C4016" w:rsidP="005C782A">
            <w:pPr>
              <w:pStyle w:val="IFTnormal"/>
              <w:spacing w:after="0"/>
              <w:rPr>
                <w:highlight w:val="cyan"/>
              </w:rPr>
            </w:pPr>
            <w:r w:rsidRPr="006B7FE5">
              <w:t>Instalación de Infraestructura</w:t>
            </w:r>
          </w:p>
        </w:tc>
        <w:tc>
          <w:tcPr>
            <w:tcW w:w="3686" w:type="pct"/>
          </w:tcPr>
          <w:p w:rsidR="007C4016" w:rsidRPr="006B7FE5" w:rsidRDefault="007C4016" w:rsidP="005C782A">
            <w:pPr>
              <w:pStyle w:val="IFTnormal"/>
              <w:spacing w:after="0"/>
            </w:pPr>
            <w:r w:rsidRPr="006B7FE5">
              <w:t xml:space="preserve">Una vez definido el resultado positivo del Análisis de Factibilidad, </w:t>
            </w:r>
            <w:r>
              <w:t>Telnor</w:t>
            </w:r>
            <w:r w:rsidRPr="006B7FE5">
              <w:t xml:space="preserve"> iniciará los trabajos del tendido del cable y al concluir informará al CS la conclusión del mismo.</w:t>
            </w:r>
          </w:p>
        </w:tc>
      </w:tr>
      <w:tr w:rsidR="007C4016" w:rsidRPr="00EB170F" w:rsidTr="005C782A">
        <w:tc>
          <w:tcPr>
            <w:tcW w:w="1314" w:type="pct"/>
          </w:tcPr>
          <w:p w:rsidR="007C4016" w:rsidRPr="006B7FE5" w:rsidRDefault="007C4016" w:rsidP="005C782A">
            <w:pPr>
              <w:pStyle w:val="IFTnormal"/>
              <w:spacing w:after="0"/>
            </w:pPr>
            <w:r w:rsidRPr="006B7FE5">
              <w:t>Verificación de Instalación de Infraestructura y Pruebas de Servicio</w:t>
            </w:r>
          </w:p>
        </w:tc>
        <w:tc>
          <w:tcPr>
            <w:tcW w:w="3686" w:type="pct"/>
          </w:tcPr>
          <w:p w:rsidR="007C4016" w:rsidRPr="006B7FE5" w:rsidRDefault="007C4016" w:rsidP="005C782A">
            <w:pPr>
              <w:pStyle w:val="IFTnormal"/>
              <w:spacing w:after="0"/>
            </w:pPr>
            <w:r w:rsidRPr="006B7FE5">
              <w:t xml:space="preserve">Una vez que el CS recibe la notificación del término de los trabajos de instalación, </w:t>
            </w:r>
            <w:r>
              <w:t>Telnor</w:t>
            </w:r>
            <w:r w:rsidRPr="006B7FE5">
              <w:t xml:space="preserve"> revisará la disponibilidad de fechas y horarios para llevar a cabo la entrega e informará al CS para que acepte o rechace la propuesta de programación. En caso de no aceptarse la fecha propuesta, el CS podrá solicitar una nueva fecha, con lo que esta actividad </w:t>
            </w:r>
            <w:r>
              <w:t>podrá</w:t>
            </w:r>
            <w:r w:rsidRPr="006B7FE5">
              <w:t xml:space="preserve"> repetirse hasta </w:t>
            </w:r>
            <w:r>
              <w:t>en 3 ocasiones</w:t>
            </w:r>
            <w:r w:rsidRPr="006B7FE5">
              <w:t>.</w:t>
            </w:r>
          </w:p>
          <w:p w:rsidR="007C4016" w:rsidRPr="006B7FE5" w:rsidRDefault="007C4016" w:rsidP="005C782A">
            <w:pPr>
              <w:pStyle w:val="IFTnormal"/>
              <w:spacing w:after="0"/>
            </w:pPr>
            <w:r w:rsidRPr="006B7FE5">
              <w:lastRenderedPageBreak/>
              <w:t xml:space="preserve">Una vez aceptada la fecha, </w:t>
            </w:r>
            <w:r>
              <w:t>Telnor</w:t>
            </w:r>
            <w:r w:rsidRPr="006B7FE5">
              <w:t xml:space="preserve"> y el CS realizarán la entrega – recepción </w:t>
            </w:r>
            <w:r>
              <w:t xml:space="preserve">(30 días hábiles) </w:t>
            </w:r>
            <w:r w:rsidRPr="006B7FE5">
              <w:t xml:space="preserve">en sitio, </w:t>
            </w:r>
            <w:r w:rsidRPr="00456214">
              <w:t xml:space="preserve">el CS deberá realizar las pruebas </w:t>
            </w:r>
            <w:r>
              <w:t>que considere pertinentes</w:t>
            </w:r>
            <w:r w:rsidRPr="00456214">
              <w:t xml:space="preserve"> para confirmar la entrega – recepción del Servicio de Tendido de Cableado</w:t>
            </w:r>
            <w:r w:rsidRPr="006B7FE5">
              <w:t xml:space="preserve"> y se firmará el Formato de Acuerdo de Compartición de Infraestructura</w:t>
            </w:r>
            <w:r>
              <w:t>.</w:t>
            </w:r>
          </w:p>
        </w:tc>
      </w:tr>
      <w:tr w:rsidR="007C4016" w:rsidRPr="00EB170F" w:rsidTr="005C782A">
        <w:tc>
          <w:tcPr>
            <w:tcW w:w="1314" w:type="pct"/>
            <w:shd w:val="clear" w:color="auto" w:fill="auto"/>
          </w:tcPr>
          <w:p w:rsidR="007C4016" w:rsidRPr="006B7FE5" w:rsidRDefault="007C4016" w:rsidP="005C782A">
            <w:pPr>
              <w:pStyle w:val="IFTnormal"/>
              <w:spacing w:after="0"/>
            </w:pPr>
            <w:r w:rsidRPr="006B7FE5">
              <w:lastRenderedPageBreak/>
              <w:t>Facturación</w:t>
            </w:r>
          </w:p>
        </w:tc>
        <w:tc>
          <w:tcPr>
            <w:tcW w:w="3686" w:type="pct"/>
            <w:shd w:val="clear" w:color="auto" w:fill="auto"/>
          </w:tcPr>
          <w:p w:rsidR="007C4016" w:rsidRPr="006B7FE5" w:rsidRDefault="007C4016" w:rsidP="005C782A">
            <w:pPr>
              <w:pStyle w:val="IFTnormal"/>
              <w:spacing w:after="0"/>
            </w:pPr>
            <w:r w:rsidRPr="006B7FE5">
              <w:t xml:space="preserve">Una vez firmado el Formato de Acuerdo de Compartición de Infraestructura se inicia con la facturación del Servicio, </w:t>
            </w:r>
            <w:r>
              <w:t>Telnor</w:t>
            </w:r>
            <w:r w:rsidRPr="006B7FE5">
              <w:t xml:space="preserve"> deberá integrar el Formato escaneada al SEG.</w:t>
            </w:r>
          </w:p>
        </w:tc>
      </w:tr>
    </w:tbl>
    <w:p w:rsidR="007C4016" w:rsidRDefault="007C4016" w:rsidP="007C4016">
      <w:pPr>
        <w:pStyle w:val="CondicionesFinales"/>
        <w:spacing w:before="240" w:after="0"/>
      </w:pPr>
    </w:p>
    <w:p w:rsidR="007C4016" w:rsidRPr="00C71C05" w:rsidRDefault="007C4016" w:rsidP="007C4016">
      <w:pPr>
        <w:pStyle w:val="CondicionesFinales"/>
        <w:spacing w:before="240" w:after="0"/>
        <w:rPr>
          <w:b/>
          <w:lang w:val="es-MX"/>
        </w:rPr>
      </w:pPr>
      <w:r w:rsidRPr="00EB170F">
        <w:rPr>
          <w:b/>
        </w:rPr>
        <w:t xml:space="preserve">b. </w:t>
      </w:r>
      <w:bookmarkStart w:id="84" w:name="_Toc435555555"/>
      <w:bookmarkStart w:id="85" w:name="_Toc436229709"/>
      <w:bookmarkStart w:id="86" w:name="_Toc436230624"/>
      <w:bookmarkStart w:id="87" w:name="_Toc488945237"/>
      <w:r w:rsidRPr="00C71C05">
        <w:rPr>
          <w:b/>
          <w:lang w:val="es-MX"/>
        </w:rPr>
        <w:t>Modificación</w:t>
      </w:r>
    </w:p>
    <w:p w:rsidR="007C4016" w:rsidRPr="00716C42" w:rsidRDefault="007C4016" w:rsidP="007C4016">
      <w:pPr>
        <w:pStyle w:val="CondicionesFinales"/>
        <w:spacing w:before="240" w:after="0"/>
      </w:pPr>
      <w:r w:rsidRPr="00716C42">
        <w:t xml:space="preserve">El CS únicamente podrá solicitar modificaciones de los proyectos en proceso, cuando dichas modificaciones no cambien </w:t>
      </w:r>
      <w:r w:rsidRPr="00641387">
        <w:t>la ruta del proyecto</w:t>
      </w:r>
      <w:r>
        <w:t xml:space="preserve"> ni los elementos de la infraestructura de Telnor solicitados originalmente</w:t>
      </w:r>
      <w:r w:rsidRPr="00716C42">
        <w:t>.</w:t>
      </w:r>
    </w:p>
    <w:p w:rsidR="007C4016" w:rsidRDefault="007C4016" w:rsidP="007C4016">
      <w:pPr>
        <w:pStyle w:val="CondicionesFinales"/>
        <w:spacing w:before="240" w:after="0"/>
      </w:pPr>
      <w:r w:rsidRPr="00716C42">
        <w:t xml:space="preserve">Las actividades que se </w:t>
      </w:r>
      <w:r>
        <w:t>tengan</w:t>
      </w:r>
      <w:r w:rsidRPr="00716C42">
        <w:t xml:space="preserve"> que </w:t>
      </w:r>
      <w:r>
        <w:t>efectuar</w:t>
      </w:r>
      <w:r w:rsidRPr="00716C42">
        <w:t xml:space="preserve"> para realizar una modificación a un proyecto son las siguientes</w:t>
      </w:r>
      <w:r>
        <w:t>:</w:t>
      </w:r>
    </w:p>
    <w:tbl>
      <w:tblPr>
        <w:tblStyle w:val="Tablaconcuadrcula"/>
        <w:tblW w:w="4070" w:type="pct"/>
        <w:tblInd w:w="959" w:type="dxa"/>
        <w:tblLook w:val="04A0" w:firstRow="1" w:lastRow="0" w:firstColumn="1" w:lastColumn="0" w:noHBand="0" w:noVBand="1"/>
        <w:tblCaption w:val="Tabla"/>
        <w:tblDescription w:val="Las actividades que se tengan que efectuar para realizar una modificación"/>
      </w:tblPr>
      <w:tblGrid>
        <w:gridCol w:w="1889"/>
        <w:gridCol w:w="5299"/>
      </w:tblGrid>
      <w:tr w:rsidR="007C4016" w:rsidRPr="00833D3A" w:rsidTr="005C782A">
        <w:trPr>
          <w:tblHeader/>
        </w:trPr>
        <w:tc>
          <w:tcPr>
            <w:tcW w:w="1314" w:type="pct"/>
            <w:shd w:val="clear" w:color="auto" w:fill="D9D9D9" w:themeFill="background1" w:themeFillShade="D9"/>
          </w:tcPr>
          <w:p w:rsidR="007C4016" w:rsidRPr="00833D3A" w:rsidRDefault="007C4016" w:rsidP="005C782A">
            <w:pPr>
              <w:pStyle w:val="IFTnormal"/>
              <w:spacing w:after="0"/>
            </w:pPr>
            <w:r w:rsidRPr="00833D3A">
              <w:t>Etapa</w:t>
            </w:r>
          </w:p>
        </w:tc>
        <w:tc>
          <w:tcPr>
            <w:tcW w:w="3686" w:type="pct"/>
            <w:shd w:val="clear" w:color="auto" w:fill="D9D9D9" w:themeFill="background1" w:themeFillShade="D9"/>
          </w:tcPr>
          <w:p w:rsidR="007C4016" w:rsidRPr="00833D3A" w:rsidRDefault="007C4016" w:rsidP="005C782A">
            <w:pPr>
              <w:pStyle w:val="IFTnormal"/>
              <w:spacing w:after="0"/>
            </w:pPr>
            <w:r w:rsidRPr="00833D3A">
              <w:t>Descripción</w:t>
            </w:r>
          </w:p>
        </w:tc>
      </w:tr>
      <w:tr w:rsidR="007C4016" w:rsidRPr="00833D3A" w:rsidTr="005C782A">
        <w:tc>
          <w:tcPr>
            <w:tcW w:w="1314" w:type="pct"/>
          </w:tcPr>
          <w:p w:rsidR="007C4016" w:rsidRPr="00833D3A" w:rsidRDefault="007C4016" w:rsidP="005C782A">
            <w:pPr>
              <w:pStyle w:val="IFTnormal"/>
              <w:spacing w:after="0"/>
            </w:pPr>
            <w:r w:rsidRPr="00833D3A">
              <w:t>Envío y Validación de solicitud</w:t>
            </w:r>
          </w:p>
        </w:tc>
        <w:tc>
          <w:tcPr>
            <w:tcW w:w="3686" w:type="pct"/>
          </w:tcPr>
          <w:p w:rsidR="007C4016" w:rsidRPr="00833D3A" w:rsidRDefault="007C4016" w:rsidP="005C782A">
            <w:pPr>
              <w:pStyle w:val="IFTnormal"/>
              <w:spacing w:after="0"/>
            </w:pPr>
            <w:r w:rsidRPr="00833D3A">
              <w:t xml:space="preserve">El CS presentará la solicitud de contratación en el formato correspondiente a través del SEG. </w:t>
            </w:r>
            <w:r>
              <w:t>Telnor</w:t>
            </w:r>
            <w:r w:rsidRPr="00833D3A">
              <w:t xml:space="preserve"> recibirá la solicitud y determinará </w:t>
            </w:r>
            <w:r>
              <w:t>en 2 días hábiles</w:t>
            </w:r>
            <w:r w:rsidRPr="00833D3A">
              <w:t xml:space="preserve"> si la solicitud es: </w:t>
            </w:r>
          </w:p>
          <w:p w:rsidR="007C4016" w:rsidRPr="00833D3A" w:rsidRDefault="007C4016" w:rsidP="005C782A">
            <w:pPr>
              <w:pStyle w:val="IFTnormal"/>
              <w:numPr>
                <w:ilvl w:val="0"/>
                <w:numId w:val="62"/>
              </w:numPr>
              <w:spacing w:after="0"/>
            </w:pPr>
            <w:r w:rsidRPr="00833D3A">
              <w:t xml:space="preserve">Aceptada, </w:t>
            </w:r>
            <w:r>
              <w:t>Telnor</w:t>
            </w:r>
            <w:r w:rsidRPr="00833D3A">
              <w:t xml:space="preserve"> valida que la solicitud cumple con los requisitos establecidos en los formatos. Se asignará de forma automática un NIS. </w:t>
            </w:r>
          </w:p>
          <w:p w:rsidR="007C4016" w:rsidRPr="00833D3A" w:rsidRDefault="007C4016" w:rsidP="005C782A">
            <w:pPr>
              <w:pStyle w:val="IFTnormal"/>
              <w:numPr>
                <w:ilvl w:val="0"/>
                <w:numId w:val="62"/>
              </w:numPr>
              <w:spacing w:after="0"/>
            </w:pPr>
            <w:r w:rsidRPr="00833D3A">
              <w:t xml:space="preserve">Rechazado, en caso de que la solicitud no cumpliera con los requisitos, </w:t>
            </w:r>
            <w:r>
              <w:t>Telnor</w:t>
            </w:r>
            <w:r w:rsidRPr="00833D3A">
              <w:t xml:space="preserve"> notificará al CS a través del SEG que la solicitud ha sido rechazada y el motivo por el cual no se pudo procesar, de tal </w:t>
            </w:r>
            <w:r w:rsidRPr="00833D3A">
              <w:lastRenderedPageBreak/>
              <w:t>forma que el CS pueda corregir la información y reenviar la solicitud.</w:t>
            </w:r>
          </w:p>
        </w:tc>
      </w:tr>
      <w:tr w:rsidR="007C4016" w:rsidRPr="00833D3A" w:rsidTr="005C782A">
        <w:tc>
          <w:tcPr>
            <w:tcW w:w="1314" w:type="pct"/>
          </w:tcPr>
          <w:p w:rsidR="007C4016" w:rsidRPr="00833D3A" w:rsidRDefault="007C4016" w:rsidP="005C782A">
            <w:pPr>
              <w:pStyle w:val="IFTnormal"/>
              <w:tabs>
                <w:tab w:val="left" w:pos="567"/>
              </w:tabs>
              <w:spacing w:after="0"/>
            </w:pPr>
            <w:r>
              <w:lastRenderedPageBreak/>
              <w:t>Actualización</w:t>
            </w:r>
            <w:r w:rsidRPr="00833D3A">
              <w:t xml:space="preserve"> de Anteproyecto y Programa de Trabajo</w:t>
            </w:r>
          </w:p>
        </w:tc>
        <w:tc>
          <w:tcPr>
            <w:tcW w:w="3686" w:type="pct"/>
            <w:shd w:val="clear" w:color="auto" w:fill="auto"/>
          </w:tcPr>
          <w:p w:rsidR="007C4016" w:rsidRDefault="007C4016" w:rsidP="005C782A">
            <w:pPr>
              <w:pStyle w:val="IFTnormal"/>
              <w:spacing w:after="0"/>
            </w:pPr>
            <w:r w:rsidRPr="00833D3A">
              <w:t xml:space="preserve">El CS </w:t>
            </w:r>
            <w:r>
              <w:t>modificará</w:t>
            </w:r>
            <w:r w:rsidRPr="00833D3A">
              <w:t xml:space="preserve"> </w:t>
            </w:r>
            <w:r>
              <w:t>(20 días hábiles)</w:t>
            </w:r>
            <w:r w:rsidRPr="00833D3A">
              <w:t xml:space="preserve"> el Anteproyecto </w:t>
            </w:r>
            <w:r>
              <w:t xml:space="preserve">de acuerdo </w:t>
            </w:r>
            <w:r w:rsidRPr="00833D3A">
              <w:t xml:space="preserve">con la información </w:t>
            </w:r>
            <w:r>
              <w:t>validada</w:t>
            </w:r>
            <w:r w:rsidRPr="00833D3A">
              <w:t xml:space="preserve"> por </w:t>
            </w:r>
            <w:r>
              <w:t>Telnor</w:t>
            </w:r>
            <w:r w:rsidRPr="00833D3A">
              <w:t xml:space="preserve">. </w:t>
            </w:r>
          </w:p>
          <w:p w:rsidR="007C4016" w:rsidRPr="00833D3A" w:rsidRDefault="007C4016" w:rsidP="005C782A">
            <w:pPr>
              <w:pStyle w:val="IFTnormal"/>
              <w:spacing w:after="0"/>
            </w:pPr>
            <w:r w:rsidRPr="00456214">
              <w:t>El CS deberán actualizar los cambios a la documentación del proyecto en el SEG</w:t>
            </w:r>
            <w:r>
              <w:t>.</w:t>
            </w:r>
          </w:p>
        </w:tc>
      </w:tr>
      <w:tr w:rsidR="007C4016" w:rsidRPr="00833D3A" w:rsidTr="005C782A">
        <w:tc>
          <w:tcPr>
            <w:tcW w:w="1314" w:type="pct"/>
          </w:tcPr>
          <w:p w:rsidR="007C4016" w:rsidRPr="00833D3A" w:rsidRDefault="007C4016" w:rsidP="005C782A">
            <w:pPr>
              <w:pStyle w:val="IFTnormal"/>
              <w:spacing w:after="0"/>
            </w:pPr>
            <w:r w:rsidRPr="00833D3A">
              <w:t>Análisis de Factibilidad</w:t>
            </w:r>
          </w:p>
        </w:tc>
        <w:tc>
          <w:tcPr>
            <w:tcW w:w="3686" w:type="pct"/>
          </w:tcPr>
          <w:p w:rsidR="007C4016" w:rsidRPr="00833D3A" w:rsidRDefault="007C4016" w:rsidP="005C782A">
            <w:pPr>
              <w:pStyle w:val="IFTnormal"/>
              <w:spacing w:after="0"/>
            </w:pPr>
            <w:r>
              <w:t>Telnor</w:t>
            </w:r>
            <w:r w:rsidRPr="00833D3A">
              <w:t xml:space="preserve"> revisará que la información del Anteproyecto sea consistente con </w:t>
            </w:r>
            <w:r>
              <w:t>la información de la solicitud de modificación</w:t>
            </w:r>
            <w:r w:rsidRPr="00833D3A">
              <w:t xml:space="preserve">, validando </w:t>
            </w:r>
            <w:r>
              <w:t>en máximo 5 días hábiles</w:t>
            </w:r>
            <w:r w:rsidRPr="00833D3A">
              <w:t xml:space="preserve"> que el documento cumpla con los requisitos establecidos y la normatividad correspondiente. </w:t>
            </w:r>
            <w:r>
              <w:t>Telnor</w:t>
            </w:r>
            <w:r w:rsidRPr="00833D3A">
              <w:t xml:space="preserve"> notificará al CS el resultado del Análisis de Factibilidad:</w:t>
            </w:r>
          </w:p>
          <w:p w:rsidR="007C4016" w:rsidRPr="00833D3A" w:rsidRDefault="007C4016" w:rsidP="005C782A">
            <w:pPr>
              <w:pStyle w:val="IFTnormal"/>
              <w:numPr>
                <w:ilvl w:val="0"/>
                <w:numId w:val="64"/>
              </w:numPr>
              <w:spacing w:after="0"/>
            </w:pPr>
            <w:r w:rsidRPr="00833D3A">
              <w:t>Positivo. Con el cual el CS dará inicio a la Instalación de la Infraestructura, basándose en el Programa de Trabajo.</w:t>
            </w:r>
          </w:p>
          <w:p w:rsidR="007C4016" w:rsidRPr="00833D3A" w:rsidRDefault="007C4016" w:rsidP="005C782A">
            <w:pPr>
              <w:pStyle w:val="IFTnormal"/>
              <w:numPr>
                <w:ilvl w:val="0"/>
                <w:numId w:val="64"/>
              </w:numPr>
              <w:spacing w:after="0"/>
            </w:pPr>
            <w:r w:rsidRPr="00833D3A">
              <w:t xml:space="preserve">Negativo. </w:t>
            </w:r>
            <w:r>
              <w:t>Telnor</w:t>
            </w:r>
            <w:r w:rsidRPr="00833D3A">
              <w:t xml:space="preserve"> notificará al CS el motivo del resultado, de tal forma que el CS pueda corregir la información y reenviarla.</w:t>
            </w:r>
          </w:p>
          <w:p w:rsidR="007C4016" w:rsidRPr="00833D3A" w:rsidRDefault="007C4016" w:rsidP="005C782A">
            <w:pPr>
              <w:pStyle w:val="IFTnormal"/>
              <w:spacing w:after="0"/>
            </w:pPr>
            <w:r w:rsidRPr="00712037">
              <w:t>Cualquier comentario o ajuste al Anteproyecto o a los documentos relacionados al proyecto deberá estar plenamente justificado y hacerse a través del SEG, el CS deberá tener mantener actualizada la documentación.</w:t>
            </w:r>
          </w:p>
        </w:tc>
      </w:tr>
      <w:tr w:rsidR="007C4016" w:rsidRPr="00833D3A" w:rsidTr="005C782A">
        <w:tc>
          <w:tcPr>
            <w:tcW w:w="1314" w:type="pct"/>
          </w:tcPr>
          <w:p w:rsidR="007C4016" w:rsidRPr="00833D3A" w:rsidRDefault="007C4016" w:rsidP="005C782A">
            <w:pPr>
              <w:pStyle w:val="IFTnormal"/>
              <w:spacing w:after="0"/>
              <w:rPr>
                <w:highlight w:val="cyan"/>
              </w:rPr>
            </w:pPr>
            <w:r w:rsidRPr="00833D3A">
              <w:t>Instalación de Infraestructura</w:t>
            </w:r>
          </w:p>
        </w:tc>
        <w:tc>
          <w:tcPr>
            <w:tcW w:w="3686" w:type="pct"/>
          </w:tcPr>
          <w:p w:rsidR="007C4016" w:rsidRPr="00833D3A" w:rsidRDefault="007C4016" w:rsidP="005C782A">
            <w:pPr>
              <w:pStyle w:val="IFTnormal"/>
              <w:spacing w:after="0"/>
            </w:pPr>
            <w:r w:rsidRPr="00833D3A">
              <w:t>Una vez que el CS recibió el resultado positivo del Análisis de Factibilidad, instalará la Infraestructura apegándose al Anteproyecto y Programa de trabajo aprobados previamente.</w:t>
            </w:r>
          </w:p>
          <w:p w:rsidR="007C4016" w:rsidRPr="002B6BF1" w:rsidRDefault="007C4016" w:rsidP="005C782A">
            <w:pPr>
              <w:pStyle w:val="IFTnormal"/>
              <w:spacing w:after="0"/>
            </w:pPr>
            <w:r w:rsidRPr="002B6BF1">
              <w:t>El CS realizará la instalación de infraestructura de acuerdo a los cambios y continuará el procedimiento de contratación a partir de dicha actividad.</w:t>
            </w:r>
          </w:p>
        </w:tc>
      </w:tr>
    </w:tbl>
    <w:p w:rsidR="007C4016" w:rsidRDefault="007C4016" w:rsidP="007C4016">
      <w:pPr>
        <w:pStyle w:val="CondicionesFinales"/>
        <w:spacing w:before="240" w:after="0"/>
      </w:pPr>
    </w:p>
    <w:p w:rsidR="007C4016" w:rsidRPr="00EB170F" w:rsidRDefault="007C4016" w:rsidP="007C4016">
      <w:pPr>
        <w:pStyle w:val="CondicionesFinales"/>
        <w:spacing w:before="240" w:after="0"/>
        <w:rPr>
          <w:b/>
        </w:rPr>
      </w:pPr>
      <w:r>
        <w:rPr>
          <w:b/>
        </w:rPr>
        <w:lastRenderedPageBreak/>
        <w:t>c</w:t>
      </w:r>
      <w:r w:rsidRPr="00EB170F">
        <w:rPr>
          <w:b/>
        </w:rPr>
        <w:t>. Baja de los servicios</w:t>
      </w:r>
      <w:bookmarkEnd w:id="84"/>
      <w:bookmarkEnd w:id="85"/>
      <w:bookmarkEnd w:id="86"/>
      <w:bookmarkEnd w:id="87"/>
    </w:p>
    <w:p w:rsidR="007C4016" w:rsidRPr="00716C42" w:rsidRDefault="007C4016" w:rsidP="007C4016">
      <w:pPr>
        <w:pStyle w:val="CondicionesFinales"/>
        <w:spacing w:before="240" w:after="0"/>
      </w:pPr>
      <w:r w:rsidRPr="00716C42">
        <w:t>Las actividades para realizar la baja del servicio son las siguientes</w:t>
      </w:r>
      <w:r>
        <w:t>:</w:t>
      </w:r>
    </w:p>
    <w:tbl>
      <w:tblPr>
        <w:tblStyle w:val="Tablaconcuadrcula"/>
        <w:tblW w:w="4070" w:type="pct"/>
        <w:tblInd w:w="959" w:type="dxa"/>
        <w:tblLook w:val="04A0" w:firstRow="1" w:lastRow="0" w:firstColumn="1" w:lastColumn="0" w:noHBand="0" w:noVBand="1"/>
        <w:tblCaption w:val="Tabla"/>
        <w:tblDescription w:val="Las actividades para realizar la baja del servicio "/>
      </w:tblPr>
      <w:tblGrid>
        <w:gridCol w:w="1889"/>
        <w:gridCol w:w="5299"/>
      </w:tblGrid>
      <w:tr w:rsidR="007C4016" w:rsidRPr="00EB170F" w:rsidTr="005C782A">
        <w:trPr>
          <w:tblHeader/>
        </w:trPr>
        <w:tc>
          <w:tcPr>
            <w:tcW w:w="1314" w:type="pct"/>
            <w:shd w:val="clear" w:color="auto" w:fill="D9D9D9" w:themeFill="background1" w:themeFillShade="D9"/>
          </w:tcPr>
          <w:p w:rsidR="007C4016" w:rsidRPr="006B7FE5" w:rsidRDefault="007C4016" w:rsidP="005C782A">
            <w:pPr>
              <w:pStyle w:val="IFTnormal"/>
              <w:spacing w:after="0"/>
            </w:pPr>
            <w:r w:rsidRPr="006B7FE5">
              <w:t>Etapa</w:t>
            </w:r>
          </w:p>
        </w:tc>
        <w:tc>
          <w:tcPr>
            <w:tcW w:w="3686" w:type="pct"/>
            <w:shd w:val="clear" w:color="auto" w:fill="D9D9D9" w:themeFill="background1" w:themeFillShade="D9"/>
          </w:tcPr>
          <w:p w:rsidR="007C4016" w:rsidRPr="006B7FE5" w:rsidRDefault="007C4016" w:rsidP="005C782A">
            <w:pPr>
              <w:pStyle w:val="IFTnormal"/>
              <w:spacing w:after="0"/>
            </w:pPr>
            <w:r w:rsidRPr="006B7FE5">
              <w:t>Descripción</w:t>
            </w:r>
          </w:p>
        </w:tc>
      </w:tr>
      <w:tr w:rsidR="007C4016" w:rsidRPr="00EB170F" w:rsidTr="005C782A">
        <w:tc>
          <w:tcPr>
            <w:tcW w:w="1314" w:type="pct"/>
          </w:tcPr>
          <w:p w:rsidR="007C4016" w:rsidRPr="006B7FE5" w:rsidRDefault="007C4016" w:rsidP="005C782A">
            <w:pPr>
              <w:pStyle w:val="IFTnormal"/>
              <w:spacing w:after="0"/>
            </w:pPr>
            <w:r w:rsidRPr="006B7FE5">
              <w:t>Envío y Validación de solicitud</w:t>
            </w:r>
          </w:p>
        </w:tc>
        <w:tc>
          <w:tcPr>
            <w:tcW w:w="3686" w:type="pct"/>
          </w:tcPr>
          <w:p w:rsidR="007C4016" w:rsidRPr="006B7FE5" w:rsidRDefault="007C4016" w:rsidP="005C782A">
            <w:pPr>
              <w:pStyle w:val="IFTnormal"/>
              <w:spacing w:after="0"/>
            </w:pPr>
            <w:r w:rsidRPr="006B7FE5">
              <w:t xml:space="preserve">El CS presentará la solicitud de baja en el formato correspondiente a través del SEG. </w:t>
            </w:r>
            <w:r>
              <w:t>Telnor</w:t>
            </w:r>
            <w:r w:rsidRPr="006B7FE5">
              <w:t xml:space="preserve"> recibirá la solicitud y determinará</w:t>
            </w:r>
            <w:r>
              <w:t xml:space="preserve"> en 2 días hábiles</w:t>
            </w:r>
            <w:r w:rsidRPr="006B7FE5">
              <w:t xml:space="preserve"> si la solicitud es: </w:t>
            </w:r>
          </w:p>
          <w:p w:rsidR="007C4016" w:rsidRPr="006B7FE5" w:rsidRDefault="007C4016" w:rsidP="005C782A">
            <w:pPr>
              <w:pStyle w:val="IFTnormal"/>
              <w:numPr>
                <w:ilvl w:val="0"/>
                <w:numId w:val="62"/>
              </w:numPr>
              <w:spacing w:after="0"/>
            </w:pPr>
            <w:r w:rsidRPr="006B7FE5">
              <w:t xml:space="preserve">Aceptada, </w:t>
            </w:r>
            <w:r>
              <w:t>Telnor</w:t>
            </w:r>
            <w:r w:rsidRPr="006B7FE5">
              <w:t xml:space="preserve"> valida que la solicitud de baja cumple con los requisitos establecidos en los formatos. Se asignará de forma automática un NIS. </w:t>
            </w:r>
          </w:p>
          <w:p w:rsidR="007C4016" w:rsidRPr="006B7FE5" w:rsidRDefault="007C4016" w:rsidP="005C782A">
            <w:pPr>
              <w:pStyle w:val="IFTnormal"/>
              <w:numPr>
                <w:ilvl w:val="0"/>
                <w:numId w:val="62"/>
              </w:numPr>
              <w:spacing w:after="0"/>
            </w:pPr>
            <w:r w:rsidRPr="006B7FE5">
              <w:t xml:space="preserve">Rechazado, en caso de que la solicitud no cumpliera con los requisitos, </w:t>
            </w:r>
            <w:r>
              <w:t>Telnor</w:t>
            </w:r>
            <w:r w:rsidRPr="006B7FE5">
              <w:t xml:space="preserve"> notificará al CS a través del SEG que la solicitud ha sido rechazada y el motivo por el cual no se pudo procesar, de tal forma que el CS pueda corregir la información y reenviar la solicitud.</w:t>
            </w:r>
          </w:p>
        </w:tc>
      </w:tr>
      <w:tr w:rsidR="007C4016" w:rsidRPr="00EB170F" w:rsidTr="005C782A">
        <w:tc>
          <w:tcPr>
            <w:tcW w:w="1314" w:type="pct"/>
          </w:tcPr>
          <w:p w:rsidR="007C4016" w:rsidRPr="006B7FE5" w:rsidRDefault="007C4016" w:rsidP="005C782A">
            <w:pPr>
              <w:pStyle w:val="IFTnormal"/>
              <w:tabs>
                <w:tab w:val="left" w:pos="567"/>
              </w:tabs>
              <w:spacing w:after="0"/>
            </w:pPr>
            <w:r w:rsidRPr="006B7FE5">
              <w:t>Elaboración de Programa de Trabajo</w:t>
            </w:r>
          </w:p>
        </w:tc>
        <w:tc>
          <w:tcPr>
            <w:tcW w:w="3686" w:type="pct"/>
            <w:shd w:val="clear" w:color="auto" w:fill="auto"/>
          </w:tcPr>
          <w:p w:rsidR="007C4016" w:rsidRPr="006B7FE5" w:rsidRDefault="007C4016" w:rsidP="005C782A">
            <w:pPr>
              <w:pStyle w:val="IFTnormal"/>
              <w:spacing w:after="0"/>
            </w:pPr>
            <w:r w:rsidRPr="006B7FE5">
              <w:t>El CS elaborará y enviará el Plan de Trabajo detallando la fecha de inicio y fin del retiro de su infraestructura, adjuntando la documentación correspondiente (</w:t>
            </w:r>
            <w:r w:rsidRPr="00412835">
              <w:t>10 días hábiles</w:t>
            </w:r>
            <w:r w:rsidRPr="006B7FE5">
              <w:t>).</w:t>
            </w:r>
          </w:p>
        </w:tc>
      </w:tr>
      <w:tr w:rsidR="007C4016" w:rsidRPr="00EB170F" w:rsidTr="005C782A">
        <w:tc>
          <w:tcPr>
            <w:tcW w:w="1314" w:type="pct"/>
          </w:tcPr>
          <w:p w:rsidR="007C4016" w:rsidRPr="006B7FE5" w:rsidRDefault="007C4016" w:rsidP="005C782A">
            <w:pPr>
              <w:pStyle w:val="IFTnormal"/>
              <w:spacing w:after="0"/>
            </w:pPr>
            <w:r w:rsidRPr="006B7FE5">
              <w:t>Análisis de Factibilidad</w:t>
            </w:r>
          </w:p>
        </w:tc>
        <w:tc>
          <w:tcPr>
            <w:tcW w:w="3686" w:type="pct"/>
          </w:tcPr>
          <w:p w:rsidR="007C4016" w:rsidRPr="006B7FE5" w:rsidRDefault="007C4016" w:rsidP="005C782A">
            <w:pPr>
              <w:pStyle w:val="IFTnormal"/>
              <w:spacing w:after="0"/>
            </w:pPr>
            <w:r>
              <w:t>Telnor</w:t>
            </w:r>
            <w:r w:rsidRPr="006B7FE5">
              <w:t xml:space="preserve"> recibirá y validará </w:t>
            </w:r>
            <w:r>
              <w:t>en máximo 5 días hábiles</w:t>
            </w:r>
            <w:r w:rsidRPr="006B7FE5">
              <w:t xml:space="preserve"> el Plan de Trabajo enviado por el CS, verificando que cumpla con los requisitos mínimos de acuerdo a los formatos correspondientes. </w:t>
            </w:r>
            <w:r>
              <w:t>Telnor</w:t>
            </w:r>
            <w:r w:rsidRPr="006B7FE5">
              <w:t xml:space="preserve"> notificará al CS el resultado del Análisis de Factibilidad:</w:t>
            </w:r>
          </w:p>
          <w:p w:rsidR="007C4016" w:rsidRPr="006B7FE5" w:rsidRDefault="007C4016" w:rsidP="005C782A">
            <w:pPr>
              <w:pStyle w:val="IFTnormal"/>
              <w:numPr>
                <w:ilvl w:val="0"/>
                <w:numId w:val="64"/>
              </w:numPr>
              <w:spacing w:after="0"/>
            </w:pPr>
            <w:r w:rsidRPr="006B7FE5">
              <w:t xml:space="preserve">Valido. </w:t>
            </w:r>
            <w:r>
              <w:t>Telnor</w:t>
            </w:r>
            <w:r w:rsidRPr="006B7FE5">
              <w:t xml:space="preserve"> lo notificará al CS y que puede comenzar con el retiro de su infraestructura.</w:t>
            </w:r>
          </w:p>
          <w:p w:rsidR="007C4016" w:rsidRPr="006B7FE5" w:rsidRDefault="007C4016" w:rsidP="005C782A">
            <w:pPr>
              <w:pStyle w:val="IFTnormal"/>
              <w:numPr>
                <w:ilvl w:val="0"/>
                <w:numId w:val="64"/>
              </w:numPr>
              <w:spacing w:after="0"/>
            </w:pPr>
            <w:r w:rsidRPr="006B7FE5">
              <w:t xml:space="preserve">No Valido. </w:t>
            </w:r>
            <w:r>
              <w:t>Telnor</w:t>
            </w:r>
            <w:r w:rsidRPr="006B7FE5">
              <w:t xml:space="preserve"> deberá notificar dicha situación al CS, así como aquello que deba ser ajustado para que el CS realice las modificaciones necesarias y reenvíe el Plan de Trabajo (</w:t>
            </w:r>
            <w:r w:rsidRPr="005A1403">
              <w:t>10 días hábiles</w:t>
            </w:r>
            <w:r w:rsidRPr="006B7FE5">
              <w:t>).</w:t>
            </w:r>
          </w:p>
          <w:p w:rsidR="007C4016" w:rsidRPr="006B7FE5" w:rsidRDefault="007C4016" w:rsidP="005C782A">
            <w:pPr>
              <w:pStyle w:val="IFTnormal"/>
              <w:spacing w:after="0"/>
            </w:pPr>
            <w:r w:rsidRPr="00712037">
              <w:lastRenderedPageBreak/>
              <w:t>Cualquier comentario o ajuste al Anteproyecto o a los documentos relacionados al proyecto deberá estar plenamente justificado y hacerse a través del SEG, el CS deberá tener mantener actualizada la documentación.</w:t>
            </w:r>
          </w:p>
        </w:tc>
      </w:tr>
      <w:tr w:rsidR="007C4016" w:rsidRPr="00EB170F" w:rsidTr="005C782A">
        <w:tc>
          <w:tcPr>
            <w:tcW w:w="1314" w:type="pct"/>
          </w:tcPr>
          <w:p w:rsidR="007C4016" w:rsidRPr="006B7FE5" w:rsidRDefault="007C4016" w:rsidP="005C782A">
            <w:pPr>
              <w:pStyle w:val="IFTnormal"/>
              <w:spacing w:after="0"/>
              <w:rPr>
                <w:highlight w:val="cyan"/>
              </w:rPr>
            </w:pPr>
            <w:r w:rsidRPr="006B7FE5">
              <w:lastRenderedPageBreak/>
              <w:t>Retiro de Infraestructura</w:t>
            </w:r>
          </w:p>
        </w:tc>
        <w:tc>
          <w:tcPr>
            <w:tcW w:w="3686" w:type="pct"/>
          </w:tcPr>
          <w:p w:rsidR="007C4016" w:rsidRDefault="007C4016" w:rsidP="005C782A">
            <w:pPr>
              <w:pStyle w:val="IFTnormal"/>
              <w:spacing w:after="0"/>
            </w:pPr>
            <w:r w:rsidRPr="006B7FE5">
              <w:t xml:space="preserve">Una vez que el </w:t>
            </w:r>
            <w:r>
              <w:t>Telnor</w:t>
            </w:r>
            <w:r w:rsidRPr="006B7FE5">
              <w:t xml:space="preserve"> recibió el resultado positivo del Análisis de Factibilidad, realizará el Retiro de la Infraestructura apegándose Programa de trabajo aprobados previamente.</w:t>
            </w:r>
            <w:r>
              <w:t xml:space="preserve"> La baja del servicio incluye el retiro de equipo y cableado que se haya instalado.</w:t>
            </w:r>
          </w:p>
          <w:p w:rsidR="007C4016" w:rsidRPr="006B7FE5" w:rsidRDefault="007C4016" w:rsidP="005C782A">
            <w:pPr>
              <w:pStyle w:val="IFTnormal"/>
              <w:spacing w:after="0"/>
            </w:pPr>
            <w:r>
              <w:t xml:space="preserve">Telnor </w:t>
            </w:r>
            <w:r w:rsidRPr="00456214">
              <w:t xml:space="preserve">deberá confirmar </w:t>
            </w:r>
            <w:r>
              <w:t>e</w:t>
            </w:r>
            <w:r w:rsidRPr="00456214">
              <w:t xml:space="preserve">l CS que el </w:t>
            </w:r>
            <w:r>
              <w:t>Servicio de baja concluyó satisfactoriamente</w:t>
            </w:r>
          </w:p>
        </w:tc>
      </w:tr>
      <w:tr w:rsidR="007C4016" w:rsidRPr="00EB170F" w:rsidTr="005C782A">
        <w:tc>
          <w:tcPr>
            <w:tcW w:w="1314" w:type="pct"/>
            <w:shd w:val="clear" w:color="auto" w:fill="auto"/>
          </w:tcPr>
          <w:p w:rsidR="007C4016" w:rsidRPr="006B7FE5" w:rsidRDefault="007C4016" w:rsidP="005C782A">
            <w:pPr>
              <w:pStyle w:val="IFTnormal"/>
              <w:spacing w:after="0"/>
            </w:pPr>
            <w:r w:rsidRPr="006B7FE5">
              <w:t>Facturación</w:t>
            </w:r>
          </w:p>
        </w:tc>
        <w:tc>
          <w:tcPr>
            <w:tcW w:w="3686" w:type="pct"/>
            <w:shd w:val="clear" w:color="auto" w:fill="auto"/>
          </w:tcPr>
          <w:p w:rsidR="007C4016" w:rsidRPr="006B7FE5" w:rsidRDefault="007C4016" w:rsidP="005C782A">
            <w:pPr>
              <w:pStyle w:val="IFTnormal"/>
              <w:spacing w:after="0"/>
            </w:pPr>
            <w:r w:rsidRPr="006B7FE5">
              <w:t xml:space="preserve">Una vez firmada el acta se </w:t>
            </w:r>
            <w:r>
              <w:t>concluye</w:t>
            </w:r>
            <w:r w:rsidRPr="006B7FE5">
              <w:t xml:space="preserve"> con la facturación del Servicio.</w:t>
            </w:r>
          </w:p>
        </w:tc>
      </w:tr>
    </w:tbl>
    <w:p w:rsidR="007C4016" w:rsidRDefault="007C4016" w:rsidP="007C4016">
      <w:pPr>
        <w:pStyle w:val="CitaIFT"/>
        <w:spacing w:before="240" w:after="0"/>
      </w:pPr>
    </w:p>
    <w:p w:rsidR="007C4016" w:rsidRDefault="007C4016" w:rsidP="007C4016">
      <w:pPr>
        <w:pStyle w:val="CondicionesFinales"/>
        <w:spacing w:before="240" w:after="0"/>
      </w:pPr>
      <w:r w:rsidRPr="00716C42">
        <w:t>El procedimiento para la notificación de fallas y gestión de incidencias, así como el procedimiento para Accesos a Infraestructura Compartida se establecen en el Anexo 3 de la Oferta</w:t>
      </w:r>
      <w:r w:rsidRPr="00EC2511">
        <w:t xml:space="preserve"> </w:t>
      </w:r>
      <w:r>
        <w:t>dejando la infraestructura  libre y sin desperdicios dentro de pozos, en los postes y vialidades</w:t>
      </w:r>
      <w:r w:rsidRPr="00716C42">
        <w:t>.</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6.</w:t>
      </w:r>
      <w:r w:rsidRPr="006A7AA7">
        <w:rPr>
          <w:rFonts w:ascii="ITC Avant Garde" w:hAnsi="ITC Avant Garde"/>
          <w:b/>
          <w:sz w:val="22"/>
          <w:szCs w:val="22"/>
        </w:rPr>
        <w:tab/>
        <w:t>ACTIVIDADES DE APOYO PARA LA COMPARTICIÓN DE INFRAESTRUCTURA PASIVA</w:t>
      </w:r>
    </w:p>
    <w:p w:rsidR="007C4016" w:rsidRPr="00BF4959" w:rsidRDefault="007C4016" w:rsidP="007C4016">
      <w:pPr>
        <w:pStyle w:val="IFTnormal"/>
        <w:spacing w:before="240" w:after="0"/>
        <w:rPr>
          <w:b/>
        </w:rPr>
      </w:pPr>
      <w:r>
        <w:rPr>
          <w:b/>
        </w:rPr>
        <w:t>Consideraciones del Instituto</w:t>
      </w:r>
    </w:p>
    <w:p w:rsidR="007C4016" w:rsidRPr="002802DB"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Pr="000C28DD" w:rsidRDefault="007C4016" w:rsidP="007C4016">
      <w:pPr>
        <w:pStyle w:val="IFTnormal"/>
        <w:spacing w:before="240" w:after="0"/>
        <w:rPr>
          <w:lang w:val="es-ES"/>
        </w:rPr>
      </w:pPr>
      <w:r>
        <w:t xml:space="preserve">Respecto a las Actividades de Apoyo </w:t>
      </w:r>
      <w:r>
        <w:rPr>
          <w:lang w:val="es-ES"/>
        </w:rPr>
        <w:t>presentados por el AEP en el numeral “</w:t>
      </w:r>
      <w:r>
        <w:rPr>
          <w:i/>
          <w:lang w:val="es-ES"/>
        </w:rPr>
        <w:t>6</w:t>
      </w:r>
      <w:r w:rsidRPr="00C25D42">
        <w:rPr>
          <w:i/>
          <w:lang w:val="es-ES"/>
        </w:rPr>
        <w:t>.</w:t>
      </w:r>
      <w:r w:rsidRPr="00C25D42">
        <w:rPr>
          <w:i/>
          <w:lang w:val="es-ES"/>
        </w:rPr>
        <w:tab/>
      </w:r>
      <w:r>
        <w:t>Actividades de Apoyo para la Compartición de Infraestructura Pasiva</w:t>
      </w:r>
      <w:r>
        <w:rPr>
          <w:lang w:val="es-ES"/>
        </w:rPr>
        <w:t>”</w:t>
      </w:r>
      <w:r w:rsidRPr="00C522FC">
        <w:t xml:space="preserve">, </w:t>
      </w:r>
      <w:r>
        <w:t xml:space="preserve">el Instituto </w:t>
      </w:r>
      <w:r>
        <w:rPr>
          <w:lang w:val="es-ES"/>
        </w:rPr>
        <w:t>considera que la propuesta no cumple ni se apega a lo establecido en la multicitada M</w:t>
      </w:r>
      <w:r w:rsidRPr="000C28DD">
        <w:rPr>
          <w:lang w:val="es-ES"/>
        </w:rPr>
        <w:t xml:space="preserve">edida </w:t>
      </w:r>
      <w:r w:rsidRPr="000C28DD">
        <w:rPr>
          <w:b/>
        </w:rPr>
        <w:t>CUADRAGÉSIMA PRIMERA</w:t>
      </w:r>
      <w:r>
        <w:t xml:space="preserve">, que hace referencia a que la Oferta propuesta por el AEP deberá reflejar al menos condiciones equivalentes al de la Oferta de Referencia Vigente, además de que deberá contar con procedimientos y plazos para la solicitud y entrega de los servicios, y no podrá </w:t>
      </w:r>
      <w:r>
        <w:lastRenderedPageBreak/>
        <w:t>establecer condiciones que inhiban la competencia en la prestación de los servicios.</w:t>
      </w:r>
      <w:r>
        <w:rPr>
          <w:lang w:val="es-ES"/>
        </w:rPr>
        <w:t xml:space="preserve"> </w:t>
      </w:r>
    </w:p>
    <w:p w:rsidR="007C4016" w:rsidRDefault="007C4016" w:rsidP="007C4016">
      <w:pPr>
        <w:pStyle w:val="IFTnormal"/>
        <w:spacing w:before="240" w:after="0"/>
        <w:rPr>
          <w:lang w:val="es-ES"/>
        </w:rPr>
      </w:pPr>
      <w:r>
        <w:rPr>
          <w:lang w:val="es-ES"/>
        </w:rPr>
        <w:t>Por lo antes expuesto, y al amparo de la Medida citada, el Instituto observa que de acuerdo al desarrollo y cambios realizados en los procedimientos de contratación, modificación y baja de todos los servicios, y en consistencia con los mismos, es necesario realizar precisiones a las descripciones de las Actividades de Apoyo con el fin de detallar y acotar el alcance de cada una, como se detalla a continuación:</w:t>
      </w:r>
    </w:p>
    <w:p w:rsidR="007C4016" w:rsidRDefault="007C4016" w:rsidP="007C4016">
      <w:pPr>
        <w:pStyle w:val="IFTnormal"/>
        <w:numPr>
          <w:ilvl w:val="0"/>
          <w:numId w:val="164"/>
        </w:numPr>
        <w:spacing w:before="240" w:after="0"/>
        <w:rPr>
          <w:lang w:val="es-ES"/>
        </w:rPr>
      </w:pPr>
      <w:r>
        <w:rPr>
          <w:lang w:val="es-ES"/>
        </w:rPr>
        <w:t>Visita Técnica. El Instituto concluye que ésta debe considerarse la actividad más importante del procedimiento, debido a que de manera conjunta el CS y el AEP verifican in situ la capacidad excedente y las condiciones reales de la infraestructura. Asimismo, en la Visita Técnica, tanto el CS como el AEP se aseguran de hacer el levantamiento completo y correcto, así como los cálculos y mediciones, con el fin de que el Anteproyecto contenga toda la información necesaria.</w:t>
      </w:r>
    </w:p>
    <w:p w:rsidR="007C4016" w:rsidRDefault="007C4016" w:rsidP="007C4016">
      <w:pPr>
        <w:pStyle w:val="IFTnormal"/>
        <w:spacing w:before="240" w:after="0"/>
        <w:ind w:left="1287"/>
        <w:rPr>
          <w:lang w:val="es-ES"/>
        </w:rPr>
      </w:pPr>
      <w:r>
        <w:rPr>
          <w:lang w:val="es-ES"/>
        </w:rPr>
        <w:t>De igual forma, el Instituto considera que debido a que durante la Visita Técnica se realizan las verificaciones, análisis, cálculos, mediciones,  sobre infraestructura pasiva en uso y capacidad excedente, es en esta actividad donde se debe determinar la viabilidad para brindar el servicio de Compartición de Infraestructura Pasiva.</w:t>
      </w:r>
    </w:p>
    <w:p w:rsidR="007C4016" w:rsidRDefault="007C4016" w:rsidP="007C4016">
      <w:pPr>
        <w:pStyle w:val="IFTnormal"/>
        <w:spacing w:before="240" w:after="0"/>
        <w:ind w:left="1287"/>
        <w:rPr>
          <w:lang w:val="es-ES"/>
        </w:rPr>
      </w:pPr>
      <w:r>
        <w:rPr>
          <w:lang w:val="es-ES"/>
        </w:rPr>
        <w:t>Por último, y derivado</w:t>
      </w:r>
      <w:r w:rsidDel="00137A84">
        <w:rPr>
          <w:lang w:val="es-ES"/>
        </w:rPr>
        <w:t xml:space="preserve"> </w:t>
      </w:r>
      <w:r>
        <w:rPr>
          <w:lang w:val="es-ES"/>
        </w:rPr>
        <w:t>a que el levantamiento de información es realizado sobre la Infraestructura del AEP, el Instituto considera</w:t>
      </w:r>
      <w:r>
        <w:t xml:space="preserve"> que es el propio AEP el que deberá</w:t>
      </w:r>
      <w:r w:rsidRPr="0097141E">
        <w:t xml:space="preserve"> tramitar, obtener y mantener vigentes los permisos, licencias, autorizaciones y cualquier otro requisito o procedimiento federal, estatal o municipal necesarios, relacionados con</w:t>
      </w:r>
      <w:r>
        <w:t xml:space="preserve"> el acceso o uso de su infraestructura. Lo anterior con el fin de que no se establezcan condiciones que inhiban la competencia.</w:t>
      </w:r>
    </w:p>
    <w:p w:rsidR="007C4016" w:rsidRDefault="007C4016" w:rsidP="007C4016">
      <w:pPr>
        <w:pStyle w:val="IFTnormal"/>
        <w:numPr>
          <w:ilvl w:val="0"/>
          <w:numId w:val="164"/>
        </w:numPr>
        <w:spacing w:before="240" w:after="0"/>
        <w:rPr>
          <w:lang w:val="es-ES"/>
        </w:rPr>
      </w:pPr>
      <w:r>
        <w:rPr>
          <w:lang w:val="es-ES"/>
        </w:rPr>
        <w:t>Análisis de Factibilidad. El Instituto concluye que debido a que durante la actividad de Visita Técnica fue establecida la viabilidad de un proyecto, esta actividad es únicamente para confirmar que la información recabada en la Visita Técnica sea consistente con el Anteproyecto enviado por el CS, así como los documentos relacionados al proyecto a realizar.</w:t>
      </w:r>
    </w:p>
    <w:p w:rsidR="007C4016" w:rsidRPr="001E627E" w:rsidRDefault="007C4016" w:rsidP="007C4016">
      <w:pPr>
        <w:pStyle w:val="IFTnormal"/>
        <w:numPr>
          <w:ilvl w:val="0"/>
          <w:numId w:val="164"/>
        </w:numPr>
        <w:spacing w:before="240" w:after="0"/>
        <w:rPr>
          <w:lang w:val="es-ES"/>
        </w:rPr>
      </w:pPr>
      <w:r>
        <w:rPr>
          <w:lang w:val="es-ES"/>
        </w:rPr>
        <w:lastRenderedPageBreak/>
        <w:t xml:space="preserve">Verificación. En consistencia con el inciso de Visita Técnica, el Instituto considera procedente realizar los ajustes necesarios en lo referente a </w:t>
      </w:r>
      <w:r w:rsidRPr="001E627E">
        <w:rPr>
          <w:lang w:val="es-ES"/>
        </w:rPr>
        <w:t>el levantamiento de información</w:t>
      </w:r>
      <w:r>
        <w:rPr>
          <w:lang w:val="es-ES"/>
        </w:rPr>
        <w:t>, el cual es</w:t>
      </w:r>
      <w:r w:rsidRPr="001E627E">
        <w:rPr>
          <w:lang w:val="es-ES"/>
        </w:rPr>
        <w:t xml:space="preserve"> realizado sobre la Infraestructura del AEP, </w:t>
      </w:r>
      <w:r>
        <w:rPr>
          <w:lang w:val="es-ES"/>
        </w:rPr>
        <w:t xml:space="preserve">por tanto </w:t>
      </w:r>
      <w:r w:rsidRPr="001E627E">
        <w:rPr>
          <w:lang w:val="es-ES"/>
        </w:rPr>
        <w:t xml:space="preserve">el Instituto considera, de conformidad con la Medida </w:t>
      </w:r>
      <w:r w:rsidRPr="004D12DA">
        <w:t>CUADRAGÉSIMA PRIMERA</w:t>
      </w:r>
      <w:r>
        <w:t xml:space="preserve"> que establece que el AEP no podrá establecer condiciones que inhiban la competencia en la prestación de los servicios a</w:t>
      </w:r>
      <w:r w:rsidRPr="001857C7">
        <w:t>plica</w:t>
      </w:r>
      <w:r>
        <w:t>ndo</w:t>
      </w:r>
      <w:r w:rsidRPr="001857C7">
        <w:t xml:space="preserve"> condiciones discriminatorias y/o abusivas</w:t>
      </w:r>
      <w:r>
        <w:t>, que es el propio AEP el que deberá</w:t>
      </w:r>
      <w:r w:rsidRPr="0097141E">
        <w:t xml:space="preserve"> tramitar, obtener y mantener vigentes los permisos, licencias, autorizaciones y cualquier otro requisito o procedimiento federal, estatal o municipal necesarios, relacionados con</w:t>
      </w:r>
      <w:r>
        <w:t xml:space="preserve"> el acceso o uso de su infraestructura.</w:t>
      </w:r>
    </w:p>
    <w:p w:rsidR="007C4016" w:rsidRPr="0032311A" w:rsidRDefault="007C4016" w:rsidP="007C4016">
      <w:pPr>
        <w:pStyle w:val="IFTnormal"/>
        <w:spacing w:before="240" w:after="0"/>
        <w:rPr>
          <w:lang w:val="es-ES"/>
        </w:rPr>
      </w:pPr>
      <w:r>
        <w:rPr>
          <w:lang w:val="es-ES"/>
        </w:rPr>
        <w:t>Con base en lo anterior, el Instituto resuelve que las Actividades de Apoyo deben ser modificadas, con el fin de evitar obstaculizaciones en los procedimientos que deriven en alargamiento de plazos y cobros extra.</w:t>
      </w:r>
    </w:p>
    <w:p w:rsidR="007C4016" w:rsidRPr="004C0456" w:rsidRDefault="007C4016" w:rsidP="007C4016">
      <w:pPr>
        <w:pStyle w:val="IFTnormal"/>
        <w:spacing w:before="240" w:after="0"/>
        <w:rPr>
          <w:b/>
        </w:rPr>
      </w:pPr>
      <w:r>
        <w:rPr>
          <w:b/>
        </w:rPr>
        <w:t>Redacción Definitiva</w:t>
      </w:r>
    </w:p>
    <w:p w:rsidR="007C4016" w:rsidRDefault="007C4016" w:rsidP="007C4016">
      <w:pPr>
        <w:suppressAutoHyphens w:val="0"/>
        <w:spacing w:before="240" w:after="0" w:line="276" w:lineRule="auto"/>
        <w:ind w:right="567"/>
        <w:contextualSpacing w:val="0"/>
        <w:rPr>
          <w:rFonts w:ascii="ITC Avant Garde" w:eastAsia="MS Mincho" w:hAnsi="ITC Avant Garde" w:cs="Calibri"/>
          <w:sz w:val="22"/>
          <w:szCs w:val="22"/>
          <w:lang w:val="es-ES" w:eastAsia="en-US"/>
        </w:rPr>
      </w:pPr>
      <w:r w:rsidRPr="000B50E0">
        <w:rPr>
          <w:rFonts w:ascii="ITC Avant Garde" w:eastAsia="MS Mincho" w:hAnsi="ITC Avant Garde" w:cs="Calibri"/>
          <w:bCs/>
          <w:sz w:val="22"/>
          <w:szCs w:val="22"/>
          <w:lang w:val="es-ES" w:eastAsia="en-US"/>
        </w:rPr>
        <w:t>Derivado del análisis previo, el Instituto resue</w:t>
      </w:r>
      <w:r>
        <w:rPr>
          <w:rFonts w:ascii="ITC Avant Garde" w:eastAsia="MS Mincho" w:hAnsi="ITC Avant Garde" w:cs="Calibri"/>
          <w:bCs/>
          <w:sz w:val="22"/>
          <w:szCs w:val="22"/>
          <w:lang w:val="es-ES" w:eastAsia="en-US"/>
        </w:rPr>
        <w:t xml:space="preserve">lve </w:t>
      </w:r>
      <w:r w:rsidRPr="00EF65DD">
        <w:rPr>
          <w:rFonts w:ascii="ITC Avant Garde" w:eastAsia="MS Mincho" w:hAnsi="ITC Avant Garde" w:cs="Calibri"/>
          <w:bCs/>
          <w:sz w:val="22"/>
          <w:szCs w:val="22"/>
          <w:lang w:val="es-ES" w:eastAsia="en-US"/>
        </w:rPr>
        <w:t>el Instituto resuelve</w:t>
      </w:r>
      <w:r w:rsidRPr="000B50E0">
        <w:rPr>
          <w:rFonts w:ascii="ITC Avant Garde" w:eastAsia="MS Mincho" w:hAnsi="ITC Avant Garde" w:cs="Calibri"/>
          <w:bCs/>
          <w:sz w:val="22"/>
          <w:szCs w:val="22"/>
          <w:lang w:val="es-ES" w:eastAsia="en-US"/>
        </w:rPr>
        <w:t xml:space="preserve"> que </w:t>
      </w:r>
      <w:r w:rsidRPr="00EF65DD">
        <w:rPr>
          <w:rFonts w:ascii="ITC Avant Garde" w:eastAsia="MS Mincho" w:hAnsi="ITC Avant Garde" w:cs="Calibri"/>
          <w:bCs/>
          <w:sz w:val="22"/>
          <w:szCs w:val="22"/>
          <w:lang w:val="es-ES" w:eastAsia="en-US"/>
        </w:rPr>
        <w:t xml:space="preserve">el numeral </w:t>
      </w:r>
      <w:r w:rsidRPr="000E071A">
        <w:rPr>
          <w:rFonts w:ascii="ITC Avant Garde" w:eastAsia="MS Mincho" w:hAnsi="ITC Avant Garde" w:cs="Calibri"/>
          <w:bCs/>
          <w:sz w:val="22"/>
          <w:szCs w:val="22"/>
          <w:lang w:val="es-ES" w:eastAsia="en-US"/>
        </w:rPr>
        <w:t>“</w:t>
      </w:r>
      <w:r>
        <w:rPr>
          <w:rFonts w:ascii="ITC Avant Garde" w:eastAsia="MS Mincho" w:hAnsi="ITC Avant Garde" w:cs="Calibri"/>
          <w:bCs/>
          <w:sz w:val="22"/>
          <w:szCs w:val="22"/>
          <w:lang w:val="es-ES" w:eastAsia="en-US"/>
        </w:rPr>
        <w:t>6. ACTIVIDADES DE APOYO</w:t>
      </w:r>
      <w:r w:rsidRPr="000E071A">
        <w:rPr>
          <w:rFonts w:ascii="ITC Avant Garde" w:eastAsia="MS Mincho" w:hAnsi="ITC Avant Garde" w:cs="Calibri"/>
          <w:bCs/>
          <w:sz w:val="22"/>
          <w:szCs w:val="22"/>
          <w:lang w:val="es-ES" w:eastAsia="en-US"/>
        </w:rPr>
        <w:t xml:space="preserve"> PARA LA </w:t>
      </w:r>
      <w:r>
        <w:rPr>
          <w:rFonts w:ascii="ITC Avant Garde" w:eastAsia="MS Mincho" w:hAnsi="ITC Avant Garde" w:cs="Calibri"/>
          <w:bCs/>
          <w:sz w:val="22"/>
          <w:szCs w:val="22"/>
          <w:lang w:val="es-ES" w:eastAsia="en-US"/>
        </w:rPr>
        <w:t>COMPARTICION</w:t>
      </w:r>
      <w:r w:rsidRPr="00EF65DD">
        <w:rPr>
          <w:rFonts w:ascii="ITC Avant Garde" w:eastAsia="MS Mincho" w:hAnsi="ITC Avant Garde" w:cs="Calibri"/>
          <w:bCs/>
          <w:sz w:val="22"/>
          <w:szCs w:val="22"/>
          <w:lang w:val="es-ES" w:eastAsia="en-US"/>
        </w:rPr>
        <w:t xml:space="preserve"> DE </w:t>
      </w:r>
      <w:r>
        <w:rPr>
          <w:rFonts w:ascii="ITC Avant Garde" w:eastAsia="MS Mincho" w:hAnsi="ITC Avant Garde" w:cs="Calibri"/>
          <w:bCs/>
          <w:sz w:val="22"/>
          <w:szCs w:val="22"/>
          <w:lang w:val="es-ES" w:eastAsia="en-US"/>
        </w:rPr>
        <w:t>LA</w:t>
      </w:r>
      <w:r w:rsidRPr="00EF65DD">
        <w:rPr>
          <w:rFonts w:ascii="ITC Avant Garde" w:eastAsia="MS Mincho" w:hAnsi="ITC Avant Garde" w:cs="Calibri"/>
          <w:bCs/>
          <w:sz w:val="22"/>
          <w:szCs w:val="22"/>
          <w:lang w:val="es-ES" w:eastAsia="en-US"/>
        </w:rPr>
        <w:t xml:space="preserve"> INFRAESTRUCTURA </w:t>
      </w:r>
      <w:r>
        <w:rPr>
          <w:rFonts w:ascii="ITC Avant Garde" w:eastAsia="MS Mincho" w:hAnsi="ITC Avant Garde" w:cs="Calibri"/>
          <w:bCs/>
          <w:sz w:val="22"/>
          <w:szCs w:val="22"/>
          <w:lang w:val="es-ES" w:eastAsia="en-US"/>
        </w:rPr>
        <w:t>PASIVA</w:t>
      </w:r>
      <w:r w:rsidRPr="00EF65DD">
        <w:rPr>
          <w:rFonts w:ascii="ITC Avant Garde" w:eastAsia="MS Mincho" w:hAnsi="ITC Avant Garde" w:cs="Calibri"/>
          <w:bCs/>
          <w:sz w:val="22"/>
          <w:szCs w:val="22"/>
          <w:lang w:val="es-ES" w:eastAsia="en-US"/>
        </w:rPr>
        <w:t xml:space="preserve">” deberá quedar de la </w:t>
      </w:r>
      <w:r w:rsidRPr="000B50E0">
        <w:rPr>
          <w:rFonts w:ascii="ITC Avant Garde" w:eastAsia="MS Mincho" w:hAnsi="ITC Avant Garde" w:cs="Calibri"/>
          <w:bCs/>
          <w:sz w:val="22"/>
          <w:szCs w:val="22"/>
          <w:lang w:val="es-ES" w:eastAsia="en-US"/>
        </w:rPr>
        <w:t>siguiente</w:t>
      </w:r>
      <w:r w:rsidRPr="00EF65DD">
        <w:rPr>
          <w:rFonts w:ascii="ITC Avant Garde" w:eastAsia="MS Mincho" w:hAnsi="ITC Avant Garde" w:cs="Calibri"/>
          <w:bCs/>
          <w:sz w:val="22"/>
          <w:szCs w:val="22"/>
          <w:lang w:val="es-ES" w:eastAsia="en-US"/>
        </w:rPr>
        <w:t xml:space="preserve"> manera</w:t>
      </w:r>
      <w:r w:rsidRPr="000B50E0">
        <w:rPr>
          <w:rFonts w:ascii="ITC Avant Garde" w:eastAsia="MS Mincho" w:hAnsi="ITC Avant Garde" w:cs="Calibri"/>
          <w:bCs/>
          <w:sz w:val="22"/>
          <w:szCs w:val="22"/>
          <w:lang w:val="es-ES" w:eastAsia="en-US"/>
        </w:rPr>
        <w:t>:</w:t>
      </w:r>
    </w:p>
    <w:p w:rsidR="007C4016" w:rsidRPr="008D1194" w:rsidRDefault="007C4016" w:rsidP="007C4016">
      <w:pPr>
        <w:pStyle w:val="CondicionesFinales"/>
        <w:spacing w:before="240" w:after="0"/>
        <w:rPr>
          <w:b/>
        </w:rPr>
      </w:pPr>
      <w:bookmarkStart w:id="88" w:name="_Toc388972153"/>
      <w:bookmarkStart w:id="89" w:name="_Toc398890452"/>
      <w:bookmarkStart w:id="90" w:name="_Toc400610142"/>
      <w:bookmarkStart w:id="91" w:name="_Toc423018262"/>
      <w:bookmarkStart w:id="92" w:name="_Toc433915597"/>
      <w:bookmarkStart w:id="93" w:name="_Toc435555556"/>
      <w:bookmarkStart w:id="94" w:name="_Toc436229710"/>
      <w:bookmarkStart w:id="95" w:name="_Toc436230625"/>
      <w:bookmarkStart w:id="96" w:name="_Toc436230719"/>
      <w:r w:rsidRPr="008D1194">
        <w:rPr>
          <w:b/>
        </w:rPr>
        <w:t>6. Actividades de apoyo para la Compartición de Infraestructura Pasiva</w:t>
      </w:r>
      <w:bookmarkEnd w:id="88"/>
      <w:bookmarkEnd w:id="89"/>
      <w:bookmarkEnd w:id="90"/>
      <w:bookmarkEnd w:id="91"/>
      <w:bookmarkEnd w:id="92"/>
      <w:bookmarkEnd w:id="93"/>
      <w:bookmarkEnd w:id="94"/>
      <w:bookmarkEnd w:id="95"/>
      <w:bookmarkEnd w:id="96"/>
    </w:p>
    <w:p w:rsidR="007C4016" w:rsidRDefault="007C4016" w:rsidP="007C4016">
      <w:pPr>
        <w:pStyle w:val="CondicionesFinales"/>
        <w:spacing w:before="240" w:after="0"/>
        <w:rPr>
          <w:lang w:val="es-ES"/>
        </w:rPr>
      </w:pPr>
      <w:r w:rsidRPr="00716C42">
        <w:rPr>
          <w:lang w:val="es-ES"/>
        </w:rPr>
        <w:t>Los servicios de apoyo para la Compartición de la Infraestructura Pasiva, son los servicios que se realizan para evaluar la factibilidad Técnica de la Compartición de la Infraestructura Pasiva o bien los servicios que se realizan para garantizar la salvaguarda de la infraestructura.</w:t>
      </w:r>
      <w:bookmarkStart w:id="97" w:name="_Toc435548548"/>
      <w:bookmarkEnd w:id="97"/>
    </w:p>
    <w:p w:rsidR="007C4016" w:rsidRPr="008D1194" w:rsidRDefault="007C4016" w:rsidP="007C4016">
      <w:pPr>
        <w:pStyle w:val="CondicionesFinales"/>
        <w:spacing w:before="240" w:after="0"/>
        <w:rPr>
          <w:b/>
        </w:rPr>
      </w:pPr>
      <w:bookmarkStart w:id="98" w:name="_Toc398890453"/>
      <w:bookmarkStart w:id="99" w:name="_Toc400610143"/>
      <w:bookmarkStart w:id="100" w:name="_Toc423018263"/>
      <w:bookmarkStart w:id="101" w:name="_Toc433915598"/>
      <w:bookmarkStart w:id="102" w:name="_Toc435555557"/>
      <w:bookmarkStart w:id="103" w:name="_Toc436229711"/>
      <w:bookmarkStart w:id="104" w:name="_Toc436230626"/>
      <w:bookmarkStart w:id="105" w:name="_Toc436230720"/>
      <w:r w:rsidRPr="008D1194">
        <w:rPr>
          <w:b/>
        </w:rPr>
        <w:t>6.1 Visita Técnica</w:t>
      </w:r>
      <w:bookmarkEnd w:id="98"/>
      <w:bookmarkEnd w:id="99"/>
      <w:bookmarkEnd w:id="100"/>
      <w:bookmarkEnd w:id="101"/>
      <w:bookmarkEnd w:id="102"/>
      <w:bookmarkEnd w:id="103"/>
      <w:bookmarkEnd w:id="104"/>
      <w:bookmarkEnd w:id="105"/>
    </w:p>
    <w:p w:rsidR="007C4016" w:rsidRPr="00716C42" w:rsidRDefault="007C4016" w:rsidP="007C4016">
      <w:pPr>
        <w:pStyle w:val="CondicionesFinales"/>
        <w:spacing w:before="240" w:after="0"/>
        <w:rPr>
          <w:lang w:val="es-ES"/>
        </w:rPr>
      </w:pPr>
      <w:r w:rsidRPr="00716C42">
        <w:rPr>
          <w:lang w:val="es-ES"/>
        </w:rPr>
        <w:t xml:space="preserve">El servicio de Visita Técnica </w:t>
      </w:r>
      <w:r>
        <w:rPr>
          <w:lang w:val="es-ES"/>
        </w:rPr>
        <w:t>es la actividad principal de los servicios, y</w:t>
      </w:r>
      <w:r w:rsidRPr="00716C42">
        <w:rPr>
          <w:lang w:val="es-ES"/>
        </w:rPr>
        <w:t xml:space="preserve"> tiene como objeto que los CS cuenten con </w:t>
      </w:r>
      <w:r>
        <w:rPr>
          <w:lang w:val="es-ES"/>
        </w:rPr>
        <w:t>toda la</w:t>
      </w:r>
      <w:r w:rsidRPr="00716C42">
        <w:rPr>
          <w:lang w:val="es-ES"/>
        </w:rPr>
        <w:t xml:space="preserve"> información</w:t>
      </w:r>
      <w:r>
        <w:rPr>
          <w:lang w:val="es-ES"/>
        </w:rPr>
        <w:t xml:space="preserve"> correcta y completa</w:t>
      </w:r>
      <w:r w:rsidRPr="00716C42">
        <w:rPr>
          <w:lang w:val="es-ES"/>
        </w:rPr>
        <w:t xml:space="preserve"> </w:t>
      </w:r>
      <w:r w:rsidRPr="00716C42">
        <w:t xml:space="preserve">a fin de analizar y concretar </w:t>
      </w:r>
      <w:r w:rsidRPr="00716C42">
        <w:rPr>
          <w:i/>
        </w:rPr>
        <w:t xml:space="preserve">in situ </w:t>
      </w:r>
      <w:r w:rsidRPr="00716C42">
        <w:t>los elementos sobre los que efectivamente se podrá ejercer el Acceso y Uso Compartido de Infraestructura Pasiva y sus limitaciones en uso</w:t>
      </w:r>
      <w:r w:rsidRPr="00716C42">
        <w:rPr>
          <w:lang w:val="es-ES"/>
        </w:rPr>
        <w:t>.</w:t>
      </w:r>
    </w:p>
    <w:p w:rsidR="007C4016" w:rsidRPr="00716C42" w:rsidRDefault="007C4016" w:rsidP="007C4016">
      <w:pPr>
        <w:pStyle w:val="CondicionesFinales"/>
        <w:spacing w:before="240" w:after="0"/>
        <w:rPr>
          <w:lang w:val="es-ES"/>
        </w:rPr>
      </w:pPr>
      <w:r w:rsidRPr="00716C42">
        <w:rPr>
          <w:lang w:val="es-ES"/>
        </w:rPr>
        <w:lastRenderedPageBreak/>
        <w:t xml:space="preserve">El Servicio de Visita Técnica es la actividad conjunta de carácter </w:t>
      </w:r>
      <w:r>
        <w:rPr>
          <w:lang w:val="es-ES"/>
        </w:rPr>
        <w:t>obligatorio</w:t>
      </w:r>
      <w:r w:rsidRPr="00716C42">
        <w:rPr>
          <w:lang w:val="es-ES"/>
        </w:rPr>
        <w:t xml:space="preserve"> entre </w:t>
      </w:r>
      <w:r>
        <w:rPr>
          <w:lang w:val="es-ES"/>
        </w:rPr>
        <w:t>Telnor</w:t>
      </w:r>
      <w:r w:rsidRPr="00716C42">
        <w:rPr>
          <w:lang w:val="es-ES"/>
        </w:rPr>
        <w:t xml:space="preserve"> y el CS, para recorrer la Obra Civil o analizar los sitios, predios y espacios físicos que podrán ser compartidos, la duración de la visita dependerá de la complejidad de la solicitud de Compartición de Infraestructura Pasiva</w:t>
      </w:r>
      <w:r>
        <w:rPr>
          <w:lang w:val="es-ES"/>
        </w:rPr>
        <w:t xml:space="preserve">, durante esta actividad se ejecutarán </w:t>
      </w:r>
      <w:r w:rsidRPr="00CE2104">
        <w:rPr>
          <w:lang w:val="es-MX"/>
        </w:rPr>
        <w:t>todas las mediciones y cálculos para determinar la capacidad excedente de la infraestructura.</w:t>
      </w:r>
    </w:p>
    <w:p w:rsidR="007C4016" w:rsidRPr="00716C42" w:rsidRDefault="007C4016" w:rsidP="007C4016">
      <w:pPr>
        <w:pStyle w:val="CondicionesFinales"/>
        <w:spacing w:before="240" w:after="0"/>
      </w:pPr>
      <w:r w:rsidRPr="00716C42">
        <w:t xml:space="preserve">Las Visitas técnicas podrán ser de los siguientes tipos, </w:t>
      </w:r>
      <w:r>
        <w:t>y</w:t>
      </w:r>
      <w:r w:rsidRPr="00716C42">
        <w:t xml:space="preserve"> la contraprestación por la visita dependerá del tipo, kilómetros de recorrido y de la central, sitio o predio a visitar:</w:t>
      </w:r>
    </w:p>
    <w:p w:rsidR="007C4016" w:rsidRPr="00B0491D" w:rsidRDefault="007C4016" w:rsidP="007C4016">
      <w:pPr>
        <w:pStyle w:val="CondicionesFinales"/>
        <w:numPr>
          <w:ilvl w:val="0"/>
          <w:numId w:val="164"/>
        </w:numPr>
        <w:spacing w:before="240" w:after="0"/>
        <w:rPr>
          <w:lang w:val="es-ES"/>
        </w:rPr>
      </w:pPr>
      <w:r w:rsidRPr="00B0491D">
        <w:rPr>
          <w:lang w:val="es-ES"/>
        </w:rPr>
        <w:t>Visita Técnica para Postes.</w:t>
      </w:r>
    </w:p>
    <w:p w:rsidR="007C4016" w:rsidRPr="00B0491D" w:rsidRDefault="007C4016" w:rsidP="007C4016">
      <w:pPr>
        <w:pStyle w:val="CondicionesFinales"/>
        <w:numPr>
          <w:ilvl w:val="0"/>
          <w:numId w:val="164"/>
        </w:numPr>
        <w:spacing w:after="0"/>
        <w:rPr>
          <w:lang w:val="es-ES"/>
        </w:rPr>
      </w:pPr>
      <w:r w:rsidRPr="00B0491D">
        <w:rPr>
          <w:lang w:val="es-ES"/>
        </w:rPr>
        <w:t>Visita Técnica para Pozos y Canalizaciones.</w:t>
      </w:r>
    </w:p>
    <w:p w:rsidR="007C4016" w:rsidRPr="00B0491D" w:rsidRDefault="007C4016" w:rsidP="007C4016">
      <w:pPr>
        <w:pStyle w:val="CondicionesFinales"/>
        <w:numPr>
          <w:ilvl w:val="0"/>
          <w:numId w:val="164"/>
        </w:numPr>
        <w:spacing w:after="0"/>
        <w:rPr>
          <w:lang w:val="es-ES"/>
        </w:rPr>
      </w:pPr>
      <w:r w:rsidRPr="00B0491D">
        <w:rPr>
          <w:lang w:val="es-ES"/>
        </w:rPr>
        <w:t>Visita Técnica para el Servicio de Torres.</w:t>
      </w:r>
    </w:p>
    <w:p w:rsidR="007C4016" w:rsidRPr="00B0491D" w:rsidRDefault="007C4016" w:rsidP="007C4016">
      <w:pPr>
        <w:pStyle w:val="CondicionesFinales"/>
        <w:numPr>
          <w:ilvl w:val="0"/>
          <w:numId w:val="164"/>
        </w:numPr>
        <w:spacing w:after="0"/>
        <w:rPr>
          <w:lang w:val="es-ES"/>
        </w:rPr>
      </w:pPr>
      <w:r w:rsidRPr="00B0491D">
        <w:rPr>
          <w:lang w:val="es-ES"/>
        </w:rPr>
        <w:t>Visita Técnica para Sitios, Predios y Espacios Físicos.</w:t>
      </w:r>
    </w:p>
    <w:p w:rsidR="007C4016" w:rsidRPr="00B0491D" w:rsidRDefault="007C4016" w:rsidP="007C4016">
      <w:pPr>
        <w:pStyle w:val="CondicionesFinales"/>
        <w:numPr>
          <w:ilvl w:val="0"/>
          <w:numId w:val="164"/>
        </w:numPr>
        <w:spacing w:after="0"/>
        <w:rPr>
          <w:lang w:val="es-ES"/>
        </w:rPr>
      </w:pPr>
      <w:r w:rsidRPr="00B0491D">
        <w:rPr>
          <w:lang w:val="es-ES"/>
        </w:rPr>
        <w:t>Visita Técnica para Tendido de Cable sobre Infraestructura Desagregada.</w:t>
      </w:r>
    </w:p>
    <w:p w:rsidR="007C4016" w:rsidRPr="00716C42" w:rsidRDefault="007C4016" w:rsidP="007C4016">
      <w:pPr>
        <w:pStyle w:val="CondicionesFinales"/>
        <w:spacing w:before="240" w:after="0"/>
        <w:rPr>
          <w:lang w:val="es-ES"/>
        </w:rPr>
      </w:pPr>
      <w:r w:rsidRPr="00716C42">
        <w:rPr>
          <w:lang w:val="es-ES"/>
        </w:rPr>
        <w:t>Durante la Visita Técnica se podrán requerir cualquiera de los siguientes trabajos, los cuales deberá cubrir el CS:</w:t>
      </w:r>
    </w:p>
    <w:p w:rsidR="007C4016" w:rsidRPr="00783032" w:rsidRDefault="007C4016" w:rsidP="007C4016">
      <w:pPr>
        <w:pStyle w:val="CondicionesFinales"/>
        <w:numPr>
          <w:ilvl w:val="0"/>
          <w:numId w:val="165"/>
        </w:numPr>
        <w:spacing w:before="240" w:after="0"/>
        <w:rPr>
          <w:lang w:val="es-ES"/>
        </w:rPr>
      </w:pPr>
      <w:r w:rsidRPr="00783032">
        <w:rPr>
          <w:lang w:val="es-ES"/>
        </w:rPr>
        <w:t>Apertura de pozo (incluye desoldado y soldado)</w:t>
      </w:r>
    </w:p>
    <w:p w:rsidR="007C4016" w:rsidRPr="00783032" w:rsidRDefault="007C4016" w:rsidP="007C4016">
      <w:pPr>
        <w:pStyle w:val="CondicionesFinales"/>
        <w:numPr>
          <w:ilvl w:val="0"/>
          <w:numId w:val="165"/>
        </w:numPr>
        <w:spacing w:after="0"/>
        <w:rPr>
          <w:lang w:val="es-ES"/>
        </w:rPr>
      </w:pPr>
      <w:r w:rsidRPr="00783032">
        <w:rPr>
          <w:lang w:val="es-ES"/>
        </w:rPr>
        <w:t>Rompimiento de pavimento o la banqueta</w:t>
      </w:r>
    </w:p>
    <w:p w:rsidR="007C4016" w:rsidRPr="00783032" w:rsidRDefault="007C4016" w:rsidP="007C4016">
      <w:pPr>
        <w:pStyle w:val="CondicionesFinales"/>
        <w:numPr>
          <w:ilvl w:val="0"/>
          <w:numId w:val="165"/>
        </w:numPr>
        <w:spacing w:after="0"/>
        <w:rPr>
          <w:lang w:val="es-ES"/>
        </w:rPr>
      </w:pPr>
      <w:r w:rsidRPr="00783032">
        <w:rPr>
          <w:lang w:val="es-ES"/>
        </w:rPr>
        <w:t xml:space="preserve">Cualquier actividad no considerada previamente que origine un gasto a </w:t>
      </w:r>
      <w:r>
        <w:rPr>
          <w:lang w:val="es-ES"/>
        </w:rPr>
        <w:t>Telnor</w:t>
      </w:r>
      <w:r w:rsidRPr="00783032">
        <w:rPr>
          <w:lang w:val="es-ES"/>
        </w:rPr>
        <w:t xml:space="preserve">, siempre y cuando no estén relacionadas con actividades necesarias para el correcto funcionamiento de la infraestructura y que son obligación de </w:t>
      </w:r>
      <w:r>
        <w:rPr>
          <w:lang w:val="es-ES"/>
        </w:rPr>
        <w:t>Telnor</w:t>
      </w:r>
      <w:r w:rsidRPr="00783032">
        <w:rPr>
          <w:lang w:val="es-ES"/>
        </w:rPr>
        <w:t>.</w:t>
      </w:r>
    </w:p>
    <w:p w:rsidR="007C4016" w:rsidRPr="00716C42" w:rsidRDefault="007C4016" w:rsidP="007C4016">
      <w:pPr>
        <w:pStyle w:val="CondicionesFinales"/>
        <w:spacing w:before="240" w:after="0"/>
        <w:rPr>
          <w:lang w:val="es-ES"/>
        </w:rPr>
      </w:pPr>
      <w:r>
        <w:rPr>
          <w:lang w:val="es-ES"/>
        </w:rPr>
        <w:t>Telnor</w:t>
      </w:r>
      <w:r w:rsidRPr="00716C42">
        <w:rPr>
          <w:lang w:val="es-ES"/>
        </w:rPr>
        <w:t xml:space="preserve"> será responsable de tramitar los permisos</w:t>
      </w:r>
      <w:r w:rsidRPr="0097141E">
        <w:t>, licencias, autorizaciones y cualquier otro requisito o procedimiento federal, estatal o municipal necesarios, relacionados con</w:t>
      </w:r>
      <w:r>
        <w:t xml:space="preserve"> el acceso o uso de su infraestructura</w:t>
      </w:r>
      <w:r w:rsidRPr="00716C42">
        <w:rPr>
          <w:lang w:val="es-ES"/>
        </w:rPr>
        <w:t xml:space="preserve"> ante la autoridad competente</w:t>
      </w:r>
      <w:r>
        <w:rPr>
          <w:lang w:val="es-ES"/>
        </w:rPr>
        <w:t>, exceptuando aquellos trámites</w:t>
      </w:r>
      <w:r w:rsidRPr="00716C42">
        <w:rPr>
          <w:lang w:val="es-ES"/>
        </w:rPr>
        <w:t xml:space="preserve"> que </w:t>
      </w:r>
      <w:r>
        <w:rPr>
          <w:lang w:val="es-ES"/>
        </w:rPr>
        <w:t>de manera estricta deban</w:t>
      </w:r>
      <w:r w:rsidRPr="00716C42">
        <w:rPr>
          <w:lang w:val="es-ES"/>
        </w:rPr>
        <w:t xml:space="preserve"> ser </w:t>
      </w:r>
      <w:r>
        <w:rPr>
          <w:lang w:val="es-ES"/>
        </w:rPr>
        <w:t>tramitadas</w:t>
      </w:r>
      <w:r w:rsidRPr="00716C42">
        <w:rPr>
          <w:lang w:val="es-ES"/>
        </w:rPr>
        <w:t xml:space="preserve"> por </w:t>
      </w:r>
      <w:r>
        <w:rPr>
          <w:lang w:val="es-ES"/>
        </w:rPr>
        <w:t>el CS, los cuales</w:t>
      </w:r>
      <w:r w:rsidRPr="00716C42">
        <w:rPr>
          <w:lang w:val="es-ES"/>
        </w:rPr>
        <w:t xml:space="preserve"> </w:t>
      </w:r>
      <w:r>
        <w:rPr>
          <w:lang w:val="es-ES"/>
        </w:rPr>
        <w:t>Telnor</w:t>
      </w:r>
      <w:r w:rsidRPr="00716C42">
        <w:rPr>
          <w:lang w:val="es-ES"/>
        </w:rPr>
        <w:t xml:space="preserve"> deberá </w:t>
      </w:r>
      <w:r>
        <w:rPr>
          <w:lang w:val="es-ES"/>
        </w:rPr>
        <w:t>identificar explícitamente.</w:t>
      </w:r>
    </w:p>
    <w:p w:rsidR="007C4016" w:rsidRPr="004F02B9" w:rsidRDefault="007C4016" w:rsidP="007C4016">
      <w:pPr>
        <w:pStyle w:val="CondicionesFinales"/>
        <w:spacing w:before="240" w:after="0"/>
        <w:rPr>
          <w:b/>
        </w:rPr>
      </w:pPr>
      <w:bookmarkStart w:id="106" w:name="_Toc398890455"/>
      <w:bookmarkStart w:id="107" w:name="_Toc400610145"/>
      <w:bookmarkStart w:id="108" w:name="_Toc423018264"/>
      <w:bookmarkStart w:id="109" w:name="_Toc433915599"/>
      <w:bookmarkStart w:id="110" w:name="_Toc435555558"/>
      <w:bookmarkStart w:id="111" w:name="_Toc436229712"/>
      <w:bookmarkStart w:id="112" w:name="_Toc436230627"/>
      <w:bookmarkStart w:id="113" w:name="_Toc436230721"/>
      <w:r w:rsidRPr="004F02B9">
        <w:rPr>
          <w:b/>
        </w:rPr>
        <w:t>Resultados de</w:t>
      </w:r>
      <w:r>
        <w:rPr>
          <w:b/>
        </w:rPr>
        <w:t xml:space="preserve"> </w:t>
      </w:r>
      <w:r w:rsidRPr="004F02B9">
        <w:rPr>
          <w:b/>
        </w:rPr>
        <w:t>l</w:t>
      </w:r>
      <w:r>
        <w:rPr>
          <w:b/>
        </w:rPr>
        <w:t>a</w:t>
      </w:r>
      <w:r w:rsidRPr="004F02B9">
        <w:rPr>
          <w:b/>
        </w:rPr>
        <w:t xml:space="preserve"> </w:t>
      </w:r>
      <w:r>
        <w:rPr>
          <w:b/>
        </w:rPr>
        <w:t>Visita Técnica</w:t>
      </w:r>
    </w:p>
    <w:p w:rsidR="007C4016" w:rsidRPr="00716C42" w:rsidRDefault="007C4016" w:rsidP="007C4016">
      <w:pPr>
        <w:pStyle w:val="CondicionesFinales"/>
        <w:spacing w:before="240" w:after="0"/>
      </w:pPr>
      <w:r w:rsidRPr="00716C42">
        <w:lastRenderedPageBreak/>
        <w:t xml:space="preserve">Con base en la Normativa Técnica los resultados que puede arrojar </w:t>
      </w:r>
      <w:r>
        <w:t>la Visita Técnica</w:t>
      </w:r>
      <w:r w:rsidRPr="00716C42">
        <w:t xml:space="preserve"> son:</w:t>
      </w:r>
    </w:p>
    <w:p w:rsidR="007C4016" w:rsidRPr="00716C42" w:rsidRDefault="007C4016" w:rsidP="007C4016">
      <w:pPr>
        <w:pStyle w:val="CondicionesFinales"/>
        <w:numPr>
          <w:ilvl w:val="0"/>
          <w:numId w:val="167"/>
        </w:numPr>
        <w:spacing w:before="240" w:after="0"/>
      </w:pPr>
      <w:r w:rsidRPr="00716C42">
        <w:t xml:space="preserve">Es </w:t>
      </w:r>
      <w:r>
        <w:t>viable</w:t>
      </w:r>
      <w:r w:rsidRPr="00716C42">
        <w:t xml:space="preserve"> la prestación del Servicio de Acceso y Uso Compartido de Infraestructura Pasiva.</w:t>
      </w:r>
    </w:p>
    <w:p w:rsidR="007C4016" w:rsidRPr="00716C42" w:rsidRDefault="007C4016" w:rsidP="007C4016">
      <w:pPr>
        <w:pStyle w:val="CondicionesFinales"/>
        <w:numPr>
          <w:ilvl w:val="0"/>
          <w:numId w:val="167"/>
        </w:numPr>
        <w:spacing w:after="0"/>
      </w:pPr>
      <w:r w:rsidRPr="00716C42">
        <w:t xml:space="preserve">Es </w:t>
      </w:r>
      <w:r>
        <w:t>viable</w:t>
      </w:r>
      <w:r w:rsidRPr="00716C42">
        <w:t xml:space="preserve"> la prestación del Servicio de Acceso y Uso Compartido de Infraestructura Pasiva, pero se requiere primero realizar algún trabajo especial para la ad</w:t>
      </w:r>
      <w:r>
        <w:t>ecuación de la infraestructura.</w:t>
      </w:r>
    </w:p>
    <w:p w:rsidR="007C4016" w:rsidRPr="00716C42" w:rsidRDefault="007C4016" w:rsidP="007C4016">
      <w:pPr>
        <w:pStyle w:val="CondicionesFinales"/>
        <w:numPr>
          <w:ilvl w:val="0"/>
          <w:numId w:val="167"/>
        </w:numPr>
        <w:spacing w:after="0"/>
      </w:pPr>
      <w:r w:rsidRPr="00716C42">
        <w:t>No</w:t>
      </w:r>
      <w:r>
        <w:t xml:space="preserve"> es</w:t>
      </w:r>
      <w:r w:rsidRPr="00716C42">
        <w:t xml:space="preserve"> </w:t>
      </w:r>
      <w:r>
        <w:t>viable</w:t>
      </w:r>
      <w:r w:rsidRPr="00716C42">
        <w:t xml:space="preserve"> la prestación del Servicio de Acceso y Uso Compartido de Infraestructura Pasiva, por lo que se podrá hacer uso de una ruta alterna para el servicio.</w:t>
      </w:r>
    </w:p>
    <w:p w:rsidR="007C4016" w:rsidRDefault="007C4016" w:rsidP="007C4016">
      <w:pPr>
        <w:pStyle w:val="CondicionesFinales"/>
        <w:numPr>
          <w:ilvl w:val="0"/>
          <w:numId w:val="167"/>
        </w:numPr>
        <w:spacing w:after="0"/>
      </w:pPr>
      <w:r w:rsidRPr="00716C42">
        <w:t xml:space="preserve">No es </w:t>
      </w:r>
      <w:r>
        <w:t>viable</w:t>
      </w:r>
      <w:r w:rsidRPr="00716C42">
        <w:t xml:space="preserve"> la prestación del Servicio de Acceso y Uso Compartido de Infraestructura Pasiva, por lo que se podrá hacer uso de un canal óptico</w:t>
      </w:r>
      <w:r>
        <w:t xml:space="preserve"> o fibra obscura</w:t>
      </w:r>
      <w:r w:rsidRPr="00716C42">
        <w:t>.</w:t>
      </w:r>
    </w:p>
    <w:p w:rsidR="007C4016" w:rsidRDefault="007C4016" w:rsidP="007C4016">
      <w:pPr>
        <w:pStyle w:val="CondicionesFinales"/>
        <w:spacing w:before="240" w:after="0"/>
      </w:pPr>
      <w:r w:rsidRPr="00716C42">
        <w:t xml:space="preserve">En el anteproyecto, el CS deberá presentar las características de los equipos, cables o elementos de red que instalará en la infraestructura pasiva de </w:t>
      </w:r>
      <w:r>
        <w:t>Telnor</w:t>
      </w:r>
      <w:r w:rsidRPr="00716C42">
        <w:t>, así como la infraestructura propia que desea instalar.</w:t>
      </w:r>
    </w:p>
    <w:p w:rsidR="007C4016" w:rsidRPr="008D1194" w:rsidRDefault="007C4016" w:rsidP="007C4016">
      <w:pPr>
        <w:pStyle w:val="CondicionesFinales"/>
        <w:spacing w:before="240" w:after="0"/>
        <w:rPr>
          <w:b/>
        </w:rPr>
      </w:pPr>
      <w:r w:rsidRPr="008D1194">
        <w:rPr>
          <w:b/>
        </w:rPr>
        <w:t>6.2 Análisis de Factibilidad</w:t>
      </w:r>
      <w:bookmarkEnd w:id="106"/>
      <w:bookmarkEnd w:id="107"/>
      <w:bookmarkEnd w:id="108"/>
      <w:bookmarkEnd w:id="109"/>
      <w:bookmarkEnd w:id="110"/>
      <w:bookmarkEnd w:id="111"/>
      <w:bookmarkEnd w:id="112"/>
      <w:bookmarkEnd w:id="113"/>
    </w:p>
    <w:p w:rsidR="007C4016" w:rsidRPr="00716C42" w:rsidRDefault="007C4016" w:rsidP="007C4016">
      <w:pPr>
        <w:pStyle w:val="CondicionesFinales"/>
        <w:spacing w:before="240" w:after="0"/>
        <w:rPr>
          <w:lang w:val="es-ES"/>
        </w:rPr>
      </w:pPr>
      <w:r w:rsidRPr="00716C42">
        <w:rPr>
          <w:lang w:val="es-ES"/>
        </w:rPr>
        <w:t xml:space="preserve">El Análisis de Factibilidad consiste en el </w:t>
      </w:r>
      <w:r w:rsidRPr="00716C42">
        <w:t xml:space="preserve">análisis de los elementos de Infraestructura Pasiva para autorizar el anteproyecto del CS cuando cumpla con la normatividad, </w:t>
      </w:r>
      <w:r w:rsidRPr="00E61B6E">
        <w:t>previamente</w:t>
      </w:r>
      <w:r w:rsidRPr="00716C42">
        <w:t xml:space="preserve"> a la instalación de sus elementos en la Infraestructura Pasiva</w:t>
      </w:r>
      <w:r w:rsidRPr="00716C42">
        <w:rPr>
          <w:lang w:val="es-ES"/>
        </w:rPr>
        <w:t xml:space="preserve">, clasificándose en los siguientes tipos: </w:t>
      </w:r>
    </w:p>
    <w:p w:rsidR="007C4016" w:rsidRPr="00716C42" w:rsidRDefault="007C4016" w:rsidP="007C4016">
      <w:pPr>
        <w:pStyle w:val="CondicionesFinales"/>
        <w:numPr>
          <w:ilvl w:val="0"/>
          <w:numId w:val="166"/>
        </w:numPr>
        <w:spacing w:before="240" w:after="0"/>
        <w:rPr>
          <w:lang w:val="es-ES"/>
        </w:rPr>
      </w:pPr>
      <w:bookmarkStart w:id="114" w:name="_Toc433915600"/>
      <w:r w:rsidRPr="00716C42">
        <w:rPr>
          <w:lang w:val="es-ES"/>
        </w:rPr>
        <w:t>Para la compartición de postes y</w:t>
      </w:r>
      <w:bookmarkStart w:id="115" w:name="_Toc433915601"/>
      <w:bookmarkEnd w:id="114"/>
      <w:r w:rsidRPr="00716C42">
        <w:rPr>
          <w:lang w:val="es-ES"/>
        </w:rPr>
        <w:t xml:space="preserve"> la compartición de pozos, ductos y canalizaciones;</w:t>
      </w:r>
      <w:bookmarkEnd w:id="115"/>
    </w:p>
    <w:p w:rsidR="007C4016" w:rsidRPr="00716C42" w:rsidRDefault="007C4016" w:rsidP="007C4016">
      <w:pPr>
        <w:pStyle w:val="CondicionesFinales"/>
        <w:numPr>
          <w:ilvl w:val="0"/>
          <w:numId w:val="166"/>
        </w:numPr>
        <w:spacing w:after="0"/>
        <w:rPr>
          <w:lang w:val="es-ES"/>
        </w:rPr>
      </w:pPr>
      <w:bookmarkStart w:id="116" w:name="_Toc433915602"/>
      <w:r w:rsidRPr="00716C42">
        <w:rPr>
          <w:lang w:val="es-ES"/>
        </w:rPr>
        <w:t>Para la compartición de torres;</w:t>
      </w:r>
      <w:bookmarkEnd w:id="116"/>
    </w:p>
    <w:p w:rsidR="007C4016" w:rsidRPr="00716C42" w:rsidRDefault="007C4016" w:rsidP="007C4016">
      <w:pPr>
        <w:pStyle w:val="CondicionesFinales"/>
        <w:numPr>
          <w:ilvl w:val="0"/>
          <w:numId w:val="166"/>
        </w:numPr>
        <w:spacing w:after="0"/>
        <w:rPr>
          <w:lang w:val="es-ES"/>
        </w:rPr>
      </w:pPr>
      <w:bookmarkStart w:id="117" w:name="_Toc433915603"/>
      <w:r w:rsidRPr="00716C42">
        <w:rPr>
          <w:lang w:val="es-ES"/>
        </w:rPr>
        <w:t>Para espacios físicos asociados al uso compartido de Torres</w:t>
      </w:r>
      <w:bookmarkEnd w:id="117"/>
    </w:p>
    <w:p w:rsidR="007C4016" w:rsidRPr="00716C42" w:rsidRDefault="007C4016" w:rsidP="007C4016">
      <w:pPr>
        <w:pStyle w:val="CondicionesFinales"/>
        <w:numPr>
          <w:ilvl w:val="0"/>
          <w:numId w:val="166"/>
        </w:numPr>
        <w:spacing w:after="0"/>
        <w:rPr>
          <w:lang w:val="es-ES"/>
        </w:rPr>
      </w:pPr>
      <w:bookmarkStart w:id="118" w:name="_Toc433915604"/>
      <w:r w:rsidRPr="00716C42">
        <w:rPr>
          <w:lang w:val="es-ES"/>
        </w:rPr>
        <w:t>Para la construcción o adaptación en sitios, predios y espacios físicos;</w:t>
      </w:r>
      <w:bookmarkEnd w:id="118"/>
    </w:p>
    <w:p w:rsidR="007C4016" w:rsidRPr="00716C42" w:rsidRDefault="007C4016" w:rsidP="007C4016">
      <w:pPr>
        <w:pStyle w:val="CondicionesFinales"/>
        <w:numPr>
          <w:ilvl w:val="0"/>
          <w:numId w:val="166"/>
        </w:numPr>
        <w:spacing w:after="0"/>
        <w:rPr>
          <w:lang w:val="es-ES"/>
        </w:rPr>
      </w:pPr>
      <w:bookmarkStart w:id="119" w:name="_Toc433915605"/>
      <w:r w:rsidRPr="00716C42">
        <w:rPr>
          <w:lang w:val="es-ES"/>
        </w:rPr>
        <w:t>Para instalar/adaptar infraestructura de fuerza;</w:t>
      </w:r>
      <w:bookmarkEnd w:id="119"/>
    </w:p>
    <w:p w:rsidR="007C4016" w:rsidRPr="00716C42" w:rsidRDefault="007C4016" w:rsidP="007C4016">
      <w:pPr>
        <w:pStyle w:val="CondicionesFinales"/>
        <w:numPr>
          <w:ilvl w:val="0"/>
          <w:numId w:val="166"/>
        </w:numPr>
        <w:spacing w:after="0"/>
        <w:rPr>
          <w:lang w:val="es-ES"/>
        </w:rPr>
      </w:pPr>
      <w:bookmarkStart w:id="120" w:name="_Toc433915606"/>
      <w:r w:rsidRPr="00716C42">
        <w:rPr>
          <w:lang w:val="es-ES"/>
        </w:rPr>
        <w:t>Para la renta de espacios físicos;</w:t>
      </w:r>
      <w:bookmarkEnd w:id="120"/>
      <w:r w:rsidRPr="00716C42">
        <w:rPr>
          <w:lang w:val="es-ES"/>
        </w:rPr>
        <w:t xml:space="preserve"> y,</w:t>
      </w:r>
    </w:p>
    <w:p w:rsidR="007C4016" w:rsidRPr="00716C42" w:rsidRDefault="007C4016" w:rsidP="007C4016">
      <w:pPr>
        <w:pStyle w:val="CondicionesFinales"/>
        <w:numPr>
          <w:ilvl w:val="0"/>
          <w:numId w:val="166"/>
        </w:numPr>
        <w:spacing w:after="0"/>
        <w:rPr>
          <w:lang w:val="es-ES"/>
        </w:rPr>
      </w:pPr>
      <w:bookmarkStart w:id="121" w:name="_Toc433915607"/>
      <w:r w:rsidRPr="00716C42">
        <w:rPr>
          <w:lang w:val="es-ES"/>
        </w:rPr>
        <w:t xml:space="preserve">Para la renta de predios; </w:t>
      </w:r>
      <w:bookmarkEnd w:id="121"/>
    </w:p>
    <w:p w:rsidR="007C4016" w:rsidRDefault="007C4016" w:rsidP="007C4016">
      <w:pPr>
        <w:pStyle w:val="CondicionesFinales"/>
        <w:spacing w:before="240" w:after="0"/>
      </w:pPr>
      <w:bookmarkStart w:id="122" w:name="_Toc388972157"/>
      <w:r w:rsidRPr="00C8457F">
        <w:lastRenderedPageBreak/>
        <w:t xml:space="preserve">El CS podrá interactuar con </w:t>
      </w:r>
      <w:r>
        <w:t>Telnor</w:t>
      </w:r>
      <w:r w:rsidRPr="00C8457F">
        <w:t xml:space="preserve"> para consensuar los resultados del análisis de factibilidad.</w:t>
      </w:r>
    </w:p>
    <w:p w:rsidR="007C4016" w:rsidRPr="00716C42" w:rsidRDefault="007C4016" w:rsidP="007C4016">
      <w:pPr>
        <w:pStyle w:val="CondicionesFinales"/>
        <w:spacing w:before="240" w:after="0"/>
      </w:pPr>
      <w:r w:rsidRPr="00716C42">
        <w:t>El cobro por el concepto del Análisis de Factibilidad dependerá del tipo de análisis solicitado. En el caso de Torres, el análisis incluye tanto la revisión del anteproyecto del CS como del análisis de frecuencias para no interferencias que presente el CS y la capacidad de carga de la Torre.</w:t>
      </w:r>
    </w:p>
    <w:bookmarkEnd w:id="122"/>
    <w:p w:rsidR="007C4016" w:rsidRPr="008D1194" w:rsidRDefault="007C4016" w:rsidP="007C4016">
      <w:pPr>
        <w:pStyle w:val="CondicionesFinales"/>
        <w:spacing w:before="240" w:after="0"/>
        <w:rPr>
          <w:b/>
        </w:rPr>
      </w:pPr>
      <w:r w:rsidRPr="008D1194">
        <w:rPr>
          <w:b/>
        </w:rPr>
        <w:t>6.3</w:t>
      </w:r>
      <w:bookmarkStart w:id="123" w:name="_Toc398890456"/>
      <w:bookmarkStart w:id="124" w:name="_Toc400610146"/>
      <w:bookmarkStart w:id="125" w:name="_Toc423018265"/>
      <w:bookmarkStart w:id="126" w:name="_Toc433915609"/>
      <w:bookmarkStart w:id="127" w:name="_Toc435555559"/>
      <w:bookmarkStart w:id="128" w:name="_Toc436229713"/>
      <w:bookmarkStart w:id="129" w:name="_Toc436230628"/>
      <w:bookmarkStart w:id="130" w:name="_Toc436230722"/>
      <w:r>
        <w:rPr>
          <w:b/>
        </w:rPr>
        <w:t xml:space="preserve"> Verificación</w:t>
      </w:r>
      <w:r w:rsidRPr="008D1194">
        <w:rPr>
          <w:b/>
        </w:rPr>
        <w:t>.</w:t>
      </w:r>
      <w:bookmarkEnd w:id="123"/>
      <w:bookmarkEnd w:id="124"/>
      <w:bookmarkEnd w:id="125"/>
      <w:bookmarkEnd w:id="126"/>
      <w:bookmarkEnd w:id="127"/>
      <w:bookmarkEnd w:id="128"/>
      <w:bookmarkEnd w:id="129"/>
      <w:bookmarkEnd w:id="130"/>
    </w:p>
    <w:p w:rsidR="007C4016" w:rsidRPr="00716C42" w:rsidRDefault="007C4016" w:rsidP="007C4016">
      <w:pPr>
        <w:pStyle w:val="CondicionesFinales"/>
        <w:spacing w:before="240" w:after="0"/>
      </w:pPr>
      <w:r w:rsidRPr="00716C42">
        <w:t xml:space="preserve">La </w:t>
      </w:r>
      <w:r>
        <w:t>verificación</w:t>
      </w:r>
      <w:r w:rsidRPr="00716C42">
        <w:t xml:space="preserve"> servirá para revisar que los trabajos realizados por el CS cumplan las características aprobadas en el anteproyecto. </w:t>
      </w:r>
    </w:p>
    <w:p w:rsidR="007C4016" w:rsidRPr="00716C42" w:rsidRDefault="007C4016" w:rsidP="007C4016">
      <w:pPr>
        <w:pStyle w:val="CondicionesFinales"/>
        <w:spacing w:before="240" w:after="0"/>
      </w:pPr>
      <w:r w:rsidRPr="00716C42">
        <w:t>El CS deberá realizar su anteproyecto y la instalación de su red o de infraestructura de acuerdo con las características y normatividad técnica establecida en el Anexo 2 de la Oferta.</w:t>
      </w:r>
    </w:p>
    <w:p w:rsidR="007C4016" w:rsidRPr="00716C42" w:rsidRDefault="007C4016" w:rsidP="007C4016">
      <w:pPr>
        <w:pStyle w:val="CondicionesFinales"/>
        <w:spacing w:before="240" w:after="0"/>
      </w:pPr>
      <w:r>
        <w:t>En esta actividad s</w:t>
      </w:r>
      <w:r w:rsidRPr="00716C42">
        <w:t xml:space="preserve">e verificará que se está trabajando en la zona solicitada por el CS y se validará que el constructor del CS </w:t>
      </w:r>
      <w:r>
        <w:t>haya cumplido</w:t>
      </w:r>
      <w:r w:rsidRPr="00716C42">
        <w:t xml:space="preserve"> con los términos y condiciones </w:t>
      </w:r>
      <w:r w:rsidRPr="007554C8">
        <w:t>autorizadas</w:t>
      </w:r>
      <w:r w:rsidRPr="00716C42">
        <w:t xml:space="preserve"> en el </w:t>
      </w:r>
      <w:r w:rsidRPr="007554C8">
        <w:t>Anteproyecto</w:t>
      </w:r>
      <w:r w:rsidRPr="00716C42">
        <w:t>.</w:t>
      </w:r>
    </w:p>
    <w:p w:rsidR="007C4016" w:rsidRPr="00716C42" w:rsidRDefault="007C4016" w:rsidP="007C4016">
      <w:pPr>
        <w:pStyle w:val="CondicionesFinales"/>
        <w:spacing w:before="240" w:after="0"/>
      </w:pPr>
      <w:r w:rsidRPr="00716C42">
        <w:t>En caso de que se detecte alguna desviación respecto a lo aceptado en el An</w:t>
      </w:r>
      <w:r>
        <w:t>teproyecto</w:t>
      </w:r>
      <w:r w:rsidRPr="00716C42">
        <w:t xml:space="preserve">, se le </w:t>
      </w:r>
      <w:r>
        <w:t>notificará</w:t>
      </w:r>
      <w:r w:rsidRPr="00716C42">
        <w:t xml:space="preserve"> al CS para que realice las correcciones y reparaciones correspondientes.  </w:t>
      </w:r>
    </w:p>
    <w:p w:rsidR="007C4016" w:rsidRPr="00716C42" w:rsidRDefault="007C4016" w:rsidP="007C4016">
      <w:pPr>
        <w:pStyle w:val="CondicionesFinales"/>
        <w:spacing w:before="240" w:after="0"/>
        <w:rPr>
          <w:lang w:val="es-ES"/>
        </w:rPr>
      </w:pPr>
      <w:r>
        <w:rPr>
          <w:lang w:val="es-ES"/>
        </w:rPr>
        <w:t>Telnor</w:t>
      </w:r>
      <w:r w:rsidRPr="00E61B6E">
        <w:rPr>
          <w:lang w:val="es-ES"/>
        </w:rPr>
        <w:t xml:space="preserve"> será responsable de tramitar todos los permisos</w:t>
      </w:r>
      <w:r w:rsidRPr="00E61B6E">
        <w:t>, licencias, autorizaciones y cualquier otro requisito o procedimiento federal, estatal o municipal necesarios, relacionados con el acceso o uso de su infraestructura</w:t>
      </w:r>
      <w:r w:rsidRPr="00E61B6E">
        <w:rPr>
          <w:lang w:val="es-ES"/>
        </w:rPr>
        <w:t xml:space="preserve"> ante la autoridad competente, exceptuando aquellos trámites que de manera estricta deban ser tramitadas por el CS y los cuales </w:t>
      </w:r>
      <w:r>
        <w:rPr>
          <w:lang w:val="es-ES"/>
        </w:rPr>
        <w:t>Telnor</w:t>
      </w:r>
      <w:r w:rsidRPr="00E61B6E">
        <w:rPr>
          <w:lang w:val="es-ES"/>
        </w:rPr>
        <w:t xml:space="preserve"> deberá identificar explícitamente.</w:t>
      </w:r>
    </w:p>
    <w:p w:rsidR="007C4016" w:rsidRPr="004F02B9" w:rsidRDefault="007C4016" w:rsidP="007C4016">
      <w:pPr>
        <w:pStyle w:val="CondicionesFinales"/>
        <w:spacing w:before="240" w:after="0"/>
        <w:rPr>
          <w:b/>
          <w:lang w:val="es-ES"/>
        </w:rPr>
      </w:pPr>
      <w:bookmarkStart w:id="131" w:name="_Toc433915610"/>
      <w:r w:rsidRPr="004F02B9">
        <w:rPr>
          <w:b/>
          <w:lang w:val="es-ES"/>
        </w:rPr>
        <w:t>Entrega del Formato de Compartición de Infraestructura:</w:t>
      </w:r>
      <w:bookmarkEnd w:id="131"/>
      <w:r w:rsidRPr="004F02B9">
        <w:rPr>
          <w:b/>
          <w:lang w:val="es-ES"/>
        </w:rPr>
        <w:t xml:space="preserve"> </w:t>
      </w:r>
    </w:p>
    <w:p w:rsidR="007C4016" w:rsidRPr="00716C42" w:rsidRDefault="007C4016" w:rsidP="007C4016">
      <w:pPr>
        <w:pStyle w:val="CondicionesFinales"/>
        <w:spacing w:before="240" w:after="0"/>
      </w:pPr>
      <w:r w:rsidRPr="004F02B9">
        <w:t xml:space="preserve">Cuando el CS finalice el despliegue se entregará el Formato </w:t>
      </w:r>
      <w:r w:rsidRPr="004F02B9">
        <w:rPr>
          <w:lang w:val="es-ES"/>
        </w:rPr>
        <w:t>de Compartición de Infraestructura (Anexo 1)</w:t>
      </w:r>
      <w:r w:rsidRPr="004F02B9">
        <w:t xml:space="preserve">, para lo cual se cuantificarán y validarán los elementos de infraestructura </w:t>
      </w:r>
      <w:r w:rsidRPr="004F02B9">
        <w:lastRenderedPageBreak/>
        <w:t xml:space="preserve">compartida, será necesario que el CS firme el </w:t>
      </w:r>
      <w:r>
        <w:t xml:space="preserve">Formato de </w:t>
      </w:r>
      <w:r w:rsidRPr="004F02B9">
        <w:t>Acuerdo de Compartición de Infraestructura.</w:t>
      </w:r>
      <w:r w:rsidRPr="00716C42">
        <w:t xml:space="preserve"> </w:t>
      </w:r>
    </w:p>
    <w:p w:rsidR="007C4016" w:rsidRPr="004F02B9" w:rsidRDefault="007C4016" w:rsidP="007C4016">
      <w:pPr>
        <w:pStyle w:val="CondicionesFinales"/>
        <w:spacing w:before="240" w:after="0"/>
        <w:rPr>
          <w:b/>
        </w:rPr>
      </w:pPr>
      <w:r w:rsidRPr="004F02B9">
        <w:rPr>
          <w:b/>
        </w:rPr>
        <w:t xml:space="preserve">Alcance del Servicio de </w:t>
      </w:r>
      <w:r>
        <w:rPr>
          <w:b/>
        </w:rPr>
        <w:t>Verificación</w:t>
      </w:r>
      <w:r w:rsidRPr="004F02B9">
        <w:rPr>
          <w:b/>
        </w:rPr>
        <w:t>:</w:t>
      </w:r>
    </w:p>
    <w:p w:rsidR="007C4016" w:rsidRPr="00716C42" w:rsidRDefault="007C4016" w:rsidP="007C4016">
      <w:pPr>
        <w:pStyle w:val="CondicionesFinales"/>
        <w:spacing w:before="240" w:after="0"/>
        <w:rPr>
          <w:lang w:val="es-ES"/>
        </w:rPr>
      </w:pPr>
      <w:r w:rsidRPr="00716C42">
        <w:t xml:space="preserve">Para el cobro de la </w:t>
      </w:r>
      <w:r>
        <w:t>Verificación</w:t>
      </w:r>
      <w:r w:rsidRPr="00716C42">
        <w:t xml:space="preserve"> se considerarán periodos completos de </w:t>
      </w:r>
      <w:r>
        <w:t>ocho</w:t>
      </w:r>
      <w:r w:rsidRPr="00716C42">
        <w:t xml:space="preserve"> horas, </w:t>
      </w:r>
      <w:r w:rsidRPr="00716C42">
        <w:rPr>
          <w:lang w:val="es-ES"/>
        </w:rPr>
        <w:t xml:space="preserve">realizándose el cálculo por el total de los periodos necesarios para llevar a cabo la </w:t>
      </w:r>
      <w:r>
        <w:rPr>
          <w:lang w:val="es-ES"/>
        </w:rPr>
        <w:t>Verificación</w:t>
      </w:r>
      <w:r w:rsidRPr="00716C42">
        <w:rPr>
          <w:lang w:val="es-ES"/>
        </w:rPr>
        <w:t xml:space="preserve"> del proyecto considerando los gastos mínimos operacionales en los cuales incurre </w:t>
      </w:r>
      <w:r>
        <w:rPr>
          <w:lang w:val="es-ES"/>
        </w:rPr>
        <w:t>Telnor</w:t>
      </w:r>
      <w:r w:rsidRPr="00716C42">
        <w:rPr>
          <w:lang w:val="es-ES"/>
        </w:rPr>
        <w:t xml:space="preserve"> plenamente identificados y acordados entre las partes. Por día se consideran máximo </w:t>
      </w:r>
      <w:r>
        <w:rPr>
          <w:lang w:val="es-ES"/>
        </w:rPr>
        <w:t>tres</w:t>
      </w:r>
      <w:r w:rsidRPr="00716C42">
        <w:rPr>
          <w:lang w:val="es-ES"/>
        </w:rPr>
        <w:t xml:space="preserve"> periodos.</w:t>
      </w:r>
    </w:p>
    <w:p w:rsidR="007C4016" w:rsidRDefault="007C4016" w:rsidP="007C4016">
      <w:pPr>
        <w:pStyle w:val="CondicionesFinales"/>
        <w:spacing w:before="240" w:after="0"/>
        <w:rPr>
          <w:lang w:val="es-ES"/>
        </w:rPr>
      </w:pPr>
      <w:r w:rsidRPr="00716C42">
        <w:rPr>
          <w:lang w:val="es-ES"/>
        </w:rPr>
        <w:t xml:space="preserve">En el momento de la programación de la </w:t>
      </w:r>
      <w:r>
        <w:rPr>
          <w:lang w:val="es-ES"/>
        </w:rPr>
        <w:t>Verificación</w:t>
      </w:r>
      <w:r w:rsidRPr="00716C42">
        <w:rPr>
          <w:lang w:val="es-ES"/>
        </w:rPr>
        <w:t xml:space="preserve"> se convendrá con el CS los horarios específicos. Los cobros por periodos adicionales están establecidos en el Anexo A del Convenio.</w:t>
      </w:r>
    </w:p>
    <w:p w:rsidR="007C4016" w:rsidRPr="00716C42" w:rsidRDefault="007C4016" w:rsidP="007C4016">
      <w:pPr>
        <w:pStyle w:val="CondicionesFinales"/>
        <w:spacing w:before="240" w:after="0"/>
        <w:rPr>
          <w:b/>
        </w:rPr>
      </w:pPr>
      <w:r>
        <w:t xml:space="preserve">El primer servicio de verificación no tendrá cargo alguno. De requerirse verificaciones adicionales por inconsistencias </w:t>
      </w:r>
      <w:r w:rsidRPr="00A975E3">
        <w:t xml:space="preserve">en la instalación realizada por el CS con el </w:t>
      </w:r>
      <w:r>
        <w:t>A</w:t>
      </w:r>
      <w:r w:rsidRPr="00A975E3">
        <w:t>nteproyecto, estas deberán ser cobradas al CS de acuerdo al costo de las mismas.</w:t>
      </w:r>
    </w:p>
    <w:p w:rsidR="007C4016" w:rsidRPr="004F02B9" w:rsidRDefault="007C4016" w:rsidP="007C4016">
      <w:pPr>
        <w:pStyle w:val="CondicionesFinales"/>
        <w:spacing w:before="240" w:after="0"/>
        <w:rPr>
          <w:b/>
          <w:lang w:val="es-ES"/>
        </w:rPr>
      </w:pPr>
      <w:bookmarkStart w:id="132" w:name="_Toc433915611"/>
      <w:r w:rsidRPr="004F02B9">
        <w:rPr>
          <w:b/>
          <w:lang w:val="es-ES"/>
        </w:rPr>
        <w:t xml:space="preserve">Dimensionamiento para los esquemas de </w:t>
      </w:r>
      <w:r>
        <w:rPr>
          <w:b/>
          <w:lang w:val="es-ES"/>
        </w:rPr>
        <w:t>Verificación</w:t>
      </w:r>
      <w:r w:rsidRPr="004F02B9">
        <w:rPr>
          <w:b/>
          <w:lang w:val="es-ES"/>
        </w:rPr>
        <w:t>:</w:t>
      </w:r>
      <w:bookmarkEnd w:id="132"/>
    </w:p>
    <w:p w:rsidR="007C4016" w:rsidRPr="00716C42" w:rsidRDefault="007C4016" w:rsidP="007C4016">
      <w:pPr>
        <w:pStyle w:val="CondicionesFinales"/>
        <w:spacing w:before="240" w:after="0"/>
      </w:pPr>
      <w:r w:rsidRPr="00716C42">
        <w:t xml:space="preserve">Para la </w:t>
      </w:r>
      <w:r>
        <w:t>Verificación</w:t>
      </w:r>
      <w:r w:rsidRPr="00716C42">
        <w:t xml:space="preserve"> de redes aéreas:</w:t>
      </w:r>
    </w:p>
    <w:p w:rsidR="007C4016" w:rsidRPr="00716C42" w:rsidRDefault="007C4016" w:rsidP="007C4016">
      <w:pPr>
        <w:pStyle w:val="CondicionesFinales"/>
        <w:numPr>
          <w:ilvl w:val="0"/>
          <w:numId w:val="168"/>
        </w:numPr>
        <w:spacing w:before="240" w:after="0"/>
      </w:pPr>
      <w:r w:rsidRPr="00716C42">
        <w:t>Un servicio cubre entre 1 y hasta 4 cuadrillas del CS por periodo.</w:t>
      </w:r>
    </w:p>
    <w:p w:rsidR="007C4016" w:rsidRPr="00716C42" w:rsidRDefault="007C4016" w:rsidP="007C4016">
      <w:pPr>
        <w:pStyle w:val="CondicionesFinales"/>
        <w:spacing w:before="240" w:after="0"/>
      </w:pPr>
      <w:r w:rsidRPr="00716C42">
        <w:t xml:space="preserve">Para la </w:t>
      </w:r>
      <w:r>
        <w:t>Verificación</w:t>
      </w:r>
      <w:r w:rsidRPr="00716C42">
        <w:t xml:space="preserve"> de redes subterráneas:</w:t>
      </w:r>
    </w:p>
    <w:p w:rsidR="007C4016" w:rsidRPr="00716C42" w:rsidRDefault="007C4016" w:rsidP="007C4016">
      <w:pPr>
        <w:pStyle w:val="CondicionesFinales"/>
        <w:numPr>
          <w:ilvl w:val="0"/>
          <w:numId w:val="168"/>
        </w:numPr>
        <w:spacing w:before="240" w:after="0"/>
      </w:pPr>
      <w:r w:rsidRPr="00716C42">
        <w:t>Un servicio cubre máximo 1 cuadrilla del CS por periodo.</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7.</w:t>
      </w:r>
      <w:r w:rsidRPr="006A7AA7">
        <w:rPr>
          <w:rFonts w:ascii="ITC Avant Garde" w:hAnsi="ITC Avant Garde"/>
          <w:b/>
          <w:sz w:val="22"/>
          <w:szCs w:val="22"/>
        </w:rPr>
        <w:tab/>
        <w:t xml:space="preserve"> TRABAJOS ESPECIALES ASOCIADOS A LOS SERVICIOS DE ACCESO Y USO COMPARTIDO DE LA INFRAESTRUCTURA PASIVA</w:t>
      </w:r>
    </w:p>
    <w:p w:rsidR="007C4016" w:rsidRPr="00BF4959" w:rsidRDefault="007C4016" w:rsidP="007C4016">
      <w:pPr>
        <w:pStyle w:val="IFTnormal"/>
        <w:spacing w:before="240" w:after="0"/>
        <w:rPr>
          <w:b/>
        </w:rPr>
      </w:pPr>
      <w:r w:rsidRPr="00BF4959">
        <w:rPr>
          <w:b/>
        </w:rPr>
        <w:t>Consideraciones del Instituto</w:t>
      </w:r>
    </w:p>
    <w:p w:rsidR="007C4016" w:rsidRDefault="007C4016" w:rsidP="007C4016">
      <w:pPr>
        <w:pStyle w:val="IFTnormal"/>
        <w:spacing w:before="240" w:after="0"/>
        <w:rPr>
          <w:b/>
          <w:lang w:val="es-ES"/>
        </w:rPr>
      </w:pPr>
      <w:r w:rsidRPr="002802DB">
        <w:rPr>
          <w:b/>
          <w:lang w:val="es-ES"/>
        </w:rPr>
        <w:t xml:space="preserve">CASO 1. </w:t>
      </w:r>
      <w:r w:rsidRPr="002802DB">
        <w:rPr>
          <w:b/>
        </w:rPr>
        <w:t>Cambios que recuperan la redacción de la Oferta de Referencia Vigente</w:t>
      </w:r>
      <w:r w:rsidRPr="002802DB">
        <w:rPr>
          <w:b/>
          <w:lang w:val="es-ES"/>
        </w:rPr>
        <w:t>.</w:t>
      </w:r>
    </w:p>
    <w:p w:rsidR="007C4016" w:rsidRDefault="007C4016" w:rsidP="007C4016">
      <w:pPr>
        <w:pStyle w:val="IFTnormal"/>
        <w:spacing w:before="240" w:after="0"/>
      </w:pPr>
      <w:r>
        <w:lastRenderedPageBreak/>
        <w:t>E</w:t>
      </w:r>
      <w:r w:rsidRPr="00591336">
        <w:t xml:space="preserve">l AEP </w:t>
      </w:r>
      <w:r>
        <w:t xml:space="preserve">eliminó en su propuesta </w:t>
      </w:r>
      <w:r w:rsidRPr="00591336">
        <w:t>el Trabajo Especial "Solución correctiva para la continuidad de los servicios" de su lista de trabajos especiales</w:t>
      </w:r>
      <w:r>
        <w:t>, así como uno de los escenarios de trabajo con relación a la protección de la infraestructura y a la seguridad de la sociedad</w:t>
      </w:r>
      <w:r w:rsidRPr="00591336">
        <w:t xml:space="preserve">. </w:t>
      </w:r>
    </w:p>
    <w:p w:rsidR="007C4016" w:rsidRPr="00A62431" w:rsidRDefault="007C4016" w:rsidP="007C4016">
      <w:pPr>
        <w:pStyle w:val="IFTnormal"/>
        <w:spacing w:before="240" w:after="0"/>
      </w:pPr>
      <w:r w:rsidRPr="00A62431">
        <w:t>A continuación se cita el texto de la Propuesta de Oferta de Referencia en comento:</w:t>
      </w:r>
    </w:p>
    <w:p w:rsidR="007C4016" w:rsidRPr="00C60A2C" w:rsidRDefault="007C4016" w:rsidP="007C4016">
      <w:pPr>
        <w:pStyle w:val="Citaift0"/>
        <w:spacing w:before="240" w:after="0"/>
        <w:rPr>
          <w:rFonts w:eastAsiaTheme="minorHAnsi"/>
          <w:b/>
          <w:lang w:val="es-ES"/>
        </w:rPr>
      </w:pPr>
      <w:r>
        <w:rPr>
          <w:rFonts w:eastAsiaTheme="minorHAnsi"/>
          <w:b/>
          <w:lang w:val="es-ES"/>
        </w:rPr>
        <w:t xml:space="preserve"> “</w:t>
      </w:r>
      <w:r w:rsidRPr="00C60A2C">
        <w:rPr>
          <w:rFonts w:eastAsiaTheme="minorHAnsi"/>
          <w:b/>
          <w:lang w:val="es-ES"/>
        </w:rPr>
        <w:t>7. Trabajos Especiales asociados a los servicios de Acceso y Uso Compartido de la Infraestructura Pasiva</w:t>
      </w:r>
    </w:p>
    <w:p w:rsidR="007C4016" w:rsidRPr="00C60A2C" w:rsidRDefault="007C4016" w:rsidP="007C4016">
      <w:pPr>
        <w:pStyle w:val="Citaift0"/>
        <w:spacing w:before="240" w:after="0"/>
        <w:rPr>
          <w:rFonts w:eastAsiaTheme="minorHAnsi"/>
          <w:lang w:val="es-ES"/>
        </w:rPr>
      </w:pPr>
      <w:r w:rsidRPr="00C60A2C">
        <w:rPr>
          <w:rFonts w:eastAsiaTheme="minorHAnsi"/>
          <w:lang w:val="es-ES"/>
        </w:rPr>
        <w:t>En esta sección se tratan las características, términos y condiciones de los Trabajos Especiales asociados a los servicios de Compartición de Infraestructura Pasiva.</w:t>
      </w:r>
    </w:p>
    <w:p w:rsidR="007C4016" w:rsidRPr="00C60A2C" w:rsidRDefault="007C4016" w:rsidP="007C4016">
      <w:pPr>
        <w:pStyle w:val="Citaift0"/>
        <w:spacing w:before="240" w:after="0"/>
        <w:rPr>
          <w:rFonts w:eastAsiaTheme="minorHAnsi"/>
          <w:lang w:val="es-ES"/>
        </w:rPr>
      </w:pPr>
      <w:r w:rsidRPr="00C60A2C">
        <w:rPr>
          <w:rFonts w:eastAsiaTheme="minorHAnsi"/>
          <w:lang w:val="es-ES"/>
        </w:rPr>
        <w:t>Se identifican tres escenarios de trabajos que se ponen a disposición del CS para que éste pueda hacer uso de los servicios de la Oferta, los cuales son los siguientes:</w:t>
      </w:r>
    </w:p>
    <w:p w:rsidR="007C4016" w:rsidRPr="00C60A2C" w:rsidRDefault="007C4016" w:rsidP="007C4016">
      <w:pPr>
        <w:pStyle w:val="Citaift0"/>
        <w:numPr>
          <w:ilvl w:val="0"/>
          <w:numId w:val="52"/>
        </w:numPr>
        <w:spacing w:before="240" w:after="0"/>
        <w:rPr>
          <w:rFonts w:eastAsiaTheme="minorHAnsi"/>
          <w:lang w:val="es-ES"/>
        </w:rPr>
      </w:pPr>
      <w:r w:rsidRPr="00C60A2C">
        <w:rPr>
          <w:rFonts w:eastAsiaTheme="minorHAnsi"/>
          <w:lang w:val="es-ES"/>
        </w:rPr>
        <w:t xml:space="preserve">Cuando se realice un nuevo despliegue de Obra Civil. </w:t>
      </w:r>
    </w:p>
    <w:p w:rsidR="007C4016" w:rsidRPr="00C60A2C" w:rsidRDefault="007C4016" w:rsidP="007C4016">
      <w:pPr>
        <w:pStyle w:val="Citaift0"/>
        <w:numPr>
          <w:ilvl w:val="0"/>
          <w:numId w:val="52"/>
        </w:numPr>
        <w:spacing w:before="240" w:after="0"/>
        <w:rPr>
          <w:rFonts w:eastAsiaTheme="minorHAnsi"/>
          <w:lang w:val="es-ES"/>
        </w:rPr>
      </w:pPr>
      <w:r w:rsidRPr="00C60A2C">
        <w:rPr>
          <w:rFonts w:eastAsiaTheme="minorHAnsi"/>
          <w:lang w:val="es-ES"/>
        </w:rPr>
        <w:t>Cuando exista una situación de saturación de las infraestructuras compartidas que sea causada por la existencia de ocupación ineficiente de espacio.</w:t>
      </w:r>
    </w:p>
    <w:p w:rsidR="007C4016" w:rsidRPr="00C60A2C" w:rsidRDefault="007C4016" w:rsidP="007C4016">
      <w:pPr>
        <w:pStyle w:val="Citaift0"/>
        <w:numPr>
          <w:ilvl w:val="0"/>
          <w:numId w:val="52"/>
        </w:numPr>
        <w:spacing w:before="240" w:after="0"/>
        <w:rPr>
          <w:rFonts w:eastAsiaTheme="minorHAnsi"/>
          <w:lang w:val="es-ES"/>
        </w:rPr>
      </w:pPr>
      <w:r w:rsidRPr="00C60A2C">
        <w:rPr>
          <w:rFonts w:eastAsiaTheme="minorHAnsi"/>
          <w:lang w:val="es-ES"/>
        </w:rPr>
        <w:t xml:space="preserve">Cuando sea necesario realizar adecuaciones en la infraestructura para que el CS pueda llevar a cabo la compartición efectiva de la misma. </w:t>
      </w:r>
    </w:p>
    <w:p w:rsidR="007C4016" w:rsidRPr="00C60A2C" w:rsidRDefault="007C4016" w:rsidP="007C4016">
      <w:pPr>
        <w:pStyle w:val="Citaift0"/>
        <w:spacing w:before="240" w:after="0"/>
        <w:rPr>
          <w:rFonts w:eastAsiaTheme="minorHAnsi"/>
          <w:lang w:val="es-ES"/>
        </w:rPr>
      </w:pPr>
      <w:r w:rsidRPr="00C60A2C">
        <w:rPr>
          <w:rFonts w:eastAsiaTheme="minorHAnsi"/>
          <w:lang w:val="es-ES"/>
        </w:rPr>
        <w:t>Por lo anterior el CS podrá solicitar los trabajos especiales de:</w:t>
      </w:r>
    </w:p>
    <w:p w:rsidR="007C4016" w:rsidRPr="00C60A2C" w:rsidRDefault="007C4016" w:rsidP="007C4016">
      <w:pPr>
        <w:pStyle w:val="Citaift0"/>
        <w:numPr>
          <w:ilvl w:val="0"/>
          <w:numId w:val="53"/>
        </w:numPr>
        <w:spacing w:before="240" w:after="0"/>
        <w:rPr>
          <w:rFonts w:eastAsiaTheme="minorHAnsi"/>
          <w:lang w:val="es-ES"/>
        </w:rPr>
      </w:pPr>
      <w:r w:rsidRPr="00C60A2C">
        <w:rPr>
          <w:rFonts w:eastAsiaTheme="minorHAnsi"/>
          <w:lang w:val="es-ES"/>
        </w:rPr>
        <w:t xml:space="preserve">Instalación de infraestructura del CS en despliegue de nueva Obra Civil. </w:t>
      </w:r>
    </w:p>
    <w:p w:rsidR="007C4016" w:rsidRPr="00C60A2C" w:rsidRDefault="007C4016" w:rsidP="007C4016">
      <w:pPr>
        <w:pStyle w:val="Citaift0"/>
        <w:numPr>
          <w:ilvl w:val="0"/>
          <w:numId w:val="53"/>
        </w:numPr>
        <w:spacing w:before="240" w:after="0"/>
        <w:rPr>
          <w:rFonts w:eastAsiaTheme="minorHAnsi"/>
          <w:lang w:val="es-ES"/>
        </w:rPr>
      </w:pPr>
      <w:r w:rsidRPr="00C60A2C">
        <w:rPr>
          <w:rFonts w:eastAsiaTheme="minorHAnsi"/>
          <w:lang w:val="es-ES"/>
        </w:rPr>
        <w:t>Recuperación de Espacio.</w:t>
      </w:r>
    </w:p>
    <w:p w:rsidR="007C4016" w:rsidRPr="00C60A2C" w:rsidRDefault="007C4016" w:rsidP="007C4016">
      <w:pPr>
        <w:pStyle w:val="Citaift0"/>
        <w:numPr>
          <w:ilvl w:val="0"/>
          <w:numId w:val="53"/>
        </w:numPr>
        <w:spacing w:before="240" w:after="0"/>
        <w:rPr>
          <w:rFonts w:eastAsiaTheme="minorHAnsi"/>
          <w:lang w:val="es-ES"/>
        </w:rPr>
      </w:pPr>
      <w:r w:rsidRPr="00C60A2C">
        <w:rPr>
          <w:rFonts w:eastAsiaTheme="minorHAnsi"/>
          <w:lang w:val="es-ES"/>
        </w:rPr>
        <w:t>Acondicionamiento de la Infraestructura.</w:t>
      </w:r>
      <w:r>
        <w:rPr>
          <w:rFonts w:eastAsiaTheme="minorHAnsi"/>
          <w:lang w:val="es-ES"/>
        </w:rPr>
        <w:t>”</w:t>
      </w:r>
    </w:p>
    <w:p w:rsidR="007C4016" w:rsidRPr="00A92D80" w:rsidRDefault="007C4016" w:rsidP="007C4016">
      <w:pPr>
        <w:pStyle w:val="IFTnormal"/>
        <w:spacing w:before="240" w:after="0"/>
      </w:pPr>
      <w:r w:rsidRPr="00D94943">
        <w:t xml:space="preserve">El Instituto considera que </w:t>
      </w:r>
      <w:r>
        <w:t>lo</w:t>
      </w:r>
      <w:r w:rsidRPr="00D94943">
        <w:t xml:space="preserve"> presentado por el AEP en el </w:t>
      </w:r>
      <w:r>
        <w:t>numeral “</w:t>
      </w:r>
      <w:r w:rsidRPr="00A92D80">
        <w:t>7.</w:t>
      </w:r>
      <w:r>
        <w:t xml:space="preserve"> </w:t>
      </w:r>
      <w:r w:rsidRPr="00A92D80">
        <w:tab/>
        <w:t>TRABAJOS ESPECIALES ASOCIADOS A LOS SERVICIOS DE ACCESO Y USO COMPARTIDO DE LA INFRAESTRUCTURA PASIVA</w:t>
      </w:r>
      <w:r>
        <w:t xml:space="preserve">”, </w:t>
      </w:r>
      <w:r w:rsidRPr="00D94943">
        <w:t>no son acepta</w:t>
      </w:r>
      <w:r>
        <w:t xml:space="preserve">bles ya que no cumple con la multicitada Medida CUADRAGÉSIMA PRIMERA de las </w:t>
      </w:r>
      <w:r w:rsidRPr="00566821">
        <w:rPr>
          <w:lang w:val="es-ES"/>
        </w:rPr>
        <w:t>Medidas Fijas</w:t>
      </w:r>
      <w:r>
        <w:rPr>
          <w:lang w:val="es-ES"/>
        </w:rPr>
        <w:t xml:space="preserve">, la cual establece que la </w:t>
      </w:r>
      <w:r w:rsidRPr="00C55966">
        <w:rPr>
          <w:lang w:val="es-ES"/>
        </w:rPr>
        <w:t>Propuesta de Oferta de Referencia</w:t>
      </w:r>
      <w:r>
        <w:rPr>
          <w:lang w:val="es-ES"/>
        </w:rPr>
        <w:t xml:space="preserve"> deberá contener condiciones equivalentes a la vigente, así como no contener condiciones que inhiban la competencia o se establezcan requisitos innecesarios.</w:t>
      </w:r>
    </w:p>
    <w:p w:rsidR="007C4016" w:rsidRDefault="007C4016" w:rsidP="007C4016">
      <w:pPr>
        <w:pStyle w:val="IFTnormal"/>
        <w:spacing w:before="240" w:after="0"/>
      </w:pPr>
      <w:r>
        <w:t>Aunado a lo anterior, a</w:t>
      </w:r>
      <w:r w:rsidRPr="00591336">
        <w:t xml:space="preserve"> juicio del Instituto y en </w:t>
      </w:r>
      <w:r>
        <w:t xml:space="preserve">consistencia con </w:t>
      </w:r>
      <w:r w:rsidRPr="00591336">
        <w:t>la Medida VIGÉSI</w:t>
      </w:r>
      <w:r>
        <w:t xml:space="preserve">MA QUINTA, </w:t>
      </w:r>
      <w:r w:rsidRPr="007D7F4C">
        <w:t xml:space="preserve">es obligación del </w:t>
      </w:r>
      <w:r>
        <w:t xml:space="preserve">Agente Económico Preponderante </w:t>
      </w:r>
      <w:r w:rsidRPr="007D7F4C">
        <w:t xml:space="preserve">ofrecer </w:t>
      </w:r>
      <w:r>
        <w:t>una solución</w:t>
      </w:r>
      <w:r w:rsidRPr="007D7F4C">
        <w:t xml:space="preserve"> </w:t>
      </w:r>
      <w:r w:rsidRPr="007D7F4C">
        <w:lastRenderedPageBreak/>
        <w:t xml:space="preserve">correctiva que permita la continuidad en la prestación de los </w:t>
      </w:r>
      <w:r>
        <w:t>servicios de telecomunicaciones, así como salvaguardar la infraestructura compartida, como se cita a continuación:</w:t>
      </w:r>
    </w:p>
    <w:p w:rsidR="007C4016" w:rsidRDefault="007C4016" w:rsidP="007C4016">
      <w:pPr>
        <w:pStyle w:val="Citaift0"/>
        <w:spacing w:before="240" w:after="0"/>
      </w:pPr>
      <w:r w:rsidRPr="00BF6D44">
        <w:rPr>
          <w:b/>
        </w:rPr>
        <w:t>“VIGÉSIMA QUINTA.-</w:t>
      </w:r>
      <w:r>
        <w:t xml:space="preserve"> El Agente Económico Preponderante y el Concesionario Solicitante se obligan a salvaguardar la infraestructura compartida. </w:t>
      </w:r>
    </w:p>
    <w:p w:rsidR="007C4016" w:rsidRDefault="007C4016" w:rsidP="007C4016">
      <w:pPr>
        <w:pStyle w:val="Citaift0"/>
        <w:spacing w:before="240" w:after="0"/>
      </w:pPr>
      <w:r>
        <w:t>En caso de que cualquier elemento instalado en la infraestructura compartida esté causando daño o perjuicio a la misma o ponga en peligro la seguridad de las personas o de la propiedad, dicho elemento será retirado.</w:t>
      </w:r>
    </w:p>
    <w:p w:rsidR="007C4016" w:rsidRDefault="007C4016" w:rsidP="007C4016">
      <w:pPr>
        <w:pStyle w:val="Citaift0"/>
        <w:spacing w:before="240" w:after="0"/>
      </w:pPr>
      <w:r>
        <w:t>En caso de que exista un desacuerdo al respecto, se procederá de conformidad con la Medida Sexagésima.</w:t>
      </w:r>
    </w:p>
    <w:p w:rsidR="007C4016" w:rsidRPr="00276220" w:rsidRDefault="007C4016" w:rsidP="007C4016">
      <w:pPr>
        <w:pStyle w:val="Citaift0"/>
        <w:spacing w:before="240" w:after="0"/>
        <w:rPr>
          <w:b/>
          <w:u w:val="single"/>
        </w:rPr>
      </w:pPr>
      <w:r w:rsidRPr="00276220">
        <w:rPr>
          <w:b/>
          <w:u w:val="single"/>
        </w:rPr>
        <w:t>En tanto el Instituto se pronuncia al respecto, es obligación del Agente Económico Preponderante, así como derecho del Concesionario Solicitante, ofrecer de manera expedita una solución alternativa correctiva que permita la continuidad en la prestación de los servicios de telecomunicaciones.”</w:t>
      </w:r>
    </w:p>
    <w:p w:rsidR="007C4016" w:rsidRDefault="007C4016" w:rsidP="007C4016">
      <w:pPr>
        <w:pStyle w:val="Citaift0"/>
        <w:spacing w:before="240" w:after="0"/>
        <w:jc w:val="right"/>
      </w:pPr>
      <w:r>
        <w:t>(Énfasis añadido)</w:t>
      </w:r>
    </w:p>
    <w:p w:rsidR="007C4016" w:rsidRDefault="007C4016" w:rsidP="007C4016">
      <w:pPr>
        <w:pStyle w:val="IFTnormal"/>
        <w:spacing w:before="240" w:after="0"/>
      </w:pPr>
      <w:r>
        <w:t xml:space="preserve">Adicionalmente, en la </w:t>
      </w:r>
      <w:r w:rsidRPr="00A62431">
        <w:t>Consulta Pública</w:t>
      </w:r>
      <w:r>
        <w:t xml:space="preserve"> los OC opinaron que el AEP eliminó </w:t>
      </w:r>
      <w:r w:rsidRPr="00BF6D44">
        <w:t>servicios necesarios para el funcionamiento adecuado de los servicios de telecomunicaciones prestados a</w:t>
      </w:r>
      <w:r>
        <w:t xml:space="preserve"> usuarios finales y solicitaron</w:t>
      </w:r>
      <w:r w:rsidRPr="00BF6D44">
        <w:t xml:space="preserve"> mantener la redacc</w:t>
      </w:r>
      <w:r>
        <w:t>ión de la Oferta de Referencia V</w:t>
      </w:r>
      <w:r w:rsidRPr="00BF6D44">
        <w:t>igente en esta sección.</w:t>
      </w:r>
      <w:r>
        <w:t xml:space="preserve"> De manera particular hacen referencia a la eliminación de </w:t>
      </w:r>
      <w:r w:rsidRPr="00A62431">
        <w:t xml:space="preserve">uno de los escenarios de trabajo que el AEP pone a disposición del concesionario </w:t>
      </w:r>
      <w:r w:rsidRPr="00A62431">
        <w:rPr>
          <w:i/>
        </w:rPr>
        <w:t>"Cuando cualquier elemento instalado en la infraestructura compartida esté causando daño o perjuicio a la misma o ponga en peligro la seguridad de las personas o de la propiedad”</w:t>
      </w:r>
      <w:r w:rsidRPr="00A62431">
        <w:t>, así como del Trabajo Especial "</w:t>
      </w:r>
      <w:r w:rsidRPr="00A62431">
        <w:rPr>
          <w:i/>
        </w:rPr>
        <w:t>Solución correctiva para la continuidad de los servicios</w:t>
      </w:r>
      <w:r w:rsidRPr="00A62431">
        <w:t xml:space="preserve">". </w:t>
      </w:r>
    </w:p>
    <w:p w:rsidR="007C4016" w:rsidRDefault="007C4016" w:rsidP="007C4016">
      <w:pPr>
        <w:pStyle w:val="IFTnormal"/>
        <w:spacing w:before="240" w:after="0"/>
      </w:pPr>
      <w:r>
        <w:t xml:space="preserve">De lo anterior, el Instituto considera que debido a que el AEP ha eliminado temas requeridos y considerados de gran relevancia en las </w:t>
      </w:r>
      <w:r w:rsidRPr="00566821">
        <w:t>Medidas Fijas</w:t>
      </w:r>
      <w:r w:rsidRPr="007C7845">
        <w:t xml:space="preserve"> </w:t>
      </w:r>
      <w:r>
        <w:t xml:space="preserve">para los concesionarios, se debe mantener el texto de la </w:t>
      </w:r>
      <w:r w:rsidRPr="00C55966">
        <w:t>Oferta de Referencia Vigente.</w:t>
      </w:r>
    </w:p>
    <w:p w:rsidR="007C4016" w:rsidRDefault="007C4016" w:rsidP="007C4016">
      <w:pPr>
        <w:pStyle w:val="IFTnormal"/>
        <w:spacing w:before="240" w:after="0"/>
      </w:pPr>
      <w:r>
        <w:t>En este sentido, dado que dichos textos eliminados por el AEP recaen en diferentes apartados de la oferta, se realizarán las adecuaciones pertinentes en sus Secciones. Por consiguiente en el caso del Trabajo E</w:t>
      </w:r>
      <w:r w:rsidRPr="00993188">
        <w:t>special de "Solución correctiva para la continuidad de los servicios"</w:t>
      </w:r>
      <w:r>
        <w:t>, se mantendrán sus respectivas estructuras.</w:t>
      </w:r>
    </w:p>
    <w:p w:rsidR="007C4016" w:rsidRPr="002802DB"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pPr>
      <w:r>
        <w:lastRenderedPageBreak/>
        <w:t>Por otro lado y en complemento a la redacción del Trabajo E</w:t>
      </w:r>
      <w:r w:rsidRPr="00993188">
        <w:t>special de "Solución correctiva para la continuidad de los servicios"</w:t>
      </w:r>
      <w:r>
        <w:t xml:space="preserve">, el Instituto ratifica que en consistencia con los procedimientos de los servicios especiales de la presente sección </w:t>
      </w:r>
      <w:r>
        <w:rPr>
          <w:bCs w:val="0"/>
          <w:lang w:val="es-ES"/>
        </w:rPr>
        <w:t xml:space="preserve">y con los procedimientos de los servicios de obra civil, se reintegra el procedimiento a la sección mencionada con el formato desarrollado anteriormente y al resguardo de </w:t>
      </w:r>
      <w:r>
        <w:rPr>
          <w:lang w:val="es-ES"/>
        </w:rPr>
        <w:t>la M</w:t>
      </w:r>
      <w:r w:rsidRPr="000C28DD">
        <w:rPr>
          <w:lang w:val="es-ES"/>
        </w:rPr>
        <w:t xml:space="preserve">edida </w:t>
      </w:r>
      <w:r w:rsidRPr="000C28DD">
        <w:rPr>
          <w:b/>
        </w:rPr>
        <w:t>CUADRAGÉSIMA PRIMERA</w:t>
      </w:r>
      <w:r>
        <w:t>, que hace mención a la Oferta propuesta por el AEP deberá reflejar al menos condiciones equivalentes al de la Oferta de Referencia Vigente y deberá contar con procedimientos y plazos para la solicitud y entrega de los servicios, así como, no podrá establecer condiciones que inhiban la competencia en la prestación de los servicios.</w:t>
      </w:r>
    </w:p>
    <w:p w:rsidR="007C4016" w:rsidRPr="00F5093B" w:rsidRDefault="007C4016" w:rsidP="007C4016">
      <w:pPr>
        <w:pStyle w:val="IFTnormal"/>
        <w:spacing w:before="240" w:after="0"/>
      </w:pPr>
      <w:r>
        <w:t>Por consiguiente en el caso del Trabajo E</w:t>
      </w:r>
      <w:r w:rsidRPr="00993188">
        <w:t>special de "Solución correctiva para la continuidad de los servicios"</w:t>
      </w:r>
      <w:r>
        <w:t>, el Instituto considera recuperar el “</w:t>
      </w:r>
      <w:r w:rsidRPr="00987D06">
        <w:tab/>
        <w:t xml:space="preserve">Procedimiento de Solución Correctiva para </w:t>
      </w:r>
      <w:r>
        <w:t xml:space="preserve">la Continuidad de los Servicios” con sus respectivas adecuaciones, de acuerdo a los </w:t>
      </w:r>
      <w:r w:rsidRPr="00DB1FFD">
        <w:t>procedimientos de los servicios especiales de la presente sección</w:t>
      </w:r>
      <w:r>
        <w:t>.</w:t>
      </w:r>
    </w:p>
    <w:p w:rsidR="007C4016" w:rsidRPr="004C0456" w:rsidRDefault="007C4016" w:rsidP="007C4016">
      <w:pPr>
        <w:pStyle w:val="IFTnormal"/>
        <w:spacing w:before="240" w:after="0"/>
        <w:rPr>
          <w:b/>
        </w:rPr>
      </w:pPr>
      <w:r>
        <w:rPr>
          <w:b/>
        </w:rPr>
        <w:t>Redacción Definitiva</w:t>
      </w:r>
    </w:p>
    <w:p w:rsidR="007C4016" w:rsidRDefault="007C4016" w:rsidP="007C4016">
      <w:pPr>
        <w:suppressAutoHyphens w:val="0"/>
        <w:spacing w:before="240" w:after="0" w:line="276" w:lineRule="auto"/>
        <w:ind w:right="51"/>
        <w:contextualSpacing w:val="0"/>
        <w:rPr>
          <w:rFonts w:ascii="ITC Avant Garde" w:eastAsia="MS Mincho" w:hAnsi="ITC Avant Garde" w:cs="Calibri"/>
          <w:bCs/>
          <w:sz w:val="22"/>
          <w:szCs w:val="22"/>
          <w:lang w:val="es-ES" w:eastAsia="en-US"/>
        </w:rPr>
      </w:pPr>
      <w:r w:rsidRPr="000B50E0">
        <w:rPr>
          <w:rFonts w:ascii="ITC Avant Garde" w:eastAsia="MS Mincho" w:hAnsi="ITC Avant Garde" w:cs="Calibri"/>
          <w:bCs/>
          <w:sz w:val="22"/>
          <w:szCs w:val="22"/>
          <w:lang w:val="es-ES" w:eastAsia="en-US"/>
        </w:rPr>
        <w:t xml:space="preserve">Derivado del análisis </w:t>
      </w:r>
      <w:r w:rsidRPr="001B08D6">
        <w:rPr>
          <w:rFonts w:ascii="ITC Avant Garde" w:eastAsia="MS Mincho" w:hAnsi="ITC Avant Garde" w:cs="Calibri"/>
          <w:bCs/>
          <w:sz w:val="22"/>
          <w:szCs w:val="22"/>
          <w:lang w:val="es-ES" w:eastAsia="en-US"/>
        </w:rPr>
        <w:t>realizado</w:t>
      </w:r>
      <w:r w:rsidRPr="000B50E0">
        <w:rPr>
          <w:rFonts w:ascii="ITC Avant Garde" w:eastAsia="MS Mincho" w:hAnsi="ITC Avant Garde" w:cs="Calibri"/>
          <w:bCs/>
          <w:sz w:val="22"/>
          <w:szCs w:val="22"/>
          <w:lang w:val="es-ES" w:eastAsia="en-US"/>
        </w:rPr>
        <w:t>, el Instituto resue</w:t>
      </w:r>
      <w:r>
        <w:rPr>
          <w:rFonts w:ascii="ITC Avant Garde" w:eastAsia="MS Mincho" w:hAnsi="ITC Avant Garde" w:cs="Calibri"/>
          <w:bCs/>
          <w:sz w:val="22"/>
          <w:szCs w:val="22"/>
          <w:lang w:val="es-ES" w:eastAsia="en-US"/>
        </w:rPr>
        <w:t xml:space="preserve">lve </w:t>
      </w:r>
      <w:r w:rsidRPr="000B50E0">
        <w:rPr>
          <w:rFonts w:ascii="ITC Avant Garde" w:eastAsia="MS Mincho" w:hAnsi="ITC Avant Garde" w:cs="Calibri"/>
          <w:bCs/>
          <w:sz w:val="22"/>
          <w:szCs w:val="22"/>
          <w:lang w:val="es-ES" w:eastAsia="en-US"/>
        </w:rPr>
        <w:t xml:space="preserve">que el </w:t>
      </w:r>
      <w:r>
        <w:rPr>
          <w:rFonts w:ascii="ITC Avant Garde" w:eastAsia="MS Mincho" w:hAnsi="ITC Avant Garde" w:cs="Calibri"/>
          <w:bCs/>
          <w:sz w:val="22"/>
          <w:szCs w:val="22"/>
          <w:lang w:val="es-ES" w:eastAsia="en-US"/>
        </w:rPr>
        <w:t>numeral</w:t>
      </w:r>
      <w:r w:rsidRPr="000B50E0">
        <w:rPr>
          <w:rFonts w:ascii="ITC Avant Garde" w:eastAsia="MS Mincho" w:hAnsi="ITC Avant Garde" w:cs="Calibri"/>
          <w:bCs/>
          <w:sz w:val="22"/>
          <w:szCs w:val="22"/>
          <w:lang w:val="es-ES" w:eastAsia="en-US"/>
        </w:rPr>
        <w:t xml:space="preserve"> “</w:t>
      </w:r>
      <w:r w:rsidRPr="004C64FB">
        <w:rPr>
          <w:rFonts w:ascii="ITC Avant Garde" w:eastAsia="MS Mincho" w:hAnsi="ITC Avant Garde" w:cs="Calibri"/>
          <w:bCs/>
          <w:sz w:val="22"/>
          <w:szCs w:val="22"/>
          <w:lang w:val="es-ES" w:eastAsia="en-US"/>
        </w:rPr>
        <w:t>7.</w:t>
      </w:r>
      <w:r w:rsidRPr="004C64FB">
        <w:rPr>
          <w:rFonts w:ascii="ITC Avant Garde" w:eastAsia="MS Mincho" w:hAnsi="ITC Avant Garde" w:cs="Calibri"/>
          <w:bCs/>
          <w:sz w:val="22"/>
          <w:szCs w:val="22"/>
          <w:lang w:val="es-ES" w:eastAsia="en-US"/>
        </w:rPr>
        <w:tab/>
        <w:t>TRABAJOS ESPECIALES ASOCIADOS A LOS SERVICIOS DE ACCESO Y USO COMPARTIDO DE LA INFRAESTRUCTURA PASIVA</w:t>
      </w:r>
      <w:r w:rsidRPr="000B50E0">
        <w:rPr>
          <w:rFonts w:ascii="ITC Avant Garde" w:eastAsia="MS Mincho" w:hAnsi="ITC Avant Garde" w:cs="Calibri"/>
          <w:bCs/>
          <w:sz w:val="22"/>
          <w:szCs w:val="22"/>
          <w:lang w:val="es-ES" w:eastAsia="en-US"/>
        </w:rPr>
        <w:t xml:space="preserve">” </w:t>
      </w:r>
      <w:r w:rsidRPr="001B08D6">
        <w:rPr>
          <w:rFonts w:ascii="ITC Avant Garde" w:eastAsia="MS Mincho" w:hAnsi="ITC Avant Garde" w:cs="Calibri"/>
          <w:bCs/>
          <w:sz w:val="22"/>
          <w:szCs w:val="22"/>
          <w:lang w:val="es-ES" w:eastAsia="en-US"/>
        </w:rPr>
        <w:t>deberá quedar de la siguiente manera:</w:t>
      </w:r>
    </w:p>
    <w:p w:rsidR="007C4016" w:rsidRPr="000923B4" w:rsidRDefault="007C4016" w:rsidP="007C4016">
      <w:pPr>
        <w:pStyle w:val="Citaift0"/>
        <w:spacing w:before="240" w:after="0"/>
        <w:rPr>
          <w:b/>
          <w:i w:val="0"/>
          <w:sz w:val="22"/>
          <w:szCs w:val="22"/>
        </w:rPr>
      </w:pPr>
      <w:r w:rsidRPr="000923B4">
        <w:rPr>
          <w:b/>
          <w:i w:val="0"/>
          <w:sz w:val="22"/>
          <w:szCs w:val="22"/>
        </w:rPr>
        <w:t>7.</w:t>
      </w:r>
      <w:r w:rsidRPr="000923B4">
        <w:rPr>
          <w:b/>
          <w:i w:val="0"/>
          <w:sz w:val="22"/>
          <w:szCs w:val="22"/>
        </w:rPr>
        <w:tab/>
        <w:t xml:space="preserve"> Trabajos Especiales asociados a los servicios de Acceso y Uso Compartido de la Infraestructura Pasiva</w:t>
      </w:r>
    </w:p>
    <w:p w:rsidR="007C4016" w:rsidRPr="000923B4" w:rsidRDefault="007C4016" w:rsidP="007C4016">
      <w:pPr>
        <w:pStyle w:val="Citaift0"/>
        <w:spacing w:before="240" w:after="0"/>
        <w:rPr>
          <w:i w:val="0"/>
          <w:sz w:val="22"/>
          <w:szCs w:val="22"/>
        </w:rPr>
      </w:pPr>
      <w:r w:rsidRPr="000923B4">
        <w:rPr>
          <w:i w:val="0"/>
          <w:sz w:val="22"/>
          <w:szCs w:val="22"/>
        </w:rPr>
        <w:t>En esta sección se tratan las características, términos y condiciones de los Trabajos Especiales asociados a los servicios de Compartición de Infraestructura Pasiva.</w:t>
      </w:r>
    </w:p>
    <w:p w:rsidR="007C4016" w:rsidRPr="000923B4" w:rsidRDefault="007C4016" w:rsidP="007C4016">
      <w:pPr>
        <w:pStyle w:val="Citaift0"/>
        <w:spacing w:before="240" w:after="0"/>
        <w:rPr>
          <w:i w:val="0"/>
          <w:sz w:val="22"/>
          <w:szCs w:val="22"/>
        </w:rPr>
      </w:pPr>
      <w:r w:rsidRPr="000923B4">
        <w:rPr>
          <w:i w:val="0"/>
          <w:sz w:val="22"/>
          <w:szCs w:val="22"/>
        </w:rPr>
        <w:t>Se identifican cuatro escenarios de trabajos que se ponen a disposición del CS para que éste pueda hacer uso de los servicios de la Oferta en los siguientes casos:</w:t>
      </w:r>
    </w:p>
    <w:p w:rsidR="007C4016" w:rsidRPr="000923B4" w:rsidRDefault="007C4016" w:rsidP="007C4016">
      <w:pPr>
        <w:pStyle w:val="Citaift0"/>
        <w:numPr>
          <w:ilvl w:val="0"/>
          <w:numId w:val="55"/>
        </w:numPr>
        <w:spacing w:before="240" w:after="0"/>
        <w:rPr>
          <w:i w:val="0"/>
          <w:sz w:val="22"/>
          <w:szCs w:val="22"/>
        </w:rPr>
      </w:pPr>
      <w:r w:rsidRPr="000923B4">
        <w:rPr>
          <w:i w:val="0"/>
          <w:sz w:val="22"/>
          <w:szCs w:val="22"/>
        </w:rPr>
        <w:t xml:space="preserve">Cuando se realice un nuevo despliegue de Obra Civil. </w:t>
      </w:r>
    </w:p>
    <w:p w:rsidR="007C4016" w:rsidRPr="000923B4" w:rsidRDefault="007C4016" w:rsidP="007C4016">
      <w:pPr>
        <w:pStyle w:val="Citaift0"/>
        <w:numPr>
          <w:ilvl w:val="0"/>
          <w:numId w:val="55"/>
        </w:numPr>
        <w:spacing w:before="240" w:after="0"/>
        <w:rPr>
          <w:i w:val="0"/>
          <w:sz w:val="22"/>
          <w:szCs w:val="22"/>
        </w:rPr>
      </w:pPr>
      <w:r w:rsidRPr="000923B4">
        <w:rPr>
          <w:i w:val="0"/>
          <w:sz w:val="22"/>
          <w:szCs w:val="22"/>
        </w:rPr>
        <w:t>Cuando exista una situación de saturación de las infraestructuras compartidas que sea causada por la existencia de ocupación ineficiente de espacio.</w:t>
      </w:r>
    </w:p>
    <w:p w:rsidR="007C4016" w:rsidRPr="000923B4" w:rsidRDefault="007C4016" w:rsidP="007C4016">
      <w:pPr>
        <w:pStyle w:val="Citaift0"/>
        <w:numPr>
          <w:ilvl w:val="0"/>
          <w:numId w:val="55"/>
        </w:numPr>
        <w:spacing w:before="240" w:after="0"/>
        <w:rPr>
          <w:i w:val="0"/>
          <w:sz w:val="22"/>
          <w:szCs w:val="22"/>
        </w:rPr>
      </w:pPr>
      <w:r w:rsidRPr="000923B4">
        <w:rPr>
          <w:i w:val="0"/>
          <w:sz w:val="22"/>
          <w:szCs w:val="22"/>
        </w:rPr>
        <w:lastRenderedPageBreak/>
        <w:t xml:space="preserve">Cuando sea necesario realizar adecuaciones en la infraestructura para que el CS pueda llevar a cabo la compartición efectiva de la misma. </w:t>
      </w:r>
    </w:p>
    <w:p w:rsidR="007C4016" w:rsidRPr="000923B4" w:rsidRDefault="007C4016" w:rsidP="007C4016">
      <w:pPr>
        <w:pStyle w:val="Citaift0"/>
        <w:numPr>
          <w:ilvl w:val="0"/>
          <w:numId w:val="55"/>
        </w:numPr>
        <w:spacing w:before="240" w:after="0"/>
        <w:rPr>
          <w:i w:val="0"/>
          <w:sz w:val="22"/>
          <w:szCs w:val="22"/>
        </w:rPr>
      </w:pPr>
      <w:r w:rsidRPr="000923B4">
        <w:rPr>
          <w:i w:val="0"/>
          <w:sz w:val="22"/>
          <w:szCs w:val="22"/>
        </w:rPr>
        <w:t>Cuando cualquier elemento instalado en la infraestructura compartida esté causando daño o perjuicio a la misma o ponga en peligro la seguridad de las personas o de la propiedad.</w:t>
      </w:r>
    </w:p>
    <w:p w:rsidR="007C4016" w:rsidRPr="000923B4" w:rsidRDefault="007C4016" w:rsidP="007C4016">
      <w:pPr>
        <w:pStyle w:val="Citaift0"/>
        <w:spacing w:before="240" w:after="0"/>
        <w:rPr>
          <w:i w:val="0"/>
          <w:sz w:val="22"/>
          <w:szCs w:val="22"/>
        </w:rPr>
      </w:pPr>
      <w:r w:rsidRPr="000923B4">
        <w:rPr>
          <w:i w:val="0"/>
          <w:sz w:val="22"/>
          <w:szCs w:val="22"/>
        </w:rPr>
        <w:t>Por lo anterior los CS podrán solicitar los trabajos especiales de:</w:t>
      </w:r>
    </w:p>
    <w:p w:rsidR="007C4016" w:rsidRPr="000923B4" w:rsidRDefault="007C4016" w:rsidP="007C4016">
      <w:pPr>
        <w:pStyle w:val="Citaift0"/>
        <w:numPr>
          <w:ilvl w:val="0"/>
          <w:numId w:val="56"/>
        </w:numPr>
        <w:spacing w:before="240" w:after="0"/>
        <w:rPr>
          <w:i w:val="0"/>
          <w:sz w:val="22"/>
          <w:szCs w:val="22"/>
        </w:rPr>
      </w:pPr>
      <w:r w:rsidRPr="000923B4">
        <w:rPr>
          <w:i w:val="0"/>
          <w:sz w:val="22"/>
          <w:szCs w:val="22"/>
        </w:rPr>
        <w:t xml:space="preserve">Instalación de infraestructura del CS en despliegue de nueva Obra Civil. </w:t>
      </w:r>
    </w:p>
    <w:p w:rsidR="007C4016" w:rsidRPr="000923B4" w:rsidRDefault="007C4016" w:rsidP="007C4016">
      <w:pPr>
        <w:pStyle w:val="Citaift0"/>
        <w:numPr>
          <w:ilvl w:val="0"/>
          <w:numId w:val="56"/>
        </w:numPr>
        <w:spacing w:before="240" w:after="0"/>
        <w:rPr>
          <w:i w:val="0"/>
          <w:sz w:val="22"/>
          <w:szCs w:val="22"/>
        </w:rPr>
      </w:pPr>
      <w:r w:rsidRPr="000923B4">
        <w:rPr>
          <w:i w:val="0"/>
          <w:sz w:val="22"/>
          <w:szCs w:val="22"/>
        </w:rPr>
        <w:t>Recuperación de Espacio.</w:t>
      </w:r>
    </w:p>
    <w:p w:rsidR="007C4016" w:rsidRPr="000923B4" w:rsidRDefault="007C4016" w:rsidP="007C4016">
      <w:pPr>
        <w:pStyle w:val="Citaift0"/>
        <w:numPr>
          <w:ilvl w:val="0"/>
          <w:numId w:val="56"/>
        </w:numPr>
        <w:spacing w:before="240" w:after="0"/>
        <w:rPr>
          <w:i w:val="0"/>
          <w:sz w:val="22"/>
          <w:szCs w:val="22"/>
        </w:rPr>
      </w:pPr>
      <w:r w:rsidRPr="000923B4">
        <w:rPr>
          <w:i w:val="0"/>
          <w:sz w:val="22"/>
          <w:szCs w:val="22"/>
        </w:rPr>
        <w:t>Acondicionamiento de la Infraestructura.</w:t>
      </w:r>
    </w:p>
    <w:p w:rsidR="007C4016" w:rsidRPr="000923B4" w:rsidRDefault="007C4016" w:rsidP="007C4016">
      <w:pPr>
        <w:pStyle w:val="Citaift0"/>
        <w:numPr>
          <w:ilvl w:val="0"/>
          <w:numId w:val="56"/>
        </w:numPr>
        <w:spacing w:before="240" w:after="0"/>
        <w:rPr>
          <w:i w:val="0"/>
          <w:sz w:val="22"/>
          <w:szCs w:val="22"/>
        </w:rPr>
      </w:pPr>
      <w:r w:rsidRPr="000923B4">
        <w:rPr>
          <w:i w:val="0"/>
          <w:sz w:val="22"/>
          <w:szCs w:val="22"/>
        </w:rPr>
        <w:t>Solución correctiva para la continuidad de los servicios.</w:t>
      </w:r>
    </w:p>
    <w:p w:rsidR="007C4016" w:rsidRDefault="007C4016" w:rsidP="007C4016">
      <w:pPr>
        <w:pStyle w:val="Citaift0"/>
        <w:spacing w:before="240" w:after="0"/>
        <w:rPr>
          <w:i w:val="0"/>
          <w:sz w:val="22"/>
          <w:szCs w:val="22"/>
        </w:rPr>
      </w:pPr>
      <w:r w:rsidRPr="000923B4">
        <w:rPr>
          <w:i w:val="0"/>
          <w:sz w:val="22"/>
          <w:szCs w:val="22"/>
        </w:rPr>
        <w:t>Los CS podrán promover ante el Instituto un desacuerdo sobre presupuestos por trabajos especiales en caso de no alcanzar acuerdo una vez agota</w:t>
      </w:r>
      <w:r>
        <w:rPr>
          <w:i w:val="0"/>
          <w:sz w:val="22"/>
          <w:szCs w:val="22"/>
        </w:rPr>
        <w:t>do el periodo de negociaciones.</w:t>
      </w:r>
    </w:p>
    <w:p w:rsidR="007C4016" w:rsidRDefault="007C4016" w:rsidP="007C4016">
      <w:pPr>
        <w:pStyle w:val="IFTnormal"/>
        <w:spacing w:before="240" w:after="0"/>
      </w:pPr>
      <w:r>
        <w:t xml:space="preserve">Asimismo, </w:t>
      </w:r>
      <w:r w:rsidRPr="00993188">
        <w:t>el Instituto resuelve que en el apartado “7.</w:t>
      </w:r>
      <w:r>
        <w:t xml:space="preserve"> </w:t>
      </w:r>
      <w:r>
        <w:tab/>
        <w:t xml:space="preserve">TRABAJOS </w:t>
      </w:r>
      <w:r w:rsidRPr="00993188">
        <w:t>ESPECIALES ASOCIADOS A LOS SERVICIOS DE ACCESO Y USO COMPARTIDO DE LA INFRAE</w:t>
      </w:r>
      <w:r>
        <w:t xml:space="preserve">STRUCTURA PASIVA” se integre la descripción de trabajo especial correspondiente a la </w:t>
      </w:r>
      <w:r w:rsidRPr="00993188">
        <w:t>"Solución correctiva para la continuidad de los servicios",</w:t>
      </w:r>
      <w:r>
        <w:t xml:space="preserve"> </w:t>
      </w:r>
      <w:r w:rsidRPr="00231D27">
        <w:t>de acuerdo a la Oferta de Referencia Vigente,</w:t>
      </w:r>
      <w:r>
        <w:t xml:space="preserve"> como se indica a continuación:</w:t>
      </w:r>
    </w:p>
    <w:p w:rsidR="007C4016" w:rsidRPr="00B22A30" w:rsidRDefault="007C4016" w:rsidP="007C4016">
      <w:pPr>
        <w:pStyle w:val="IFTnormal"/>
        <w:spacing w:before="240" w:after="0"/>
        <w:rPr>
          <w:b/>
        </w:rPr>
      </w:pPr>
      <w:r>
        <w:rPr>
          <w:b/>
        </w:rPr>
        <w:t>Redacción Definitiva</w:t>
      </w:r>
    </w:p>
    <w:p w:rsidR="007C4016" w:rsidRPr="00A34AE8" w:rsidRDefault="007C4016" w:rsidP="007C4016">
      <w:pPr>
        <w:pStyle w:val="Citaift0"/>
        <w:spacing w:before="240" w:after="0"/>
        <w:rPr>
          <w:b/>
          <w:i w:val="0"/>
          <w:sz w:val="22"/>
          <w:szCs w:val="22"/>
        </w:rPr>
      </w:pPr>
      <w:r w:rsidRPr="00A34AE8">
        <w:rPr>
          <w:b/>
          <w:i w:val="0"/>
          <w:sz w:val="22"/>
          <w:szCs w:val="22"/>
        </w:rPr>
        <w:t>7.4</w:t>
      </w:r>
      <w:r w:rsidRPr="00A34AE8">
        <w:rPr>
          <w:b/>
          <w:i w:val="0"/>
          <w:sz w:val="22"/>
          <w:szCs w:val="22"/>
        </w:rPr>
        <w:tab/>
        <w:t xml:space="preserve"> Solución Correctiva para la Continuidad de los Servicios</w:t>
      </w:r>
    </w:p>
    <w:p w:rsidR="007C4016" w:rsidRPr="00A34AE8" w:rsidRDefault="007C4016" w:rsidP="007C4016">
      <w:pPr>
        <w:pStyle w:val="Citaift0"/>
        <w:spacing w:before="240" w:after="0"/>
        <w:rPr>
          <w:i w:val="0"/>
          <w:sz w:val="22"/>
          <w:szCs w:val="22"/>
        </w:rPr>
      </w:pPr>
      <w:r w:rsidRPr="00A34AE8">
        <w:rPr>
          <w:i w:val="0"/>
          <w:sz w:val="22"/>
          <w:szCs w:val="22"/>
        </w:rPr>
        <w:t>Se inicia mediante solicitud de los CS o cuando se detecta que un elemento de red instalado en la infraestructura compartida está causando daño o perjuicio a la misma, ponga en peligro la seguridad de las personas o de la propiedad o deteriore la calidad de los servicios hacia los usuarios finales.</w:t>
      </w:r>
    </w:p>
    <w:p w:rsidR="007C4016" w:rsidRPr="00A34AE8" w:rsidRDefault="007C4016" w:rsidP="007C4016">
      <w:pPr>
        <w:pStyle w:val="Citaift0"/>
        <w:spacing w:before="240" w:after="0"/>
        <w:rPr>
          <w:i w:val="0"/>
          <w:sz w:val="22"/>
          <w:szCs w:val="22"/>
        </w:rPr>
      </w:pPr>
      <w:r w:rsidRPr="00A34AE8">
        <w:rPr>
          <w:i w:val="0"/>
          <w:sz w:val="22"/>
          <w:szCs w:val="22"/>
        </w:rPr>
        <w:lastRenderedPageBreak/>
        <w:t xml:space="preserve">Se avisará al CS sobre el elemento de red identificado en el supuesto anterior; si existe acuerdo, el CS podrá retirar el elemento o bien podrá solicitar a </w:t>
      </w:r>
      <w:r>
        <w:rPr>
          <w:i w:val="0"/>
          <w:sz w:val="22"/>
          <w:szCs w:val="22"/>
        </w:rPr>
        <w:t>Telnor</w:t>
      </w:r>
      <w:r w:rsidRPr="00A34AE8">
        <w:rPr>
          <w:i w:val="0"/>
          <w:sz w:val="22"/>
          <w:szCs w:val="22"/>
        </w:rPr>
        <w:t xml:space="preserve"> el Trabajo especial de solución correctiva para la continuidad de los servicios; en caso de que exista desacuerdo, ambas partes deberán permitir todas las facilidades para realizar el peritaje correspondiente con el fin de poder dirimir el desacuerdo mediante una resolución del desacuerdo a través del Instituto y el responsable deberá resarcir a las partes afectadas. Posteriormente, </w:t>
      </w:r>
      <w:r>
        <w:rPr>
          <w:i w:val="0"/>
          <w:sz w:val="22"/>
          <w:szCs w:val="22"/>
        </w:rPr>
        <w:t>Telnor</w:t>
      </w:r>
      <w:r w:rsidRPr="00A34AE8">
        <w:rPr>
          <w:i w:val="0"/>
          <w:sz w:val="22"/>
          <w:szCs w:val="22"/>
        </w:rPr>
        <w:t xml:space="preserve"> ejecutará el Trabajo especial para garantizar la continuidad de los servicios de telecomunicaciones.</w:t>
      </w:r>
    </w:p>
    <w:p w:rsidR="007C4016" w:rsidRPr="00A34AE8" w:rsidRDefault="007C4016" w:rsidP="007C4016">
      <w:pPr>
        <w:pStyle w:val="Citaift0"/>
        <w:spacing w:before="240" w:after="0"/>
        <w:rPr>
          <w:i w:val="0"/>
          <w:sz w:val="22"/>
          <w:szCs w:val="22"/>
        </w:rPr>
      </w:pPr>
      <w:r w:rsidRPr="00A34AE8">
        <w:rPr>
          <w:i w:val="0"/>
          <w:sz w:val="22"/>
          <w:szCs w:val="22"/>
        </w:rPr>
        <w:t>Los plazos de entrega variarán dependiendo de la complejidad de los trabajos necesarios.</w:t>
      </w:r>
    </w:p>
    <w:p w:rsidR="007C4016" w:rsidRPr="00A34AE8" w:rsidRDefault="007C4016" w:rsidP="007C4016">
      <w:pPr>
        <w:pStyle w:val="Citaift0"/>
        <w:spacing w:before="240" w:after="0"/>
        <w:rPr>
          <w:i w:val="0"/>
          <w:sz w:val="22"/>
          <w:szCs w:val="22"/>
        </w:rPr>
      </w:pPr>
      <w:r w:rsidRPr="00A34AE8">
        <w:rPr>
          <w:i w:val="0"/>
          <w:sz w:val="22"/>
          <w:szCs w:val="22"/>
        </w:rPr>
        <w:t xml:space="preserve">Con respecto a los procedimientos a seguir para el tratamiento de desacuerdos, indicado para las Medidas SEXAGÉSIMA, SEXAGÉSIMA PRIMERA y SEXAGÉSIMA SEGUNDA de las Medidas Fijas, tomando como referencia el procedimiento previsto en el Artículo 129 de la LFTR, el AEP deberá de observar lo contenido dentro de las cláusulas DÉCIMO OCTAVA y DÉCIMO NOVENA del Modelo de Convenio. </w:t>
      </w:r>
    </w:p>
    <w:p w:rsidR="007C4016" w:rsidRDefault="007C4016" w:rsidP="007C4016">
      <w:pPr>
        <w:pStyle w:val="IFTnormal"/>
        <w:spacing w:before="240" w:after="0"/>
      </w:pPr>
      <w:r>
        <w:t xml:space="preserve">Aunado a lo anterior, </w:t>
      </w:r>
      <w:r w:rsidRPr="00993188">
        <w:t xml:space="preserve">el Instituto resuelve modificar la </w:t>
      </w:r>
      <w:r w:rsidRPr="00231D27">
        <w:t>Propuesta de Oferta de Referencia</w:t>
      </w:r>
      <w:r w:rsidRPr="00993188">
        <w:t xml:space="preserve"> para que en el apartado “7.</w:t>
      </w:r>
      <w:r w:rsidRPr="00CE1D1F">
        <w:t>4</w:t>
      </w:r>
      <w:r w:rsidRPr="00CE1D1F">
        <w:tab/>
        <w:t xml:space="preserve"> </w:t>
      </w:r>
      <w:r w:rsidRPr="00993188">
        <w:t xml:space="preserve">Solución </w:t>
      </w:r>
      <w:r w:rsidRPr="00CE1D1F">
        <w:t>Correctiva</w:t>
      </w:r>
      <w:r w:rsidRPr="00993188">
        <w:t xml:space="preserve"> para la </w:t>
      </w:r>
      <w:r w:rsidRPr="00CE1D1F">
        <w:t>Continuidad</w:t>
      </w:r>
      <w:r w:rsidRPr="00993188">
        <w:t xml:space="preserve"> de los </w:t>
      </w:r>
      <w:r w:rsidRPr="00CE1D1F">
        <w:t>Servicios</w:t>
      </w:r>
      <w:r>
        <w:t>” se incorpore su respectivo procedimiento, como se indica a continuación:</w:t>
      </w:r>
    </w:p>
    <w:p w:rsidR="007C4016" w:rsidRDefault="007C4016" w:rsidP="007C4016">
      <w:pPr>
        <w:pStyle w:val="CondicionesFinales"/>
        <w:spacing w:before="240" w:after="0"/>
        <w:rPr>
          <w:rFonts w:eastAsia="Calibri"/>
          <w:b/>
        </w:rPr>
      </w:pPr>
      <w:r w:rsidRPr="003D2CBA">
        <w:rPr>
          <w:b/>
        </w:rPr>
        <w:t>A.</w:t>
      </w:r>
      <w:r w:rsidRPr="003D2CBA">
        <w:rPr>
          <w:b/>
        </w:rPr>
        <w:tab/>
      </w:r>
      <w:r>
        <w:rPr>
          <w:b/>
        </w:rPr>
        <w:t xml:space="preserve"> </w:t>
      </w:r>
      <w:r w:rsidRPr="003D2CBA">
        <w:rPr>
          <w:b/>
        </w:rPr>
        <w:t>PROCEDIMIENTO DE SOLUCIÓN CORRECTIVA PARA LA CONTINUIDAD DE LOS SERVICIOS.</w:t>
      </w:r>
    </w:p>
    <w:tbl>
      <w:tblPr>
        <w:tblStyle w:val="Tablaconcuadrcula"/>
        <w:tblW w:w="3991" w:type="pct"/>
        <w:tblInd w:w="959" w:type="dxa"/>
        <w:tblLook w:val="04A0" w:firstRow="1" w:lastRow="0" w:firstColumn="1" w:lastColumn="0" w:noHBand="0" w:noVBand="1"/>
        <w:tblCaption w:val="Tabla"/>
        <w:tblDescription w:val="PROCEDIMIENTO DE SOLUCIÓN CORRECTIVA PARA LA CONTINUIDAD DE LOS SERVICIOS"/>
      </w:tblPr>
      <w:tblGrid>
        <w:gridCol w:w="1889"/>
        <w:gridCol w:w="5159"/>
      </w:tblGrid>
      <w:tr w:rsidR="007C4016" w:rsidRPr="00833D3A" w:rsidTr="005C782A">
        <w:trPr>
          <w:tblHeader/>
        </w:trPr>
        <w:tc>
          <w:tcPr>
            <w:tcW w:w="1340" w:type="pct"/>
            <w:shd w:val="clear" w:color="auto" w:fill="D9D9D9" w:themeFill="background1" w:themeFillShade="D9"/>
          </w:tcPr>
          <w:p w:rsidR="007C4016" w:rsidRPr="00833D3A" w:rsidRDefault="007C4016" w:rsidP="005C782A">
            <w:pPr>
              <w:pStyle w:val="IFTnormal"/>
              <w:spacing w:after="0"/>
            </w:pPr>
            <w:r w:rsidRPr="00833D3A">
              <w:t>Etapa</w:t>
            </w:r>
          </w:p>
        </w:tc>
        <w:tc>
          <w:tcPr>
            <w:tcW w:w="3660" w:type="pct"/>
            <w:shd w:val="clear" w:color="auto" w:fill="D9D9D9" w:themeFill="background1" w:themeFillShade="D9"/>
          </w:tcPr>
          <w:p w:rsidR="007C4016" w:rsidRPr="00833D3A" w:rsidRDefault="007C4016" w:rsidP="005C782A">
            <w:pPr>
              <w:pStyle w:val="IFTnormal"/>
              <w:spacing w:after="0"/>
            </w:pPr>
            <w:r w:rsidRPr="00833D3A">
              <w:t>Descripción</w:t>
            </w:r>
          </w:p>
        </w:tc>
      </w:tr>
      <w:tr w:rsidR="007C4016" w:rsidRPr="0039458F" w:rsidTr="005C782A">
        <w:tc>
          <w:tcPr>
            <w:tcW w:w="1340" w:type="pct"/>
          </w:tcPr>
          <w:p w:rsidR="007C4016" w:rsidRPr="00940D2B" w:rsidRDefault="007C4016" w:rsidP="005C782A">
            <w:pPr>
              <w:pStyle w:val="IFTnormal"/>
              <w:spacing w:after="0"/>
            </w:pPr>
            <w:r w:rsidRPr="00940D2B">
              <w:t>Detección y notificación de daño</w:t>
            </w:r>
          </w:p>
          <w:p w:rsidR="007C4016" w:rsidRPr="0039458F" w:rsidRDefault="007C4016" w:rsidP="005C782A">
            <w:pPr>
              <w:pStyle w:val="IFTnormal"/>
              <w:spacing w:after="0"/>
            </w:pPr>
          </w:p>
        </w:tc>
        <w:tc>
          <w:tcPr>
            <w:tcW w:w="3660" w:type="pct"/>
          </w:tcPr>
          <w:p w:rsidR="007C4016" w:rsidRPr="0039458F" w:rsidRDefault="007C4016" w:rsidP="005C782A">
            <w:pPr>
              <w:pStyle w:val="IFTnormal"/>
              <w:tabs>
                <w:tab w:val="left" w:pos="2010"/>
              </w:tabs>
              <w:spacing w:after="0"/>
            </w:pPr>
            <w:r w:rsidRPr="00716C42">
              <w:t xml:space="preserve">El CS o </w:t>
            </w:r>
            <w:r>
              <w:t>Telnor</w:t>
            </w:r>
            <w:r w:rsidRPr="00716C42">
              <w:t xml:space="preserve"> identificarán que existe un elemento de red que está ocasionando daño o perjuicio a la misma y darán aviso al personal de </w:t>
            </w:r>
            <w:r>
              <w:t>Telnor</w:t>
            </w:r>
            <w:r w:rsidRPr="00716C42">
              <w:t xml:space="preserve"> mediante una solicitud o a la autoridad de protección civil o de la ciudadanía en caso de ser necesario.</w:t>
            </w:r>
          </w:p>
        </w:tc>
      </w:tr>
      <w:tr w:rsidR="007C4016" w:rsidRPr="00833D3A" w:rsidTr="005C782A">
        <w:trPr>
          <w:trHeight w:val="3422"/>
        </w:trPr>
        <w:tc>
          <w:tcPr>
            <w:tcW w:w="1340" w:type="pct"/>
          </w:tcPr>
          <w:p w:rsidR="007C4016" w:rsidRPr="00833D3A" w:rsidRDefault="007C4016" w:rsidP="005C782A">
            <w:pPr>
              <w:pStyle w:val="IFTnormal"/>
              <w:spacing w:after="0"/>
            </w:pPr>
            <w:r w:rsidRPr="00940D2B">
              <w:lastRenderedPageBreak/>
              <w:t>Identificación de elementos</w:t>
            </w:r>
          </w:p>
        </w:tc>
        <w:tc>
          <w:tcPr>
            <w:tcW w:w="3660" w:type="pct"/>
          </w:tcPr>
          <w:p w:rsidR="007C4016" w:rsidRPr="00E61B6E" w:rsidRDefault="007C4016" w:rsidP="005C782A">
            <w:pPr>
              <w:pStyle w:val="IFTnormal"/>
              <w:spacing w:after="0"/>
            </w:pPr>
            <w:r>
              <w:t>Telnor</w:t>
            </w:r>
            <w:r w:rsidRPr="00E61B6E">
              <w:t xml:space="preserve"> validará la solicitud en 2 días del CS e identificará el o los elementos que representen un riesgo a la red e informará al CS que informó, así como al CS responsable del elemento identificado.</w:t>
            </w:r>
          </w:p>
          <w:p w:rsidR="007C4016" w:rsidRPr="00E61B6E" w:rsidRDefault="007C4016" w:rsidP="005C782A">
            <w:pPr>
              <w:pStyle w:val="IFTnormal"/>
              <w:spacing w:after="0"/>
            </w:pPr>
            <w:r w:rsidRPr="00E61B6E">
              <w:t>Ambas partes revisarán el elemento identificado y procederán al retiro de la infraestructura. En caso de no haber acuerdo sobre el mismo, se procederá de conformidad con lo previsto en el procedimiento para resolver el desacuerdo técnico</w:t>
            </w:r>
            <w:r>
              <w:t>.</w:t>
            </w:r>
          </w:p>
        </w:tc>
      </w:tr>
      <w:tr w:rsidR="007C4016" w:rsidRPr="00833D3A" w:rsidTr="005C782A">
        <w:tc>
          <w:tcPr>
            <w:tcW w:w="1340" w:type="pct"/>
          </w:tcPr>
          <w:p w:rsidR="007C4016" w:rsidRPr="00940D2B" w:rsidRDefault="007C4016" w:rsidP="005C782A">
            <w:pPr>
              <w:pStyle w:val="IFTnormal"/>
              <w:spacing w:after="0"/>
            </w:pPr>
            <w:r w:rsidRPr="00940D2B">
              <w:t>E</w:t>
            </w:r>
            <w:r>
              <w:t>jecución</w:t>
            </w:r>
            <w:r w:rsidRPr="00940D2B">
              <w:t xml:space="preserve"> de peritaje</w:t>
            </w:r>
          </w:p>
          <w:p w:rsidR="007C4016" w:rsidRPr="00833D3A" w:rsidRDefault="007C4016" w:rsidP="005C782A">
            <w:pPr>
              <w:pStyle w:val="IFTnormal"/>
              <w:spacing w:after="0"/>
            </w:pPr>
          </w:p>
        </w:tc>
        <w:tc>
          <w:tcPr>
            <w:tcW w:w="3660" w:type="pct"/>
          </w:tcPr>
          <w:p w:rsidR="007C4016" w:rsidRPr="00E61B6E" w:rsidRDefault="007C4016" w:rsidP="005C782A">
            <w:pPr>
              <w:pStyle w:val="IFTnormal"/>
              <w:spacing w:after="0"/>
            </w:pPr>
            <w:r w:rsidRPr="00E61B6E">
              <w:t>Ambas partes otorgarán las mayores facilidades a su contraparte a fin de realizar el peritaje correspondiente y el reporte del mismo se enviará al Instituto a fin de que éste resuelva la discrepancia.</w:t>
            </w:r>
          </w:p>
          <w:p w:rsidR="007C4016" w:rsidRPr="00E61B6E" w:rsidRDefault="007C4016" w:rsidP="005C782A">
            <w:pPr>
              <w:pStyle w:val="IFTnormal"/>
              <w:spacing w:after="0"/>
            </w:pPr>
            <w:r w:rsidRPr="00E61B6E">
              <w:t>Retiro de Infraestructura en 3 días hábiles por:</w:t>
            </w:r>
          </w:p>
          <w:p w:rsidR="007C4016" w:rsidRPr="00E61B6E" w:rsidRDefault="007C4016" w:rsidP="005C782A">
            <w:pPr>
              <w:pStyle w:val="IFTnormal"/>
              <w:numPr>
                <w:ilvl w:val="0"/>
                <w:numId w:val="168"/>
              </w:numPr>
              <w:spacing w:after="0"/>
              <w:ind w:left="506" w:hanging="283"/>
            </w:pPr>
            <w:r>
              <w:t>Telnor</w:t>
            </w:r>
            <w:r w:rsidRPr="00E61B6E">
              <w:t xml:space="preserve">: </w:t>
            </w:r>
            <w:r>
              <w:t>Telnor</w:t>
            </w:r>
            <w:r w:rsidRPr="00E61B6E">
              <w:t xml:space="preserve"> realizará el retiro de la infraestructura y se procederá a la validación de la continuidad del servicio.</w:t>
            </w:r>
          </w:p>
          <w:p w:rsidR="007C4016" w:rsidRPr="00E61B6E" w:rsidRDefault="007C4016" w:rsidP="005C782A">
            <w:pPr>
              <w:pStyle w:val="IFTnormal"/>
              <w:numPr>
                <w:ilvl w:val="0"/>
                <w:numId w:val="168"/>
              </w:numPr>
              <w:spacing w:after="0"/>
              <w:ind w:left="506" w:hanging="283"/>
            </w:pPr>
            <w:r w:rsidRPr="00E61B6E">
              <w:t xml:space="preserve">El CS: Si el CS es el responsable del elemento que está causando daño, debe retirar dicho elemento y notificará a </w:t>
            </w:r>
            <w:r>
              <w:t>Telnor</w:t>
            </w:r>
            <w:r w:rsidRPr="00E61B6E">
              <w:t xml:space="preserve"> que ha sido retirado. En caso de que el CS no pueda retirar el elemento que está ocasionando el daño, podrá solicitar a </w:t>
            </w:r>
            <w:r>
              <w:t>Telnor</w:t>
            </w:r>
            <w:r w:rsidRPr="00E61B6E">
              <w:t>.</w:t>
            </w:r>
          </w:p>
        </w:tc>
      </w:tr>
      <w:tr w:rsidR="007C4016" w:rsidRPr="00125EFE" w:rsidTr="005C782A">
        <w:tc>
          <w:tcPr>
            <w:tcW w:w="1340" w:type="pct"/>
          </w:tcPr>
          <w:p w:rsidR="007C4016" w:rsidRPr="00940D2B" w:rsidRDefault="007C4016" w:rsidP="005C782A">
            <w:pPr>
              <w:pStyle w:val="IFTnormal"/>
              <w:spacing w:after="0"/>
            </w:pPr>
            <w:r w:rsidRPr="00940D2B">
              <w:t>Validación de continuidad de servicio</w:t>
            </w:r>
          </w:p>
          <w:p w:rsidR="007C4016" w:rsidRPr="00833D3A" w:rsidRDefault="007C4016" w:rsidP="005C782A">
            <w:pPr>
              <w:pStyle w:val="IFTnormal"/>
              <w:spacing w:after="0"/>
            </w:pPr>
          </w:p>
        </w:tc>
        <w:tc>
          <w:tcPr>
            <w:tcW w:w="3660" w:type="pct"/>
          </w:tcPr>
          <w:p w:rsidR="007C4016" w:rsidRPr="00125EFE" w:rsidRDefault="007C4016" w:rsidP="005C782A">
            <w:pPr>
              <w:pStyle w:val="IFTnormal"/>
              <w:spacing w:after="0"/>
            </w:pPr>
            <w:r>
              <w:t>Telnor</w:t>
            </w:r>
            <w:r w:rsidRPr="00716C42">
              <w:t xml:space="preserve"> y el CS, en su caso validan que exista continuidad en el servicio</w:t>
            </w:r>
          </w:p>
        </w:tc>
      </w:tr>
    </w:tbl>
    <w:p w:rsidR="007C4016" w:rsidRDefault="007C4016" w:rsidP="007C4016">
      <w:pPr>
        <w:pStyle w:val="IFTnormal"/>
        <w:spacing w:before="240" w:after="0"/>
      </w:pP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A. PROCEDIMIENTO PARA LA INSTALACIÓN DE INFRAESTRUCTURA DEL CS EN DESPLIEGUE DE NUEVA OBRA CIVIL.</w:t>
      </w:r>
    </w:p>
    <w:p w:rsidR="007C4016" w:rsidRPr="00BF4959" w:rsidRDefault="007C4016" w:rsidP="007C4016">
      <w:pPr>
        <w:pStyle w:val="IFTnormal"/>
        <w:spacing w:before="240" w:after="0"/>
        <w:rPr>
          <w:b/>
        </w:rPr>
      </w:pPr>
      <w:r w:rsidRPr="00BF4959">
        <w:rPr>
          <w:b/>
        </w:rPr>
        <w:lastRenderedPageBreak/>
        <w:t>Consideraciones del Instituto</w:t>
      </w:r>
    </w:p>
    <w:p w:rsidR="007C4016" w:rsidRDefault="007C4016" w:rsidP="007C4016">
      <w:pPr>
        <w:pStyle w:val="IFTnormal"/>
        <w:spacing w:before="240" w:after="0"/>
      </w:pPr>
      <w:r w:rsidRPr="00C522FC">
        <w:t xml:space="preserve">Respecto a los procedimientos </w:t>
      </w:r>
      <w:r>
        <w:rPr>
          <w:lang w:val="es-ES"/>
        </w:rPr>
        <w:t>presentados por el AEP en el numeral “7</w:t>
      </w:r>
      <w:r w:rsidRPr="00C25D42">
        <w:rPr>
          <w:i/>
          <w:lang w:val="es-ES"/>
        </w:rPr>
        <w:t>.</w:t>
      </w:r>
      <w:r>
        <w:rPr>
          <w:i/>
          <w:lang w:val="es-ES"/>
        </w:rPr>
        <w:t xml:space="preserve">1 </w:t>
      </w:r>
      <w:r w:rsidRPr="00ED55E0">
        <w:rPr>
          <w:lang w:val="es-ES"/>
        </w:rPr>
        <w:t>Inciso</w:t>
      </w:r>
      <w:r>
        <w:rPr>
          <w:i/>
          <w:lang w:val="es-ES"/>
        </w:rPr>
        <w:t xml:space="preserve"> a)</w:t>
      </w:r>
      <w:r w:rsidRPr="00C25D42">
        <w:rPr>
          <w:i/>
          <w:lang w:val="es-ES"/>
        </w:rPr>
        <w:tab/>
      </w:r>
      <w:r>
        <w:rPr>
          <w:i/>
          <w:lang w:val="es-ES"/>
        </w:rPr>
        <w:t xml:space="preserve"> Procedimiento para la Instalación de Infraestructura del CS en Despliegue de Nueva Obra Civil</w:t>
      </w:r>
      <w:r>
        <w:rPr>
          <w:lang w:val="es-ES"/>
        </w:rPr>
        <w:t>”</w:t>
      </w:r>
      <w:r w:rsidRPr="00C522FC">
        <w:t xml:space="preserve">, </w:t>
      </w:r>
      <w:r>
        <w:t xml:space="preserve">el Instituto </w:t>
      </w:r>
      <w:r>
        <w:rPr>
          <w:lang w:val="es-ES"/>
        </w:rPr>
        <w:t xml:space="preserve">considera que la propuesta presentada no cumple ni se apegan a lo establecido en la Medida </w:t>
      </w:r>
      <w:r w:rsidRPr="004E7744">
        <w:rPr>
          <w:b/>
          <w:lang w:val="es-ES"/>
        </w:rPr>
        <w:t>CUADRAGÉSIMA PRIMERA</w:t>
      </w:r>
      <w:r w:rsidRPr="00DD77E4">
        <w:rPr>
          <w:lang w:val="es-ES"/>
        </w:rPr>
        <w:t xml:space="preserve"> de las Medidas Fijas</w:t>
      </w:r>
      <w:r>
        <w:rPr>
          <w:lang w:val="es-ES"/>
        </w:rPr>
        <w:t xml:space="preserve">, la cual puntualiza </w:t>
      </w:r>
      <w:r>
        <w:t>que la Oferta propuesta por el AEP deberá reflejar al menos condiciones equivalentes al de la Oferta de Referencia Vigente y deberá contar con procedimientos y plazos para la solicitud y entrega de los servicios, así como, no podrá establecer condiciones que inhiban la competencia en la prestación de los servicios.</w:t>
      </w:r>
    </w:p>
    <w:p w:rsidR="007C4016" w:rsidRDefault="007C4016" w:rsidP="007C4016">
      <w:pPr>
        <w:pStyle w:val="IFTnormal"/>
        <w:spacing w:before="240" w:after="0"/>
        <w:rPr>
          <w:lang w:val="es-ES"/>
        </w:rPr>
      </w:pPr>
      <w:r>
        <w:t xml:space="preserve">Por lo tanto </w:t>
      </w:r>
      <w:r>
        <w:rPr>
          <w:lang w:val="es-ES"/>
        </w:rPr>
        <w:t>el Instituto</w:t>
      </w:r>
      <w:r>
        <w:t xml:space="preserve"> considera necesario modificar el “</w:t>
      </w:r>
      <w:r>
        <w:rPr>
          <w:i/>
          <w:lang w:val="es-ES"/>
        </w:rPr>
        <w:t>a)</w:t>
      </w:r>
      <w:r w:rsidRPr="00C25D42">
        <w:rPr>
          <w:i/>
          <w:lang w:val="es-ES"/>
        </w:rPr>
        <w:tab/>
      </w:r>
      <w:r>
        <w:rPr>
          <w:i/>
          <w:lang w:val="es-ES"/>
        </w:rPr>
        <w:t xml:space="preserve"> </w:t>
      </w:r>
      <w:r w:rsidRPr="00ED55E0">
        <w:rPr>
          <w:i/>
          <w:lang w:val="es-ES"/>
        </w:rPr>
        <w:t>Procedimiento p</w:t>
      </w:r>
      <w:r>
        <w:rPr>
          <w:i/>
          <w:lang w:val="es-ES"/>
        </w:rPr>
        <w:t>ara la Instalación de Infraestructura del CS en Despliegue de Nueva Obra Civil</w:t>
      </w:r>
      <w:r>
        <w:rPr>
          <w:lang w:val="es-ES"/>
        </w:rPr>
        <w:t>”</w:t>
      </w:r>
      <w:r>
        <w:t xml:space="preserve">, de acuerdo a lo puntualizado por la Medida </w:t>
      </w:r>
      <w:r w:rsidRPr="004E7744">
        <w:rPr>
          <w:b/>
          <w:lang w:val="es-ES"/>
        </w:rPr>
        <w:t>CUADRAGÉSIMA PRIMERA</w:t>
      </w:r>
      <w:r>
        <w:rPr>
          <w:lang w:val="es-ES"/>
        </w:rPr>
        <w:t xml:space="preserve">, y también por </w:t>
      </w:r>
      <w:r>
        <w:t xml:space="preserve">consistencia </w:t>
      </w:r>
      <w:r>
        <w:rPr>
          <w:lang w:val="es-ES"/>
        </w:rPr>
        <w:t xml:space="preserve">con las modificaciones </w:t>
      </w:r>
      <w:r>
        <w:t>realizadas a los procedimientos de los servicios,</w:t>
      </w:r>
      <w:r>
        <w:rPr>
          <w:lang w:val="es-ES"/>
        </w:rPr>
        <w:t xml:space="preserve"> resultas en los numerales previos</w:t>
      </w:r>
      <w:r>
        <w:t>. A fin de lograr los siguientes objetivos:</w:t>
      </w:r>
    </w:p>
    <w:p w:rsidR="007C4016" w:rsidRPr="009E7800" w:rsidRDefault="007C4016" w:rsidP="007C4016">
      <w:pPr>
        <w:pStyle w:val="IFTnormal"/>
        <w:numPr>
          <w:ilvl w:val="0"/>
          <w:numId w:val="69"/>
        </w:numPr>
        <w:spacing w:before="240" w:after="0"/>
        <w:rPr>
          <w:lang w:val="es-ES"/>
        </w:rPr>
      </w:pPr>
      <w:r>
        <w:t>Otorgar claridad en</w:t>
      </w:r>
      <w:r w:rsidRPr="00C522FC">
        <w:t xml:space="preserve"> la redacción, comprensión y s</w:t>
      </w:r>
      <w:r>
        <w:t>eguimiento a las etapas o actividades de cada procedimiento.</w:t>
      </w:r>
    </w:p>
    <w:p w:rsidR="007C4016" w:rsidRPr="009E7800" w:rsidRDefault="007C4016" w:rsidP="007C4016">
      <w:pPr>
        <w:pStyle w:val="IFTnormal"/>
        <w:numPr>
          <w:ilvl w:val="0"/>
          <w:numId w:val="69"/>
        </w:numPr>
        <w:spacing w:after="0"/>
        <w:rPr>
          <w:lang w:val="es-ES"/>
        </w:rPr>
      </w:pPr>
      <w:r>
        <w:t>E</w:t>
      </w:r>
      <w:r w:rsidRPr="00C522FC">
        <w:t xml:space="preserve">stablecer un formato único que facilite </w:t>
      </w:r>
      <w:r>
        <w:t>la</w:t>
      </w:r>
      <w:r w:rsidRPr="00C522FC">
        <w:t xml:space="preserve"> comprensión y seguimiento a</w:t>
      </w:r>
      <w:r>
        <w:t xml:space="preserve"> los procedimientos, a efectos de que los involucrados puedan realizar una correcta planeación de sus actividades.</w:t>
      </w:r>
    </w:p>
    <w:p w:rsidR="007C4016" w:rsidRDefault="007C4016" w:rsidP="007C4016">
      <w:pPr>
        <w:pStyle w:val="IFTnormal"/>
        <w:numPr>
          <w:ilvl w:val="0"/>
          <w:numId w:val="69"/>
        </w:numPr>
        <w:spacing w:after="0"/>
        <w:rPr>
          <w:lang w:val="es-ES"/>
        </w:rPr>
      </w:pPr>
      <w:r>
        <w:rPr>
          <w:lang w:val="es-ES"/>
        </w:rPr>
        <w:t>Homologar la estructura de los procedimientos para delimitar los alcances de cada actividad o etapa ya sea administrativa o técnica.</w:t>
      </w:r>
    </w:p>
    <w:p w:rsidR="007C4016" w:rsidRPr="0032311A" w:rsidRDefault="007C4016" w:rsidP="007C4016">
      <w:pPr>
        <w:pStyle w:val="IFTnormal"/>
        <w:numPr>
          <w:ilvl w:val="0"/>
          <w:numId w:val="69"/>
        </w:numPr>
        <w:spacing w:after="0"/>
        <w:rPr>
          <w:lang w:val="es-ES"/>
        </w:rPr>
      </w:pPr>
      <w:r>
        <w:rPr>
          <w:lang w:val="es-ES"/>
        </w:rPr>
        <w:t>Evitar las posibles obstaculizaciones a los procedimientos que deriven en alargamiento de plazos y cobro de costos extra.</w:t>
      </w:r>
    </w:p>
    <w:p w:rsidR="007C4016" w:rsidRDefault="007C4016" w:rsidP="007C4016">
      <w:pPr>
        <w:pStyle w:val="IFTnormal"/>
        <w:numPr>
          <w:ilvl w:val="0"/>
          <w:numId w:val="69"/>
        </w:numPr>
        <w:spacing w:after="0"/>
        <w:rPr>
          <w:lang w:val="es-ES"/>
        </w:rPr>
      </w:pPr>
      <w:r>
        <w:rPr>
          <w:lang w:val="es-ES"/>
        </w:rPr>
        <w:t>Definir plazos de respuesta del CS al AEP y viceversa.</w:t>
      </w:r>
      <w:r w:rsidRPr="006D6C0A">
        <w:rPr>
          <w:lang w:val="es-ES"/>
        </w:rPr>
        <w:t xml:space="preserve"> </w:t>
      </w:r>
    </w:p>
    <w:p w:rsidR="007C4016" w:rsidRDefault="007C4016" w:rsidP="007C4016">
      <w:pPr>
        <w:pStyle w:val="IFTnormal"/>
        <w:numPr>
          <w:ilvl w:val="0"/>
          <w:numId w:val="69"/>
        </w:numPr>
        <w:spacing w:after="0"/>
        <w:rPr>
          <w:lang w:val="es-ES"/>
        </w:rPr>
      </w:pPr>
      <w:r>
        <w:rPr>
          <w:lang w:val="es-ES"/>
        </w:rPr>
        <w:t>Facturación de servicios al concluir con el procedimiento y contar con acta firmada.</w:t>
      </w:r>
    </w:p>
    <w:p w:rsidR="007C4016" w:rsidRDefault="007C4016" w:rsidP="007C4016">
      <w:pPr>
        <w:pStyle w:val="IFTnormal"/>
        <w:numPr>
          <w:ilvl w:val="0"/>
          <w:numId w:val="69"/>
        </w:numPr>
        <w:spacing w:after="0"/>
        <w:rPr>
          <w:lang w:val="es-ES"/>
        </w:rPr>
      </w:pPr>
      <w:r>
        <w:rPr>
          <w:lang w:val="es-ES"/>
        </w:rPr>
        <w:t xml:space="preserve">Otorgar el plazo de tiempo suficiente desde el aviso o notificación por parte del AEP del desarrollo de una nueva obra civil, para que los CS interesados en el proyecto estén en capacidad de desarrollar los estudios o planes de negocio necesarios y tengan la certidumbre de la decisión de participar o no en el proyecto. </w:t>
      </w:r>
    </w:p>
    <w:p w:rsidR="007C4016" w:rsidRPr="004C0456" w:rsidRDefault="007C4016" w:rsidP="007C4016">
      <w:pPr>
        <w:pStyle w:val="IFTnormal"/>
        <w:spacing w:before="240" w:after="0"/>
        <w:rPr>
          <w:b/>
        </w:rPr>
      </w:pPr>
      <w:r>
        <w:rPr>
          <w:b/>
        </w:rPr>
        <w:t>Redacción Definitiva</w:t>
      </w:r>
    </w:p>
    <w:p w:rsidR="007C4016" w:rsidRDefault="007C4016" w:rsidP="007C4016">
      <w:pPr>
        <w:suppressAutoHyphens w:val="0"/>
        <w:spacing w:before="240" w:after="0" w:line="276" w:lineRule="auto"/>
        <w:ind w:right="567"/>
        <w:contextualSpacing w:val="0"/>
        <w:rPr>
          <w:rFonts w:ascii="ITC Avant Garde" w:eastAsia="MS Mincho" w:hAnsi="ITC Avant Garde" w:cs="Calibri"/>
          <w:bCs/>
          <w:sz w:val="22"/>
          <w:szCs w:val="22"/>
          <w:lang w:val="es-ES" w:eastAsia="en-US"/>
        </w:rPr>
      </w:pPr>
      <w:r w:rsidRPr="000B50E0">
        <w:rPr>
          <w:rFonts w:ascii="ITC Avant Garde" w:eastAsia="MS Mincho" w:hAnsi="ITC Avant Garde" w:cs="Calibri"/>
          <w:bCs/>
          <w:sz w:val="22"/>
          <w:szCs w:val="22"/>
          <w:lang w:val="es-ES" w:eastAsia="en-US"/>
        </w:rPr>
        <w:lastRenderedPageBreak/>
        <w:t>Derivado del análisis previo, el Instituto resue</w:t>
      </w:r>
      <w:r>
        <w:rPr>
          <w:rFonts w:ascii="ITC Avant Garde" w:eastAsia="MS Mincho" w:hAnsi="ITC Avant Garde" w:cs="Calibri"/>
          <w:bCs/>
          <w:sz w:val="22"/>
          <w:szCs w:val="22"/>
          <w:lang w:val="es-ES" w:eastAsia="en-US"/>
        </w:rPr>
        <w:t xml:space="preserve">lve modificar la </w:t>
      </w:r>
      <w:r w:rsidRPr="00C97E54">
        <w:rPr>
          <w:rFonts w:ascii="ITC Avant Garde" w:eastAsia="MS Mincho" w:hAnsi="ITC Avant Garde" w:cs="Calibri"/>
          <w:sz w:val="22"/>
          <w:szCs w:val="22"/>
          <w:lang w:val="es-ES" w:eastAsia="en-US"/>
        </w:rPr>
        <w:t>Propuesta de Oferta de Referencia</w:t>
      </w:r>
      <w:r w:rsidRPr="000B50E0">
        <w:rPr>
          <w:rFonts w:ascii="ITC Avant Garde" w:eastAsia="MS Mincho" w:hAnsi="ITC Avant Garde" w:cs="Calibri"/>
          <w:bCs/>
          <w:sz w:val="22"/>
          <w:szCs w:val="22"/>
          <w:lang w:val="es-ES" w:eastAsia="en-US"/>
        </w:rPr>
        <w:t xml:space="preserve"> para que en el apartado </w:t>
      </w:r>
      <w:r w:rsidRPr="0096123F">
        <w:rPr>
          <w:rFonts w:ascii="ITC Avant Garde" w:eastAsia="MS Mincho" w:hAnsi="ITC Avant Garde" w:cs="Calibri"/>
          <w:bCs/>
          <w:sz w:val="22"/>
          <w:szCs w:val="22"/>
          <w:lang w:val="es-ES" w:eastAsia="en-US"/>
        </w:rPr>
        <w:t>“PROCEDIMIENTO PARA LA INSTALACIÓN DE INFRAESTRUCTURA DEL CS EN D</w:t>
      </w:r>
      <w:r>
        <w:rPr>
          <w:rFonts w:ascii="ITC Avant Garde" w:eastAsia="MS Mincho" w:hAnsi="ITC Avant Garde" w:cs="Calibri"/>
          <w:bCs/>
          <w:sz w:val="22"/>
          <w:szCs w:val="22"/>
          <w:lang w:val="es-ES" w:eastAsia="en-US"/>
        </w:rPr>
        <w:t xml:space="preserve">ESPLIEGUE DE NUEVA OBRA CIVIL” </w:t>
      </w:r>
      <w:r w:rsidRPr="000B50E0">
        <w:rPr>
          <w:rFonts w:ascii="ITC Avant Garde" w:eastAsia="MS Mincho" w:hAnsi="ITC Avant Garde" w:cs="Calibri"/>
          <w:bCs/>
          <w:sz w:val="22"/>
          <w:szCs w:val="22"/>
          <w:lang w:val="es-ES" w:eastAsia="en-US"/>
        </w:rPr>
        <w:t>se integre lo siguiente:</w:t>
      </w:r>
    </w:p>
    <w:p w:rsidR="007C4016" w:rsidRPr="006B28EA" w:rsidRDefault="007C4016" w:rsidP="007C4016">
      <w:pPr>
        <w:pStyle w:val="CondicionesFinales"/>
        <w:spacing w:before="240" w:after="0"/>
        <w:rPr>
          <w:b/>
        </w:rPr>
      </w:pPr>
      <w:r w:rsidRPr="006B28EA">
        <w:rPr>
          <w:b/>
        </w:rPr>
        <w:t>7.1</w:t>
      </w:r>
      <w:r>
        <w:rPr>
          <w:b/>
        </w:rPr>
        <w:t xml:space="preserve"> </w:t>
      </w:r>
      <w:r w:rsidRPr="006B28EA">
        <w:rPr>
          <w:b/>
        </w:rPr>
        <w:tab/>
        <w:t>INSTALACIÓN DE INFRAESTRUCTURA DEL CS EN DESPLIEGUE DE NUEVA OBRA CIVIL.</w:t>
      </w:r>
    </w:p>
    <w:p w:rsidR="007C4016" w:rsidRPr="006B28EA" w:rsidRDefault="007C4016" w:rsidP="007C4016">
      <w:pPr>
        <w:pStyle w:val="CondicionesFinales"/>
        <w:spacing w:before="240" w:after="0"/>
        <w:rPr>
          <w:b/>
        </w:rPr>
      </w:pPr>
      <w:r w:rsidRPr="006B28EA">
        <w:rPr>
          <w:b/>
        </w:rPr>
        <w:t>A. PROCEDIMIENTO PARA LA INSTALACIÓN DE INFRAESTRUCTURA DEL CS EN DESPLIEGUE DE NUEVA OBRA CIVIL.</w:t>
      </w:r>
    </w:p>
    <w:tbl>
      <w:tblPr>
        <w:tblStyle w:val="Tablaconcuadrcula"/>
        <w:tblW w:w="3991" w:type="pct"/>
        <w:tblInd w:w="959" w:type="dxa"/>
        <w:tblLook w:val="04A0" w:firstRow="1" w:lastRow="0" w:firstColumn="1" w:lastColumn="0" w:noHBand="0" w:noVBand="1"/>
        <w:tblCaption w:val="Tabla"/>
        <w:tblDescription w:val="PROCEDIMIENTO PARA LA INSTALACIÓN DE INFRAESTRUCTURA DEL CS EN DESPLIEGUE DE NUEVA OBRA CIVIL"/>
      </w:tblPr>
      <w:tblGrid>
        <w:gridCol w:w="1889"/>
        <w:gridCol w:w="5159"/>
      </w:tblGrid>
      <w:tr w:rsidR="007C4016" w:rsidRPr="00833D3A" w:rsidTr="005C782A">
        <w:trPr>
          <w:tblHeader/>
        </w:trPr>
        <w:tc>
          <w:tcPr>
            <w:tcW w:w="1340" w:type="pct"/>
            <w:shd w:val="clear" w:color="auto" w:fill="D9D9D9" w:themeFill="background1" w:themeFillShade="D9"/>
          </w:tcPr>
          <w:p w:rsidR="007C4016" w:rsidRPr="00833D3A" w:rsidRDefault="007C4016" w:rsidP="005C782A">
            <w:pPr>
              <w:pStyle w:val="IFTnormal"/>
              <w:spacing w:after="0"/>
            </w:pPr>
            <w:r w:rsidRPr="00833D3A">
              <w:t>Etapa</w:t>
            </w:r>
          </w:p>
        </w:tc>
        <w:tc>
          <w:tcPr>
            <w:tcW w:w="3660" w:type="pct"/>
            <w:shd w:val="clear" w:color="auto" w:fill="D9D9D9" w:themeFill="background1" w:themeFillShade="D9"/>
          </w:tcPr>
          <w:p w:rsidR="007C4016" w:rsidRPr="00833D3A" w:rsidRDefault="007C4016" w:rsidP="005C782A">
            <w:pPr>
              <w:pStyle w:val="IFTnormal"/>
              <w:spacing w:after="0"/>
            </w:pPr>
            <w:r w:rsidRPr="00833D3A">
              <w:t>Descripción</w:t>
            </w:r>
          </w:p>
        </w:tc>
      </w:tr>
      <w:tr w:rsidR="007C4016" w:rsidRPr="00833D3A" w:rsidTr="005C782A">
        <w:tc>
          <w:tcPr>
            <w:tcW w:w="1340" w:type="pct"/>
          </w:tcPr>
          <w:p w:rsidR="007C4016" w:rsidRPr="0039458F" w:rsidRDefault="007C4016" w:rsidP="005C782A">
            <w:pPr>
              <w:pStyle w:val="IFTnormal"/>
              <w:spacing w:after="0"/>
            </w:pPr>
            <w:r w:rsidRPr="0039458F">
              <w:t>Notificación de Nueva Obra Civil</w:t>
            </w:r>
          </w:p>
        </w:tc>
        <w:tc>
          <w:tcPr>
            <w:tcW w:w="3660" w:type="pct"/>
          </w:tcPr>
          <w:p w:rsidR="007C4016" w:rsidRDefault="007C4016" w:rsidP="005C782A">
            <w:pPr>
              <w:pStyle w:val="IFTnormal"/>
              <w:tabs>
                <w:tab w:val="left" w:pos="2010"/>
              </w:tabs>
              <w:spacing w:after="0"/>
              <w:rPr>
                <w:lang w:val="es-ES"/>
              </w:rPr>
            </w:pPr>
            <w:r>
              <w:rPr>
                <w:lang w:val="es-ES"/>
              </w:rPr>
              <w:t>Telnor</w:t>
            </w:r>
            <w:r w:rsidRPr="00716C42">
              <w:rPr>
                <w:lang w:val="es-ES"/>
              </w:rPr>
              <w:t xml:space="preserve"> notificará con </w:t>
            </w:r>
            <w:r>
              <w:rPr>
                <w:lang w:val="es-ES"/>
              </w:rPr>
              <w:t>90</w:t>
            </w:r>
            <w:r w:rsidRPr="00716C42">
              <w:rPr>
                <w:lang w:val="es-ES"/>
              </w:rPr>
              <w:t xml:space="preserve"> días </w:t>
            </w:r>
            <w:r>
              <w:rPr>
                <w:lang w:val="es-ES"/>
              </w:rPr>
              <w:t>naturales</w:t>
            </w:r>
            <w:r w:rsidRPr="00716C42">
              <w:rPr>
                <w:lang w:val="es-ES"/>
              </w:rPr>
              <w:t xml:space="preserve"> de antelación a través del SEG, las nuevas obras civiles antes de que se inici</w:t>
            </w:r>
            <w:r>
              <w:rPr>
                <w:lang w:val="es-ES"/>
              </w:rPr>
              <w:t>en los trabajos de construcción, incluyendo información como:</w:t>
            </w:r>
          </w:p>
          <w:p w:rsidR="007C4016" w:rsidRDefault="007C4016" w:rsidP="005C782A">
            <w:pPr>
              <w:pStyle w:val="IFTnormal"/>
              <w:numPr>
                <w:ilvl w:val="0"/>
                <w:numId w:val="146"/>
              </w:numPr>
              <w:tabs>
                <w:tab w:val="left" w:pos="2010"/>
              </w:tabs>
              <w:spacing w:after="0"/>
            </w:pPr>
            <w:r>
              <w:t>Coordenadas georreferenciadas de los puntos, o rutas de la Nueva Obra Civil</w:t>
            </w:r>
          </w:p>
          <w:p w:rsidR="007C4016" w:rsidRDefault="007C4016" w:rsidP="005C782A">
            <w:pPr>
              <w:pStyle w:val="IFTnormal"/>
              <w:numPr>
                <w:ilvl w:val="0"/>
                <w:numId w:val="146"/>
              </w:numPr>
              <w:tabs>
                <w:tab w:val="left" w:pos="2010"/>
              </w:tabs>
              <w:spacing w:after="0"/>
            </w:pPr>
            <w:r>
              <w:t>Tipo de Infraestructura a instalar, capacidad, etc.</w:t>
            </w:r>
          </w:p>
          <w:p w:rsidR="007C4016" w:rsidRPr="0039458F" w:rsidRDefault="007C4016" w:rsidP="005C782A">
            <w:pPr>
              <w:pStyle w:val="IFTnormal"/>
              <w:numPr>
                <w:ilvl w:val="0"/>
                <w:numId w:val="146"/>
              </w:numPr>
              <w:tabs>
                <w:tab w:val="left" w:pos="2010"/>
              </w:tabs>
              <w:spacing w:after="0"/>
            </w:pPr>
            <w:r>
              <w:t>Planos con toda la información relacionada a la nueva Obra Civil</w:t>
            </w:r>
          </w:p>
        </w:tc>
      </w:tr>
      <w:tr w:rsidR="007C4016" w:rsidRPr="00833D3A" w:rsidTr="005C782A">
        <w:tc>
          <w:tcPr>
            <w:tcW w:w="1340" w:type="pct"/>
          </w:tcPr>
          <w:p w:rsidR="007C4016" w:rsidRPr="00833D3A" w:rsidRDefault="007C4016" w:rsidP="005C782A">
            <w:pPr>
              <w:pStyle w:val="IFTnormal"/>
              <w:spacing w:after="0"/>
            </w:pPr>
            <w:r w:rsidRPr="00833D3A">
              <w:t>Envío y Validación de solicitud</w:t>
            </w:r>
          </w:p>
        </w:tc>
        <w:tc>
          <w:tcPr>
            <w:tcW w:w="3660" w:type="pct"/>
          </w:tcPr>
          <w:p w:rsidR="007C4016" w:rsidRPr="00833D3A" w:rsidRDefault="007C4016" w:rsidP="005C782A">
            <w:pPr>
              <w:pStyle w:val="IFTnormal"/>
              <w:spacing w:after="0"/>
            </w:pPr>
            <w:r w:rsidRPr="00833D3A">
              <w:t xml:space="preserve">El CS presentará la solicitud de contratación en el formato correspondiente a través del SEG. </w:t>
            </w:r>
            <w:r>
              <w:t>Telnor</w:t>
            </w:r>
            <w:r w:rsidRPr="00833D3A" w:rsidDel="00115804">
              <w:t xml:space="preserve"> </w:t>
            </w:r>
            <w:r w:rsidRPr="00833D3A">
              <w:t xml:space="preserve">determinará </w:t>
            </w:r>
            <w:r>
              <w:t xml:space="preserve">en 2 días hábiles </w:t>
            </w:r>
            <w:r w:rsidRPr="00833D3A">
              <w:t xml:space="preserve">si la solicitud es: </w:t>
            </w:r>
          </w:p>
          <w:p w:rsidR="007C4016" w:rsidRPr="00833D3A" w:rsidRDefault="007C4016" w:rsidP="005C782A">
            <w:pPr>
              <w:pStyle w:val="IFTnormal"/>
              <w:numPr>
                <w:ilvl w:val="0"/>
                <w:numId w:val="62"/>
              </w:numPr>
              <w:spacing w:after="0"/>
            </w:pPr>
            <w:r w:rsidRPr="00833D3A">
              <w:t xml:space="preserve">Aceptada, </w:t>
            </w:r>
            <w:r>
              <w:t>Telnor</w:t>
            </w:r>
            <w:r w:rsidRPr="00833D3A">
              <w:t xml:space="preserve"> valida que la solicitud cumple con los requisitos establecidos en los formatos. Se asignará de forma automática un NIS. </w:t>
            </w:r>
          </w:p>
          <w:p w:rsidR="007C4016" w:rsidRPr="00833D3A" w:rsidRDefault="007C4016" w:rsidP="005C782A">
            <w:pPr>
              <w:pStyle w:val="IFTnormal"/>
              <w:numPr>
                <w:ilvl w:val="0"/>
                <w:numId w:val="62"/>
              </w:numPr>
              <w:spacing w:after="0"/>
            </w:pPr>
            <w:r w:rsidRPr="00833D3A">
              <w:t xml:space="preserve">Rechazado, en caso de que la solicitud no cumpliera con los requisitos, </w:t>
            </w:r>
            <w:r>
              <w:t>Telnor</w:t>
            </w:r>
            <w:r w:rsidRPr="00833D3A">
              <w:t xml:space="preserve"> notificará al CS a través del SEG que la solicitud ha sido rechazada y el motivo por el cual no se pudo procesar, de tal forma que el CS pueda corregir la información y reenviar la solicitud.</w:t>
            </w:r>
          </w:p>
        </w:tc>
      </w:tr>
      <w:tr w:rsidR="007C4016" w:rsidRPr="00833D3A" w:rsidTr="005C782A">
        <w:tc>
          <w:tcPr>
            <w:tcW w:w="1340" w:type="pct"/>
          </w:tcPr>
          <w:p w:rsidR="007C4016" w:rsidRPr="00833D3A" w:rsidRDefault="007C4016" w:rsidP="005C782A">
            <w:pPr>
              <w:pStyle w:val="IFTnormal"/>
              <w:spacing w:after="0"/>
            </w:pPr>
            <w:r w:rsidRPr="00833D3A">
              <w:t>Análisis de Factibilidad</w:t>
            </w:r>
          </w:p>
        </w:tc>
        <w:tc>
          <w:tcPr>
            <w:tcW w:w="3660" w:type="pct"/>
          </w:tcPr>
          <w:p w:rsidR="007C4016" w:rsidRPr="00833D3A" w:rsidRDefault="007C4016" w:rsidP="005C782A">
            <w:pPr>
              <w:pStyle w:val="IFTnormal"/>
              <w:spacing w:after="0"/>
            </w:pPr>
            <w:r w:rsidRPr="00716C42">
              <w:rPr>
                <w:lang w:val="es-ES"/>
              </w:rPr>
              <w:t xml:space="preserve">Una vez asignado el NIS se </w:t>
            </w:r>
            <w:r w:rsidRPr="001E78B5">
              <w:rPr>
                <w:lang w:val="es-ES"/>
              </w:rPr>
              <w:t xml:space="preserve">realizará (en un máximo de 5 días hábiles) el Análisis de </w:t>
            </w:r>
            <w:r w:rsidRPr="001E78B5">
              <w:rPr>
                <w:lang w:val="es-ES"/>
              </w:rPr>
              <w:lastRenderedPageBreak/>
              <w:t>Factibilidad y se contestará de acuerdo</w:t>
            </w:r>
            <w:r>
              <w:rPr>
                <w:lang w:val="es-ES"/>
              </w:rPr>
              <w:t xml:space="preserve"> a lo siguiente:</w:t>
            </w:r>
          </w:p>
          <w:p w:rsidR="007C4016" w:rsidRPr="00833D3A" w:rsidRDefault="007C4016" w:rsidP="005C782A">
            <w:pPr>
              <w:pStyle w:val="IFTnormal"/>
              <w:numPr>
                <w:ilvl w:val="0"/>
                <w:numId w:val="64"/>
              </w:numPr>
              <w:spacing w:after="0"/>
            </w:pPr>
            <w:r>
              <w:t>Es Factible</w:t>
            </w:r>
            <w:r w:rsidRPr="00716C42">
              <w:rPr>
                <w:lang w:val="es-ES"/>
              </w:rPr>
              <w:t xml:space="preserve"> el servicio de</w:t>
            </w:r>
            <w:r w:rsidRPr="000828D0">
              <w:t xml:space="preserve"> Instalación de infraestructura del </w:t>
            </w:r>
            <w:r w:rsidRPr="00716C42">
              <w:rPr>
                <w:lang w:val="es-ES"/>
              </w:rPr>
              <w:t>CS en nuevo despliegue de Obra Civil.</w:t>
            </w:r>
          </w:p>
          <w:p w:rsidR="007C4016" w:rsidRPr="00833D3A" w:rsidRDefault="007C4016" w:rsidP="005C782A">
            <w:pPr>
              <w:pStyle w:val="IFTnormal"/>
              <w:numPr>
                <w:ilvl w:val="0"/>
                <w:numId w:val="64"/>
              </w:numPr>
              <w:spacing w:after="0"/>
            </w:pPr>
            <w:r>
              <w:t>No es Factible</w:t>
            </w:r>
            <w:r w:rsidRPr="00833D3A">
              <w:t xml:space="preserve">. </w:t>
            </w:r>
            <w:r>
              <w:t>Telnor</w:t>
            </w:r>
            <w:r w:rsidRPr="00833D3A">
              <w:t xml:space="preserve"> notificará al CS el motivo del resultado, </w:t>
            </w:r>
            <w:r>
              <w:t>justificando la No Factibilidad y concluye el proceso.</w:t>
            </w:r>
          </w:p>
        </w:tc>
      </w:tr>
      <w:tr w:rsidR="007C4016" w:rsidRPr="00833D3A" w:rsidTr="005C782A">
        <w:tc>
          <w:tcPr>
            <w:tcW w:w="1340" w:type="pct"/>
          </w:tcPr>
          <w:p w:rsidR="007C4016" w:rsidRPr="00833D3A" w:rsidRDefault="007C4016" w:rsidP="005C782A">
            <w:pPr>
              <w:pStyle w:val="IFTnormal"/>
              <w:tabs>
                <w:tab w:val="left" w:pos="567"/>
              </w:tabs>
              <w:spacing w:after="0"/>
            </w:pPr>
            <w:r>
              <w:lastRenderedPageBreak/>
              <w:t>Revisión de Proyecto y Cotización</w:t>
            </w:r>
          </w:p>
        </w:tc>
        <w:tc>
          <w:tcPr>
            <w:tcW w:w="3660" w:type="pct"/>
            <w:shd w:val="clear" w:color="auto" w:fill="auto"/>
          </w:tcPr>
          <w:p w:rsidR="007C4016" w:rsidRPr="00833D3A" w:rsidRDefault="007C4016" w:rsidP="005C782A">
            <w:pPr>
              <w:pStyle w:val="IFTnormal"/>
              <w:spacing w:after="0"/>
            </w:pPr>
            <w:r>
              <w:t xml:space="preserve">Una vez determinada la Factibilidad de la Nueva Obra Civil, Telnor envía el proyecto y cotización </w:t>
            </w:r>
            <w:r w:rsidRPr="00833D3A">
              <w:t>(</w:t>
            </w:r>
            <w:r>
              <w:t>10 días hábiles</w:t>
            </w:r>
            <w:r w:rsidRPr="00833D3A">
              <w:t>)</w:t>
            </w:r>
            <w:r>
              <w:t xml:space="preserve"> a fin de que el CS responda</w:t>
            </w:r>
            <w:r w:rsidRPr="00833D3A">
              <w:t>:</w:t>
            </w:r>
          </w:p>
          <w:p w:rsidR="007C4016" w:rsidRPr="00833D3A" w:rsidRDefault="007C4016" w:rsidP="005C782A">
            <w:pPr>
              <w:pStyle w:val="IFTnormal"/>
              <w:numPr>
                <w:ilvl w:val="0"/>
                <w:numId w:val="63"/>
              </w:numPr>
              <w:spacing w:after="0"/>
            </w:pPr>
            <w:r>
              <w:t xml:space="preserve">Acepta cotización. </w:t>
            </w:r>
            <w:r>
              <w:rPr>
                <w:lang w:val="es-ES"/>
              </w:rPr>
              <w:t>Telnor</w:t>
            </w:r>
            <w:r w:rsidRPr="00716C42">
              <w:rPr>
                <w:lang w:val="es-ES"/>
              </w:rPr>
              <w:t xml:space="preserve"> </w:t>
            </w:r>
            <w:r>
              <w:rPr>
                <w:lang w:val="es-ES"/>
              </w:rPr>
              <w:t>actualiza el Proyecto considerando lo solicitado por el CS y envía plan de trabajo.</w:t>
            </w:r>
          </w:p>
          <w:p w:rsidR="007C4016" w:rsidRPr="00833D3A" w:rsidRDefault="007C4016" w:rsidP="005C782A">
            <w:pPr>
              <w:pStyle w:val="IFTnormal"/>
              <w:numPr>
                <w:ilvl w:val="0"/>
                <w:numId w:val="63"/>
              </w:numPr>
              <w:spacing w:after="0"/>
            </w:pPr>
            <w:r w:rsidRPr="00E57A1A">
              <w:t>No acepta cotización, podrá negociar el presupuesto o informar su completo rechazo, en cuyo caso se finalizará el procedimiento</w:t>
            </w:r>
            <w:r w:rsidRPr="001E78B5">
              <w:t>. En caso de que el proyecto resulte no factible, el CS podrá requerir adecuaciones para ajustes en el presupuesto o cotización.</w:t>
            </w:r>
          </w:p>
        </w:tc>
      </w:tr>
      <w:tr w:rsidR="007C4016" w:rsidRPr="00833D3A" w:rsidTr="005C782A">
        <w:tc>
          <w:tcPr>
            <w:tcW w:w="1340" w:type="pct"/>
          </w:tcPr>
          <w:p w:rsidR="007C4016" w:rsidRPr="00833D3A" w:rsidRDefault="007C4016" w:rsidP="005C782A">
            <w:pPr>
              <w:pStyle w:val="IFTnormal"/>
              <w:spacing w:after="0"/>
              <w:rPr>
                <w:highlight w:val="cyan"/>
              </w:rPr>
            </w:pPr>
            <w:r w:rsidRPr="00833D3A">
              <w:t>Instalación de Infraestructura</w:t>
            </w:r>
          </w:p>
        </w:tc>
        <w:tc>
          <w:tcPr>
            <w:tcW w:w="3660" w:type="pct"/>
          </w:tcPr>
          <w:p w:rsidR="007C4016" w:rsidRPr="00833D3A" w:rsidRDefault="007C4016" w:rsidP="005C782A">
            <w:pPr>
              <w:pStyle w:val="IFTnormal"/>
              <w:spacing w:after="0"/>
            </w:pPr>
            <w:r>
              <w:t xml:space="preserve">Telnor </w:t>
            </w:r>
            <w:r w:rsidRPr="00716C42">
              <w:rPr>
                <w:lang w:val="es-ES"/>
              </w:rPr>
              <w:t xml:space="preserve">establecerá una vía de </w:t>
            </w:r>
            <w:r>
              <w:rPr>
                <w:lang w:val="es-ES"/>
              </w:rPr>
              <w:t xml:space="preserve">comunicación constante con el </w:t>
            </w:r>
            <w:r w:rsidRPr="00833D3A">
              <w:t>CS</w:t>
            </w:r>
            <w:r>
              <w:t>, una vez definida las fechas de inicio de trabajos, Telnor informará al CS las mismas así como de</w:t>
            </w:r>
            <w:r w:rsidRPr="00833D3A">
              <w:t xml:space="preserve"> término</w:t>
            </w:r>
            <w:r>
              <w:t>.</w:t>
            </w:r>
          </w:p>
          <w:p w:rsidR="007C4016" w:rsidRDefault="007C4016" w:rsidP="005C782A">
            <w:pPr>
              <w:pStyle w:val="IFTnormal"/>
              <w:spacing w:after="0"/>
            </w:pPr>
            <w:r>
              <w:t>Telnor</w:t>
            </w:r>
            <w:r w:rsidRPr="00833D3A">
              <w:t xml:space="preserve"> </w:t>
            </w:r>
            <w:r>
              <w:t xml:space="preserve">dará al CS reportes semanales </w:t>
            </w:r>
            <w:r w:rsidRPr="00716C42">
              <w:rPr>
                <w:lang w:val="es-ES"/>
              </w:rPr>
              <w:t>sobre la evolución de</w:t>
            </w:r>
            <w:r>
              <w:rPr>
                <w:lang w:val="es-ES"/>
              </w:rPr>
              <w:t xml:space="preserve"> </w:t>
            </w:r>
            <w:r w:rsidRPr="00716C42">
              <w:rPr>
                <w:lang w:val="es-ES"/>
              </w:rPr>
              <w:t>l</w:t>
            </w:r>
            <w:r>
              <w:rPr>
                <w:lang w:val="es-ES"/>
              </w:rPr>
              <w:t>a construcción de la Nueva Obra Civil, considerando el plan de trabajo a fin de</w:t>
            </w:r>
            <w:r w:rsidRPr="00716C42">
              <w:rPr>
                <w:lang w:val="es-ES"/>
              </w:rPr>
              <w:t xml:space="preserve"> acordar tiempos de instalación de infraestructura</w:t>
            </w:r>
            <w:r>
              <w:rPr>
                <w:lang w:val="es-ES"/>
              </w:rPr>
              <w:t xml:space="preserve"> tanto del CS como de Telnor</w:t>
            </w:r>
            <w:r w:rsidRPr="00716C42">
              <w:rPr>
                <w:lang w:val="es-ES"/>
              </w:rPr>
              <w:t xml:space="preserve"> </w:t>
            </w:r>
            <w:r>
              <w:rPr>
                <w:lang w:val="es-ES"/>
              </w:rPr>
              <w:t>y entrega del servicio.</w:t>
            </w:r>
            <w:r w:rsidRPr="00833D3A">
              <w:t xml:space="preserve"> </w:t>
            </w:r>
          </w:p>
          <w:p w:rsidR="007C4016" w:rsidRPr="00833D3A" w:rsidRDefault="007C4016" w:rsidP="005C782A">
            <w:pPr>
              <w:pStyle w:val="IFTnormal"/>
              <w:spacing w:after="0"/>
            </w:pPr>
            <w:r>
              <w:t>Telnor</w:t>
            </w:r>
            <w:r w:rsidRPr="00833D3A">
              <w:t xml:space="preserve"> </w:t>
            </w:r>
            <w:r w:rsidRPr="00125EFE">
              <w:t>realizar</w:t>
            </w:r>
            <w:r>
              <w:t xml:space="preserve">á </w:t>
            </w:r>
            <w:r w:rsidRPr="00125EFE">
              <w:t>la instalación d</w:t>
            </w:r>
            <w:r>
              <w:t>e la Nueva Obra Civil</w:t>
            </w:r>
            <w:r w:rsidRPr="00125EFE">
              <w:t xml:space="preserve"> de acuerdo con las caracter</w:t>
            </w:r>
            <w:r>
              <w:t>ísticas y normatividad técnica</w:t>
            </w:r>
            <w:r w:rsidRPr="00125EFE">
              <w:t xml:space="preserve"> que se establecen en el Anexo 2 de la Oferta</w:t>
            </w:r>
            <w:r>
              <w:t>.</w:t>
            </w:r>
            <w:r w:rsidRPr="00125EFE">
              <w:t xml:space="preserve"> </w:t>
            </w:r>
          </w:p>
        </w:tc>
      </w:tr>
      <w:tr w:rsidR="007C4016" w:rsidRPr="00833D3A" w:rsidTr="005C782A">
        <w:tc>
          <w:tcPr>
            <w:tcW w:w="1340" w:type="pct"/>
          </w:tcPr>
          <w:p w:rsidR="007C4016" w:rsidRPr="00833D3A" w:rsidRDefault="007C4016" w:rsidP="005C782A">
            <w:pPr>
              <w:pStyle w:val="IFTnormal"/>
              <w:spacing w:after="0"/>
            </w:pPr>
            <w:r w:rsidRPr="00833D3A">
              <w:lastRenderedPageBreak/>
              <w:t>Verificación de Instalación de Infraestructura</w:t>
            </w:r>
          </w:p>
        </w:tc>
        <w:tc>
          <w:tcPr>
            <w:tcW w:w="3660" w:type="pct"/>
          </w:tcPr>
          <w:p w:rsidR="007C4016" w:rsidRPr="001E78B5" w:rsidRDefault="007C4016" w:rsidP="005C782A">
            <w:pPr>
              <w:pStyle w:val="IFTnormal"/>
              <w:spacing w:after="0"/>
            </w:pPr>
            <w:r w:rsidRPr="001E78B5">
              <w:t xml:space="preserve">El plazo de entrega de la Nueva Obra Civil por parte de </w:t>
            </w:r>
            <w:r>
              <w:t>Telnor</w:t>
            </w:r>
            <w:r w:rsidRPr="001E78B5">
              <w:t xml:space="preserve"> al CS deberá ser de 8 días hábiles posteriores a la finalización del proyecto de Nueva Obra Civil, con el propósito de que el CS pueda disponer del servicio solicitado, se debe firmar en sitio el acta de recepción de los trabajos de acuerdo a la cotización y plan de trabajo.</w:t>
            </w:r>
          </w:p>
        </w:tc>
      </w:tr>
      <w:tr w:rsidR="007C4016" w:rsidRPr="00833D3A" w:rsidTr="005C782A">
        <w:tc>
          <w:tcPr>
            <w:tcW w:w="1340" w:type="pct"/>
            <w:shd w:val="clear" w:color="auto" w:fill="auto"/>
          </w:tcPr>
          <w:p w:rsidR="007C4016" w:rsidRPr="00833D3A" w:rsidRDefault="007C4016" w:rsidP="005C782A">
            <w:pPr>
              <w:pStyle w:val="IFTnormal"/>
              <w:spacing w:after="0"/>
            </w:pPr>
            <w:r w:rsidRPr="00833D3A">
              <w:t>Facturación</w:t>
            </w:r>
          </w:p>
        </w:tc>
        <w:tc>
          <w:tcPr>
            <w:tcW w:w="3660" w:type="pct"/>
            <w:shd w:val="clear" w:color="auto" w:fill="auto"/>
          </w:tcPr>
          <w:p w:rsidR="007C4016" w:rsidRDefault="007C4016" w:rsidP="005C782A">
            <w:pPr>
              <w:pStyle w:val="IFTnormal"/>
              <w:spacing w:after="0"/>
              <w:rPr>
                <w:lang w:val="es-ES"/>
              </w:rPr>
            </w:pPr>
            <w:r w:rsidRPr="00125EFE">
              <w:t xml:space="preserve">Debido a las características de la operación de </w:t>
            </w:r>
            <w:r>
              <w:t>Telnor</w:t>
            </w:r>
            <w:r w:rsidRPr="00125EFE">
              <w:t>, y a que los trabajos de despliegue de</w:t>
            </w:r>
            <w:r w:rsidRPr="00716C42">
              <w:rPr>
                <w:lang w:val="es-ES"/>
              </w:rPr>
              <w:t xml:space="preserve"> nueva Obra Civil cambiarán en función de las características de los proyectos de los CS, no será posible establecer un mecanismo de cobro único y aplicable para todos los trabajos, por lo tanto, se establecerá un mecanismo de comunicación constant</w:t>
            </w:r>
            <w:r>
              <w:rPr>
                <w:lang w:val="es-ES"/>
              </w:rPr>
              <w:t>e para acordar y convenir las tarifas y facturación de los trabajos realizados.</w:t>
            </w:r>
          </w:p>
          <w:p w:rsidR="007C4016" w:rsidRPr="00125EFE" w:rsidRDefault="007C4016" w:rsidP="005C782A">
            <w:pPr>
              <w:pStyle w:val="IFTnormal"/>
              <w:spacing w:after="0"/>
            </w:pPr>
            <w:r w:rsidRPr="00833D3A">
              <w:t xml:space="preserve">Una vez firmado el </w:t>
            </w:r>
            <w:r>
              <w:t>acta</w:t>
            </w:r>
            <w:r w:rsidRPr="00833D3A">
              <w:t xml:space="preserve"> </w:t>
            </w:r>
            <w:r>
              <w:t>Telnor</w:t>
            </w:r>
            <w:r w:rsidRPr="00833D3A">
              <w:t xml:space="preserve"> </w:t>
            </w:r>
            <w:r>
              <w:t xml:space="preserve">podrá facturar los trabajos cotizados. Telnor </w:t>
            </w:r>
            <w:r w:rsidRPr="00833D3A">
              <w:t xml:space="preserve">deberá integrar el </w:t>
            </w:r>
            <w:r>
              <w:t>acta firmada</w:t>
            </w:r>
            <w:r w:rsidRPr="00833D3A">
              <w:t xml:space="preserve"> escaneada al SEG</w:t>
            </w:r>
            <w:r>
              <w:t xml:space="preserve"> en un máximo de 5 días hábiles</w:t>
            </w:r>
            <w:r w:rsidRPr="00833D3A">
              <w:t>.</w:t>
            </w:r>
          </w:p>
        </w:tc>
      </w:tr>
    </w:tbl>
    <w:p w:rsidR="007C4016" w:rsidRDefault="007C4016" w:rsidP="007C4016">
      <w:pPr>
        <w:pStyle w:val="CondicionesFinales"/>
        <w:spacing w:before="240" w:after="0"/>
      </w:pPr>
      <w:r w:rsidRPr="00716C42">
        <w:t xml:space="preserve">Nota: Debido a las características de la operación de </w:t>
      </w:r>
      <w:r>
        <w:t>Telnor</w:t>
      </w:r>
      <w:r w:rsidRPr="00716C42">
        <w:t>, y a que los trabajos de despliegue de nueva Obra Civil cambiarán en función de las características de los proyectos de los CS, no será posible establecer un mecanismo de cobro único y aplicable para todos los trabajos, por lo tanto, se establecerá un mecanismo de comunicación constante para a</w:t>
      </w:r>
      <w:r>
        <w:t>cordar y convenir sobre</w:t>
      </w:r>
      <w:r w:rsidRPr="00716C42">
        <w:t xml:space="preserve"> tiempos de entrega, parámetros de calidad, y otros temas relevantes.</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7.2</w:t>
      </w:r>
      <w:r w:rsidRPr="006A7AA7">
        <w:rPr>
          <w:rFonts w:ascii="ITC Avant Garde" w:hAnsi="ITC Avant Garde"/>
          <w:b/>
          <w:sz w:val="22"/>
          <w:szCs w:val="22"/>
        </w:rPr>
        <w:tab/>
        <w:t xml:space="preserve"> ACONDICIONAMIENTO DE LA INFRAESTRUCTURA</w:t>
      </w:r>
    </w:p>
    <w:p w:rsidR="007C4016" w:rsidRPr="00BF4959" w:rsidRDefault="007C4016" w:rsidP="007C4016">
      <w:pPr>
        <w:pStyle w:val="IFTnormal"/>
        <w:spacing w:before="240" w:after="0"/>
        <w:rPr>
          <w:b/>
        </w:rPr>
      </w:pPr>
      <w:r w:rsidRPr="00BF4959">
        <w:rPr>
          <w:b/>
        </w:rPr>
        <w:t>Consideraciones del Instituto</w:t>
      </w:r>
    </w:p>
    <w:p w:rsidR="007C4016" w:rsidRPr="002802DB"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Pr="007731BC" w:rsidRDefault="007C4016" w:rsidP="007C4016">
      <w:pPr>
        <w:pStyle w:val="IFTnormal"/>
        <w:spacing w:before="240" w:after="0"/>
        <w:rPr>
          <w:lang w:val="es-ES"/>
        </w:rPr>
      </w:pPr>
      <w:r>
        <w:rPr>
          <w:lang w:val="es-ES"/>
        </w:rPr>
        <w:lastRenderedPageBreak/>
        <w:t>El Instituto considera que los cambios presentados por el AEP en el numeral “</w:t>
      </w:r>
      <w:r w:rsidRPr="003E43FF">
        <w:rPr>
          <w:lang w:val="es-ES"/>
        </w:rPr>
        <w:t>7.2</w:t>
      </w:r>
      <w:r w:rsidRPr="003E43FF">
        <w:rPr>
          <w:lang w:val="es-ES"/>
        </w:rPr>
        <w:tab/>
        <w:t xml:space="preserve"> ACONDICIONAMIENTO DE LA INFRAESTRUCTURA</w:t>
      </w:r>
      <w:r w:rsidRPr="00E268E3">
        <w:rPr>
          <w:lang w:val="es-ES"/>
        </w:rPr>
        <w:t>”</w:t>
      </w:r>
      <w:r>
        <w:rPr>
          <w:lang w:val="es-ES"/>
        </w:rPr>
        <w:t xml:space="preserve"> no son aceptables, derivado de la homologación realizada a los procedimiento de contratación, modificación y baja de los servicios principales de la Propuesta de Oferta de Referencia,  y en consistencia con lo dispuesto en la Medida CUADRAGÉSIMA PRIMERA, por lo  tanto, se deben realizar puntualizaciones específicas a la</w:t>
      </w:r>
      <w:r w:rsidRPr="00E65EDC">
        <w:rPr>
          <w:lang w:val="es-ES"/>
        </w:rPr>
        <w:t xml:space="preserve"> </w:t>
      </w:r>
      <w:r>
        <w:rPr>
          <w:lang w:val="es-ES"/>
        </w:rPr>
        <w:t>redacción de estos trabajos, con el fin de otorgar</w:t>
      </w:r>
      <w:r w:rsidRPr="00E65EDC">
        <w:rPr>
          <w:lang w:val="es-ES"/>
        </w:rPr>
        <w:t xml:space="preserve"> </w:t>
      </w:r>
      <w:r>
        <w:rPr>
          <w:lang w:val="es-ES"/>
        </w:rPr>
        <w:t>consistencia con las demás secciones.</w:t>
      </w:r>
    </w:p>
    <w:p w:rsidR="007C4016" w:rsidRDefault="007C4016" w:rsidP="007C4016">
      <w:pPr>
        <w:pStyle w:val="IFTnormal"/>
        <w:spacing w:before="240" w:after="0"/>
        <w:rPr>
          <w:lang w:val="es-ES"/>
        </w:rPr>
      </w:pPr>
      <w:r>
        <w:rPr>
          <w:lang w:val="es-ES"/>
        </w:rPr>
        <w:t>En este sentido, la Medida QUADRAGÉSIMA PRIMERA establece que las Ofertas de Referencia deberán contener las condiciones aplicables a los servicios, como se muestra a continuación:</w:t>
      </w:r>
    </w:p>
    <w:p w:rsidR="007C4016" w:rsidRDefault="007C4016" w:rsidP="007C4016">
      <w:pPr>
        <w:pStyle w:val="Citaift0"/>
        <w:spacing w:before="240" w:after="0"/>
        <w:rPr>
          <w:lang w:val="es-ES"/>
        </w:rPr>
      </w:pPr>
      <w:r w:rsidRPr="00B06A4F">
        <w:rPr>
          <w:b/>
          <w:lang w:val="es-ES"/>
        </w:rPr>
        <w:t>CUADRAGÉSIMA PRIMERA.-</w:t>
      </w:r>
      <w:r w:rsidRPr="0087469D">
        <w:rPr>
          <w:lang w:val="es-ES"/>
        </w:rPr>
        <w:t xml:space="preserve"> </w:t>
      </w:r>
      <w:r w:rsidRPr="002D5EBD">
        <w:rPr>
          <w:lang w:val="es-ES"/>
        </w:rPr>
        <w:t>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7C4016" w:rsidRPr="005C1C00" w:rsidRDefault="007C4016" w:rsidP="007C4016">
      <w:pPr>
        <w:pStyle w:val="Citaift0"/>
        <w:spacing w:before="240" w:after="0"/>
        <w:jc w:val="right"/>
      </w:pPr>
      <w:r>
        <w:t>Párrafo modificado</w:t>
      </w:r>
      <w:r w:rsidRPr="003C1A27">
        <w:t xml:space="preserve"> Resolución </w:t>
      </w:r>
      <w:r>
        <w:t>P/IFT/EXT/270217/119</w:t>
      </w:r>
    </w:p>
    <w:p w:rsidR="007C4016" w:rsidRPr="00504239" w:rsidRDefault="007C4016" w:rsidP="007C4016">
      <w:pPr>
        <w:pStyle w:val="Citaift0"/>
        <w:spacing w:before="240" w:after="0"/>
        <w:rPr>
          <w:b/>
          <w:u w:val="single"/>
          <w:lang w:val="es-ES"/>
        </w:rPr>
      </w:pPr>
      <w:r w:rsidRPr="00504239">
        <w:rPr>
          <w:b/>
          <w:u w:val="single"/>
          <w:lang w:val="es-ES"/>
        </w:rPr>
        <w:t>Cada oferta deberá contener cuando menos lo siguiente:</w:t>
      </w:r>
    </w:p>
    <w:p w:rsidR="007C4016" w:rsidRPr="005C1C00" w:rsidRDefault="007C4016" w:rsidP="007C4016">
      <w:pPr>
        <w:pStyle w:val="Citaift0"/>
        <w:spacing w:before="240" w:after="0"/>
        <w:jc w:val="right"/>
      </w:pPr>
      <w:r>
        <w:t>Párrafo adicionado</w:t>
      </w:r>
      <w:r w:rsidRPr="003C1A27">
        <w:t xml:space="preserve"> Resolución </w:t>
      </w:r>
      <w:r>
        <w:t>P/IFT/EXT/270217/119</w:t>
      </w:r>
    </w:p>
    <w:p w:rsidR="007C4016" w:rsidRPr="00504239" w:rsidRDefault="007C4016" w:rsidP="007C4016">
      <w:pPr>
        <w:pStyle w:val="Citaift0"/>
        <w:numPr>
          <w:ilvl w:val="0"/>
          <w:numId w:val="199"/>
        </w:numPr>
        <w:spacing w:before="240" w:after="0"/>
        <w:rPr>
          <w:b/>
          <w:u w:val="single"/>
          <w:lang w:val="es-ES"/>
        </w:rPr>
      </w:pPr>
      <w:r w:rsidRPr="00504239">
        <w:rPr>
          <w:b/>
          <w:u w:val="single"/>
          <w:lang w:val="es-ES"/>
        </w:rPr>
        <w:t>Servicios establecidos de manera específica y condiciones aplicables a los mismos;</w:t>
      </w:r>
    </w:p>
    <w:p w:rsidR="007C4016" w:rsidRPr="005C1C00" w:rsidRDefault="007C4016" w:rsidP="007C4016">
      <w:pPr>
        <w:pStyle w:val="Citaift0"/>
        <w:spacing w:before="240" w:after="0"/>
        <w:jc w:val="right"/>
      </w:pPr>
      <w:r>
        <w:t>Inciso modificado</w:t>
      </w:r>
      <w:r w:rsidRPr="003C1A27">
        <w:t xml:space="preserve"> Resolución </w:t>
      </w:r>
      <w:r>
        <w:t>P/IFT/EXT/270217/119</w:t>
      </w:r>
    </w:p>
    <w:p w:rsidR="007C4016" w:rsidRDefault="007C4016" w:rsidP="007C4016">
      <w:pPr>
        <w:pStyle w:val="Citaift0"/>
        <w:numPr>
          <w:ilvl w:val="0"/>
          <w:numId w:val="199"/>
        </w:numPr>
        <w:spacing w:before="240" w:after="0"/>
        <w:rPr>
          <w:lang w:val="es-ES"/>
        </w:rPr>
      </w:pPr>
      <w:r w:rsidRPr="00B06A4F">
        <w:rPr>
          <w:lang w:val="es-ES"/>
        </w:rPr>
        <w:t>Características de los servicios incluidos, así como de los servicios auxiliares en caso de ser necesarios;</w:t>
      </w:r>
    </w:p>
    <w:p w:rsidR="007C4016" w:rsidRPr="00504239" w:rsidRDefault="007C4016" w:rsidP="007C4016">
      <w:pPr>
        <w:pStyle w:val="Citaift0"/>
        <w:spacing w:before="240" w:after="0"/>
        <w:jc w:val="right"/>
      </w:pPr>
      <w:r w:rsidRPr="00504239">
        <w:t>Inciso modificado Resolución P/IFT/EXT/270217/119</w:t>
      </w:r>
    </w:p>
    <w:p w:rsidR="007C4016" w:rsidRPr="00504239" w:rsidRDefault="007C4016" w:rsidP="007C4016">
      <w:pPr>
        <w:pStyle w:val="Citaift0"/>
        <w:numPr>
          <w:ilvl w:val="0"/>
          <w:numId w:val="199"/>
        </w:numPr>
        <w:spacing w:before="240" w:after="0"/>
        <w:rPr>
          <w:lang w:val="es-ES"/>
        </w:rPr>
      </w:pPr>
      <w:r w:rsidRPr="00504239">
        <w:rPr>
          <w:lang w:val="es-ES"/>
        </w:rPr>
        <w:t>Procedimientos para la solicitud de servicios, entrega de los servicios, conciliación y facturación, reparación de fallas, mantenimiento y gestión de incidencias, y demás necesarios para la eficiente prestación del servicio;</w:t>
      </w:r>
    </w:p>
    <w:p w:rsidR="007C4016" w:rsidRDefault="007C4016" w:rsidP="007C4016">
      <w:pPr>
        <w:pStyle w:val="Citaift0"/>
        <w:spacing w:before="240" w:after="0"/>
        <w:rPr>
          <w:lang w:val="es-ES"/>
        </w:rPr>
      </w:pPr>
      <w:r>
        <w:rPr>
          <w:lang w:val="es-ES"/>
        </w:rPr>
        <w:t>[…]”</w:t>
      </w:r>
    </w:p>
    <w:p w:rsidR="007C4016" w:rsidRDefault="007C4016" w:rsidP="007C4016">
      <w:pPr>
        <w:pStyle w:val="Citaift0"/>
        <w:spacing w:before="240" w:after="0"/>
        <w:jc w:val="right"/>
        <w:rPr>
          <w:lang w:val="es-ES"/>
        </w:rPr>
      </w:pPr>
      <w:r>
        <w:rPr>
          <w:lang w:val="es-ES"/>
        </w:rPr>
        <w:lastRenderedPageBreak/>
        <w:t>(Énfasis añadido)</w:t>
      </w:r>
    </w:p>
    <w:p w:rsidR="007C4016" w:rsidRDefault="007C4016" w:rsidP="007C4016">
      <w:pPr>
        <w:pStyle w:val="IFTnormal"/>
        <w:spacing w:before="240" w:after="0"/>
        <w:rPr>
          <w:lang w:val="es-ES"/>
        </w:rPr>
      </w:pPr>
      <w:r>
        <w:rPr>
          <w:lang w:val="es-ES"/>
        </w:rPr>
        <w:t xml:space="preserve">De lo anterior, a juicio del Instituto, la descripción de los servicios deberá contener el alcance, términos y condiciones para la eficiente prestación del servicio, con la finalidad </w:t>
      </w:r>
      <w:r w:rsidRPr="00504239">
        <w:rPr>
          <w:lang w:val="es-ES"/>
        </w:rPr>
        <w:t>de brindar certeza a l</w:t>
      </w:r>
      <w:r>
        <w:rPr>
          <w:lang w:val="es-ES"/>
        </w:rPr>
        <w:t>os CS sobre lo contratado y su respectivo procedimiento, además de eliminar posibles condiciones que pudieran inhibir la competencia en la prestación de los mismos. Por consiguiente, el Instituto considera añadir al numeral “</w:t>
      </w:r>
      <w:r w:rsidRPr="00E67A45">
        <w:rPr>
          <w:lang w:val="es-ES"/>
        </w:rPr>
        <w:t>7.</w:t>
      </w:r>
      <w:r w:rsidRPr="005051F2">
        <w:rPr>
          <w:lang w:val="es-ES"/>
        </w:rPr>
        <w:t>2</w:t>
      </w:r>
      <w:r w:rsidRPr="005051F2">
        <w:rPr>
          <w:lang w:val="es-ES"/>
        </w:rPr>
        <w:tab/>
        <w:t xml:space="preserve"> ACONDICIONAMIENTO</w:t>
      </w:r>
      <w:r>
        <w:rPr>
          <w:lang w:val="es-ES"/>
        </w:rPr>
        <w:t xml:space="preserve"> DE </w:t>
      </w:r>
      <w:r w:rsidRPr="005051F2">
        <w:rPr>
          <w:lang w:val="es-ES"/>
        </w:rPr>
        <w:t>LA INFRAESTRUCTURA</w:t>
      </w:r>
      <w:r>
        <w:rPr>
          <w:lang w:val="es-ES"/>
        </w:rPr>
        <w:t>” redacciones complementarias que delimiten el objetivo de dicha tarea.</w:t>
      </w:r>
    </w:p>
    <w:p w:rsidR="007C4016" w:rsidRPr="004C0456" w:rsidRDefault="007C4016" w:rsidP="007C4016">
      <w:pPr>
        <w:pStyle w:val="IFTnormal"/>
        <w:spacing w:before="240" w:after="0"/>
        <w:rPr>
          <w:b/>
        </w:rPr>
      </w:pPr>
      <w:r>
        <w:rPr>
          <w:b/>
        </w:rPr>
        <w:t>REDACCIÓN DEFINITIVA</w:t>
      </w:r>
    </w:p>
    <w:p w:rsidR="007C4016" w:rsidRPr="00D841C7" w:rsidRDefault="007C4016" w:rsidP="007C4016">
      <w:pPr>
        <w:pStyle w:val="IFTnormal"/>
        <w:spacing w:before="240" w:after="0"/>
        <w:rPr>
          <w:rFonts w:eastAsia="Calibri"/>
          <w:b/>
          <w:i/>
          <w:sz w:val="18"/>
          <w:lang w:val="es-ES"/>
        </w:rPr>
      </w:pPr>
      <w:r w:rsidRPr="000B50E0">
        <w:rPr>
          <w:lang w:val="es-ES"/>
        </w:rPr>
        <w:t>Derivado del análisis previo, el Instituto resue</w:t>
      </w:r>
      <w:r>
        <w:rPr>
          <w:bCs w:val="0"/>
          <w:lang w:val="es-ES"/>
        </w:rPr>
        <w:t xml:space="preserve">lve modificar la </w:t>
      </w:r>
      <w:r w:rsidRPr="00A13E26">
        <w:rPr>
          <w:lang w:val="es-ES"/>
        </w:rPr>
        <w:t>Propuesta de Oferta de Referencia</w:t>
      </w:r>
      <w:r w:rsidRPr="000B50E0">
        <w:rPr>
          <w:bCs w:val="0"/>
          <w:lang w:val="es-ES"/>
        </w:rPr>
        <w:t xml:space="preserve"> para que en el apartado “</w:t>
      </w:r>
      <w:r w:rsidRPr="000E7CC8">
        <w:rPr>
          <w:rFonts w:eastAsiaTheme="minorHAnsi" w:cs="Arial"/>
          <w:lang w:val="es-ES"/>
        </w:rPr>
        <w:t>7.2</w:t>
      </w:r>
      <w:r w:rsidRPr="000E7CC8">
        <w:rPr>
          <w:rFonts w:eastAsiaTheme="minorHAnsi" w:cs="Arial"/>
          <w:lang w:val="es-ES"/>
        </w:rPr>
        <w:tab/>
        <w:t xml:space="preserve"> ACONDICIONAMIENTO DE LA INFRAESTRUCTURA</w:t>
      </w:r>
      <w:r w:rsidRPr="000B50E0">
        <w:rPr>
          <w:bCs w:val="0"/>
          <w:lang w:val="es-ES"/>
        </w:rPr>
        <w:t>” se integre lo siguiente:</w:t>
      </w:r>
    </w:p>
    <w:p w:rsidR="007C4016" w:rsidRPr="00BE5925" w:rsidRDefault="007C4016" w:rsidP="007C4016">
      <w:pPr>
        <w:pStyle w:val="Citaift0"/>
        <w:spacing w:before="240" w:after="0"/>
        <w:rPr>
          <w:rFonts w:eastAsiaTheme="minorHAnsi"/>
          <w:b/>
          <w:i w:val="0"/>
          <w:sz w:val="22"/>
          <w:szCs w:val="22"/>
          <w:lang w:val="es-ES"/>
        </w:rPr>
      </w:pPr>
      <w:r w:rsidRPr="00BE5925">
        <w:rPr>
          <w:rFonts w:eastAsiaTheme="minorHAnsi"/>
          <w:b/>
          <w:i w:val="0"/>
          <w:sz w:val="22"/>
          <w:szCs w:val="22"/>
          <w:lang w:val="es-ES"/>
        </w:rPr>
        <w:t>7.2</w:t>
      </w:r>
      <w:r w:rsidRPr="00BE5925">
        <w:rPr>
          <w:rFonts w:eastAsiaTheme="minorHAnsi"/>
          <w:b/>
          <w:i w:val="0"/>
          <w:sz w:val="22"/>
          <w:szCs w:val="22"/>
          <w:lang w:val="es-ES"/>
        </w:rPr>
        <w:tab/>
        <w:t xml:space="preserve"> Acondicionamiento de la Infraestructura</w:t>
      </w:r>
    </w:p>
    <w:p w:rsidR="007C4016" w:rsidRPr="00BE5925" w:rsidRDefault="007C4016" w:rsidP="007C4016">
      <w:pPr>
        <w:pStyle w:val="Citaift0"/>
        <w:spacing w:before="240" w:after="0"/>
        <w:rPr>
          <w:rFonts w:eastAsiaTheme="minorHAnsi"/>
          <w:i w:val="0"/>
          <w:sz w:val="22"/>
          <w:szCs w:val="22"/>
          <w:lang w:val="es-ES"/>
        </w:rPr>
      </w:pPr>
      <w:r w:rsidRPr="00BE5925">
        <w:rPr>
          <w:rFonts w:eastAsiaTheme="minorHAnsi"/>
          <w:i w:val="0"/>
          <w:sz w:val="22"/>
          <w:szCs w:val="22"/>
          <w:lang w:val="es-ES"/>
        </w:rPr>
        <w:t xml:space="preserve">El trabajo especial de Acondicionamiento de Infraestructura, se inicia cuando en </w:t>
      </w:r>
      <w:r>
        <w:rPr>
          <w:rFonts w:eastAsiaTheme="minorHAnsi"/>
          <w:i w:val="0"/>
          <w:sz w:val="22"/>
          <w:szCs w:val="22"/>
          <w:lang w:val="es-ES"/>
        </w:rPr>
        <w:t>la</w:t>
      </w:r>
      <w:r w:rsidRPr="0082211C">
        <w:rPr>
          <w:rFonts w:eastAsiaTheme="minorHAnsi"/>
          <w:i w:val="0"/>
          <w:sz w:val="22"/>
          <w:szCs w:val="22"/>
          <w:lang w:val="es-ES"/>
        </w:rPr>
        <w:t xml:space="preserve"> Visita Técnica</w:t>
      </w:r>
      <w:r w:rsidRPr="00BE5925">
        <w:rPr>
          <w:rFonts w:eastAsiaTheme="minorHAnsi"/>
          <w:i w:val="0"/>
          <w:sz w:val="22"/>
          <w:szCs w:val="22"/>
          <w:lang w:val="es-ES"/>
        </w:rPr>
        <w:t xml:space="preserve"> se detecta que para la prestación de los servicios de Compartición de Infraestructura es necesario realizar adecuaciones a la Infraestructura. Lo anterior, sin perjuicio de que el trabajo especial de Acondicionamiento de Infraestructura pueda ser solicitado por los concesionarios solicitantes durante la instalación de sus elementos.</w:t>
      </w:r>
    </w:p>
    <w:p w:rsidR="007C4016" w:rsidRPr="00BE5925" w:rsidRDefault="007C4016" w:rsidP="007C4016">
      <w:pPr>
        <w:pStyle w:val="Citaift0"/>
        <w:spacing w:before="240" w:after="0"/>
        <w:rPr>
          <w:rFonts w:eastAsiaTheme="minorHAnsi"/>
          <w:i w:val="0"/>
          <w:sz w:val="22"/>
          <w:szCs w:val="22"/>
          <w:lang w:val="es-ES"/>
        </w:rPr>
      </w:pPr>
      <w:r w:rsidRPr="00AA3FC2">
        <w:rPr>
          <w:rFonts w:eastAsiaTheme="minorHAnsi"/>
          <w:i w:val="0"/>
          <w:sz w:val="22"/>
          <w:szCs w:val="22"/>
          <w:lang w:val="es-ES"/>
        </w:rPr>
        <w:t>El proyecto se cotizará de manera particular</w:t>
      </w:r>
      <w:r>
        <w:rPr>
          <w:rFonts w:eastAsiaTheme="minorHAnsi"/>
          <w:i w:val="0"/>
          <w:sz w:val="22"/>
          <w:szCs w:val="22"/>
          <w:vertAlign w:val="superscript"/>
          <w:lang w:val="es-ES"/>
        </w:rPr>
        <w:t>16</w:t>
      </w:r>
      <w:r w:rsidRPr="00AA3FC2">
        <w:rPr>
          <w:rFonts w:eastAsiaTheme="minorHAnsi"/>
          <w:i w:val="0"/>
          <w:sz w:val="22"/>
          <w:szCs w:val="22"/>
          <w:lang w:val="es-ES"/>
        </w:rPr>
        <w:t xml:space="preserve">  y el precio variará de acuerdo a la cantidad de elementos de infraestructura que sean necesarios de reparar, restaurar, modificar o adecuar. El CS deberá cubrir el costo de la realización del proyecto y la gestión administrativa del mismo, considerando únicamente aquellos gastos que no sean directamente atribuibles a </w:t>
      </w:r>
      <w:r>
        <w:rPr>
          <w:rFonts w:eastAsiaTheme="minorHAnsi"/>
          <w:i w:val="0"/>
          <w:sz w:val="22"/>
          <w:szCs w:val="22"/>
          <w:lang w:val="es-ES"/>
        </w:rPr>
        <w:t>Telnor</w:t>
      </w:r>
      <w:r w:rsidRPr="00AA3FC2">
        <w:rPr>
          <w:rFonts w:eastAsiaTheme="minorHAnsi"/>
          <w:i w:val="0"/>
          <w:sz w:val="22"/>
          <w:szCs w:val="22"/>
          <w:lang w:val="es-ES"/>
        </w:rPr>
        <w:t xml:space="preserve"> como parte del mantenimiento preventivo y correctivo que debe dar a su infraestructura de red.</w:t>
      </w:r>
    </w:p>
    <w:p w:rsidR="007C4016" w:rsidRPr="0082211C" w:rsidRDefault="007C4016" w:rsidP="007C4016">
      <w:pPr>
        <w:pStyle w:val="Citaift0"/>
        <w:spacing w:before="240" w:after="0"/>
        <w:rPr>
          <w:rFonts w:eastAsiaTheme="minorHAnsi"/>
          <w:i w:val="0"/>
          <w:sz w:val="22"/>
          <w:szCs w:val="22"/>
          <w:lang w:val="es-ES"/>
        </w:rPr>
      </w:pPr>
      <w:r>
        <w:rPr>
          <w:rFonts w:eastAsiaTheme="minorHAnsi"/>
          <w:i w:val="0"/>
          <w:sz w:val="22"/>
          <w:szCs w:val="22"/>
          <w:lang w:val="es-ES"/>
        </w:rPr>
        <w:t>Telnor</w:t>
      </w:r>
      <w:r w:rsidRPr="0082211C">
        <w:rPr>
          <w:rFonts w:eastAsiaTheme="minorHAnsi"/>
          <w:i w:val="0"/>
          <w:sz w:val="22"/>
          <w:szCs w:val="22"/>
          <w:lang w:val="es-ES"/>
        </w:rPr>
        <w:t xml:space="preserve"> deberá proporcionar al CS la cotización detallada de los trabajos a realizar, a fin de que el CS examine y determine si lo acepta o no. En caso de que el CS confirme la continuidad del Trabajo Especial, </w:t>
      </w:r>
      <w:r>
        <w:rPr>
          <w:rFonts w:eastAsiaTheme="minorHAnsi"/>
          <w:i w:val="0"/>
          <w:sz w:val="22"/>
          <w:szCs w:val="22"/>
          <w:lang w:val="es-ES"/>
        </w:rPr>
        <w:t>Telnor</w:t>
      </w:r>
      <w:r w:rsidRPr="0082211C">
        <w:rPr>
          <w:rFonts w:eastAsiaTheme="minorHAnsi"/>
          <w:i w:val="0"/>
          <w:sz w:val="22"/>
          <w:szCs w:val="22"/>
          <w:lang w:val="es-ES"/>
        </w:rPr>
        <w:t xml:space="preserve"> deberá entregar el plan de trabajo así como la fecha de inicio y fin de los mismos. Una vez concluidos los trabajos </w:t>
      </w:r>
      <w:r w:rsidRPr="0082211C">
        <w:rPr>
          <w:rFonts w:eastAsiaTheme="minorHAnsi"/>
          <w:i w:val="0"/>
          <w:sz w:val="22"/>
          <w:szCs w:val="22"/>
          <w:lang w:val="es-ES"/>
        </w:rPr>
        <w:lastRenderedPageBreak/>
        <w:t xml:space="preserve">especiales, </w:t>
      </w:r>
      <w:r>
        <w:rPr>
          <w:rFonts w:eastAsiaTheme="minorHAnsi"/>
          <w:i w:val="0"/>
          <w:sz w:val="22"/>
          <w:szCs w:val="22"/>
          <w:lang w:val="es-ES"/>
        </w:rPr>
        <w:t>Telnor</w:t>
      </w:r>
      <w:r w:rsidRPr="0082211C">
        <w:rPr>
          <w:rFonts w:eastAsiaTheme="minorHAnsi"/>
          <w:i w:val="0"/>
          <w:sz w:val="22"/>
          <w:szCs w:val="22"/>
          <w:lang w:val="es-ES"/>
        </w:rPr>
        <w:t xml:space="preserve"> deberá proporcionar al CS toda la información relativa al proyecto como isométricos, planos y toda la información necesaria para elaborar el Anteproyecto.</w:t>
      </w:r>
    </w:p>
    <w:p w:rsidR="007C4016" w:rsidRPr="00AA3FC2" w:rsidRDefault="007C4016" w:rsidP="007C4016">
      <w:pPr>
        <w:pStyle w:val="Citaift0"/>
        <w:spacing w:before="240" w:after="0"/>
        <w:rPr>
          <w:rFonts w:eastAsiaTheme="minorHAnsi"/>
          <w:i w:val="0"/>
          <w:sz w:val="22"/>
          <w:szCs w:val="22"/>
          <w:lang w:val="es-ES"/>
        </w:rPr>
      </w:pPr>
      <w:r>
        <w:rPr>
          <w:rFonts w:eastAsiaTheme="minorHAnsi"/>
          <w:i w:val="0"/>
          <w:sz w:val="22"/>
          <w:szCs w:val="22"/>
          <w:lang w:val="es-ES"/>
        </w:rPr>
        <w:t>Telnor</w:t>
      </w:r>
      <w:r w:rsidRPr="00AA3FC2">
        <w:rPr>
          <w:rFonts w:eastAsiaTheme="minorHAnsi"/>
          <w:i w:val="0"/>
          <w:sz w:val="22"/>
          <w:szCs w:val="22"/>
          <w:lang w:val="es-ES"/>
        </w:rPr>
        <w:t xml:space="preserve"> podrá instalar a requerimiento del CS infraestructura de postes nuevos, dedicada a soportar elementos activos (dicha infraestructura será solventada por el o los CS y pasará a ser parte de la Oferta).</w:t>
      </w:r>
    </w:p>
    <w:p w:rsidR="007C4016" w:rsidRPr="00AA3FC2" w:rsidRDefault="007C4016" w:rsidP="007C4016">
      <w:pPr>
        <w:pStyle w:val="Citaift0"/>
        <w:spacing w:before="240" w:after="0"/>
        <w:rPr>
          <w:rFonts w:eastAsiaTheme="minorHAnsi"/>
          <w:i w:val="0"/>
          <w:sz w:val="22"/>
          <w:szCs w:val="22"/>
          <w:lang w:val="es-ES"/>
        </w:rPr>
      </w:pPr>
      <w:r w:rsidRPr="00AA3FC2">
        <w:rPr>
          <w:rFonts w:eastAsiaTheme="minorHAnsi"/>
          <w:i w:val="0"/>
          <w:sz w:val="22"/>
          <w:szCs w:val="22"/>
          <w:lang w:val="es-ES"/>
        </w:rPr>
        <w:t xml:space="preserve">En el caso de que la evolución tecnológica permita la convivencia de los elementos activos con la infraestructura pasiva, </w:t>
      </w:r>
      <w:r>
        <w:rPr>
          <w:rFonts w:eastAsiaTheme="minorHAnsi"/>
          <w:i w:val="0"/>
          <w:sz w:val="22"/>
          <w:szCs w:val="22"/>
          <w:lang w:val="es-ES"/>
        </w:rPr>
        <w:t>Telnor</w:t>
      </w:r>
      <w:r w:rsidRPr="00AA3FC2">
        <w:rPr>
          <w:rFonts w:eastAsiaTheme="minorHAnsi"/>
          <w:i w:val="0"/>
          <w:sz w:val="22"/>
          <w:szCs w:val="22"/>
          <w:lang w:val="es-ES"/>
        </w:rPr>
        <w:t xml:space="preserve"> podrá atender vía un </w:t>
      </w:r>
      <w:r>
        <w:rPr>
          <w:rFonts w:eastAsiaTheme="minorHAnsi"/>
          <w:i w:val="0"/>
          <w:sz w:val="22"/>
          <w:szCs w:val="22"/>
          <w:lang w:val="es-ES"/>
        </w:rPr>
        <w:t>Trabajo</w:t>
      </w:r>
      <w:r w:rsidRPr="00AA3FC2">
        <w:rPr>
          <w:rFonts w:eastAsiaTheme="minorHAnsi"/>
          <w:i w:val="0"/>
          <w:sz w:val="22"/>
          <w:szCs w:val="22"/>
          <w:lang w:val="es-ES"/>
        </w:rPr>
        <w:t xml:space="preserve"> </w:t>
      </w:r>
      <w:r>
        <w:rPr>
          <w:rFonts w:eastAsiaTheme="minorHAnsi"/>
          <w:i w:val="0"/>
          <w:sz w:val="22"/>
          <w:szCs w:val="22"/>
          <w:lang w:val="es-ES"/>
        </w:rPr>
        <w:t>E</w:t>
      </w:r>
      <w:r w:rsidRPr="00AA3FC2">
        <w:rPr>
          <w:rFonts w:eastAsiaTheme="minorHAnsi"/>
          <w:i w:val="0"/>
          <w:sz w:val="22"/>
          <w:szCs w:val="22"/>
          <w:lang w:val="es-ES"/>
        </w:rPr>
        <w:t xml:space="preserve">special dicho requerimiento. </w:t>
      </w:r>
    </w:p>
    <w:p w:rsidR="007C4016" w:rsidRDefault="007C4016" w:rsidP="007C4016">
      <w:pPr>
        <w:pStyle w:val="Citaift0"/>
        <w:spacing w:before="240" w:after="0"/>
        <w:rPr>
          <w:rFonts w:eastAsiaTheme="minorHAnsi"/>
          <w:i w:val="0"/>
          <w:sz w:val="22"/>
          <w:szCs w:val="22"/>
          <w:highlight w:val="green"/>
          <w:lang w:val="es-ES"/>
        </w:rPr>
      </w:pPr>
      <w:r w:rsidRPr="00AA3FC2">
        <w:rPr>
          <w:rFonts w:eastAsiaTheme="minorHAnsi"/>
          <w:i w:val="0"/>
          <w:sz w:val="22"/>
          <w:szCs w:val="22"/>
          <w:lang w:val="es-ES"/>
        </w:rPr>
        <w:t>Los plazos de entrega variarán dependiendo de la complejidad de los trabajos necesarios.</w:t>
      </w:r>
    </w:p>
    <w:p w:rsidR="007C4016" w:rsidRPr="004B649F" w:rsidRDefault="007C4016" w:rsidP="007C4016">
      <w:pPr>
        <w:pStyle w:val="Citaift0"/>
        <w:spacing w:before="240" w:after="0"/>
        <w:rPr>
          <w:rFonts w:eastAsiaTheme="minorHAnsi"/>
          <w:i w:val="0"/>
          <w:sz w:val="22"/>
          <w:szCs w:val="22"/>
          <w:lang w:val="es-ES"/>
        </w:rPr>
      </w:pPr>
      <w:r w:rsidRPr="0082211C">
        <w:rPr>
          <w:rFonts w:eastAsiaTheme="minorHAnsi"/>
          <w:i w:val="0"/>
          <w:sz w:val="22"/>
          <w:szCs w:val="22"/>
          <w:lang w:val="es-ES"/>
        </w:rPr>
        <w:t>La facturación del Trabajo Especial “Acondicionamiento de Infraestructura” será posterior a la conclusión del procedimiento y deberá existir el acta de los trabajos firmada de conformidad por ambos.</w:t>
      </w:r>
    </w:p>
    <w:p w:rsidR="007C4016" w:rsidRPr="00BE5925" w:rsidRDefault="007C4016" w:rsidP="007C4016">
      <w:pPr>
        <w:pStyle w:val="Citaift0"/>
        <w:spacing w:before="240" w:after="0"/>
        <w:rPr>
          <w:rFonts w:eastAsiaTheme="minorHAnsi"/>
          <w:i w:val="0"/>
          <w:sz w:val="22"/>
          <w:szCs w:val="22"/>
          <w:lang w:val="es-ES"/>
        </w:rPr>
      </w:pPr>
      <w:r>
        <w:rPr>
          <w:rFonts w:eastAsiaTheme="minorHAnsi"/>
          <w:i w:val="0"/>
          <w:sz w:val="22"/>
          <w:szCs w:val="22"/>
          <w:lang w:val="es-ES"/>
        </w:rPr>
        <w:t>____________________________</w:t>
      </w:r>
    </w:p>
    <w:p w:rsidR="007C4016" w:rsidRDefault="007C4016" w:rsidP="007C4016">
      <w:pPr>
        <w:pStyle w:val="Citaift0"/>
        <w:spacing w:before="240" w:after="0"/>
        <w:rPr>
          <w:rFonts w:eastAsiaTheme="minorHAnsi"/>
          <w:i w:val="0"/>
          <w:sz w:val="22"/>
          <w:szCs w:val="22"/>
          <w:lang w:val="es-ES"/>
        </w:rPr>
      </w:pPr>
      <w:r w:rsidRPr="00AA3FC2">
        <w:rPr>
          <w:rFonts w:eastAsiaTheme="minorHAnsi"/>
          <w:i w:val="0"/>
          <w:sz w:val="22"/>
          <w:szCs w:val="22"/>
          <w:vertAlign w:val="superscript"/>
          <w:lang w:val="es-ES"/>
        </w:rPr>
        <w:t>16</w:t>
      </w:r>
      <w:r>
        <w:rPr>
          <w:rFonts w:eastAsiaTheme="minorHAnsi"/>
          <w:i w:val="0"/>
          <w:sz w:val="22"/>
          <w:szCs w:val="22"/>
          <w:lang w:val="es-ES"/>
        </w:rPr>
        <w:t xml:space="preserve"> </w:t>
      </w:r>
      <w:r w:rsidRPr="00AA3FC2">
        <w:rPr>
          <w:rFonts w:eastAsiaTheme="minorHAnsi"/>
          <w:i w:val="0"/>
          <w:sz w:val="22"/>
          <w:szCs w:val="22"/>
          <w:lang w:val="es-ES"/>
        </w:rPr>
        <w:t>Para los trabajos especiales de acondicionamiento también deberán considerarse viáticos y permisos cuando sean requeridos.</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A.</w:t>
      </w:r>
      <w:r w:rsidRPr="006A7AA7">
        <w:rPr>
          <w:rFonts w:ascii="ITC Avant Garde" w:hAnsi="ITC Avant Garde"/>
          <w:b/>
          <w:sz w:val="22"/>
          <w:szCs w:val="22"/>
        </w:rPr>
        <w:tab/>
        <w:t>PROCEDIMIENTO PARA EL ACONDICIONAMIENTO DE INFRAESTRUCTURA.</w:t>
      </w:r>
    </w:p>
    <w:p w:rsidR="007C4016" w:rsidRPr="00BF4959" w:rsidRDefault="007C4016" w:rsidP="007C4016">
      <w:pPr>
        <w:pStyle w:val="IFTnormal"/>
        <w:spacing w:before="240" w:after="0"/>
        <w:rPr>
          <w:b/>
        </w:rPr>
      </w:pPr>
      <w:r w:rsidRPr="00BF4959">
        <w:rPr>
          <w:b/>
        </w:rPr>
        <w:t>Consideraciones del Instituto</w:t>
      </w:r>
    </w:p>
    <w:p w:rsidR="007C4016" w:rsidRPr="002802DB"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pPr>
      <w:r w:rsidRPr="00C522FC">
        <w:t xml:space="preserve">Respecto a los procedimientos </w:t>
      </w:r>
      <w:r>
        <w:rPr>
          <w:lang w:val="es-ES"/>
        </w:rPr>
        <w:t>presentados por el AEP en el numeral “7</w:t>
      </w:r>
      <w:r w:rsidRPr="00C25D42">
        <w:rPr>
          <w:i/>
          <w:lang w:val="es-ES"/>
        </w:rPr>
        <w:t>.</w:t>
      </w:r>
      <w:r>
        <w:rPr>
          <w:i/>
          <w:lang w:val="es-ES"/>
        </w:rPr>
        <w:t xml:space="preserve">2 </w:t>
      </w:r>
      <w:r w:rsidRPr="00ED55E0">
        <w:rPr>
          <w:lang w:val="es-ES"/>
        </w:rPr>
        <w:t>Inciso</w:t>
      </w:r>
      <w:r>
        <w:rPr>
          <w:i/>
          <w:lang w:val="es-ES"/>
        </w:rPr>
        <w:t xml:space="preserve"> a)</w:t>
      </w:r>
      <w:r w:rsidRPr="00C25D42">
        <w:rPr>
          <w:i/>
          <w:lang w:val="es-ES"/>
        </w:rPr>
        <w:tab/>
      </w:r>
      <w:r>
        <w:rPr>
          <w:i/>
          <w:lang w:val="es-ES"/>
        </w:rPr>
        <w:t xml:space="preserve"> Procedimiento para el Acondicionamiento de Infraestructura</w:t>
      </w:r>
      <w:r>
        <w:rPr>
          <w:lang w:val="es-ES"/>
        </w:rPr>
        <w:t>”</w:t>
      </w:r>
      <w:r w:rsidRPr="00C522FC">
        <w:t xml:space="preserve">, </w:t>
      </w:r>
      <w:r>
        <w:t xml:space="preserve">el Instituto </w:t>
      </w:r>
      <w:r>
        <w:rPr>
          <w:lang w:val="es-ES"/>
        </w:rPr>
        <w:t xml:space="preserve">considera que la propuesta presentada no cumple ni se apegan a lo establecido en la Medida </w:t>
      </w:r>
      <w:r w:rsidRPr="004E7744">
        <w:rPr>
          <w:b/>
          <w:lang w:val="es-ES"/>
        </w:rPr>
        <w:t>CUADRAGÉSIMA PRIMERA</w:t>
      </w:r>
      <w:r w:rsidRPr="00DD77E4">
        <w:rPr>
          <w:lang w:val="es-ES"/>
        </w:rPr>
        <w:t xml:space="preserve"> de las Medidas Fijas</w:t>
      </w:r>
      <w:r>
        <w:rPr>
          <w:lang w:val="es-ES"/>
        </w:rPr>
        <w:t xml:space="preserve">, la cual puntualiza </w:t>
      </w:r>
      <w:r>
        <w:t xml:space="preserve">que la Oferta propuesta por el AEP deberá reflejar al menos condiciones equivalentes al de la Oferta de Referencia Vigente y deberá contar con procedimientos y plazos </w:t>
      </w:r>
      <w:r>
        <w:lastRenderedPageBreak/>
        <w:t>para la solicitud y entrega de los servicios, así como, no podrá establecer condiciones que inhiban la competencia en la prestación de los servicios.</w:t>
      </w:r>
    </w:p>
    <w:p w:rsidR="007C4016" w:rsidRDefault="007C4016" w:rsidP="007C4016">
      <w:pPr>
        <w:pStyle w:val="IFTnormal"/>
        <w:spacing w:before="240" w:after="0"/>
        <w:rPr>
          <w:lang w:val="es-ES"/>
        </w:rPr>
      </w:pPr>
      <w:r>
        <w:t xml:space="preserve">Por lo tanto </w:t>
      </w:r>
      <w:r>
        <w:rPr>
          <w:lang w:val="es-ES"/>
        </w:rPr>
        <w:t>el Instituto</w:t>
      </w:r>
      <w:r>
        <w:t xml:space="preserve"> considera necesario modificar el “</w:t>
      </w:r>
      <w:r>
        <w:rPr>
          <w:i/>
          <w:lang w:val="es-ES"/>
        </w:rPr>
        <w:t>a)</w:t>
      </w:r>
      <w:r w:rsidRPr="00C25D42">
        <w:rPr>
          <w:i/>
          <w:lang w:val="es-ES"/>
        </w:rPr>
        <w:tab/>
      </w:r>
      <w:r>
        <w:rPr>
          <w:i/>
          <w:lang w:val="es-ES"/>
        </w:rPr>
        <w:t xml:space="preserve"> </w:t>
      </w:r>
      <w:r w:rsidRPr="00ED55E0">
        <w:rPr>
          <w:i/>
          <w:lang w:val="es-ES"/>
        </w:rPr>
        <w:t>Procedimiento p</w:t>
      </w:r>
      <w:r>
        <w:rPr>
          <w:i/>
          <w:lang w:val="es-ES"/>
        </w:rPr>
        <w:t>ara la Instalación de Infraestructura del CS en Despliegue de Nueva Obra Civil</w:t>
      </w:r>
      <w:r>
        <w:rPr>
          <w:lang w:val="es-ES"/>
        </w:rPr>
        <w:t>”</w:t>
      </w:r>
      <w:r>
        <w:t xml:space="preserve">, de acuerdo a lo puntualizado por la Medida </w:t>
      </w:r>
      <w:r w:rsidRPr="004E7744">
        <w:rPr>
          <w:b/>
          <w:lang w:val="es-ES"/>
        </w:rPr>
        <w:t>CUADRAGÉSIMA PRIMERA</w:t>
      </w:r>
      <w:r>
        <w:rPr>
          <w:lang w:val="es-ES"/>
        </w:rPr>
        <w:t xml:space="preserve">, y también por </w:t>
      </w:r>
      <w:r>
        <w:t xml:space="preserve">consistencia </w:t>
      </w:r>
      <w:r>
        <w:rPr>
          <w:lang w:val="es-ES"/>
        </w:rPr>
        <w:t xml:space="preserve">con las modificaciones </w:t>
      </w:r>
      <w:r>
        <w:t>realizadas a los procedimientos de los servicios,</w:t>
      </w:r>
      <w:r>
        <w:rPr>
          <w:lang w:val="es-ES"/>
        </w:rPr>
        <w:t xml:space="preserve"> resultas en los numerales previos</w:t>
      </w:r>
      <w:r>
        <w:t>. A fin de lograr los siguientes objetivos:</w:t>
      </w:r>
    </w:p>
    <w:p w:rsidR="007C4016" w:rsidRPr="009E7800" w:rsidRDefault="007C4016" w:rsidP="007C4016">
      <w:pPr>
        <w:pStyle w:val="IFTnormal"/>
        <w:numPr>
          <w:ilvl w:val="0"/>
          <w:numId w:val="69"/>
        </w:numPr>
        <w:spacing w:before="240" w:after="0"/>
        <w:rPr>
          <w:lang w:val="es-ES"/>
        </w:rPr>
      </w:pPr>
      <w:r>
        <w:t>Otorgar claridad en</w:t>
      </w:r>
      <w:r w:rsidRPr="00C522FC">
        <w:t xml:space="preserve"> la redacción, comprensión y s</w:t>
      </w:r>
      <w:r>
        <w:t>eguimiento a las etapas o actividades de cada procedimiento.</w:t>
      </w:r>
    </w:p>
    <w:p w:rsidR="007C4016" w:rsidRPr="009E7800" w:rsidRDefault="007C4016" w:rsidP="007C4016">
      <w:pPr>
        <w:pStyle w:val="IFTnormal"/>
        <w:numPr>
          <w:ilvl w:val="0"/>
          <w:numId w:val="69"/>
        </w:numPr>
        <w:spacing w:after="0"/>
        <w:rPr>
          <w:lang w:val="es-ES"/>
        </w:rPr>
      </w:pPr>
      <w:r>
        <w:t>E</w:t>
      </w:r>
      <w:r w:rsidRPr="00C522FC">
        <w:t xml:space="preserve">stablecer un formato único que facilite </w:t>
      </w:r>
      <w:r>
        <w:t>la</w:t>
      </w:r>
      <w:r w:rsidRPr="00C522FC">
        <w:t xml:space="preserve"> comprensión y seguimiento a</w:t>
      </w:r>
      <w:r>
        <w:t xml:space="preserve"> los procedimientos, a efectos de que los involucrados puedan realizar una correcta planeación de sus actividades.</w:t>
      </w:r>
    </w:p>
    <w:p w:rsidR="007C4016" w:rsidRDefault="007C4016" w:rsidP="007C4016">
      <w:pPr>
        <w:pStyle w:val="IFTnormal"/>
        <w:numPr>
          <w:ilvl w:val="0"/>
          <w:numId w:val="69"/>
        </w:numPr>
        <w:spacing w:after="0"/>
        <w:rPr>
          <w:lang w:val="es-ES"/>
        </w:rPr>
      </w:pPr>
      <w:r>
        <w:rPr>
          <w:lang w:val="es-ES"/>
        </w:rPr>
        <w:t>Homologar la estructura de los procedimientos para delimitar los alcances de cada actividad o etapa ya sea administrativa o técnica.</w:t>
      </w:r>
    </w:p>
    <w:p w:rsidR="007C4016" w:rsidRPr="0032311A" w:rsidRDefault="007C4016" w:rsidP="007C4016">
      <w:pPr>
        <w:pStyle w:val="IFTnormal"/>
        <w:numPr>
          <w:ilvl w:val="0"/>
          <w:numId w:val="69"/>
        </w:numPr>
        <w:spacing w:after="0"/>
        <w:rPr>
          <w:lang w:val="es-ES"/>
        </w:rPr>
      </w:pPr>
      <w:r>
        <w:rPr>
          <w:lang w:val="es-ES"/>
        </w:rPr>
        <w:t>Evitar las posibles obstaculizaciones a los procedimientos que deriven en alargamiento de plazos y cobro de costos extra.</w:t>
      </w:r>
    </w:p>
    <w:p w:rsidR="007C4016" w:rsidRDefault="007C4016" w:rsidP="007C4016">
      <w:pPr>
        <w:pStyle w:val="IFTnormal"/>
        <w:numPr>
          <w:ilvl w:val="0"/>
          <w:numId w:val="69"/>
        </w:numPr>
        <w:spacing w:after="0"/>
        <w:rPr>
          <w:lang w:val="es-ES"/>
        </w:rPr>
      </w:pPr>
      <w:r>
        <w:rPr>
          <w:lang w:val="es-ES"/>
        </w:rPr>
        <w:t>Definir plazos de respuesta del CS al AEP y viceversa.</w:t>
      </w:r>
      <w:r w:rsidRPr="006D6C0A">
        <w:rPr>
          <w:lang w:val="es-ES"/>
        </w:rPr>
        <w:t xml:space="preserve"> </w:t>
      </w:r>
    </w:p>
    <w:p w:rsidR="007C4016" w:rsidRPr="006C69CD" w:rsidRDefault="007C4016" w:rsidP="007C4016">
      <w:pPr>
        <w:pStyle w:val="IFTnormal"/>
        <w:numPr>
          <w:ilvl w:val="0"/>
          <w:numId w:val="69"/>
        </w:numPr>
        <w:spacing w:after="0"/>
        <w:rPr>
          <w:lang w:val="es-ES"/>
        </w:rPr>
      </w:pPr>
      <w:r>
        <w:rPr>
          <w:lang w:val="es-ES"/>
        </w:rPr>
        <w:t>Facturación de servicios al concluir con el procedimiento y contar con acta firmada.</w:t>
      </w:r>
    </w:p>
    <w:p w:rsidR="007C4016" w:rsidRPr="004C0456" w:rsidRDefault="007C4016" w:rsidP="007C4016">
      <w:pPr>
        <w:pStyle w:val="IFTnormal"/>
        <w:spacing w:before="240" w:after="0"/>
        <w:rPr>
          <w:b/>
        </w:rPr>
      </w:pPr>
      <w:r>
        <w:rPr>
          <w:b/>
        </w:rPr>
        <w:t>Redacción Definitiva</w:t>
      </w:r>
    </w:p>
    <w:p w:rsidR="007C4016" w:rsidRDefault="007C4016" w:rsidP="007C4016">
      <w:pPr>
        <w:suppressAutoHyphens w:val="0"/>
        <w:spacing w:before="240" w:after="0" w:line="276" w:lineRule="auto"/>
        <w:ind w:right="567"/>
        <w:contextualSpacing w:val="0"/>
        <w:rPr>
          <w:rFonts w:ascii="ITC Avant Garde" w:eastAsia="MS Mincho" w:hAnsi="ITC Avant Garde" w:cs="Calibri"/>
          <w:sz w:val="22"/>
          <w:szCs w:val="22"/>
          <w:lang w:val="es-ES" w:eastAsia="en-US"/>
        </w:rPr>
      </w:pPr>
      <w:r w:rsidRPr="000B50E0">
        <w:rPr>
          <w:rFonts w:ascii="ITC Avant Garde" w:eastAsia="MS Mincho" w:hAnsi="ITC Avant Garde" w:cs="Calibri"/>
          <w:bCs/>
          <w:sz w:val="22"/>
          <w:szCs w:val="22"/>
          <w:lang w:val="es-ES" w:eastAsia="en-US"/>
        </w:rPr>
        <w:t>Derivado del análisis previo, el Instituto resue</w:t>
      </w:r>
      <w:r>
        <w:rPr>
          <w:rFonts w:ascii="ITC Avant Garde" w:eastAsia="MS Mincho" w:hAnsi="ITC Avant Garde" w:cs="Calibri"/>
          <w:bCs/>
          <w:sz w:val="22"/>
          <w:szCs w:val="22"/>
          <w:lang w:val="es-ES" w:eastAsia="en-US"/>
        </w:rPr>
        <w:t xml:space="preserve">lve modificar la </w:t>
      </w:r>
      <w:r w:rsidRPr="0082211C">
        <w:rPr>
          <w:rFonts w:ascii="ITC Avant Garde" w:eastAsia="MS Mincho" w:hAnsi="ITC Avant Garde" w:cs="Calibri"/>
          <w:sz w:val="22"/>
          <w:szCs w:val="22"/>
          <w:lang w:val="es-ES" w:eastAsia="en-US"/>
        </w:rPr>
        <w:t>Propuesta de Oferta de Referencia</w:t>
      </w:r>
      <w:r w:rsidRPr="000B50E0">
        <w:rPr>
          <w:rFonts w:ascii="ITC Avant Garde" w:eastAsia="MS Mincho" w:hAnsi="ITC Avant Garde" w:cs="Calibri"/>
          <w:bCs/>
          <w:sz w:val="22"/>
          <w:szCs w:val="22"/>
          <w:lang w:val="es-ES" w:eastAsia="en-US"/>
        </w:rPr>
        <w:t xml:space="preserve"> para que en el apartado “</w:t>
      </w:r>
      <w:r w:rsidRPr="000A451D">
        <w:rPr>
          <w:rFonts w:ascii="ITC Avant Garde" w:eastAsia="MS Mincho" w:hAnsi="ITC Avant Garde" w:cs="Calibri"/>
          <w:bCs/>
          <w:sz w:val="22"/>
          <w:szCs w:val="22"/>
          <w:lang w:val="es-ES" w:eastAsia="en-US"/>
        </w:rPr>
        <w:t>PROCEDIMIENTO PARA EL</w:t>
      </w:r>
      <w:r w:rsidRPr="000A451D">
        <w:rPr>
          <w:rFonts w:ascii="ITC Avant Garde" w:eastAsia="MS Mincho" w:hAnsi="ITC Avant Garde" w:cs="Calibri"/>
          <w:sz w:val="22"/>
          <w:szCs w:val="22"/>
          <w:lang w:val="es-ES" w:eastAsia="en-US"/>
        </w:rPr>
        <w:t xml:space="preserve"> ACONDICIONAMIENTO DE INFRAESTRUCTURA</w:t>
      </w:r>
      <w:r w:rsidRPr="000B50E0">
        <w:rPr>
          <w:rFonts w:ascii="ITC Avant Garde" w:eastAsia="MS Mincho" w:hAnsi="ITC Avant Garde" w:cs="Calibri"/>
          <w:bCs/>
          <w:sz w:val="22"/>
          <w:szCs w:val="22"/>
          <w:lang w:val="es-ES" w:eastAsia="en-US"/>
        </w:rPr>
        <w:t>” se integre lo siguiente:</w:t>
      </w:r>
    </w:p>
    <w:p w:rsidR="007C4016" w:rsidRDefault="007C4016" w:rsidP="007C4016">
      <w:pPr>
        <w:pStyle w:val="CondicionesFinales"/>
        <w:spacing w:before="240" w:after="0"/>
        <w:rPr>
          <w:b/>
        </w:rPr>
      </w:pPr>
      <w:r>
        <w:rPr>
          <w:b/>
        </w:rPr>
        <w:t xml:space="preserve">7.2 Acondicionamiento de la Infraestructura </w:t>
      </w:r>
    </w:p>
    <w:p w:rsidR="007C4016" w:rsidRPr="00F90922" w:rsidRDefault="007C4016" w:rsidP="007C4016">
      <w:pPr>
        <w:pStyle w:val="CondicionesFinales"/>
        <w:spacing w:before="240" w:after="0"/>
        <w:rPr>
          <w:b/>
        </w:rPr>
      </w:pPr>
      <w:r w:rsidRPr="00F90922">
        <w:rPr>
          <w:b/>
        </w:rPr>
        <w:t>a. Procedimiento para el Acondicionamiento de Infraestructura</w:t>
      </w:r>
    </w:p>
    <w:tbl>
      <w:tblPr>
        <w:tblStyle w:val="Tablaconcuadrcula"/>
        <w:tblW w:w="3991" w:type="pct"/>
        <w:tblInd w:w="959" w:type="dxa"/>
        <w:tblLook w:val="04A0" w:firstRow="1" w:lastRow="0" w:firstColumn="1" w:lastColumn="0" w:noHBand="0" w:noVBand="1"/>
        <w:tblCaption w:val="Tabla"/>
        <w:tblDescription w:val="Procedimiento para el Acondicionamiento de Infraestructura"/>
      </w:tblPr>
      <w:tblGrid>
        <w:gridCol w:w="2356"/>
        <w:gridCol w:w="4692"/>
      </w:tblGrid>
      <w:tr w:rsidR="007C4016" w:rsidRPr="00833D3A" w:rsidTr="005C782A">
        <w:trPr>
          <w:tblHeader/>
        </w:trPr>
        <w:tc>
          <w:tcPr>
            <w:tcW w:w="1630" w:type="pct"/>
            <w:shd w:val="clear" w:color="auto" w:fill="D9D9D9" w:themeFill="background1" w:themeFillShade="D9"/>
          </w:tcPr>
          <w:p w:rsidR="007C4016" w:rsidRPr="00833D3A" w:rsidRDefault="007C4016" w:rsidP="005C782A">
            <w:pPr>
              <w:pStyle w:val="IFTnormal"/>
              <w:spacing w:after="0"/>
            </w:pPr>
            <w:r w:rsidRPr="00833D3A">
              <w:t>Etapa</w:t>
            </w:r>
          </w:p>
        </w:tc>
        <w:tc>
          <w:tcPr>
            <w:tcW w:w="3370" w:type="pct"/>
            <w:shd w:val="clear" w:color="auto" w:fill="D9D9D9" w:themeFill="background1" w:themeFillShade="D9"/>
          </w:tcPr>
          <w:p w:rsidR="007C4016" w:rsidRPr="00833D3A" w:rsidRDefault="007C4016" w:rsidP="005C782A">
            <w:pPr>
              <w:pStyle w:val="IFTnormal"/>
              <w:spacing w:after="0"/>
            </w:pPr>
            <w:r w:rsidRPr="00833D3A">
              <w:t>Descripción</w:t>
            </w:r>
          </w:p>
        </w:tc>
      </w:tr>
      <w:tr w:rsidR="007C4016" w:rsidRPr="00833D3A" w:rsidTr="005C782A">
        <w:tc>
          <w:tcPr>
            <w:tcW w:w="1630" w:type="pct"/>
          </w:tcPr>
          <w:p w:rsidR="007C4016" w:rsidRPr="00833D3A" w:rsidRDefault="007C4016" w:rsidP="005C782A">
            <w:pPr>
              <w:pStyle w:val="IFTnormal"/>
              <w:spacing w:after="0"/>
            </w:pPr>
            <w:r w:rsidRPr="00AA774C">
              <w:t>Identi</w:t>
            </w:r>
            <w:r>
              <w:t>fi</w:t>
            </w:r>
            <w:r w:rsidRPr="00AA774C">
              <w:t>cación de Trabajo Especial</w:t>
            </w:r>
          </w:p>
        </w:tc>
        <w:tc>
          <w:tcPr>
            <w:tcW w:w="3370" w:type="pct"/>
          </w:tcPr>
          <w:p w:rsidR="007C4016" w:rsidRPr="00084439" w:rsidRDefault="007C4016" w:rsidP="005C782A">
            <w:pPr>
              <w:pStyle w:val="IFTnormal"/>
              <w:spacing w:after="0"/>
            </w:pPr>
            <w:r w:rsidRPr="00AA774C">
              <w:t>Este p</w:t>
            </w:r>
            <w:r>
              <w:t xml:space="preserve">rocedimiento </w:t>
            </w:r>
            <w:r w:rsidRPr="00E61B6E">
              <w:t>se</w:t>
            </w:r>
            <w:r>
              <w:t xml:space="preserve"> aplica única y exclu</w:t>
            </w:r>
            <w:r w:rsidRPr="00AA774C">
              <w:t>sivamente</w:t>
            </w:r>
            <w:r w:rsidRPr="001E78B5">
              <w:t>, si como resultado de la Visita Técnica o durante la fase de Instalación, se identifica que se deben realizar Adecuaciones de Infraestructura para prestar los servicios</w:t>
            </w:r>
            <w:r>
              <w:t xml:space="preserve"> de la presente Oferta.</w:t>
            </w:r>
          </w:p>
        </w:tc>
      </w:tr>
      <w:tr w:rsidR="007C4016" w:rsidRPr="00833D3A" w:rsidTr="005C782A">
        <w:tc>
          <w:tcPr>
            <w:tcW w:w="1630" w:type="pct"/>
          </w:tcPr>
          <w:p w:rsidR="007C4016" w:rsidRPr="00833D3A" w:rsidRDefault="007C4016" w:rsidP="005C782A">
            <w:pPr>
              <w:pStyle w:val="IFTnormal"/>
              <w:spacing w:after="0"/>
            </w:pPr>
            <w:r>
              <w:lastRenderedPageBreak/>
              <w:t>Envío y Validación de presupuesto</w:t>
            </w:r>
          </w:p>
        </w:tc>
        <w:tc>
          <w:tcPr>
            <w:tcW w:w="3370" w:type="pct"/>
          </w:tcPr>
          <w:p w:rsidR="007C4016" w:rsidRPr="00833D3A" w:rsidRDefault="007C4016" w:rsidP="005C782A">
            <w:pPr>
              <w:pStyle w:val="IFTnormal"/>
              <w:spacing w:after="0"/>
            </w:pPr>
            <w:r>
              <w:t>Telnor</w:t>
            </w:r>
            <w:r w:rsidRPr="00084439">
              <w:t xml:space="preserve"> enviará </w:t>
            </w:r>
            <w:r>
              <w:t xml:space="preserve">el </w:t>
            </w:r>
            <w:r w:rsidRPr="00084439">
              <w:t>presupuesto de las adecuaciones necesarias</w:t>
            </w:r>
            <w:r>
              <w:t xml:space="preserve"> en un máximo de 5 días hábiles</w:t>
            </w:r>
            <w:r w:rsidRPr="00084439">
              <w:t>,</w:t>
            </w:r>
            <w:r>
              <w:t xml:space="preserve"> documentación del proyecto a realizar,</w:t>
            </w:r>
            <w:r w:rsidRPr="00084439">
              <w:t xml:space="preserve"> así </w:t>
            </w:r>
            <w:r>
              <w:t>el plan de trabajo</w:t>
            </w:r>
            <w:r w:rsidRPr="00833D3A">
              <w:t xml:space="preserve"> a través del SEG</w:t>
            </w:r>
            <w:r>
              <w:t xml:space="preserve"> al CS</w:t>
            </w:r>
            <w:r w:rsidRPr="00833D3A">
              <w:t xml:space="preserve">. </w:t>
            </w:r>
            <w:r w:rsidRPr="00AA774C">
              <w:t xml:space="preserve">El CS verificará el proyecto y presupuesto, indicando a </w:t>
            </w:r>
            <w:r>
              <w:t>Telnor</w:t>
            </w:r>
            <w:r w:rsidRPr="00AA774C">
              <w:t xml:space="preserve"> alguna de las siguientes respuestas:</w:t>
            </w:r>
            <w:r w:rsidRPr="00833D3A">
              <w:t xml:space="preserve"> </w:t>
            </w:r>
          </w:p>
          <w:p w:rsidR="007C4016" w:rsidRPr="00833D3A" w:rsidRDefault="007C4016" w:rsidP="005C782A">
            <w:pPr>
              <w:pStyle w:val="IFTnormal"/>
              <w:numPr>
                <w:ilvl w:val="0"/>
                <w:numId w:val="62"/>
              </w:numPr>
              <w:spacing w:after="0"/>
            </w:pPr>
            <w:r w:rsidRPr="00833D3A">
              <w:t>Aceptada</w:t>
            </w:r>
            <w:r>
              <w:t xml:space="preserve"> cotización</w:t>
            </w:r>
            <w:r w:rsidRPr="00833D3A">
              <w:t xml:space="preserve">, </w:t>
            </w:r>
            <w:r w:rsidRPr="00716C42">
              <w:rPr>
                <w:lang w:val="es-ES"/>
              </w:rPr>
              <w:t xml:space="preserve">notificará a </w:t>
            </w:r>
            <w:r>
              <w:rPr>
                <w:lang w:val="es-ES"/>
              </w:rPr>
              <w:t>Telnor</w:t>
            </w:r>
            <w:r w:rsidRPr="00716C42">
              <w:rPr>
                <w:lang w:val="es-ES"/>
              </w:rPr>
              <w:t xml:space="preserve"> para proseguir con el procedimiento.</w:t>
            </w:r>
          </w:p>
          <w:p w:rsidR="007C4016" w:rsidRPr="00833D3A" w:rsidRDefault="007C4016" w:rsidP="005C782A">
            <w:pPr>
              <w:pStyle w:val="IFTnormal"/>
              <w:numPr>
                <w:ilvl w:val="0"/>
                <w:numId w:val="62"/>
              </w:numPr>
              <w:spacing w:after="0"/>
            </w:pPr>
            <w:r w:rsidRPr="001E78B5">
              <w:t xml:space="preserve">Rechazado de cotización, </w:t>
            </w:r>
            <w:r w:rsidRPr="001E78B5">
              <w:rPr>
                <w:lang w:val="es-ES"/>
              </w:rPr>
              <w:t>podrá negociar el presupuesto o informar su completo</w:t>
            </w:r>
            <w:r w:rsidRPr="00716C42">
              <w:rPr>
                <w:lang w:val="es-ES"/>
              </w:rPr>
              <w:t xml:space="preserve"> rechazo, en cuyo caso se finalizará el procedimiento.</w:t>
            </w:r>
          </w:p>
        </w:tc>
      </w:tr>
      <w:tr w:rsidR="007C4016" w:rsidRPr="00833D3A" w:rsidTr="005C782A">
        <w:tc>
          <w:tcPr>
            <w:tcW w:w="1630" w:type="pct"/>
          </w:tcPr>
          <w:p w:rsidR="007C4016" w:rsidRPr="00833D3A" w:rsidRDefault="007C4016" w:rsidP="005C782A">
            <w:pPr>
              <w:pStyle w:val="IFTnormal"/>
              <w:spacing w:after="0"/>
              <w:rPr>
                <w:highlight w:val="cyan"/>
              </w:rPr>
            </w:pPr>
            <w:r w:rsidRPr="00833D3A">
              <w:t>Instalación de Infraestructura</w:t>
            </w:r>
          </w:p>
        </w:tc>
        <w:tc>
          <w:tcPr>
            <w:tcW w:w="3370" w:type="pct"/>
          </w:tcPr>
          <w:p w:rsidR="007C4016" w:rsidRDefault="007C4016" w:rsidP="005C782A">
            <w:pPr>
              <w:pStyle w:val="IFTnormal"/>
              <w:spacing w:after="0"/>
            </w:pPr>
            <w:r w:rsidRPr="00287A86">
              <w:t>Una vez obtenidos los permisos</w:t>
            </w:r>
            <w:r>
              <w:t xml:space="preserve">, Telnor </w:t>
            </w:r>
            <w:r w:rsidRPr="00BF5F08">
              <w:t>realizará las adecuaciones correspond</w:t>
            </w:r>
            <w:r>
              <w:t xml:space="preserve">ientes en el plazo comprometido y de acuerdo al plan de trabajo. </w:t>
            </w:r>
          </w:p>
          <w:p w:rsidR="007C4016" w:rsidRPr="00833D3A" w:rsidRDefault="007C4016" w:rsidP="005C782A">
            <w:pPr>
              <w:pStyle w:val="IFTnormal"/>
              <w:spacing w:after="0"/>
            </w:pPr>
            <w:r>
              <w:t>Nota: Telnor</w:t>
            </w:r>
            <w:r w:rsidRPr="00BF5F08">
              <w:t xml:space="preserve"> tramitará los permisos con las autoridades competentes, el costo de dichos permisos será a cargo del CS.</w:t>
            </w:r>
          </w:p>
        </w:tc>
      </w:tr>
      <w:tr w:rsidR="007C4016" w:rsidRPr="00833D3A" w:rsidTr="005C782A">
        <w:tc>
          <w:tcPr>
            <w:tcW w:w="1630" w:type="pct"/>
          </w:tcPr>
          <w:p w:rsidR="007C4016" w:rsidRPr="00833D3A" w:rsidRDefault="007C4016" w:rsidP="005C782A">
            <w:pPr>
              <w:pStyle w:val="IFTnormal"/>
              <w:spacing w:after="0"/>
            </w:pPr>
            <w:r w:rsidRPr="00833D3A">
              <w:t xml:space="preserve">Verificación de Instalación de </w:t>
            </w:r>
            <w:r>
              <w:t>Acondicionamiento de Infraestructura</w:t>
            </w:r>
          </w:p>
        </w:tc>
        <w:tc>
          <w:tcPr>
            <w:tcW w:w="3370" w:type="pct"/>
          </w:tcPr>
          <w:p w:rsidR="007C4016" w:rsidRPr="00833D3A" w:rsidRDefault="007C4016" w:rsidP="005C782A">
            <w:pPr>
              <w:pStyle w:val="IFTnormal"/>
              <w:spacing w:after="0"/>
            </w:pPr>
            <w:r w:rsidRPr="00833D3A">
              <w:t xml:space="preserve">Una vez que </w:t>
            </w:r>
            <w:r>
              <w:t>CS</w:t>
            </w:r>
            <w:r w:rsidRPr="00833D3A">
              <w:t xml:space="preserve"> reciba la notificación por parte del </w:t>
            </w:r>
            <w:r>
              <w:t>Telnor de finalización de Instalación de la Infraestructura, acordarán la</w:t>
            </w:r>
            <w:r w:rsidRPr="00833D3A">
              <w:t xml:space="preserve"> disponibilidad de fecha y horarios para llevar a cabo la verificación e informará al </w:t>
            </w:r>
            <w:r>
              <w:t>Telnor</w:t>
            </w:r>
            <w:r w:rsidRPr="00833D3A">
              <w:t xml:space="preserve"> para que acepte o rechace la propuesta.  En caso de no aceptarse </w:t>
            </w:r>
            <w:r>
              <w:t>la fecha propuesta, Telnor</w:t>
            </w:r>
            <w:r w:rsidRPr="00833D3A">
              <w:t xml:space="preserve"> podrá solicitar una nueva fecha, con lo que esta actividad </w:t>
            </w:r>
            <w:r>
              <w:t>podrá</w:t>
            </w:r>
            <w:r w:rsidRPr="00833D3A">
              <w:t xml:space="preserve"> repetirse hasta </w:t>
            </w:r>
            <w:r>
              <w:t>en 3 ocasiones</w:t>
            </w:r>
            <w:r w:rsidRPr="00833D3A">
              <w:t xml:space="preserve">. </w:t>
            </w:r>
          </w:p>
          <w:p w:rsidR="007C4016" w:rsidRPr="00833D3A" w:rsidRDefault="007C4016" w:rsidP="005C782A">
            <w:pPr>
              <w:pStyle w:val="IFTnormal"/>
              <w:spacing w:after="0"/>
            </w:pPr>
            <w:r w:rsidRPr="00833D3A">
              <w:t xml:space="preserve">Habiéndose definido la fecha, </w:t>
            </w:r>
            <w:r>
              <w:t>Telnor</w:t>
            </w:r>
            <w:r w:rsidRPr="00833D3A">
              <w:t xml:space="preserve"> y el CS realizarán en conjunto la Verificación de la Instalación en sitio, determinando:</w:t>
            </w:r>
          </w:p>
          <w:p w:rsidR="007C4016" w:rsidRPr="00833D3A" w:rsidRDefault="007C4016" w:rsidP="005C782A">
            <w:pPr>
              <w:pStyle w:val="IFTnormal"/>
              <w:numPr>
                <w:ilvl w:val="0"/>
                <w:numId w:val="65"/>
              </w:numPr>
              <w:spacing w:after="0"/>
            </w:pPr>
            <w:r w:rsidRPr="00833D3A">
              <w:lastRenderedPageBreak/>
              <w:t>La instalac</w:t>
            </w:r>
            <w:r>
              <w:t>ión de la infraestructura de Telnor</w:t>
            </w:r>
            <w:r w:rsidRPr="00833D3A">
              <w:t xml:space="preserve"> está de acuerdo proyecto y normativa, </w:t>
            </w:r>
            <w:r>
              <w:t>el CS</w:t>
            </w:r>
            <w:r w:rsidRPr="00833D3A">
              <w:t xml:space="preserve"> </w:t>
            </w:r>
            <w:r>
              <w:t>valida y se firmará en sitio el acta</w:t>
            </w:r>
            <w:r w:rsidRPr="00833D3A">
              <w:t>.</w:t>
            </w:r>
          </w:p>
          <w:p w:rsidR="007C4016" w:rsidRPr="00833D3A" w:rsidRDefault="007C4016" w:rsidP="005C782A">
            <w:pPr>
              <w:pStyle w:val="IFTnormal"/>
              <w:numPr>
                <w:ilvl w:val="0"/>
                <w:numId w:val="65"/>
              </w:numPr>
              <w:spacing w:after="0"/>
            </w:pPr>
            <w:r w:rsidRPr="00833D3A">
              <w:t xml:space="preserve">En caso contrario, </w:t>
            </w:r>
            <w:r>
              <w:t>Telnor</w:t>
            </w:r>
            <w:r w:rsidRPr="00833D3A">
              <w:t xml:space="preserve"> y el CS registran en el </w:t>
            </w:r>
            <w:r>
              <w:t>acta</w:t>
            </w:r>
            <w:r w:rsidRPr="00833D3A">
              <w:t xml:space="preserve"> los cambio</w:t>
            </w:r>
            <w:r>
              <w:t>s y ajustes que debe hacer Telnor</w:t>
            </w:r>
            <w:r w:rsidRPr="00833D3A">
              <w:t xml:space="preserve"> para cumplir con la Verificación. Esta actividad deberá repetirse en tanto no se logre la Verificación satisfactoria y la firma del </w:t>
            </w:r>
            <w:r>
              <w:t>acta.</w:t>
            </w:r>
          </w:p>
        </w:tc>
      </w:tr>
      <w:tr w:rsidR="007C4016" w:rsidRPr="00833D3A" w:rsidTr="005C782A">
        <w:tc>
          <w:tcPr>
            <w:tcW w:w="1630" w:type="pct"/>
            <w:shd w:val="clear" w:color="auto" w:fill="auto"/>
          </w:tcPr>
          <w:p w:rsidR="007C4016" w:rsidRPr="00833D3A" w:rsidRDefault="007C4016" w:rsidP="005C782A">
            <w:pPr>
              <w:pStyle w:val="IFTnormal"/>
              <w:spacing w:after="0"/>
            </w:pPr>
            <w:r w:rsidRPr="00833D3A">
              <w:lastRenderedPageBreak/>
              <w:t>Facturación</w:t>
            </w:r>
          </w:p>
        </w:tc>
        <w:tc>
          <w:tcPr>
            <w:tcW w:w="3370" w:type="pct"/>
            <w:shd w:val="clear" w:color="auto" w:fill="auto"/>
          </w:tcPr>
          <w:p w:rsidR="007C4016" w:rsidRPr="00833D3A" w:rsidRDefault="007C4016" w:rsidP="005C782A">
            <w:pPr>
              <w:pStyle w:val="IFTnormal"/>
              <w:spacing w:after="0"/>
            </w:pPr>
            <w:r w:rsidRPr="00833D3A">
              <w:t xml:space="preserve">Una vez firmado el </w:t>
            </w:r>
            <w:r>
              <w:t>acta</w:t>
            </w:r>
            <w:r w:rsidRPr="00833D3A">
              <w:t xml:space="preserve"> </w:t>
            </w:r>
            <w:r>
              <w:t>Telnor</w:t>
            </w:r>
            <w:r w:rsidRPr="00833D3A">
              <w:t xml:space="preserve"> </w:t>
            </w:r>
            <w:r>
              <w:t xml:space="preserve">puede facturar los trabajos cotizados. Telnor </w:t>
            </w:r>
            <w:r w:rsidRPr="00833D3A">
              <w:t xml:space="preserve">deberá integrar el </w:t>
            </w:r>
            <w:r>
              <w:t>acta firmada</w:t>
            </w:r>
            <w:r w:rsidRPr="00833D3A">
              <w:t xml:space="preserve"> escaneada al SEG</w:t>
            </w:r>
            <w:r>
              <w:t xml:space="preserve"> (plazo)</w:t>
            </w:r>
            <w:r w:rsidRPr="00833D3A">
              <w:t>.</w:t>
            </w:r>
          </w:p>
        </w:tc>
      </w:tr>
    </w:tbl>
    <w:p w:rsidR="007C4016" w:rsidRDefault="007C4016" w:rsidP="007C4016">
      <w:pPr>
        <w:spacing w:before="240" w:after="0"/>
      </w:pP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7.3</w:t>
      </w:r>
      <w:r w:rsidRPr="006A7AA7">
        <w:rPr>
          <w:rFonts w:ascii="ITC Avant Garde" w:hAnsi="ITC Avant Garde"/>
          <w:b/>
          <w:sz w:val="22"/>
          <w:szCs w:val="22"/>
        </w:rPr>
        <w:tab/>
        <w:t xml:space="preserve"> RECUPERACIÓN DE ESPACIO</w:t>
      </w:r>
    </w:p>
    <w:p w:rsidR="007C4016" w:rsidRPr="00BF4959" w:rsidRDefault="007C4016" w:rsidP="007C4016">
      <w:pPr>
        <w:pStyle w:val="IFTnormal"/>
        <w:spacing w:before="240" w:after="0"/>
        <w:rPr>
          <w:b/>
        </w:rPr>
      </w:pPr>
      <w:r w:rsidRPr="00BF4959">
        <w:rPr>
          <w:b/>
        </w:rPr>
        <w:t>Consideraciones del Instituto</w:t>
      </w:r>
    </w:p>
    <w:p w:rsidR="007C4016" w:rsidRPr="002802DB"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rPr>
          <w:lang w:val="es-ES"/>
        </w:rPr>
      </w:pPr>
      <w:r w:rsidRPr="00E65EDC">
        <w:rPr>
          <w:lang w:val="es-ES"/>
        </w:rPr>
        <w:t>El Instituto considera que los cambios presentados por el AEP en el numeral “7.3</w:t>
      </w:r>
      <w:r w:rsidRPr="00E65EDC">
        <w:rPr>
          <w:lang w:val="es-ES"/>
        </w:rPr>
        <w:tab/>
        <w:t xml:space="preserve"> RECUPERACIÓN DE ESPACIO” no son aceptables, derivado de la homologación </w:t>
      </w:r>
      <w:r>
        <w:rPr>
          <w:lang w:val="es-ES"/>
        </w:rPr>
        <w:t>realizada</w:t>
      </w:r>
      <w:r w:rsidRPr="00E65EDC">
        <w:rPr>
          <w:lang w:val="es-ES"/>
        </w:rPr>
        <w:t xml:space="preserve"> a los procedimiento de contratación, modificación y baja de los servicios principales de la </w:t>
      </w:r>
      <w:r>
        <w:rPr>
          <w:lang w:val="es-ES"/>
        </w:rPr>
        <w:t xml:space="preserve">Propuesta de </w:t>
      </w:r>
      <w:r w:rsidRPr="00E65EDC">
        <w:rPr>
          <w:lang w:val="es-ES"/>
        </w:rPr>
        <w:t xml:space="preserve">Oferta de Referencia,  y en consistencia con lo dispuesto en la Medida </w:t>
      </w:r>
      <w:r>
        <w:rPr>
          <w:lang w:val="es-ES"/>
        </w:rPr>
        <w:t>CUADRAGÉSIMA PRIMERA, por lo  tanto,</w:t>
      </w:r>
      <w:r w:rsidRPr="00E65EDC">
        <w:rPr>
          <w:lang w:val="es-ES"/>
        </w:rPr>
        <w:t xml:space="preserve"> se deben realizar </w:t>
      </w:r>
      <w:r>
        <w:rPr>
          <w:lang w:val="es-ES"/>
        </w:rPr>
        <w:t>puntualizaciones específicas a la</w:t>
      </w:r>
      <w:r w:rsidRPr="00E65EDC">
        <w:rPr>
          <w:lang w:val="es-ES"/>
        </w:rPr>
        <w:t xml:space="preserve"> redacción </w:t>
      </w:r>
      <w:r>
        <w:rPr>
          <w:lang w:val="es-ES"/>
        </w:rPr>
        <w:t>de estos trabajos, con el fin de otorgar</w:t>
      </w:r>
      <w:r w:rsidRPr="00E65EDC">
        <w:rPr>
          <w:lang w:val="es-ES"/>
        </w:rPr>
        <w:t xml:space="preserve"> </w:t>
      </w:r>
      <w:r>
        <w:rPr>
          <w:lang w:val="es-ES"/>
        </w:rPr>
        <w:t>consistencia</w:t>
      </w:r>
      <w:r w:rsidRPr="00E65EDC">
        <w:rPr>
          <w:lang w:val="es-ES"/>
        </w:rPr>
        <w:t xml:space="preserve"> con las demás secciones.</w:t>
      </w:r>
    </w:p>
    <w:p w:rsidR="007C4016" w:rsidRDefault="007C4016" w:rsidP="007C4016">
      <w:pPr>
        <w:pStyle w:val="IFTnormal"/>
        <w:spacing w:before="240" w:after="0"/>
        <w:rPr>
          <w:lang w:val="es-ES"/>
        </w:rPr>
      </w:pPr>
      <w:r>
        <w:rPr>
          <w:lang w:val="es-ES"/>
        </w:rPr>
        <w:t>En este sentido, la Medida QUADRAGÉSIMA PRIMERA establece que las Ofertas de Referencia deberán contener las condiciones aplicables a los servicios, como se muestra a continuación:</w:t>
      </w:r>
    </w:p>
    <w:p w:rsidR="007C4016" w:rsidRDefault="007C4016" w:rsidP="007C4016">
      <w:pPr>
        <w:pStyle w:val="Citaift0"/>
        <w:spacing w:before="240" w:after="0"/>
        <w:rPr>
          <w:lang w:val="es-ES"/>
        </w:rPr>
      </w:pPr>
      <w:r w:rsidRPr="00B06A4F">
        <w:rPr>
          <w:b/>
          <w:lang w:val="es-ES"/>
        </w:rPr>
        <w:t>CUADRAGÉSIMA PRIMERA.-</w:t>
      </w:r>
      <w:r w:rsidRPr="0087469D">
        <w:rPr>
          <w:lang w:val="es-ES"/>
        </w:rPr>
        <w:t xml:space="preserve"> </w:t>
      </w:r>
      <w:r w:rsidRPr="002D5EBD">
        <w:rPr>
          <w:lang w:val="es-ES"/>
        </w:rPr>
        <w:t xml:space="preserve">El Agente Económico Preponderante deberá presentar para aprobación del Instituto, en el mes de julio del año que corresponda, una propuesta de Oferta de Referencia para la prestación del Servicio Mayorista de </w:t>
      </w:r>
      <w:r w:rsidRPr="002D5EBD">
        <w:rPr>
          <w:lang w:val="es-ES"/>
        </w:rPr>
        <w:lastRenderedPageBreak/>
        <w:t>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7C4016" w:rsidRPr="005C1C00" w:rsidRDefault="007C4016" w:rsidP="007C4016">
      <w:pPr>
        <w:pStyle w:val="Citaift0"/>
        <w:spacing w:before="240" w:after="0"/>
        <w:jc w:val="right"/>
      </w:pPr>
      <w:r>
        <w:t>Párrafo modificado</w:t>
      </w:r>
      <w:r w:rsidRPr="003C1A27">
        <w:t xml:space="preserve"> Resolución </w:t>
      </w:r>
      <w:r>
        <w:t>P/IFT/EXT/270217/119</w:t>
      </w:r>
    </w:p>
    <w:p w:rsidR="007C4016" w:rsidRPr="00504239" w:rsidRDefault="007C4016" w:rsidP="007C4016">
      <w:pPr>
        <w:pStyle w:val="Citaift0"/>
        <w:spacing w:before="240" w:after="0"/>
        <w:rPr>
          <w:b/>
          <w:u w:val="single"/>
          <w:lang w:val="es-ES"/>
        </w:rPr>
      </w:pPr>
      <w:r w:rsidRPr="00504239">
        <w:rPr>
          <w:b/>
          <w:u w:val="single"/>
          <w:lang w:val="es-ES"/>
        </w:rPr>
        <w:t>Cada oferta deberá contener cuando menos lo siguiente:</w:t>
      </w:r>
    </w:p>
    <w:p w:rsidR="007C4016" w:rsidRPr="005C1C00" w:rsidRDefault="007C4016" w:rsidP="007C4016">
      <w:pPr>
        <w:pStyle w:val="Citaift0"/>
        <w:spacing w:before="240" w:after="0"/>
        <w:jc w:val="right"/>
      </w:pPr>
      <w:r>
        <w:t>Párrafo adicionado</w:t>
      </w:r>
      <w:r w:rsidRPr="003C1A27">
        <w:t xml:space="preserve"> Resolución </w:t>
      </w:r>
      <w:r>
        <w:t>P/IFT/EXT/270217/119</w:t>
      </w:r>
    </w:p>
    <w:p w:rsidR="007C4016" w:rsidRPr="00504239" w:rsidRDefault="007C4016" w:rsidP="007C4016">
      <w:pPr>
        <w:pStyle w:val="Citaift0"/>
        <w:numPr>
          <w:ilvl w:val="0"/>
          <w:numId w:val="200"/>
        </w:numPr>
        <w:spacing w:before="240" w:after="0"/>
        <w:rPr>
          <w:b/>
          <w:u w:val="single"/>
          <w:lang w:val="es-ES"/>
        </w:rPr>
      </w:pPr>
      <w:r w:rsidRPr="00504239">
        <w:rPr>
          <w:b/>
          <w:u w:val="single"/>
          <w:lang w:val="es-ES"/>
        </w:rPr>
        <w:t>Servicios establecidos de manera específica y condiciones aplicables a los mismos;</w:t>
      </w:r>
    </w:p>
    <w:p w:rsidR="007C4016" w:rsidRPr="005C1C00" w:rsidRDefault="007C4016" w:rsidP="007C4016">
      <w:pPr>
        <w:pStyle w:val="Citaift0"/>
        <w:spacing w:before="240" w:after="0"/>
        <w:jc w:val="right"/>
      </w:pPr>
      <w:r>
        <w:t>Inciso modificado</w:t>
      </w:r>
      <w:r w:rsidRPr="003C1A27">
        <w:t xml:space="preserve"> Resolución </w:t>
      </w:r>
      <w:r>
        <w:t>P/IFT/EXT/270217/119</w:t>
      </w:r>
    </w:p>
    <w:p w:rsidR="007C4016" w:rsidRDefault="007C4016" w:rsidP="007C4016">
      <w:pPr>
        <w:pStyle w:val="Citaift0"/>
        <w:numPr>
          <w:ilvl w:val="0"/>
          <w:numId w:val="200"/>
        </w:numPr>
        <w:spacing w:before="240" w:after="0"/>
        <w:rPr>
          <w:lang w:val="es-ES"/>
        </w:rPr>
      </w:pPr>
      <w:r w:rsidRPr="00B06A4F">
        <w:rPr>
          <w:lang w:val="es-ES"/>
        </w:rPr>
        <w:t>Características de los servicios incluidos, así como de los servicios auxiliares en caso de ser necesarios;</w:t>
      </w:r>
    </w:p>
    <w:p w:rsidR="007C4016" w:rsidRPr="00504239" w:rsidRDefault="007C4016" w:rsidP="007C4016">
      <w:pPr>
        <w:pStyle w:val="Citaift0"/>
        <w:spacing w:before="240" w:after="0"/>
        <w:jc w:val="right"/>
      </w:pPr>
      <w:r w:rsidRPr="00504239">
        <w:t>Inciso modificado Resolución P/IFT/EXT/270217/119</w:t>
      </w:r>
    </w:p>
    <w:p w:rsidR="007C4016" w:rsidRPr="00504239" w:rsidRDefault="007C4016" w:rsidP="007C4016">
      <w:pPr>
        <w:pStyle w:val="Citaift0"/>
        <w:numPr>
          <w:ilvl w:val="0"/>
          <w:numId w:val="200"/>
        </w:numPr>
        <w:spacing w:before="240" w:after="0"/>
        <w:rPr>
          <w:lang w:val="es-ES"/>
        </w:rPr>
      </w:pPr>
      <w:r w:rsidRPr="00504239">
        <w:rPr>
          <w:lang w:val="es-ES"/>
        </w:rPr>
        <w:t>Procedimientos para la solicitud de servicios, entrega de los servicios, conciliación y facturación, reparación de fallas, mantenimiento y gestión de incidencias, y demás necesarios para la eficiente prestación del servicio;</w:t>
      </w:r>
    </w:p>
    <w:p w:rsidR="007C4016" w:rsidRDefault="007C4016" w:rsidP="007C4016">
      <w:pPr>
        <w:pStyle w:val="Citaift0"/>
        <w:spacing w:before="240" w:after="0"/>
        <w:rPr>
          <w:lang w:val="es-ES"/>
        </w:rPr>
      </w:pPr>
      <w:r>
        <w:rPr>
          <w:lang w:val="es-ES"/>
        </w:rPr>
        <w:t>[…]”</w:t>
      </w:r>
    </w:p>
    <w:p w:rsidR="007C4016" w:rsidRDefault="007C4016" w:rsidP="007C4016">
      <w:pPr>
        <w:pStyle w:val="Citaift0"/>
        <w:spacing w:before="240" w:after="0"/>
        <w:jc w:val="right"/>
        <w:rPr>
          <w:lang w:val="es-ES"/>
        </w:rPr>
      </w:pPr>
      <w:r>
        <w:rPr>
          <w:lang w:val="es-ES"/>
        </w:rPr>
        <w:t>(Énfasis añadido)</w:t>
      </w:r>
    </w:p>
    <w:p w:rsidR="007C4016" w:rsidRDefault="007C4016" w:rsidP="007C4016">
      <w:pPr>
        <w:pStyle w:val="IFTnormal"/>
        <w:spacing w:before="240" w:after="0"/>
        <w:rPr>
          <w:lang w:val="es-ES"/>
        </w:rPr>
      </w:pPr>
      <w:r>
        <w:rPr>
          <w:lang w:val="es-ES"/>
        </w:rPr>
        <w:t xml:space="preserve">De lo anterior, a juicio del Instituto, la descripción de los servicios deberá contener el alcance, términos y condiciones para la eficiente prestación del servicio, con la finalidad </w:t>
      </w:r>
      <w:r w:rsidRPr="00504239">
        <w:rPr>
          <w:lang w:val="es-ES"/>
        </w:rPr>
        <w:t>de brindar certeza a l</w:t>
      </w:r>
      <w:r>
        <w:rPr>
          <w:lang w:val="es-ES"/>
        </w:rPr>
        <w:t>os CS sobre lo contratado y su respectivo procedimiento, además de eliminar posibles condiciones que pudieran inhibir la competencia en la prestación de los mismos. Por consiguiente, el Instituto considera añadir al numeral “</w:t>
      </w:r>
      <w:r w:rsidRPr="00E67A45">
        <w:rPr>
          <w:lang w:val="es-ES"/>
        </w:rPr>
        <w:t>7.</w:t>
      </w:r>
      <w:r>
        <w:rPr>
          <w:lang w:val="es-ES"/>
        </w:rPr>
        <w:t>3</w:t>
      </w:r>
      <w:r w:rsidRPr="00E67A45">
        <w:rPr>
          <w:lang w:val="es-ES"/>
        </w:rPr>
        <w:tab/>
        <w:t xml:space="preserve"> </w:t>
      </w:r>
      <w:r>
        <w:rPr>
          <w:lang w:val="es-ES"/>
        </w:rPr>
        <w:t>RECUPERACIÓN DE ESPACIO” redacciones complementarias que delimiten el objetivo de dicha tarea.</w:t>
      </w:r>
    </w:p>
    <w:p w:rsidR="007C4016" w:rsidRPr="004C0456" w:rsidRDefault="007C4016" w:rsidP="007C4016">
      <w:pPr>
        <w:pStyle w:val="IFTnormal"/>
        <w:spacing w:before="240" w:after="0"/>
        <w:rPr>
          <w:b/>
        </w:rPr>
      </w:pPr>
      <w:r>
        <w:rPr>
          <w:b/>
        </w:rPr>
        <w:t>Redacción Definitiva</w:t>
      </w:r>
    </w:p>
    <w:p w:rsidR="007C4016" w:rsidRDefault="007C4016" w:rsidP="007C4016">
      <w:pPr>
        <w:suppressAutoHyphens w:val="0"/>
        <w:spacing w:before="240" w:after="0" w:line="276" w:lineRule="auto"/>
        <w:ind w:right="567"/>
        <w:contextualSpacing w:val="0"/>
        <w:rPr>
          <w:rFonts w:ascii="ITC Avant Garde" w:eastAsia="Calibri" w:hAnsi="ITC Avant Garde"/>
          <w:b/>
          <w:i/>
          <w:sz w:val="18"/>
          <w:szCs w:val="22"/>
          <w:lang w:val="es-ES" w:eastAsia="en-US"/>
        </w:rPr>
      </w:pPr>
      <w:r w:rsidRPr="000B50E0">
        <w:rPr>
          <w:rFonts w:ascii="ITC Avant Garde" w:eastAsia="MS Mincho" w:hAnsi="ITC Avant Garde" w:cs="Calibri"/>
          <w:bCs/>
          <w:sz w:val="22"/>
          <w:szCs w:val="22"/>
          <w:lang w:val="es-ES" w:eastAsia="en-US"/>
        </w:rPr>
        <w:lastRenderedPageBreak/>
        <w:t>Derivado del análisis previo, el Instituto resue</w:t>
      </w:r>
      <w:r>
        <w:rPr>
          <w:rFonts w:ascii="ITC Avant Garde" w:eastAsia="MS Mincho" w:hAnsi="ITC Avant Garde" w:cs="Calibri"/>
          <w:bCs/>
          <w:sz w:val="22"/>
          <w:szCs w:val="22"/>
          <w:lang w:val="es-ES" w:eastAsia="en-US"/>
        </w:rPr>
        <w:t xml:space="preserve">lve modificar la </w:t>
      </w:r>
      <w:r w:rsidRPr="00A13E26">
        <w:rPr>
          <w:rFonts w:ascii="ITC Avant Garde" w:eastAsia="MS Mincho" w:hAnsi="ITC Avant Garde" w:cs="Calibri"/>
          <w:sz w:val="22"/>
          <w:szCs w:val="22"/>
          <w:lang w:val="es-ES" w:eastAsia="en-US"/>
        </w:rPr>
        <w:t>Propuesta de Oferta de Referencia</w:t>
      </w:r>
      <w:r w:rsidRPr="000B50E0">
        <w:rPr>
          <w:rFonts w:ascii="ITC Avant Garde" w:eastAsia="MS Mincho" w:hAnsi="ITC Avant Garde" w:cs="Calibri"/>
          <w:bCs/>
          <w:sz w:val="22"/>
          <w:szCs w:val="22"/>
          <w:lang w:val="es-ES" w:eastAsia="en-US"/>
        </w:rPr>
        <w:t xml:space="preserve"> para que en el apartado “</w:t>
      </w:r>
      <w:r w:rsidRPr="00D841C7">
        <w:rPr>
          <w:rFonts w:ascii="ITC Avant Garde" w:eastAsia="MS Mincho" w:hAnsi="ITC Avant Garde" w:cs="Calibri"/>
          <w:bCs/>
          <w:sz w:val="22"/>
          <w:szCs w:val="22"/>
          <w:lang w:val="es-ES" w:eastAsia="en-US"/>
        </w:rPr>
        <w:t xml:space="preserve">7.3 </w:t>
      </w:r>
      <w:r w:rsidRPr="00D841C7">
        <w:rPr>
          <w:rFonts w:ascii="ITC Avant Garde" w:eastAsia="MS Mincho" w:hAnsi="ITC Avant Garde" w:cs="Calibri"/>
          <w:bCs/>
          <w:sz w:val="22"/>
          <w:szCs w:val="22"/>
          <w:lang w:val="es-ES" w:eastAsia="en-US"/>
        </w:rPr>
        <w:tab/>
        <w:t>RECUPERACIÓN DE ESPACIO</w:t>
      </w:r>
      <w:r w:rsidRPr="000B50E0">
        <w:rPr>
          <w:rFonts w:ascii="ITC Avant Garde" w:eastAsia="MS Mincho" w:hAnsi="ITC Avant Garde" w:cs="Calibri"/>
          <w:bCs/>
          <w:sz w:val="22"/>
          <w:szCs w:val="22"/>
          <w:lang w:val="es-ES" w:eastAsia="en-US"/>
        </w:rPr>
        <w:t>” se integre lo siguiente:</w:t>
      </w:r>
    </w:p>
    <w:p w:rsidR="007C4016" w:rsidRPr="004B649F" w:rsidRDefault="007C4016" w:rsidP="007C4016">
      <w:pPr>
        <w:pStyle w:val="Citaift0"/>
        <w:spacing w:before="240" w:after="0"/>
        <w:rPr>
          <w:rFonts w:eastAsiaTheme="minorHAnsi"/>
          <w:b/>
          <w:i w:val="0"/>
          <w:sz w:val="22"/>
          <w:szCs w:val="22"/>
          <w:lang w:val="es-ES"/>
        </w:rPr>
      </w:pPr>
      <w:r w:rsidRPr="004B649F">
        <w:rPr>
          <w:rFonts w:eastAsiaTheme="minorHAnsi"/>
          <w:b/>
          <w:i w:val="0"/>
          <w:sz w:val="22"/>
          <w:szCs w:val="22"/>
          <w:lang w:val="es-ES"/>
        </w:rPr>
        <w:t>7.3</w:t>
      </w:r>
      <w:r w:rsidRPr="004B649F">
        <w:rPr>
          <w:rFonts w:eastAsiaTheme="minorHAnsi"/>
          <w:b/>
          <w:i w:val="0"/>
          <w:sz w:val="22"/>
          <w:szCs w:val="22"/>
          <w:lang w:val="es-ES"/>
        </w:rPr>
        <w:tab/>
        <w:t xml:space="preserve"> Recuperación de Espacio</w:t>
      </w:r>
    </w:p>
    <w:p w:rsidR="007C4016" w:rsidRPr="004B649F" w:rsidRDefault="007C4016" w:rsidP="007C4016">
      <w:pPr>
        <w:pStyle w:val="Citaift0"/>
        <w:spacing w:before="240" w:after="0"/>
        <w:rPr>
          <w:rFonts w:eastAsiaTheme="minorHAnsi"/>
          <w:i w:val="0"/>
          <w:sz w:val="22"/>
          <w:szCs w:val="22"/>
          <w:lang w:val="es-ES"/>
        </w:rPr>
      </w:pPr>
      <w:r w:rsidRPr="004B649F">
        <w:rPr>
          <w:rFonts w:eastAsiaTheme="minorHAnsi"/>
          <w:i w:val="0"/>
          <w:sz w:val="22"/>
          <w:szCs w:val="22"/>
          <w:lang w:val="es-ES"/>
        </w:rPr>
        <w:t xml:space="preserve">El Trabajo Especial de Recuperación de Espacio se ofrecerá por </w:t>
      </w:r>
      <w:r>
        <w:rPr>
          <w:rFonts w:eastAsiaTheme="minorHAnsi"/>
          <w:i w:val="0"/>
          <w:sz w:val="22"/>
          <w:szCs w:val="22"/>
          <w:lang w:val="es-ES"/>
        </w:rPr>
        <w:t>Telnor</w:t>
      </w:r>
      <w:r w:rsidRPr="004B649F">
        <w:rPr>
          <w:rFonts w:eastAsiaTheme="minorHAnsi"/>
          <w:i w:val="0"/>
          <w:sz w:val="22"/>
          <w:szCs w:val="22"/>
          <w:lang w:val="es-ES"/>
        </w:rPr>
        <w:t xml:space="preserve"> al CS como un servicio contingente cuando en </w:t>
      </w:r>
      <w:r>
        <w:rPr>
          <w:rFonts w:eastAsiaTheme="minorHAnsi"/>
          <w:i w:val="0"/>
          <w:sz w:val="22"/>
          <w:szCs w:val="22"/>
          <w:lang w:val="es-ES"/>
        </w:rPr>
        <w:t>l</w:t>
      </w:r>
      <w:r w:rsidRPr="0082211C">
        <w:rPr>
          <w:rFonts w:eastAsiaTheme="minorHAnsi"/>
          <w:i w:val="0"/>
          <w:sz w:val="22"/>
          <w:szCs w:val="22"/>
          <w:lang w:val="es-ES"/>
        </w:rPr>
        <w:t>a Visita Técnica</w:t>
      </w:r>
      <w:r w:rsidRPr="004B649F">
        <w:rPr>
          <w:rFonts w:eastAsiaTheme="minorHAnsi"/>
          <w:i w:val="0"/>
          <w:sz w:val="22"/>
          <w:szCs w:val="22"/>
          <w:lang w:val="es-ES"/>
        </w:rPr>
        <w:t xml:space="preserve"> se detecta que para la prestación de los servicios de Compartición de Infraestructura es necesario realizar recuperación de espacio, la cual podrá iniciarse mediante solicitud expresa del CS.</w:t>
      </w:r>
    </w:p>
    <w:p w:rsidR="007C4016" w:rsidRPr="00634873" w:rsidRDefault="007C4016" w:rsidP="007C4016">
      <w:pPr>
        <w:pStyle w:val="Citaift0"/>
        <w:spacing w:before="240" w:after="0"/>
        <w:rPr>
          <w:rFonts w:eastAsiaTheme="minorHAnsi"/>
          <w:i w:val="0"/>
          <w:sz w:val="22"/>
          <w:szCs w:val="22"/>
        </w:rPr>
      </w:pPr>
      <w:r w:rsidRPr="00634873">
        <w:rPr>
          <w:rFonts w:eastAsiaTheme="minorHAnsi"/>
          <w:i w:val="0"/>
          <w:sz w:val="22"/>
          <w:szCs w:val="22"/>
        </w:rPr>
        <w:t>Se cotizará de manera particular</w:t>
      </w:r>
      <w:r w:rsidRPr="00634873">
        <w:rPr>
          <w:rFonts w:eastAsiaTheme="minorHAnsi"/>
          <w:i w:val="0"/>
          <w:sz w:val="22"/>
          <w:szCs w:val="22"/>
          <w:vertAlign w:val="superscript"/>
        </w:rPr>
        <w:t>17</w:t>
      </w:r>
      <w:r w:rsidRPr="00634873">
        <w:rPr>
          <w:rFonts w:eastAsiaTheme="minorHAnsi"/>
          <w:i w:val="0"/>
          <w:sz w:val="22"/>
          <w:szCs w:val="22"/>
        </w:rPr>
        <w:t xml:space="preserve"> y el precio variará de acuerdo a la cantidad de elementos de infraestructura y de red que sean necesarios modificar, reinstalar y/o retirar. El CS deberá cubrir el costo de la realización de los trabajos.</w:t>
      </w:r>
    </w:p>
    <w:p w:rsidR="007C4016" w:rsidRPr="0082211C" w:rsidRDefault="007C4016" w:rsidP="007C4016">
      <w:pPr>
        <w:pStyle w:val="Citaift0"/>
        <w:spacing w:before="240" w:after="0"/>
        <w:rPr>
          <w:rFonts w:eastAsiaTheme="minorHAnsi"/>
          <w:i w:val="0"/>
          <w:sz w:val="22"/>
          <w:szCs w:val="22"/>
          <w:lang w:val="es-ES"/>
        </w:rPr>
      </w:pPr>
      <w:r>
        <w:rPr>
          <w:rFonts w:eastAsiaTheme="minorHAnsi"/>
          <w:i w:val="0"/>
          <w:sz w:val="22"/>
          <w:szCs w:val="22"/>
          <w:lang w:val="es-ES"/>
        </w:rPr>
        <w:t>Telnor</w:t>
      </w:r>
      <w:r w:rsidRPr="0082211C">
        <w:rPr>
          <w:rFonts w:eastAsiaTheme="minorHAnsi"/>
          <w:i w:val="0"/>
          <w:sz w:val="22"/>
          <w:szCs w:val="22"/>
          <w:lang w:val="es-ES"/>
        </w:rPr>
        <w:t xml:space="preserve"> deberá proporcionar al CS la cotización detallada de los trabajos a realizar, a fin de que el CS examine y determine si lo acepta o no. En caso de que el CS confirme la continuidad del Trabajo Especial, </w:t>
      </w:r>
      <w:r>
        <w:rPr>
          <w:rFonts w:eastAsiaTheme="minorHAnsi"/>
          <w:i w:val="0"/>
          <w:sz w:val="22"/>
          <w:szCs w:val="22"/>
          <w:lang w:val="es-ES"/>
        </w:rPr>
        <w:t>Telnor</w:t>
      </w:r>
      <w:r w:rsidRPr="0082211C">
        <w:rPr>
          <w:rFonts w:eastAsiaTheme="minorHAnsi"/>
          <w:i w:val="0"/>
          <w:sz w:val="22"/>
          <w:szCs w:val="22"/>
          <w:lang w:val="es-ES"/>
        </w:rPr>
        <w:t xml:space="preserve"> deberá entregar el plan de trabajo así como la fecha de inicio y fin de los mismos. Una vez concluidos los trabajos especiales, </w:t>
      </w:r>
      <w:r>
        <w:rPr>
          <w:rFonts w:eastAsiaTheme="minorHAnsi"/>
          <w:i w:val="0"/>
          <w:sz w:val="22"/>
          <w:szCs w:val="22"/>
          <w:lang w:val="es-ES"/>
        </w:rPr>
        <w:t>Telnor</w:t>
      </w:r>
      <w:r w:rsidRPr="0082211C">
        <w:rPr>
          <w:rFonts w:eastAsiaTheme="minorHAnsi"/>
          <w:i w:val="0"/>
          <w:sz w:val="22"/>
          <w:szCs w:val="22"/>
          <w:lang w:val="es-ES"/>
        </w:rPr>
        <w:t xml:space="preserve"> deberá proporcionar al CS toda la información relativa al proyecto como isométricos, planos y toda lo necesaria para elaborar el Anteproyecto.</w:t>
      </w:r>
    </w:p>
    <w:p w:rsidR="007C4016" w:rsidRPr="0082211C" w:rsidRDefault="007C4016" w:rsidP="007C4016">
      <w:pPr>
        <w:pStyle w:val="Citaift0"/>
        <w:spacing w:before="240" w:after="0"/>
        <w:rPr>
          <w:rFonts w:eastAsiaTheme="minorHAnsi"/>
          <w:i w:val="0"/>
          <w:sz w:val="22"/>
          <w:szCs w:val="22"/>
          <w:lang w:val="es-ES"/>
        </w:rPr>
      </w:pPr>
      <w:r w:rsidRPr="00634873">
        <w:rPr>
          <w:rFonts w:eastAsiaTheme="minorHAnsi"/>
          <w:i w:val="0"/>
          <w:sz w:val="22"/>
          <w:szCs w:val="22"/>
          <w:lang w:val="es-ES"/>
        </w:rPr>
        <w:t>Los plazos de entrega variarán dependiendo de la complejidad de los trabajos necesarios.</w:t>
      </w:r>
    </w:p>
    <w:p w:rsidR="007C4016" w:rsidRPr="004B649F" w:rsidRDefault="007C4016" w:rsidP="007C4016">
      <w:pPr>
        <w:pStyle w:val="Citaift0"/>
        <w:spacing w:before="240" w:after="0"/>
        <w:rPr>
          <w:rFonts w:eastAsiaTheme="minorHAnsi"/>
          <w:i w:val="0"/>
          <w:sz w:val="22"/>
          <w:szCs w:val="22"/>
          <w:lang w:val="es-ES"/>
        </w:rPr>
      </w:pPr>
      <w:r w:rsidRPr="0082211C">
        <w:rPr>
          <w:rFonts w:eastAsiaTheme="minorHAnsi"/>
          <w:i w:val="0"/>
          <w:sz w:val="22"/>
          <w:szCs w:val="22"/>
          <w:lang w:val="es-ES"/>
        </w:rPr>
        <w:t>La facturación del Trabajo Especial “Recuperación de Espacio” será posterior a la conclusión del procedimiento y deberá existir el acta de los trabajos firmada de conformidad por ambos.</w:t>
      </w:r>
    </w:p>
    <w:p w:rsidR="007C4016" w:rsidRDefault="007C4016" w:rsidP="007C4016">
      <w:pPr>
        <w:pStyle w:val="Citaift0"/>
        <w:spacing w:before="240" w:after="0"/>
        <w:rPr>
          <w:rFonts w:eastAsiaTheme="minorHAnsi"/>
          <w:i w:val="0"/>
          <w:sz w:val="22"/>
          <w:szCs w:val="22"/>
          <w:lang w:val="es-ES"/>
        </w:rPr>
      </w:pPr>
      <w:r>
        <w:rPr>
          <w:rFonts w:eastAsiaTheme="minorHAnsi"/>
          <w:i w:val="0"/>
          <w:sz w:val="22"/>
          <w:szCs w:val="22"/>
          <w:lang w:val="es-ES"/>
        </w:rPr>
        <w:t>__________________________</w:t>
      </w:r>
    </w:p>
    <w:p w:rsidR="007C4016" w:rsidRDefault="007C4016" w:rsidP="007C4016">
      <w:pPr>
        <w:pStyle w:val="Citaift0"/>
        <w:spacing w:before="240" w:after="0"/>
        <w:rPr>
          <w:rFonts w:eastAsiaTheme="minorHAnsi"/>
          <w:i w:val="0"/>
          <w:sz w:val="22"/>
          <w:szCs w:val="22"/>
          <w:lang w:val="es-ES"/>
        </w:rPr>
      </w:pPr>
      <w:r w:rsidRPr="00634873">
        <w:rPr>
          <w:rFonts w:eastAsiaTheme="minorHAnsi"/>
          <w:i w:val="0"/>
          <w:sz w:val="22"/>
          <w:szCs w:val="22"/>
          <w:vertAlign w:val="superscript"/>
          <w:lang w:val="es-ES"/>
        </w:rPr>
        <w:t xml:space="preserve"> 17</w:t>
      </w:r>
      <w:r>
        <w:rPr>
          <w:rFonts w:eastAsiaTheme="minorHAnsi"/>
          <w:i w:val="0"/>
          <w:sz w:val="22"/>
          <w:szCs w:val="22"/>
          <w:lang w:val="es-ES"/>
        </w:rPr>
        <w:t xml:space="preserve"> </w:t>
      </w:r>
      <w:r w:rsidRPr="00634873">
        <w:rPr>
          <w:rFonts w:eastAsiaTheme="minorHAnsi"/>
          <w:i w:val="0"/>
          <w:sz w:val="22"/>
          <w:szCs w:val="22"/>
          <w:lang w:val="es-ES"/>
        </w:rPr>
        <w:t>Para los trabajos especiales de recuperación también deberán considerarse viáticos y permisos cuando sean requeridos.</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A.</w:t>
      </w:r>
      <w:r w:rsidRPr="006A7AA7">
        <w:rPr>
          <w:rFonts w:ascii="ITC Avant Garde" w:hAnsi="ITC Avant Garde"/>
          <w:b/>
          <w:sz w:val="22"/>
          <w:szCs w:val="22"/>
        </w:rPr>
        <w:tab/>
        <w:t xml:space="preserve"> PROCEDIMIENTO PARA RECUPERACIÓN DE ESPACIOS.</w:t>
      </w:r>
    </w:p>
    <w:p w:rsidR="007C4016" w:rsidRPr="00BF4959" w:rsidRDefault="007C4016" w:rsidP="007C4016">
      <w:pPr>
        <w:pStyle w:val="IFTnormal"/>
        <w:spacing w:before="240" w:after="0"/>
        <w:rPr>
          <w:b/>
        </w:rPr>
      </w:pPr>
      <w:r w:rsidRPr="00BF4959">
        <w:rPr>
          <w:b/>
        </w:rPr>
        <w:lastRenderedPageBreak/>
        <w:t>Consideraciones del Instituto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pPr>
      <w:r w:rsidRPr="00C522FC">
        <w:t xml:space="preserve">Respecto a los procedimientos </w:t>
      </w:r>
      <w:r>
        <w:rPr>
          <w:lang w:val="es-ES"/>
        </w:rPr>
        <w:t>presentados por el AEP en el numeral “7</w:t>
      </w:r>
      <w:r w:rsidRPr="00C25D42">
        <w:rPr>
          <w:i/>
          <w:lang w:val="es-ES"/>
        </w:rPr>
        <w:t>.</w:t>
      </w:r>
      <w:r>
        <w:rPr>
          <w:i/>
          <w:lang w:val="es-ES"/>
        </w:rPr>
        <w:t xml:space="preserve">2 </w:t>
      </w:r>
      <w:r w:rsidRPr="00ED55E0">
        <w:rPr>
          <w:lang w:val="es-ES"/>
        </w:rPr>
        <w:t>Inciso</w:t>
      </w:r>
      <w:r>
        <w:rPr>
          <w:i/>
          <w:lang w:val="es-ES"/>
        </w:rPr>
        <w:t xml:space="preserve"> a)</w:t>
      </w:r>
      <w:r w:rsidRPr="00C25D42">
        <w:rPr>
          <w:i/>
          <w:lang w:val="es-ES"/>
        </w:rPr>
        <w:tab/>
      </w:r>
      <w:r>
        <w:rPr>
          <w:i/>
          <w:lang w:val="es-ES"/>
        </w:rPr>
        <w:t xml:space="preserve"> Procedimiento para el Acondicionamiento de Infraestructura</w:t>
      </w:r>
      <w:r>
        <w:rPr>
          <w:lang w:val="es-ES"/>
        </w:rPr>
        <w:t>”</w:t>
      </w:r>
      <w:r w:rsidRPr="00C522FC">
        <w:t xml:space="preserve">, </w:t>
      </w:r>
      <w:r>
        <w:t xml:space="preserve">el Instituto </w:t>
      </w:r>
      <w:r>
        <w:rPr>
          <w:lang w:val="es-ES"/>
        </w:rPr>
        <w:t xml:space="preserve">considera que la propuesta presentada no cumple ni se apegan a lo establecido en la Medida </w:t>
      </w:r>
      <w:r w:rsidRPr="004E7744">
        <w:rPr>
          <w:b/>
          <w:lang w:val="es-ES"/>
        </w:rPr>
        <w:t>CUADRAGÉSIMA PRIMERA</w:t>
      </w:r>
      <w:r w:rsidRPr="00DD77E4">
        <w:rPr>
          <w:lang w:val="es-ES"/>
        </w:rPr>
        <w:t xml:space="preserve"> de las Medidas Fijas</w:t>
      </w:r>
      <w:r>
        <w:rPr>
          <w:lang w:val="es-ES"/>
        </w:rPr>
        <w:t xml:space="preserve">, la cual puntualiza </w:t>
      </w:r>
      <w:r>
        <w:t>que la Oferta propuesta por el AEP deberá reflejar al menos condiciones equivalentes al de la Oferta de Referencia Vigente y deberá contar con procedimientos y plazos para la solicitud y entrega de los servicios, así como, no podrá establecer condiciones que inhiban la competencia en la prestación de los servicios.</w:t>
      </w:r>
    </w:p>
    <w:p w:rsidR="007C4016" w:rsidRDefault="007C4016" w:rsidP="007C4016">
      <w:pPr>
        <w:pStyle w:val="IFTnormal"/>
        <w:spacing w:before="240" w:after="0"/>
        <w:rPr>
          <w:lang w:val="es-ES"/>
        </w:rPr>
      </w:pPr>
      <w:r>
        <w:t xml:space="preserve">Por lo tanto </w:t>
      </w:r>
      <w:r>
        <w:rPr>
          <w:lang w:val="es-ES"/>
        </w:rPr>
        <w:t>el Instituto</w:t>
      </w:r>
      <w:r>
        <w:t xml:space="preserve"> considera necesario modificar el “</w:t>
      </w:r>
      <w:r>
        <w:rPr>
          <w:i/>
          <w:lang w:val="es-ES"/>
        </w:rPr>
        <w:t>a)</w:t>
      </w:r>
      <w:r w:rsidRPr="00C25D42">
        <w:rPr>
          <w:i/>
          <w:lang w:val="es-ES"/>
        </w:rPr>
        <w:tab/>
      </w:r>
      <w:r>
        <w:rPr>
          <w:i/>
          <w:lang w:val="es-ES"/>
        </w:rPr>
        <w:t xml:space="preserve"> Procedimiento para la Instalación de Infraestructura del CS en Despliegue de Nueva Obra Civil</w:t>
      </w:r>
      <w:r>
        <w:rPr>
          <w:lang w:val="es-ES"/>
        </w:rPr>
        <w:t>”</w:t>
      </w:r>
      <w:r>
        <w:t xml:space="preserve">, de acuerdo a lo puntualizado por la Medida </w:t>
      </w:r>
      <w:r w:rsidRPr="004E7744">
        <w:rPr>
          <w:b/>
          <w:lang w:val="es-ES"/>
        </w:rPr>
        <w:t>CUADRAGÉSIMA PRIMERA</w:t>
      </w:r>
      <w:r>
        <w:rPr>
          <w:lang w:val="es-ES"/>
        </w:rPr>
        <w:t xml:space="preserve">, y también por </w:t>
      </w:r>
      <w:r>
        <w:t xml:space="preserve">consistencia </w:t>
      </w:r>
      <w:r>
        <w:rPr>
          <w:lang w:val="es-ES"/>
        </w:rPr>
        <w:t xml:space="preserve">con las modificaciones </w:t>
      </w:r>
      <w:r>
        <w:t>realizadas a los procedimientos de los servicios,</w:t>
      </w:r>
      <w:r>
        <w:rPr>
          <w:lang w:val="es-ES"/>
        </w:rPr>
        <w:t xml:space="preserve"> resultas en los numerales previos</w:t>
      </w:r>
      <w:r>
        <w:t>. A fin de lograr los siguientes objetivos:</w:t>
      </w:r>
    </w:p>
    <w:p w:rsidR="007C4016" w:rsidRPr="009E7800" w:rsidRDefault="007C4016" w:rsidP="007C4016">
      <w:pPr>
        <w:pStyle w:val="IFTnormal"/>
        <w:numPr>
          <w:ilvl w:val="0"/>
          <w:numId w:val="69"/>
        </w:numPr>
        <w:spacing w:before="240" w:after="0"/>
        <w:rPr>
          <w:lang w:val="es-ES"/>
        </w:rPr>
      </w:pPr>
      <w:r>
        <w:t>Otorgar claridad en</w:t>
      </w:r>
      <w:r w:rsidRPr="00C522FC">
        <w:t xml:space="preserve"> la redacción, comprensión y s</w:t>
      </w:r>
      <w:r>
        <w:t>eguimiento a las etapas o actividades de cada procedimiento.</w:t>
      </w:r>
    </w:p>
    <w:p w:rsidR="007C4016" w:rsidRPr="009E7800" w:rsidRDefault="007C4016" w:rsidP="007C4016">
      <w:pPr>
        <w:pStyle w:val="IFTnormal"/>
        <w:numPr>
          <w:ilvl w:val="0"/>
          <w:numId w:val="69"/>
        </w:numPr>
        <w:spacing w:after="0"/>
        <w:rPr>
          <w:lang w:val="es-ES"/>
        </w:rPr>
      </w:pPr>
      <w:r>
        <w:t>E</w:t>
      </w:r>
      <w:r w:rsidRPr="00C522FC">
        <w:t xml:space="preserve">stablecer un formato único que facilite </w:t>
      </w:r>
      <w:r>
        <w:t>la</w:t>
      </w:r>
      <w:r w:rsidRPr="00C522FC">
        <w:t xml:space="preserve"> comprensión y seguimiento a</w:t>
      </w:r>
      <w:r>
        <w:t xml:space="preserve"> los procedimientos, a efectos de que los involucrados puedan realizar una correcta planeación de sus actividades.</w:t>
      </w:r>
    </w:p>
    <w:p w:rsidR="007C4016" w:rsidRDefault="007C4016" w:rsidP="007C4016">
      <w:pPr>
        <w:pStyle w:val="IFTnormal"/>
        <w:numPr>
          <w:ilvl w:val="0"/>
          <w:numId w:val="69"/>
        </w:numPr>
        <w:spacing w:after="0"/>
        <w:rPr>
          <w:lang w:val="es-ES"/>
        </w:rPr>
      </w:pPr>
      <w:r>
        <w:rPr>
          <w:lang w:val="es-ES"/>
        </w:rPr>
        <w:t>Homologar la estructura de los procedimientos para delimitar los alcances de cada actividad o etapa ya sea administrativa o técnica.</w:t>
      </w:r>
    </w:p>
    <w:p w:rsidR="007C4016" w:rsidRPr="0032311A" w:rsidRDefault="007C4016" w:rsidP="007C4016">
      <w:pPr>
        <w:pStyle w:val="IFTnormal"/>
        <w:numPr>
          <w:ilvl w:val="0"/>
          <w:numId w:val="69"/>
        </w:numPr>
        <w:spacing w:after="0"/>
        <w:rPr>
          <w:lang w:val="es-ES"/>
        </w:rPr>
      </w:pPr>
      <w:r>
        <w:rPr>
          <w:lang w:val="es-ES"/>
        </w:rPr>
        <w:t>Evitar las posibles obstaculizaciones a los procedimientos que deriven en alargamiento de plazos y cobro de costos extra.</w:t>
      </w:r>
    </w:p>
    <w:p w:rsidR="007C4016" w:rsidRDefault="007C4016" w:rsidP="007C4016">
      <w:pPr>
        <w:pStyle w:val="IFTnormal"/>
        <w:numPr>
          <w:ilvl w:val="0"/>
          <w:numId w:val="69"/>
        </w:numPr>
        <w:spacing w:after="0"/>
        <w:rPr>
          <w:lang w:val="es-ES"/>
        </w:rPr>
      </w:pPr>
      <w:r>
        <w:rPr>
          <w:lang w:val="es-ES"/>
        </w:rPr>
        <w:t>Definir plazos de respuesta del CS al AEP y viceversa.</w:t>
      </w:r>
      <w:r w:rsidRPr="006D6C0A">
        <w:rPr>
          <w:lang w:val="es-ES"/>
        </w:rPr>
        <w:t xml:space="preserve"> </w:t>
      </w:r>
    </w:p>
    <w:p w:rsidR="007C4016" w:rsidRDefault="007C4016" w:rsidP="007C4016">
      <w:pPr>
        <w:pStyle w:val="IFTnormal"/>
        <w:numPr>
          <w:ilvl w:val="0"/>
          <w:numId w:val="69"/>
        </w:numPr>
        <w:spacing w:after="0"/>
        <w:rPr>
          <w:lang w:val="es-ES"/>
        </w:rPr>
      </w:pPr>
      <w:r>
        <w:rPr>
          <w:lang w:val="es-ES"/>
        </w:rPr>
        <w:t>Facturación de servicios al concluir con el procedimiento y contar con acta firmada.</w:t>
      </w:r>
    </w:p>
    <w:p w:rsidR="007C4016" w:rsidRPr="004C0456" w:rsidRDefault="007C4016" w:rsidP="007C4016">
      <w:pPr>
        <w:pStyle w:val="IFTnormal"/>
        <w:spacing w:before="240" w:after="0"/>
        <w:rPr>
          <w:b/>
        </w:rPr>
      </w:pPr>
      <w:r>
        <w:rPr>
          <w:b/>
        </w:rPr>
        <w:t xml:space="preserve"> Redacción Definitiva</w:t>
      </w:r>
    </w:p>
    <w:p w:rsidR="007C4016" w:rsidRDefault="007C4016" w:rsidP="007C4016">
      <w:pPr>
        <w:suppressAutoHyphens w:val="0"/>
        <w:spacing w:before="240" w:after="0" w:line="276" w:lineRule="auto"/>
        <w:ind w:right="567"/>
        <w:contextualSpacing w:val="0"/>
        <w:rPr>
          <w:rFonts w:ascii="ITC Avant Garde" w:eastAsia="Calibri" w:hAnsi="ITC Avant Garde"/>
          <w:b/>
          <w:i/>
          <w:sz w:val="18"/>
          <w:szCs w:val="22"/>
          <w:lang w:val="es-ES" w:eastAsia="en-US"/>
        </w:rPr>
      </w:pPr>
      <w:r w:rsidRPr="000B50E0">
        <w:rPr>
          <w:rFonts w:ascii="ITC Avant Garde" w:eastAsia="MS Mincho" w:hAnsi="ITC Avant Garde" w:cs="Calibri"/>
          <w:bCs/>
          <w:sz w:val="22"/>
          <w:szCs w:val="22"/>
          <w:lang w:val="es-ES" w:eastAsia="en-US"/>
        </w:rPr>
        <w:t>Derivado del análisis previo, el Instituto resue</w:t>
      </w:r>
      <w:r>
        <w:rPr>
          <w:rFonts w:ascii="ITC Avant Garde" w:eastAsia="MS Mincho" w:hAnsi="ITC Avant Garde" w:cs="Calibri"/>
          <w:bCs/>
          <w:sz w:val="22"/>
          <w:szCs w:val="22"/>
          <w:lang w:val="es-ES" w:eastAsia="en-US"/>
        </w:rPr>
        <w:t xml:space="preserve">lve modificar la </w:t>
      </w:r>
      <w:r w:rsidRPr="0082211C">
        <w:rPr>
          <w:rFonts w:ascii="ITC Avant Garde" w:eastAsia="MS Mincho" w:hAnsi="ITC Avant Garde" w:cs="Calibri"/>
          <w:sz w:val="22"/>
          <w:szCs w:val="22"/>
          <w:lang w:val="es-ES" w:eastAsia="en-US"/>
        </w:rPr>
        <w:t>Propuesta de Oferta de Referencia</w:t>
      </w:r>
      <w:r w:rsidRPr="000B50E0">
        <w:rPr>
          <w:rFonts w:ascii="ITC Avant Garde" w:eastAsia="MS Mincho" w:hAnsi="ITC Avant Garde" w:cs="Calibri"/>
          <w:bCs/>
          <w:sz w:val="22"/>
          <w:szCs w:val="22"/>
          <w:lang w:val="es-ES" w:eastAsia="en-US"/>
        </w:rPr>
        <w:t xml:space="preserve"> para que en el apartado</w:t>
      </w:r>
      <w:r>
        <w:rPr>
          <w:rFonts w:ascii="ITC Avant Garde" w:eastAsia="MS Mincho" w:hAnsi="ITC Avant Garde" w:cs="Calibri"/>
          <w:bCs/>
          <w:sz w:val="22"/>
          <w:szCs w:val="22"/>
          <w:lang w:val="es-ES" w:eastAsia="en-US"/>
        </w:rPr>
        <w:t xml:space="preserve"> de</w:t>
      </w:r>
      <w:r w:rsidRPr="000B50E0">
        <w:rPr>
          <w:rFonts w:ascii="ITC Avant Garde" w:eastAsia="MS Mincho" w:hAnsi="ITC Avant Garde" w:cs="Calibri"/>
          <w:bCs/>
          <w:sz w:val="22"/>
          <w:szCs w:val="22"/>
          <w:lang w:val="es-ES" w:eastAsia="en-US"/>
        </w:rPr>
        <w:t xml:space="preserve"> “</w:t>
      </w:r>
      <w:r w:rsidRPr="00860E2E">
        <w:rPr>
          <w:rFonts w:ascii="ITC Avant Garde" w:eastAsia="MS Mincho" w:hAnsi="ITC Avant Garde" w:cs="Calibri"/>
          <w:bCs/>
          <w:sz w:val="22"/>
          <w:szCs w:val="22"/>
          <w:lang w:val="es-ES" w:eastAsia="en-US"/>
        </w:rPr>
        <w:t>PROCEDIMIENTO PARA RECUPERACIÓN DE ESPACIOS</w:t>
      </w:r>
      <w:r w:rsidRPr="000B50E0">
        <w:rPr>
          <w:rFonts w:ascii="ITC Avant Garde" w:eastAsia="MS Mincho" w:hAnsi="ITC Avant Garde" w:cs="Calibri"/>
          <w:bCs/>
          <w:sz w:val="22"/>
          <w:szCs w:val="22"/>
          <w:lang w:val="es-ES" w:eastAsia="en-US"/>
        </w:rPr>
        <w:t>” se integre lo siguiente:</w:t>
      </w:r>
    </w:p>
    <w:p w:rsidR="007C4016" w:rsidRPr="0015695F" w:rsidRDefault="007C4016" w:rsidP="007C4016">
      <w:pPr>
        <w:pStyle w:val="CondicionesFinales"/>
        <w:spacing w:before="240" w:after="0"/>
        <w:rPr>
          <w:b/>
        </w:rPr>
      </w:pPr>
      <w:r w:rsidRPr="0015695F">
        <w:rPr>
          <w:b/>
        </w:rPr>
        <w:t>a.</w:t>
      </w:r>
      <w:r w:rsidRPr="0015695F">
        <w:rPr>
          <w:b/>
        </w:rPr>
        <w:tab/>
        <w:t xml:space="preserve"> Procedimiento para Recuperación de Espacios.</w:t>
      </w:r>
    </w:p>
    <w:tbl>
      <w:tblPr>
        <w:tblStyle w:val="Tablaconcuadrcula"/>
        <w:tblW w:w="3991" w:type="pct"/>
        <w:tblInd w:w="959" w:type="dxa"/>
        <w:tblLook w:val="04A0" w:firstRow="1" w:lastRow="0" w:firstColumn="1" w:lastColumn="0" w:noHBand="0" w:noVBand="1"/>
        <w:tblCaption w:val="Tabla"/>
        <w:tblDescription w:val="Procedimiento para Recuperación de Espacios."/>
      </w:tblPr>
      <w:tblGrid>
        <w:gridCol w:w="2356"/>
        <w:gridCol w:w="4692"/>
      </w:tblGrid>
      <w:tr w:rsidR="007C4016" w:rsidRPr="001E78B5" w:rsidTr="005C782A">
        <w:trPr>
          <w:tblHeader/>
        </w:trPr>
        <w:tc>
          <w:tcPr>
            <w:tcW w:w="1630" w:type="pct"/>
            <w:shd w:val="clear" w:color="auto" w:fill="D9D9D9" w:themeFill="background1" w:themeFillShade="D9"/>
          </w:tcPr>
          <w:p w:rsidR="007C4016" w:rsidRPr="001E78B5" w:rsidRDefault="007C4016" w:rsidP="005C782A">
            <w:pPr>
              <w:pStyle w:val="IFTnormal"/>
              <w:spacing w:after="0"/>
            </w:pPr>
            <w:r w:rsidRPr="001E78B5">
              <w:lastRenderedPageBreak/>
              <w:t>Etapa</w:t>
            </w:r>
          </w:p>
        </w:tc>
        <w:tc>
          <w:tcPr>
            <w:tcW w:w="3370" w:type="pct"/>
            <w:shd w:val="clear" w:color="auto" w:fill="D9D9D9" w:themeFill="background1" w:themeFillShade="D9"/>
          </w:tcPr>
          <w:p w:rsidR="007C4016" w:rsidRPr="001E78B5" w:rsidRDefault="007C4016" w:rsidP="005C782A">
            <w:pPr>
              <w:pStyle w:val="IFTnormal"/>
              <w:spacing w:after="0"/>
            </w:pPr>
            <w:r w:rsidRPr="001E78B5">
              <w:t>Descripción</w:t>
            </w:r>
          </w:p>
        </w:tc>
      </w:tr>
      <w:tr w:rsidR="007C4016" w:rsidRPr="001E78B5" w:rsidTr="005C782A">
        <w:tc>
          <w:tcPr>
            <w:tcW w:w="1630" w:type="pct"/>
          </w:tcPr>
          <w:p w:rsidR="007C4016" w:rsidRPr="001E78B5" w:rsidRDefault="007C4016" w:rsidP="005C782A">
            <w:pPr>
              <w:pStyle w:val="IFTnormal"/>
              <w:spacing w:after="0"/>
            </w:pPr>
            <w:r w:rsidRPr="001E78B5">
              <w:t>Identi</w:t>
            </w:r>
            <w:r>
              <w:t>fi</w:t>
            </w:r>
            <w:r w:rsidRPr="001E78B5">
              <w:t>cación de Trabajo Especial</w:t>
            </w:r>
          </w:p>
        </w:tc>
        <w:tc>
          <w:tcPr>
            <w:tcW w:w="3370" w:type="pct"/>
          </w:tcPr>
          <w:p w:rsidR="007C4016" w:rsidRPr="001E78B5" w:rsidRDefault="007C4016" w:rsidP="005C782A">
            <w:pPr>
              <w:pStyle w:val="IFTnormal"/>
              <w:spacing w:after="0"/>
            </w:pPr>
            <w:r w:rsidRPr="001E78B5">
              <w:t xml:space="preserve">Este procedimiento </w:t>
            </w:r>
            <w:r w:rsidRPr="00E61B6E">
              <w:t>se</w:t>
            </w:r>
            <w:r>
              <w:t xml:space="preserve"> </w:t>
            </w:r>
            <w:r w:rsidRPr="001E78B5">
              <w:t>aplica única y exclusivamente, si como resultado de la Visita Técnica o durante la fase de Instalación, se identifica que se deben realizar trabajos para Recuperar Espacios para prestar los servicios de la presente Oferta.</w:t>
            </w:r>
          </w:p>
        </w:tc>
      </w:tr>
      <w:tr w:rsidR="007C4016" w:rsidRPr="001E78B5" w:rsidTr="005C782A">
        <w:tc>
          <w:tcPr>
            <w:tcW w:w="1630" w:type="pct"/>
          </w:tcPr>
          <w:p w:rsidR="007C4016" w:rsidRPr="001E78B5" w:rsidRDefault="007C4016" w:rsidP="005C782A">
            <w:pPr>
              <w:pStyle w:val="IFTnormal"/>
              <w:spacing w:after="0"/>
            </w:pPr>
            <w:r w:rsidRPr="001E78B5">
              <w:t>Envío y Validación de presupuesto</w:t>
            </w:r>
          </w:p>
        </w:tc>
        <w:tc>
          <w:tcPr>
            <w:tcW w:w="3370" w:type="pct"/>
          </w:tcPr>
          <w:p w:rsidR="007C4016" w:rsidRPr="001E78B5" w:rsidRDefault="007C4016" w:rsidP="005C782A">
            <w:pPr>
              <w:pStyle w:val="IFTnormal"/>
              <w:spacing w:after="0"/>
            </w:pPr>
            <w:r>
              <w:t>Telnor</w:t>
            </w:r>
            <w:r w:rsidRPr="001E78B5">
              <w:t xml:space="preserve"> enviará el presupuesto de las adecuaciones necesarias en un máximo de 5 días hábiles, documentación del proyecto a realizar, así el plan de trabajo a través del SEG al CS. El CS verificará el proyecto y presupuesto, indicando a </w:t>
            </w:r>
            <w:r>
              <w:t>Telnor</w:t>
            </w:r>
            <w:r w:rsidRPr="001E78B5">
              <w:t xml:space="preserve"> alguna de las siguientes respuestas: </w:t>
            </w:r>
          </w:p>
          <w:p w:rsidR="007C4016" w:rsidRPr="001E78B5" w:rsidRDefault="007C4016" w:rsidP="005C782A">
            <w:pPr>
              <w:pStyle w:val="IFTnormal"/>
              <w:numPr>
                <w:ilvl w:val="0"/>
                <w:numId w:val="62"/>
              </w:numPr>
              <w:spacing w:after="0"/>
            </w:pPr>
            <w:r w:rsidRPr="001E78B5">
              <w:t xml:space="preserve">Aceptada cotización, </w:t>
            </w:r>
            <w:r w:rsidRPr="001E78B5">
              <w:rPr>
                <w:lang w:val="es-ES"/>
              </w:rPr>
              <w:t xml:space="preserve">notificará a </w:t>
            </w:r>
            <w:r>
              <w:rPr>
                <w:lang w:val="es-ES"/>
              </w:rPr>
              <w:t>Telnor</w:t>
            </w:r>
            <w:r w:rsidRPr="001E78B5">
              <w:rPr>
                <w:lang w:val="es-ES"/>
              </w:rPr>
              <w:t xml:space="preserve"> para proseguir con el procedimiento.</w:t>
            </w:r>
          </w:p>
          <w:p w:rsidR="007C4016" w:rsidRPr="001E78B5" w:rsidRDefault="007C4016" w:rsidP="005C782A">
            <w:pPr>
              <w:pStyle w:val="IFTnormal"/>
              <w:numPr>
                <w:ilvl w:val="0"/>
                <w:numId w:val="62"/>
              </w:numPr>
              <w:spacing w:after="0"/>
            </w:pPr>
            <w:r w:rsidRPr="001E78B5">
              <w:t xml:space="preserve">Rechazado de cotización, </w:t>
            </w:r>
            <w:r w:rsidRPr="001E78B5">
              <w:rPr>
                <w:lang w:val="es-ES"/>
              </w:rPr>
              <w:t>podrá negociar el presupuesto o informar su completo rechazo, en cuyo caso se finalizará el procedimiento.</w:t>
            </w:r>
          </w:p>
        </w:tc>
      </w:tr>
      <w:tr w:rsidR="007C4016" w:rsidRPr="001E78B5" w:rsidTr="005C782A">
        <w:tc>
          <w:tcPr>
            <w:tcW w:w="1630" w:type="pct"/>
          </w:tcPr>
          <w:p w:rsidR="007C4016" w:rsidRPr="001E78B5" w:rsidRDefault="007C4016" w:rsidP="005C782A">
            <w:pPr>
              <w:pStyle w:val="IFTnormal"/>
              <w:spacing w:after="0"/>
            </w:pPr>
            <w:r w:rsidRPr="001E78B5">
              <w:t>Instalación de Infraestructura</w:t>
            </w:r>
          </w:p>
        </w:tc>
        <w:tc>
          <w:tcPr>
            <w:tcW w:w="3370" w:type="pct"/>
          </w:tcPr>
          <w:p w:rsidR="007C4016" w:rsidRPr="001E78B5" w:rsidRDefault="007C4016" w:rsidP="005C782A">
            <w:pPr>
              <w:pStyle w:val="IFTnormal"/>
              <w:spacing w:after="0"/>
            </w:pPr>
            <w:r w:rsidRPr="001E78B5">
              <w:t xml:space="preserve">Una vez obtenidos los permisos, </w:t>
            </w:r>
            <w:r>
              <w:t>Telnor</w:t>
            </w:r>
            <w:r w:rsidRPr="001E78B5">
              <w:t xml:space="preserve"> las recuperaciones de espacio correspondientes en el plazo comprometido y de acuerdo al plan de trabajo. </w:t>
            </w:r>
          </w:p>
          <w:p w:rsidR="007C4016" w:rsidRPr="001E78B5" w:rsidRDefault="007C4016" w:rsidP="005C782A">
            <w:pPr>
              <w:pStyle w:val="IFTnormal"/>
              <w:spacing w:after="0"/>
            </w:pPr>
            <w:r w:rsidRPr="001E78B5">
              <w:t xml:space="preserve">Nota: </w:t>
            </w:r>
            <w:r>
              <w:t>Telnor</w:t>
            </w:r>
            <w:r w:rsidRPr="001E78B5">
              <w:t xml:space="preserve"> tramitará los permisos con las autoridades competentes, el costo de dichos permisos será a cargo del CS.</w:t>
            </w:r>
          </w:p>
        </w:tc>
      </w:tr>
      <w:tr w:rsidR="007C4016" w:rsidRPr="001E78B5" w:rsidTr="005C782A">
        <w:tc>
          <w:tcPr>
            <w:tcW w:w="1630" w:type="pct"/>
          </w:tcPr>
          <w:p w:rsidR="007C4016" w:rsidRPr="001E78B5" w:rsidRDefault="007C4016" w:rsidP="005C782A">
            <w:pPr>
              <w:pStyle w:val="IFTnormal"/>
              <w:spacing w:after="0"/>
            </w:pPr>
            <w:r w:rsidRPr="001E78B5">
              <w:t>Verificación de Instalación de Acondicionamiento de Infraestructura</w:t>
            </w:r>
          </w:p>
        </w:tc>
        <w:tc>
          <w:tcPr>
            <w:tcW w:w="3370" w:type="pct"/>
          </w:tcPr>
          <w:p w:rsidR="007C4016" w:rsidRPr="001E78B5" w:rsidRDefault="007C4016" w:rsidP="005C782A">
            <w:pPr>
              <w:pStyle w:val="IFTnormal"/>
              <w:spacing w:after="0"/>
            </w:pPr>
            <w:r w:rsidRPr="001E78B5">
              <w:t xml:space="preserve">Una vez que CS reciba la notificación por parte del </w:t>
            </w:r>
            <w:r>
              <w:t>Telnor</w:t>
            </w:r>
            <w:r w:rsidRPr="001E78B5">
              <w:t xml:space="preserve"> de finalización de Instalación de la Infraestructura, acordarán la disponibilidad de fecha y horarios para llevar a cabo la verificación e informará al </w:t>
            </w:r>
            <w:r>
              <w:t>Telnor</w:t>
            </w:r>
            <w:r w:rsidRPr="001E78B5">
              <w:t xml:space="preserve"> para que acepte o rechace la propuesta.  En caso de no </w:t>
            </w:r>
            <w:r w:rsidRPr="001E78B5">
              <w:lastRenderedPageBreak/>
              <w:t xml:space="preserve">aceptarse la fecha propuesta, </w:t>
            </w:r>
            <w:r>
              <w:t>Telnor</w:t>
            </w:r>
            <w:r w:rsidRPr="001E78B5">
              <w:t xml:space="preserve"> podrá solicitar una nueva fecha, con lo que esta actividad podrá repetirse hasta en 3 ocasiones. </w:t>
            </w:r>
          </w:p>
          <w:p w:rsidR="007C4016" w:rsidRPr="001E78B5" w:rsidRDefault="007C4016" w:rsidP="005C782A">
            <w:pPr>
              <w:pStyle w:val="IFTnormal"/>
              <w:spacing w:after="0"/>
            </w:pPr>
            <w:r w:rsidRPr="001E78B5">
              <w:t xml:space="preserve">Habiéndose definido la fecha, </w:t>
            </w:r>
            <w:r>
              <w:t>Telnor</w:t>
            </w:r>
            <w:r w:rsidRPr="001E78B5">
              <w:t xml:space="preserve"> y el CS realizarán en conjunto la Verificación de la Instalación en sitio, determinando:</w:t>
            </w:r>
          </w:p>
          <w:p w:rsidR="007C4016" w:rsidRPr="001E78B5" w:rsidRDefault="007C4016" w:rsidP="005C782A">
            <w:pPr>
              <w:pStyle w:val="IFTnormal"/>
              <w:numPr>
                <w:ilvl w:val="0"/>
                <w:numId w:val="65"/>
              </w:numPr>
              <w:spacing w:after="0"/>
            </w:pPr>
            <w:r w:rsidRPr="001E78B5">
              <w:t xml:space="preserve">La instalación de la infraestructura de </w:t>
            </w:r>
            <w:r>
              <w:t>Telnor</w:t>
            </w:r>
            <w:r w:rsidRPr="001E78B5">
              <w:t xml:space="preserve"> está de acuerdo proyecto y normativa, el CS valida y se firmará en sitio el acta.</w:t>
            </w:r>
          </w:p>
          <w:p w:rsidR="007C4016" w:rsidRPr="001E78B5" w:rsidRDefault="007C4016" w:rsidP="005C782A">
            <w:pPr>
              <w:pStyle w:val="IFTnormal"/>
              <w:numPr>
                <w:ilvl w:val="0"/>
                <w:numId w:val="65"/>
              </w:numPr>
              <w:spacing w:after="0"/>
            </w:pPr>
            <w:r w:rsidRPr="001E78B5">
              <w:t xml:space="preserve">En caso contrario, </w:t>
            </w:r>
            <w:r>
              <w:t>Telnor</w:t>
            </w:r>
            <w:r w:rsidRPr="001E78B5">
              <w:t xml:space="preserve"> y el CS registran en el acta los cambios y ajustes que debe hacer </w:t>
            </w:r>
            <w:r>
              <w:t>Telnor</w:t>
            </w:r>
            <w:r w:rsidRPr="001E78B5">
              <w:t xml:space="preserve"> para cumplir con la Verificación. Esta actividad deberá repetirse en tanto no se logre la Verificación satisfactoria y la firma del acta.</w:t>
            </w:r>
          </w:p>
        </w:tc>
      </w:tr>
      <w:tr w:rsidR="007C4016" w:rsidRPr="00833D3A" w:rsidTr="005C782A">
        <w:tc>
          <w:tcPr>
            <w:tcW w:w="1630" w:type="pct"/>
            <w:shd w:val="clear" w:color="auto" w:fill="auto"/>
          </w:tcPr>
          <w:p w:rsidR="007C4016" w:rsidRPr="001E78B5" w:rsidRDefault="007C4016" w:rsidP="005C782A">
            <w:pPr>
              <w:pStyle w:val="IFTnormal"/>
              <w:spacing w:after="0"/>
            </w:pPr>
            <w:r w:rsidRPr="001E78B5">
              <w:lastRenderedPageBreak/>
              <w:t>Facturación</w:t>
            </w:r>
          </w:p>
        </w:tc>
        <w:tc>
          <w:tcPr>
            <w:tcW w:w="3370" w:type="pct"/>
            <w:shd w:val="clear" w:color="auto" w:fill="auto"/>
          </w:tcPr>
          <w:p w:rsidR="007C4016" w:rsidRPr="00833D3A" w:rsidRDefault="007C4016" w:rsidP="005C782A">
            <w:pPr>
              <w:pStyle w:val="IFTnormal"/>
              <w:spacing w:after="0"/>
            </w:pPr>
            <w:r w:rsidRPr="001E78B5">
              <w:t xml:space="preserve">Una vez firmado el acta </w:t>
            </w:r>
            <w:r>
              <w:t>Telnor</w:t>
            </w:r>
            <w:r w:rsidRPr="001E78B5">
              <w:t xml:space="preserve"> puede facturar los trabajos cotizados. </w:t>
            </w:r>
            <w:r>
              <w:t>Telnor</w:t>
            </w:r>
            <w:r w:rsidRPr="001E78B5">
              <w:t xml:space="preserve"> deberá integrar el acta firmada escaneada al SEG (plazo).</w:t>
            </w:r>
          </w:p>
        </w:tc>
      </w:tr>
    </w:tbl>
    <w:p w:rsidR="007C4016" w:rsidRDefault="007C4016" w:rsidP="007C4016">
      <w:pPr>
        <w:pStyle w:val="TDC1"/>
        <w:spacing w:before="240" w:after="0"/>
      </w:pP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ANEXO 1 FORMATOS</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1. Solicitud de Servicio de Fibra Obscura.</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pPr>
      <w:r>
        <w:t xml:space="preserve">En consistencia con el análisis y consideraciones </w:t>
      </w:r>
      <w:r w:rsidRPr="00460CA7">
        <w:t>del Instituto</w:t>
      </w:r>
      <w:r>
        <w:t xml:space="preserve"> en la Sección “</w:t>
      </w:r>
      <w:r w:rsidRPr="00882271">
        <w:t>2.</w:t>
      </w:r>
      <w:r w:rsidRPr="00882271">
        <w:tab/>
        <w:t xml:space="preserve">SERVICIO DE CANALES ÓPTICOS </w:t>
      </w:r>
      <w:r>
        <w:t>DE ALTA CAPACIDAD DE TRANSPORTE”, del presente documento</w:t>
      </w:r>
      <w:r w:rsidRPr="00460CA7">
        <w:t xml:space="preserve">, la propuesta del AEP no cumple con lo dispuesto en la Medida TRIGÉSIMA CUARTA de las Medidas Fijas, </w:t>
      </w:r>
      <w:r>
        <w:t>ya</w:t>
      </w:r>
      <w:r w:rsidRPr="00460CA7">
        <w:t xml:space="preserve"> que </w:t>
      </w:r>
      <w:r>
        <w:t xml:space="preserve">Telnor </w:t>
      </w:r>
      <w:r w:rsidRPr="00460CA7">
        <w:t xml:space="preserve">no </w:t>
      </w:r>
      <w:r>
        <w:t>agota</w:t>
      </w:r>
      <w:r w:rsidRPr="00460CA7">
        <w:t xml:space="preserve"> la alternativa del servicio de renta de fibra </w:t>
      </w:r>
      <w:r>
        <w:t>obscura</w:t>
      </w:r>
      <w:r w:rsidRPr="00460CA7">
        <w:t xml:space="preserve"> </w:t>
      </w:r>
      <w:r>
        <w:t>limitando con ello el acceso a su infraestructura e imponiendo restricciones a la competencia,</w:t>
      </w:r>
      <w:r w:rsidRPr="00460CA7">
        <w:t xml:space="preserve"> por lo tanto es </w:t>
      </w:r>
      <w:r w:rsidRPr="00460CA7">
        <w:lastRenderedPageBreak/>
        <w:t xml:space="preserve">procedente la modificación de su contenido para contemplar su provisión. </w:t>
      </w:r>
      <w:r>
        <w:t>En este sentido se procede a la modificación del “ANEXO 1 FORMATOS” de la Propuesta de Oferta de Referencia para integrar el formato que contiene la información pertinente a la provisión del Servicio de Renta de Fibra Obscura.</w:t>
      </w:r>
    </w:p>
    <w:p w:rsidR="007C4016" w:rsidRDefault="007C4016" w:rsidP="007C4016">
      <w:pPr>
        <w:pStyle w:val="IFTnormal"/>
        <w:spacing w:before="240" w:after="0"/>
        <w:rPr>
          <w:b/>
        </w:rPr>
      </w:pPr>
      <w:r w:rsidRPr="00417FE0">
        <w:rPr>
          <w:b/>
        </w:rPr>
        <w:t>Redacción Definitiva</w:t>
      </w:r>
    </w:p>
    <w:p w:rsidR="007C4016" w:rsidRDefault="007C4016" w:rsidP="007C4016">
      <w:pPr>
        <w:suppressAutoHyphens w:val="0"/>
        <w:spacing w:before="240" w:after="0" w:line="276" w:lineRule="auto"/>
        <w:ind w:right="567"/>
        <w:contextualSpacing w:val="0"/>
        <w:rPr>
          <w:rFonts w:ascii="ITC Avant Garde" w:eastAsia="Calibri" w:hAnsi="ITC Avant Garde"/>
          <w:b/>
          <w:i/>
          <w:sz w:val="18"/>
          <w:szCs w:val="22"/>
          <w:lang w:val="es-ES" w:eastAsia="en-US"/>
        </w:rPr>
      </w:pPr>
      <w:r w:rsidRPr="008464E2">
        <w:rPr>
          <w:rFonts w:ascii="ITC Avant Garde" w:eastAsia="MS Mincho" w:hAnsi="ITC Avant Garde" w:cs="Calibri"/>
          <w:bCs/>
          <w:sz w:val="22"/>
          <w:szCs w:val="22"/>
          <w:lang w:val="es-ES" w:eastAsia="en-US"/>
        </w:rPr>
        <w:t xml:space="preserve">Derivado del análisis previo, el Instituto resuelve modificar la Propuesta de Oferta de Referencia para que en el </w:t>
      </w:r>
      <w:r w:rsidRPr="008464E2">
        <w:rPr>
          <w:rStyle w:val="IFTnormalCar"/>
        </w:rPr>
        <w:t>“ANEXO 1 FORMATOS”,</w:t>
      </w:r>
      <w:r w:rsidRPr="008464E2">
        <w:t xml:space="preserve"> </w:t>
      </w:r>
      <w:r w:rsidRPr="008464E2">
        <w:rPr>
          <w:rFonts w:ascii="ITC Avant Garde" w:eastAsia="MS Mincho" w:hAnsi="ITC Avant Garde" w:cs="Calibri"/>
          <w:bCs/>
          <w:sz w:val="22"/>
          <w:szCs w:val="22"/>
          <w:lang w:val="es-ES" w:eastAsia="en-US"/>
        </w:rPr>
        <w:t>se integre lo siguiente:</w:t>
      </w:r>
    </w:p>
    <w:p w:rsidR="007C4016" w:rsidRPr="00460504" w:rsidRDefault="007C4016" w:rsidP="007C4016">
      <w:pPr>
        <w:pStyle w:val="CondicionesFinales"/>
        <w:spacing w:before="240" w:after="0"/>
      </w:pPr>
      <w:r w:rsidRPr="00460504">
        <w:t>5</w:t>
      </w:r>
      <w:r>
        <w:t>.1</w:t>
      </w:r>
      <w:r w:rsidRPr="00460504">
        <w:t xml:space="preserve">.- Solicitud para el servicio de Renta de </w:t>
      </w:r>
      <w:r>
        <w:t>Fibra Obscura</w:t>
      </w:r>
    </w:p>
    <w:p w:rsidR="007C4016" w:rsidRPr="00460504" w:rsidRDefault="007C4016" w:rsidP="007C4016">
      <w:pPr>
        <w:pStyle w:val="CondicionesFinales"/>
        <w:spacing w:before="240" w:after="0"/>
      </w:pPr>
      <w:r>
        <w:rPr>
          <w:sz w:val="24"/>
        </w:rPr>
        <w:t>TELNOR</w:t>
      </w:r>
    </w:p>
    <w:p w:rsidR="007C4016" w:rsidRPr="00460504" w:rsidRDefault="007C4016" w:rsidP="007C4016">
      <w:pPr>
        <w:pStyle w:val="CondicionesFinales"/>
        <w:spacing w:before="240" w:after="0"/>
      </w:pPr>
      <w:r w:rsidRPr="00460504">
        <w:t>SOLICITUD DE SERVICIO DE COMPARTICIÓN DE INFRAESTRUCTURA</w:t>
      </w:r>
    </w:p>
    <w:p w:rsidR="007C4016" w:rsidRDefault="007C4016" w:rsidP="007C4016">
      <w:pPr>
        <w:pStyle w:val="CondicionesFinales"/>
        <w:spacing w:before="240" w:after="0"/>
      </w:pPr>
      <w:r w:rsidRPr="00460504">
        <w:t>Fecha de Solicitud: 25/05/17</w:t>
      </w:r>
      <w:r>
        <w:t xml:space="preserve"> </w:t>
      </w:r>
      <w:r w:rsidRPr="00460504">
        <w:t>Folio Solicitud: 444555</w:t>
      </w:r>
    </w:p>
    <w:p w:rsidR="007C4016" w:rsidRPr="00460504" w:rsidRDefault="007C4016" w:rsidP="007C4016">
      <w:pPr>
        <w:pStyle w:val="CondicionesFinales"/>
        <w:spacing w:before="240" w:after="0"/>
      </w:pPr>
      <w:r w:rsidRPr="00460504">
        <w:t>Concesionario Solicitante:</w:t>
      </w:r>
    </w:p>
    <w:p w:rsidR="007C4016" w:rsidRPr="00460504" w:rsidRDefault="007C4016" w:rsidP="007C4016">
      <w:pPr>
        <w:pStyle w:val="CondicionesFinales"/>
        <w:spacing w:before="240" w:after="0"/>
      </w:pPr>
      <w:r w:rsidRPr="00460504">
        <w:t>Razón Social: xxxxxxxxxx</w:t>
      </w:r>
    </w:p>
    <w:p w:rsidR="007C4016" w:rsidRPr="00460504" w:rsidRDefault="007C4016" w:rsidP="007C4016">
      <w:pPr>
        <w:pStyle w:val="CondicionesFinales"/>
        <w:spacing w:after="0"/>
      </w:pPr>
      <w:r w:rsidRPr="00460504">
        <w:t>RFC: xxxxxxxxxx</w:t>
      </w:r>
    </w:p>
    <w:p w:rsidR="007C4016" w:rsidRPr="00460504" w:rsidRDefault="007C4016" w:rsidP="007C4016">
      <w:pPr>
        <w:pStyle w:val="CondicionesFinales"/>
        <w:spacing w:after="0"/>
      </w:pPr>
      <w:r w:rsidRPr="00460504">
        <w:t>Calle: xxxxxxxxxx</w:t>
      </w:r>
    </w:p>
    <w:p w:rsidR="007C4016" w:rsidRPr="00460504" w:rsidRDefault="007C4016" w:rsidP="007C4016">
      <w:pPr>
        <w:pStyle w:val="CondicionesFinales"/>
        <w:spacing w:after="0"/>
      </w:pPr>
      <w:r w:rsidRPr="00460504">
        <w:t>No. Ext.  Xxxxxxxxxx</w:t>
      </w:r>
    </w:p>
    <w:p w:rsidR="007C4016" w:rsidRPr="00460504" w:rsidRDefault="007C4016" w:rsidP="007C4016">
      <w:pPr>
        <w:pStyle w:val="CondicionesFinales"/>
        <w:spacing w:after="0"/>
      </w:pPr>
      <w:r w:rsidRPr="00460504">
        <w:t>No. Int.  xxxxxxxxxx</w:t>
      </w:r>
    </w:p>
    <w:p w:rsidR="007C4016" w:rsidRPr="00460504" w:rsidRDefault="007C4016" w:rsidP="007C4016">
      <w:pPr>
        <w:pStyle w:val="CondicionesFinales"/>
        <w:spacing w:after="0"/>
      </w:pPr>
      <w:r w:rsidRPr="00460504">
        <w:t>Entre calles: xxxxxxxxxx</w:t>
      </w:r>
    </w:p>
    <w:p w:rsidR="007C4016" w:rsidRPr="00460504" w:rsidRDefault="007C4016" w:rsidP="007C4016">
      <w:pPr>
        <w:pStyle w:val="CondicionesFinales"/>
        <w:spacing w:after="0"/>
      </w:pPr>
      <w:r w:rsidRPr="00460504">
        <w:t>Colonia: xxxxxxxxxxxxxx</w:t>
      </w:r>
    </w:p>
    <w:p w:rsidR="007C4016" w:rsidRPr="00460504" w:rsidRDefault="007C4016" w:rsidP="007C4016">
      <w:pPr>
        <w:pStyle w:val="CondicionesFinales"/>
        <w:spacing w:after="0"/>
      </w:pPr>
      <w:r w:rsidRPr="00460504">
        <w:t>C.P. xxxxxxxxxx</w:t>
      </w:r>
    </w:p>
    <w:p w:rsidR="007C4016" w:rsidRPr="00460504" w:rsidRDefault="007C4016" w:rsidP="007C4016">
      <w:pPr>
        <w:pStyle w:val="CondicionesFinales"/>
        <w:spacing w:after="0"/>
      </w:pPr>
      <w:r w:rsidRPr="00460504">
        <w:t>Delegación: xxxxxxxxxx</w:t>
      </w:r>
    </w:p>
    <w:p w:rsidR="007C4016" w:rsidRPr="00460504" w:rsidRDefault="007C4016" w:rsidP="007C4016">
      <w:pPr>
        <w:pStyle w:val="CondicionesFinales"/>
        <w:spacing w:after="0"/>
      </w:pPr>
      <w:r w:rsidRPr="00460504">
        <w:t>Población: xxxxxxxxxx</w:t>
      </w:r>
    </w:p>
    <w:p w:rsidR="007C4016" w:rsidRPr="00460504" w:rsidRDefault="007C4016" w:rsidP="007C4016">
      <w:pPr>
        <w:pStyle w:val="CondicionesFinales"/>
        <w:spacing w:after="0"/>
      </w:pPr>
      <w:r w:rsidRPr="00460504">
        <w:t>Estado: xxxxxxxxxx</w:t>
      </w:r>
    </w:p>
    <w:p w:rsidR="007C4016" w:rsidRPr="00460504" w:rsidRDefault="007C4016" w:rsidP="007C4016">
      <w:pPr>
        <w:pStyle w:val="CondicionesFinales"/>
        <w:spacing w:after="0"/>
      </w:pPr>
      <w:r w:rsidRPr="00460504">
        <w:t>Datos de Contacto:</w:t>
      </w:r>
    </w:p>
    <w:p w:rsidR="007C4016" w:rsidRPr="00460504" w:rsidRDefault="007C4016" w:rsidP="007C4016">
      <w:pPr>
        <w:pStyle w:val="CondicionesFinales"/>
        <w:spacing w:after="0"/>
      </w:pPr>
      <w:r w:rsidRPr="00460504">
        <w:t>Nombre: xxxxxxxxxx</w:t>
      </w:r>
    </w:p>
    <w:p w:rsidR="007C4016" w:rsidRPr="00460504" w:rsidRDefault="007C4016" w:rsidP="007C4016">
      <w:pPr>
        <w:pStyle w:val="CondicionesFinales"/>
        <w:spacing w:after="0"/>
      </w:pPr>
      <w:r w:rsidRPr="00460504">
        <w:t xml:space="preserve">Teléfono: xxxxxxxxxx </w:t>
      </w:r>
    </w:p>
    <w:p w:rsidR="007C4016" w:rsidRPr="00460504" w:rsidRDefault="007C4016" w:rsidP="007C4016">
      <w:pPr>
        <w:pStyle w:val="CondicionesFinales"/>
        <w:spacing w:after="0"/>
      </w:pPr>
      <w:r w:rsidRPr="00460504">
        <w:t>Teléfono móvil: xxxxxxxxxx</w:t>
      </w:r>
    </w:p>
    <w:p w:rsidR="007C4016" w:rsidRDefault="007C4016" w:rsidP="007C4016">
      <w:pPr>
        <w:pStyle w:val="CondicionesFinales"/>
        <w:spacing w:after="0"/>
      </w:pPr>
      <w:r w:rsidRPr="00460504">
        <w:t>Correo: xxxxxxxxxx</w:t>
      </w:r>
    </w:p>
    <w:p w:rsidR="007C4016" w:rsidRPr="00460504" w:rsidRDefault="007C4016" w:rsidP="007C4016">
      <w:pPr>
        <w:pStyle w:val="CondicionesFinales"/>
        <w:spacing w:after="0"/>
      </w:pPr>
      <w:r w:rsidRPr="00460504">
        <w:t xml:space="preserve">Servicio Solicitado: Servicio de </w:t>
      </w:r>
      <w:r>
        <w:t>Fibra Obscura</w:t>
      </w:r>
    </w:p>
    <w:p w:rsidR="007C4016" w:rsidRPr="00460504" w:rsidRDefault="007C4016" w:rsidP="007C4016">
      <w:pPr>
        <w:pStyle w:val="CondicionesFinales"/>
        <w:spacing w:after="0"/>
      </w:pPr>
      <w:r w:rsidRPr="00460504">
        <w:t>Tipo de Movimiento: Alta</w:t>
      </w:r>
    </w:p>
    <w:p w:rsidR="007C4016" w:rsidRPr="00460504" w:rsidRDefault="007C4016" w:rsidP="007C4016">
      <w:pPr>
        <w:pStyle w:val="CondicionesFinales"/>
        <w:spacing w:after="0"/>
      </w:pPr>
      <w:r w:rsidRPr="00460504">
        <w:t>Cuenta Maestra: xxxxxx</w:t>
      </w:r>
    </w:p>
    <w:p w:rsidR="007C4016" w:rsidRDefault="007C4016" w:rsidP="007C4016">
      <w:pPr>
        <w:pStyle w:val="CondicionesFinales"/>
        <w:spacing w:after="0"/>
        <w:jc w:val="left"/>
      </w:pPr>
      <w:r>
        <w:lastRenderedPageBreak/>
        <w:t xml:space="preserve">Descripción </w:t>
      </w:r>
      <w:r w:rsidRPr="00460504">
        <w:t>del Proyecto:</w:t>
      </w:r>
      <w:r w:rsidRPr="00460504">
        <w:tab/>
        <w:t>xxxxxxxxxxxxxxxxxxxxxxxxxxxxxxxxxxxxxxxxxxxxxxxxx</w:t>
      </w:r>
    </w:p>
    <w:p w:rsidR="007C4016" w:rsidRDefault="007C4016" w:rsidP="007C4016">
      <w:pPr>
        <w:pStyle w:val="CondicionesFinales"/>
        <w:spacing w:after="0"/>
        <w:jc w:val="left"/>
      </w:pPr>
      <w:r w:rsidRPr="00460504">
        <w:t>Xxxxxxxxxxxxxxxxxxxxxxxxxxxxxxxxxxxxxxxxxxxxxxxxx</w:t>
      </w:r>
    </w:p>
    <w:p w:rsidR="007C4016" w:rsidRDefault="007C4016" w:rsidP="007C4016">
      <w:pPr>
        <w:pStyle w:val="CondicionesFinales"/>
        <w:spacing w:after="0"/>
        <w:jc w:val="left"/>
      </w:pPr>
      <w:r w:rsidRPr="00460504">
        <w:t>Xxxxxxxxxxxxxxxxxxxxxxxxxxxxxxxxxxxxxxxxxxxxxxxxx</w:t>
      </w:r>
    </w:p>
    <w:p w:rsidR="007C4016" w:rsidRPr="00460504" w:rsidRDefault="007C4016" w:rsidP="007C4016">
      <w:pPr>
        <w:pStyle w:val="CondicionesFinales"/>
        <w:spacing w:after="0"/>
        <w:jc w:val="left"/>
      </w:pPr>
      <w:r w:rsidRPr="00460504">
        <w:t>Número de Identificación de solicitud activa de Obra Civil: xxxxxxxxxxxxxxxx</w:t>
      </w:r>
    </w:p>
    <w:p w:rsidR="007C4016" w:rsidRPr="00460504" w:rsidRDefault="007C4016" w:rsidP="007C4016">
      <w:pPr>
        <w:pStyle w:val="CondicionesFinales"/>
        <w:spacing w:after="0"/>
      </w:pPr>
      <w:r w:rsidRPr="00460504">
        <w:t>Escenario de servicio: xxxxx</w:t>
      </w:r>
    </w:p>
    <w:p w:rsidR="007C4016" w:rsidRPr="00460504" w:rsidRDefault="007C4016" w:rsidP="007C4016">
      <w:pPr>
        <w:pStyle w:val="CondicionesFinales"/>
        <w:spacing w:after="0"/>
      </w:pPr>
      <w:r w:rsidRPr="00460504">
        <w:t>Ancho de banda: xxxxx</w:t>
      </w:r>
    </w:p>
    <w:p w:rsidR="007C4016" w:rsidRPr="00460504" w:rsidRDefault="007C4016" w:rsidP="007C4016">
      <w:pPr>
        <w:pStyle w:val="CondicionesFinales"/>
        <w:spacing w:after="0"/>
      </w:pPr>
      <w:r w:rsidRPr="00460504">
        <w:t>Interfaz física: xxxxx</w:t>
      </w:r>
    </w:p>
    <w:p w:rsidR="007C4016" w:rsidRPr="00460504" w:rsidRDefault="007C4016" w:rsidP="007C4016">
      <w:pPr>
        <w:pStyle w:val="CondicionesFinales"/>
        <w:spacing w:after="0"/>
      </w:pPr>
      <w:r w:rsidRPr="00460504">
        <w:t>NIS: XXXXXXXXXXXXXX</w:t>
      </w:r>
    </w:p>
    <w:p w:rsidR="007C4016" w:rsidRPr="00460504" w:rsidRDefault="007C4016" w:rsidP="007C4016">
      <w:pPr>
        <w:pStyle w:val="CondicionesFinales"/>
        <w:spacing w:after="0"/>
      </w:pPr>
      <w:r w:rsidRPr="00460504">
        <w:t>Ubicación del Servicio:</w:t>
      </w:r>
    </w:p>
    <w:p w:rsidR="007C4016" w:rsidRPr="00460504" w:rsidRDefault="007C4016" w:rsidP="007C4016">
      <w:pPr>
        <w:pStyle w:val="CondicionesFinales"/>
        <w:spacing w:after="0"/>
      </w:pPr>
      <w:r w:rsidRPr="00460504">
        <w:t>Sitio origen: xxxxxxxxxxxxxxx</w:t>
      </w:r>
    </w:p>
    <w:p w:rsidR="007C4016" w:rsidRPr="00460504" w:rsidRDefault="007C4016" w:rsidP="007C4016">
      <w:pPr>
        <w:pStyle w:val="CondicionesFinales"/>
        <w:spacing w:after="0"/>
      </w:pPr>
      <w:r w:rsidRPr="00460504">
        <w:t>Calle: xxxxxxxxxx</w:t>
      </w:r>
    </w:p>
    <w:p w:rsidR="007C4016" w:rsidRPr="00460504" w:rsidRDefault="007C4016" w:rsidP="007C4016">
      <w:pPr>
        <w:pStyle w:val="CondicionesFinales"/>
        <w:spacing w:after="0"/>
      </w:pPr>
      <w:r w:rsidRPr="00460504">
        <w:t>No. ext.  xxxxxxxxxx</w:t>
      </w:r>
    </w:p>
    <w:p w:rsidR="007C4016" w:rsidRPr="00460504" w:rsidRDefault="007C4016" w:rsidP="007C4016">
      <w:pPr>
        <w:pStyle w:val="CondicionesFinales"/>
        <w:spacing w:after="0"/>
      </w:pPr>
      <w:r w:rsidRPr="00460504">
        <w:t>No. int. xxxxxxxxxx</w:t>
      </w:r>
    </w:p>
    <w:p w:rsidR="007C4016" w:rsidRPr="00460504" w:rsidRDefault="007C4016" w:rsidP="007C4016">
      <w:pPr>
        <w:pStyle w:val="CondicionesFinales"/>
        <w:spacing w:after="0"/>
      </w:pPr>
      <w:r w:rsidRPr="00460504">
        <w:t>Entre calles: xxxxxxxxxx</w:t>
      </w:r>
    </w:p>
    <w:p w:rsidR="007C4016" w:rsidRPr="00460504" w:rsidRDefault="007C4016" w:rsidP="007C4016">
      <w:pPr>
        <w:pStyle w:val="CondicionesFinales"/>
        <w:spacing w:after="0"/>
      </w:pPr>
      <w:r w:rsidRPr="00460504">
        <w:t>Población: xxxxxxxxxx</w:t>
      </w:r>
    </w:p>
    <w:p w:rsidR="007C4016" w:rsidRPr="00460504" w:rsidRDefault="007C4016" w:rsidP="007C4016">
      <w:pPr>
        <w:pStyle w:val="CondicionesFinales"/>
        <w:spacing w:after="0"/>
      </w:pPr>
      <w:r w:rsidRPr="00460504">
        <w:t>Delegación / Municipio: xxxxxxxxxx</w:t>
      </w:r>
    </w:p>
    <w:p w:rsidR="007C4016" w:rsidRPr="00460504" w:rsidRDefault="007C4016" w:rsidP="007C4016">
      <w:pPr>
        <w:pStyle w:val="CondicionesFinales"/>
        <w:spacing w:after="0"/>
      </w:pPr>
      <w:r w:rsidRPr="00460504">
        <w:t>C.P. xxxxxxxxxx</w:t>
      </w:r>
    </w:p>
    <w:p w:rsidR="007C4016" w:rsidRPr="00460504" w:rsidRDefault="007C4016" w:rsidP="007C4016">
      <w:pPr>
        <w:pStyle w:val="CondicionesFinales"/>
        <w:spacing w:after="0"/>
      </w:pPr>
      <w:r w:rsidRPr="00460504">
        <w:t>Estado: xxxxxxxxxx</w:t>
      </w:r>
    </w:p>
    <w:p w:rsidR="007C4016" w:rsidRPr="00460504" w:rsidRDefault="007C4016" w:rsidP="007C4016">
      <w:pPr>
        <w:pStyle w:val="CondicionesFinales"/>
        <w:spacing w:after="0"/>
      </w:pPr>
      <w:r w:rsidRPr="00460504">
        <w:t>Coordenadas: xxxxxxxxxx</w:t>
      </w:r>
    </w:p>
    <w:p w:rsidR="007C4016" w:rsidRPr="00460504" w:rsidRDefault="007C4016" w:rsidP="007C4016">
      <w:pPr>
        <w:pStyle w:val="CondicionesFinales"/>
        <w:spacing w:after="0"/>
      </w:pPr>
      <w:r w:rsidRPr="00460504">
        <w:t>Latitud: xxxxxxxxxx</w:t>
      </w:r>
    </w:p>
    <w:p w:rsidR="007C4016" w:rsidRPr="00460504" w:rsidRDefault="007C4016" w:rsidP="007C4016">
      <w:pPr>
        <w:pStyle w:val="CondicionesFinales"/>
        <w:spacing w:after="0"/>
      </w:pPr>
      <w:r w:rsidRPr="00460504">
        <w:t>Longitud: xxxxxxxxxx</w:t>
      </w:r>
    </w:p>
    <w:p w:rsidR="007C4016" w:rsidRPr="00460504" w:rsidRDefault="007C4016" w:rsidP="007C4016">
      <w:pPr>
        <w:pStyle w:val="CondicionesFinales"/>
        <w:spacing w:after="0"/>
      </w:pPr>
      <w:r w:rsidRPr="00460504">
        <w:t>Comentarios: xxxxxxxxxx</w:t>
      </w:r>
    </w:p>
    <w:p w:rsidR="007C4016" w:rsidRPr="00460504" w:rsidRDefault="007C4016" w:rsidP="007C4016">
      <w:pPr>
        <w:pStyle w:val="CondicionesFinales"/>
        <w:spacing w:after="0"/>
      </w:pPr>
      <w:r w:rsidRPr="00460504">
        <w:t>Sitio destino: xxxxxxxxxxxxxxx</w:t>
      </w:r>
    </w:p>
    <w:p w:rsidR="007C4016" w:rsidRPr="00460504" w:rsidRDefault="007C4016" w:rsidP="007C4016">
      <w:pPr>
        <w:pStyle w:val="CondicionesFinales"/>
        <w:spacing w:after="0"/>
      </w:pPr>
      <w:r w:rsidRPr="00460504">
        <w:t>Calle: xxxxxxxxxx</w:t>
      </w:r>
    </w:p>
    <w:p w:rsidR="007C4016" w:rsidRPr="00460504" w:rsidRDefault="007C4016" w:rsidP="007C4016">
      <w:pPr>
        <w:pStyle w:val="CondicionesFinales"/>
        <w:spacing w:after="0"/>
      </w:pPr>
      <w:r w:rsidRPr="00460504">
        <w:t>No. ext.  xxxxxxxxxx</w:t>
      </w:r>
    </w:p>
    <w:p w:rsidR="007C4016" w:rsidRPr="00460504" w:rsidRDefault="007C4016" w:rsidP="007C4016">
      <w:pPr>
        <w:pStyle w:val="CondicionesFinales"/>
        <w:spacing w:after="0"/>
      </w:pPr>
      <w:r w:rsidRPr="00460504">
        <w:t>No. int. xxxxxxxxxx</w:t>
      </w:r>
    </w:p>
    <w:p w:rsidR="007C4016" w:rsidRPr="00460504" w:rsidRDefault="007C4016" w:rsidP="007C4016">
      <w:pPr>
        <w:pStyle w:val="CondicionesFinales"/>
        <w:spacing w:after="0"/>
      </w:pPr>
      <w:r w:rsidRPr="00460504">
        <w:t>Entre calles: xxxxxxxxxx</w:t>
      </w:r>
    </w:p>
    <w:p w:rsidR="007C4016" w:rsidRPr="00460504" w:rsidRDefault="007C4016" w:rsidP="007C4016">
      <w:pPr>
        <w:pStyle w:val="CondicionesFinales"/>
        <w:spacing w:after="0"/>
      </w:pPr>
      <w:r w:rsidRPr="00460504">
        <w:t>Población: xxxxxxxxxx</w:t>
      </w:r>
    </w:p>
    <w:p w:rsidR="007C4016" w:rsidRPr="00460504" w:rsidRDefault="007C4016" w:rsidP="007C4016">
      <w:pPr>
        <w:pStyle w:val="CondicionesFinales"/>
        <w:spacing w:after="0"/>
      </w:pPr>
      <w:r w:rsidRPr="00460504">
        <w:t>Delegación / Municipio: xxxxxxxxxx</w:t>
      </w:r>
    </w:p>
    <w:p w:rsidR="007C4016" w:rsidRPr="00460504" w:rsidRDefault="007C4016" w:rsidP="007C4016">
      <w:pPr>
        <w:pStyle w:val="CondicionesFinales"/>
        <w:spacing w:after="0"/>
      </w:pPr>
      <w:r w:rsidRPr="00460504">
        <w:t>C.P. xxxxxxxxxx</w:t>
      </w:r>
    </w:p>
    <w:p w:rsidR="007C4016" w:rsidRPr="00460504" w:rsidRDefault="007C4016" w:rsidP="007C4016">
      <w:pPr>
        <w:pStyle w:val="CondicionesFinales"/>
        <w:spacing w:after="0"/>
      </w:pPr>
      <w:r w:rsidRPr="00460504">
        <w:t>Estado: xxxxxxxxxx</w:t>
      </w:r>
    </w:p>
    <w:p w:rsidR="007C4016" w:rsidRPr="00460504" w:rsidRDefault="007C4016" w:rsidP="007C4016">
      <w:pPr>
        <w:pStyle w:val="CondicionesFinales"/>
        <w:spacing w:after="0"/>
      </w:pPr>
      <w:r w:rsidRPr="00460504">
        <w:t>Coordenadas: xxxxxxxxxx</w:t>
      </w:r>
    </w:p>
    <w:p w:rsidR="007C4016" w:rsidRPr="00460504" w:rsidRDefault="007C4016" w:rsidP="007C4016">
      <w:pPr>
        <w:pStyle w:val="CondicionesFinales"/>
        <w:spacing w:after="0"/>
      </w:pPr>
      <w:r w:rsidRPr="00460504">
        <w:t>Latitud: xxxxxxxxxx</w:t>
      </w:r>
    </w:p>
    <w:p w:rsidR="007C4016" w:rsidRPr="00460504" w:rsidRDefault="007C4016" w:rsidP="007C4016">
      <w:pPr>
        <w:pStyle w:val="CondicionesFinales"/>
        <w:spacing w:after="0"/>
      </w:pPr>
      <w:r w:rsidRPr="00460504">
        <w:t>Longitud: xxxxxxxxxx</w:t>
      </w:r>
    </w:p>
    <w:p w:rsidR="007C4016" w:rsidRDefault="007C4016" w:rsidP="007C4016">
      <w:pPr>
        <w:pStyle w:val="CondicionesFinales"/>
        <w:spacing w:after="0"/>
      </w:pPr>
      <w:r w:rsidRPr="00460504">
        <w:t>Comentarios: xxxxxxxxxx</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lastRenderedPageBreak/>
        <w:t>ANEXO 2 NORMATIVIDAD TÉCNICA</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NORMA 1: COMPARTICIÓN DE CANALIZACIÓN DE TELNOR PARA NUEVOS CONCESIONARIOS.</w:t>
      </w:r>
    </w:p>
    <w:p w:rsidR="007C4016" w:rsidRPr="00BF4959" w:rsidRDefault="007C4016" w:rsidP="007C4016">
      <w:pPr>
        <w:pStyle w:val="IFTnormal"/>
        <w:spacing w:before="240" w:after="0"/>
        <w:rPr>
          <w:b/>
        </w:rPr>
      </w:pPr>
      <w:r w:rsidRPr="00BF4959">
        <w:rPr>
          <w:b/>
        </w:rPr>
        <w:t>Consideraciones del Instituto</w:t>
      </w:r>
    </w:p>
    <w:p w:rsidR="007C4016" w:rsidRDefault="007C4016" w:rsidP="007C4016">
      <w:pPr>
        <w:pStyle w:val="IFTnormal"/>
        <w:spacing w:before="240" w:after="0"/>
        <w:rPr>
          <w:b/>
          <w:lang w:val="es-ES"/>
        </w:rPr>
      </w:pPr>
      <w:r w:rsidRPr="002802DB">
        <w:rPr>
          <w:b/>
          <w:lang w:val="es-ES"/>
        </w:rPr>
        <w:t xml:space="preserve">CASO 1. </w:t>
      </w:r>
      <w:r w:rsidRPr="002802DB">
        <w:rPr>
          <w:b/>
        </w:rPr>
        <w:t>Cambios que recuperan la redacción de la Oferta de Referencia Vigente</w:t>
      </w:r>
      <w:r w:rsidRPr="002802DB">
        <w:rPr>
          <w:b/>
          <w:lang w:val="es-ES"/>
        </w:rPr>
        <w:t>.</w:t>
      </w:r>
    </w:p>
    <w:p w:rsidR="007C4016" w:rsidRDefault="007C4016" w:rsidP="007C4016">
      <w:pPr>
        <w:pStyle w:val="IFTnormal"/>
        <w:spacing w:before="240" w:after="0"/>
        <w:rPr>
          <w:lang w:val="es-ES"/>
        </w:rPr>
      </w:pPr>
      <w:r>
        <w:rPr>
          <w:lang w:val="es-ES"/>
        </w:rPr>
        <w:t>El Instituto considera que los cambios presentados por el AEP en el numeral “</w:t>
      </w:r>
      <w:r w:rsidRPr="004F1ECC">
        <w:rPr>
          <w:i/>
          <w:lang w:val="es-ES"/>
        </w:rPr>
        <w:t>4.- DEFINICIONES</w:t>
      </w:r>
      <w:r>
        <w:rPr>
          <w:i/>
          <w:lang w:val="es-ES"/>
        </w:rPr>
        <w:t xml:space="preserve">” </w:t>
      </w:r>
      <w:r w:rsidRPr="004F1ECC">
        <w:rPr>
          <w:lang w:val="es-ES"/>
        </w:rPr>
        <w:t>de la</w:t>
      </w:r>
      <w:r>
        <w:rPr>
          <w:lang w:val="es-ES"/>
        </w:rPr>
        <w:t xml:space="preserve"> </w:t>
      </w:r>
      <w:r>
        <w:t>NORMA 1 “</w:t>
      </w:r>
      <w:r w:rsidRPr="005325B7">
        <w:rPr>
          <w:i/>
        </w:rPr>
        <w:t xml:space="preserve">COMPARTICIÓN DE CANALIZACIÓN DE </w:t>
      </w:r>
      <w:r>
        <w:rPr>
          <w:i/>
        </w:rPr>
        <w:t>TELNOR</w:t>
      </w:r>
      <w:r w:rsidRPr="005325B7">
        <w:rPr>
          <w:i/>
        </w:rPr>
        <w:t xml:space="preserve"> PARA NUEVOS CONCESIONARIOS.</w:t>
      </w:r>
      <w:r>
        <w:t>” del ANEXO 2 “</w:t>
      </w:r>
      <w:r w:rsidRPr="005325B7">
        <w:rPr>
          <w:i/>
        </w:rPr>
        <w:t>NORMATIVIDAD TÉCNICA</w:t>
      </w:r>
      <w:r>
        <w:t xml:space="preserve">” de </w:t>
      </w:r>
      <w:r w:rsidRPr="00DB0F30">
        <w:t>la Propuesta de Oferta de Referencia</w:t>
      </w:r>
      <w:r>
        <w:rPr>
          <w:lang w:val="es-ES"/>
        </w:rPr>
        <w:t xml:space="preserve"> no son aceptables, ya que impone condiciones que </w:t>
      </w:r>
      <w:r>
        <w:t xml:space="preserve">no cumple con la multicitada Medida CUADRAGÉSIMA PRIMERA de las </w:t>
      </w:r>
      <w:r w:rsidRPr="00566821">
        <w:rPr>
          <w:lang w:val="es-ES"/>
        </w:rPr>
        <w:t>Medidas Fijas</w:t>
      </w:r>
      <w:r>
        <w:rPr>
          <w:lang w:val="es-ES"/>
        </w:rPr>
        <w:t xml:space="preserve">, la cual establece que la </w:t>
      </w:r>
      <w:r w:rsidRPr="00C55966">
        <w:rPr>
          <w:lang w:val="es-ES"/>
        </w:rPr>
        <w:t>Propuesta de Oferta de Referencia</w:t>
      </w:r>
      <w:r>
        <w:rPr>
          <w:lang w:val="es-ES"/>
        </w:rPr>
        <w:t xml:space="preserve"> deberá contener condiciones equivalentes a la vigente, así como no contener condiciones que inhiban la competencia o se establezcan requisitos innecesarios. Por lo que el Instituto considera eliminar la siguiente definición:</w:t>
      </w:r>
    </w:p>
    <w:p w:rsidR="007C4016" w:rsidRDefault="007C4016" w:rsidP="007C4016">
      <w:pPr>
        <w:pStyle w:val="Citaift0"/>
        <w:spacing w:before="240" w:after="0"/>
      </w:pPr>
      <w:r w:rsidRPr="00EC5317">
        <w:t>“4. DEFINICIONES.</w:t>
      </w:r>
    </w:p>
    <w:p w:rsidR="007C4016" w:rsidRDefault="007C4016" w:rsidP="007C4016">
      <w:pPr>
        <w:pStyle w:val="Citaift0"/>
        <w:spacing w:before="240" w:after="0"/>
      </w:pPr>
      <w:r>
        <w:t>(…)</w:t>
      </w:r>
    </w:p>
    <w:p w:rsidR="007C4016" w:rsidRDefault="007C4016" w:rsidP="007C4016">
      <w:pPr>
        <w:pStyle w:val="Citaift0"/>
        <w:spacing w:before="240" w:after="0"/>
      </w:pPr>
      <w:r w:rsidRPr="004F1ECC">
        <w:t>Sección útil. Área interior utilizable de un ducto de concreto o tubo de PVC, el cual equivale al 90% del área interior del ducto o tubo (sección total), lo cual garantiza los requerimientos para alojar cables o subductos en su interior.</w:t>
      </w:r>
    </w:p>
    <w:p w:rsidR="007C4016" w:rsidRDefault="007C4016" w:rsidP="007C4016">
      <w:pPr>
        <w:pStyle w:val="Citaift0"/>
        <w:spacing w:before="240" w:after="0"/>
      </w:pPr>
      <w:r>
        <w:t>(…)”</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pPr>
      <w:r w:rsidRPr="00DB0F30">
        <w:t>De la lectura del contenido de</w:t>
      </w:r>
      <w:r>
        <w:t xml:space="preserve"> </w:t>
      </w:r>
      <w:r w:rsidRPr="00DB0F30">
        <w:t>l</w:t>
      </w:r>
      <w:r>
        <w:t>a NORMA 1 “</w:t>
      </w:r>
      <w:r w:rsidRPr="005325B7">
        <w:rPr>
          <w:i/>
        </w:rPr>
        <w:t xml:space="preserve">COMPARTICIÓN DE CANALIZACIÓN DE </w:t>
      </w:r>
      <w:r>
        <w:rPr>
          <w:i/>
        </w:rPr>
        <w:t>TELNOR</w:t>
      </w:r>
      <w:r w:rsidRPr="005325B7">
        <w:rPr>
          <w:i/>
        </w:rPr>
        <w:t xml:space="preserve"> PARA NUEVOS CONCESIONARIOS.</w:t>
      </w:r>
      <w:r>
        <w:t>” del ANEXO 2 “</w:t>
      </w:r>
      <w:r w:rsidRPr="005325B7">
        <w:rPr>
          <w:i/>
        </w:rPr>
        <w:t>NORMATIVIDAD TÉCNICA</w:t>
      </w:r>
      <w:r>
        <w:t xml:space="preserve">” de </w:t>
      </w:r>
      <w:r w:rsidRPr="00DB0F30">
        <w:t>la Propuesta de Oferta de Referencia del AEP</w:t>
      </w:r>
      <w:r>
        <w:t xml:space="preserve"> </w:t>
      </w:r>
      <w:r w:rsidRPr="00DB0F30">
        <w:t>el Instituto realiza las consideraciones siguientes</w:t>
      </w:r>
      <w:r>
        <w:t xml:space="preserve">: </w:t>
      </w:r>
    </w:p>
    <w:p w:rsidR="007C4016" w:rsidRDefault="007C4016" w:rsidP="007C4016">
      <w:pPr>
        <w:pStyle w:val="IFTnormal"/>
        <w:spacing w:before="240" w:after="0"/>
      </w:pPr>
      <w:r>
        <w:t>En consistencia con lo señalado en la sección “</w:t>
      </w:r>
      <w:r w:rsidRPr="00F219CD">
        <w:rPr>
          <w:i/>
        </w:rPr>
        <w:t>1. SERVICIO DE ACCESO Y USO COMPARTIDO DE OBRA CIVIL</w:t>
      </w:r>
      <w:r>
        <w:t xml:space="preserve">” del presente documento, el AEP establece en la normativa técnica aspectos que obedecen al alcance, procedimiento, </w:t>
      </w:r>
      <w:r w:rsidRPr="00171CF3">
        <w:t>términos</w:t>
      </w:r>
      <w:r>
        <w:t xml:space="preserve"> y</w:t>
      </w:r>
      <w:r w:rsidRPr="00171CF3">
        <w:t xml:space="preserve"> condiciones</w:t>
      </w:r>
      <w:r>
        <w:t xml:space="preserve"> para la prestación del Servicio de Acceso y Uso Compartido de Obra </w:t>
      </w:r>
      <w:r>
        <w:lastRenderedPageBreak/>
        <w:t xml:space="preserve">Civil, lo cual, no es consistente con la Medida </w:t>
      </w:r>
      <w:r w:rsidRPr="008132A3">
        <w:t>V</w:t>
      </w:r>
      <w:r>
        <w:t>IGÉSIMA SÉPTIMA de las Medidas Fijas, que indica lo siguiente:</w:t>
      </w:r>
    </w:p>
    <w:p w:rsidR="007C4016" w:rsidRPr="003533AC" w:rsidRDefault="007C4016" w:rsidP="007C4016">
      <w:pPr>
        <w:pStyle w:val="Citaift0"/>
        <w:spacing w:before="240" w:after="0"/>
        <w:rPr>
          <w:lang w:val="es-ES_tradnl"/>
        </w:rPr>
      </w:pPr>
      <w:r>
        <w:rPr>
          <w:b/>
          <w:lang w:val="es-ES_tradnl"/>
        </w:rPr>
        <w:t xml:space="preserve"> “</w:t>
      </w:r>
      <w:r w:rsidRPr="003533AC">
        <w:rPr>
          <w:b/>
          <w:lang w:val="es-ES_tradnl"/>
        </w:rPr>
        <w:t xml:space="preserve">VIGÉSIMA SÉPTIMA. </w:t>
      </w:r>
      <w:r w:rsidRPr="003533AC">
        <w:rPr>
          <w:lang w:val="es-ES_tradnl"/>
        </w:rPr>
        <w:t xml:space="preserve">El Agente Económico Preponderante deberá proporcionar al Instituto, y a los Concesionarios Solicitantes, a través del Sistema Electrónico de Gestión, </w:t>
      </w:r>
      <w:r w:rsidRPr="0048581B">
        <w:rPr>
          <w:b/>
          <w:u w:val="single"/>
          <w:lang w:val="es-ES_tradnl"/>
        </w:rPr>
        <w:t>la normativa técnica</w:t>
      </w:r>
      <w:r w:rsidRPr="003533AC">
        <w:rPr>
          <w:lang w:val="es-ES_tradnl"/>
        </w:rPr>
        <w:t xml:space="preserve">, aprobada por el Instituto mediante el procedimiento previsto en la Medida Cuadragésima Primera, </w:t>
      </w:r>
      <w:r w:rsidRPr="0048581B">
        <w:rPr>
          <w:b/>
          <w:u w:val="single"/>
          <w:lang w:val="es-ES_tradnl"/>
        </w:rPr>
        <w:t>que contenga los criterios técnicos para la utilización y acceso a la infraestructura que se pone a disposición de otros concesionarios</w:t>
      </w:r>
      <w:r w:rsidRPr="003533AC">
        <w:rPr>
          <w:lang w:val="es-ES_tradnl"/>
        </w:rPr>
        <w:t xml:space="preserve">, así como para la instalación de cables y de otros elementos de red que sean necesarios para la eficiente prestación de los servicios de telecomunicaciones, y todas las demás que sean relevantes.  </w:t>
      </w:r>
    </w:p>
    <w:p w:rsidR="007C4016" w:rsidRDefault="007C4016" w:rsidP="007C4016">
      <w:pPr>
        <w:pStyle w:val="Citaift0"/>
        <w:spacing w:before="240" w:after="0"/>
        <w:rPr>
          <w:lang w:val="es-ES_tradnl"/>
        </w:rPr>
      </w:pPr>
      <w:r w:rsidRPr="003533AC">
        <w:rPr>
          <w:lang w:val="es-ES_tradnl"/>
        </w:rPr>
        <w:t>Los Concesionarios Solicitantes deberán observar la normativa técnica cuando hagan uso del servicio de Acceso y Uso Compartido de Infraestructura Pasiva, prevista en la Oferta Pública de Referencia.</w:t>
      </w:r>
      <w:r>
        <w:rPr>
          <w:lang w:val="es-ES_tradnl"/>
        </w:rPr>
        <w:t>”</w:t>
      </w:r>
    </w:p>
    <w:p w:rsidR="007C4016" w:rsidRDefault="007C4016" w:rsidP="007C4016">
      <w:pPr>
        <w:pStyle w:val="Citaift0"/>
        <w:spacing w:before="240" w:after="0"/>
        <w:jc w:val="right"/>
      </w:pPr>
      <w:r>
        <w:t>(Énfasis añadido)</w:t>
      </w:r>
    </w:p>
    <w:p w:rsidR="007C4016" w:rsidRDefault="007C4016" w:rsidP="007C4016">
      <w:pPr>
        <w:pStyle w:val="IFTnormal"/>
        <w:spacing w:before="240" w:after="0"/>
      </w:pPr>
      <w:r>
        <w:t xml:space="preserve">De lo anterior se desprende que el AEP deberá proporcionar la normativa técnica que contenga </w:t>
      </w:r>
      <w:r w:rsidRPr="0080764D">
        <w:rPr>
          <w:b/>
        </w:rPr>
        <w:t>criterios técnicos</w:t>
      </w:r>
      <w:r>
        <w:t xml:space="preserve"> para la utilización y acceso a la infraestructura, así como la instalación de cables, por ejemplo en ductos o postes, y de otros elementos necesarios para la eficiente prestación de los servicios de telecomunicaciones.</w:t>
      </w:r>
    </w:p>
    <w:p w:rsidR="007C4016" w:rsidRDefault="007C4016" w:rsidP="007C4016">
      <w:pPr>
        <w:pStyle w:val="IFTnormal"/>
        <w:spacing w:before="240" w:after="0"/>
      </w:pPr>
      <w:r w:rsidRPr="00B6175B">
        <w:t>Con la finalidad de brindar mayor certeza a los CS sobre el alcance que contiene esta normativa</w:t>
      </w:r>
      <w:r>
        <w:t xml:space="preserve"> técnica</w:t>
      </w:r>
      <w:r w:rsidRPr="00B6175B">
        <w:t xml:space="preserve"> y seguir lo dispuesto en la Medida antes citada, el Instituto considera </w:t>
      </w:r>
      <w:r>
        <w:t xml:space="preserve">conveniente </w:t>
      </w:r>
      <w:r w:rsidRPr="00B6175B">
        <w:t>modificar l</w:t>
      </w:r>
      <w:r>
        <w:t>a</w:t>
      </w:r>
      <w:r w:rsidRPr="00B6175B">
        <w:t xml:space="preserve"> NORMA 1 del ANEXO 2</w:t>
      </w:r>
      <w:r>
        <w:t xml:space="preserve">, </w:t>
      </w:r>
      <w:r w:rsidRPr="00B6175B">
        <w:t xml:space="preserve">para eliminar de su contenido </w:t>
      </w:r>
      <w:r>
        <w:t>los aspectos</w:t>
      </w:r>
      <w:r w:rsidRPr="00B6175B">
        <w:t xml:space="preserve"> de carácter administrativo y operativo que no pertenecen al mismo y en su caso adecuar y trasladar aquellas que</w:t>
      </w:r>
      <w:r>
        <w:t xml:space="preserve"> sean aplicables a la Sección “</w:t>
      </w:r>
      <w:r w:rsidRPr="00F219CD">
        <w:rPr>
          <w:i/>
        </w:rPr>
        <w:t>1.</w:t>
      </w:r>
      <w:r w:rsidRPr="00F219CD">
        <w:rPr>
          <w:i/>
        </w:rPr>
        <w:tab/>
        <w:t>SERVICIO DE ACCESO Y USO COMPARTIDO DE OBRA CIVIL</w:t>
      </w:r>
      <w:r w:rsidRPr="00B6175B">
        <w:t>”</w:t>
      </w:r>
      <w:r>
        <w:t xml:space="preserve"> o a otras secciones de la Oferta de Referencia, sin perjuicio del análisis del Instituto para determinar que estos aspectos no establezcan condiciones que podrían inhibir la competencia en la prestación de los servicios objeto de la Oferta de Referencia.</w:t>
      </w:r>
    </w:p>
    <w:p w:rsidR="007C4016" w:rsidRPr="0051464C" w:rsidRDefault="007C4016" w:rsidP="007C4016">
      <w:pPr>
        <w:pStyle w:val="IFTnormal"/>
        <w:spacing w:before="240" w:after="0"/>
        <w:rPr>
          <w:b/>
        </w:rPr>
      </w:pPr>
      <w:r w:rsidRPr="0051464C">
        <w:rPr>
          <w:b/>
        </w:rPr>
        <w:t>2.-OBJETIVO.</w:t>
      </w:r>
    </w:p>
    <w:p w:rsidR="007C4016" w:rsidRPr="00BF4959" w:rsidRDefault="007C4016" w:rsidP="007C4016">
      <w:pPr>
        <w:pStyle w:val="IFTnormal"/>
        <w:spacing w:before="240" w:after="0"/>
        <w:rPr>
          <w:b/>
        </w:rPr>
      </w:pPr>
      <w:bookmarkStart w:id="133" w:name="OLE_LINK1"/>
      <w:r w:rsidRPr="00BF4959">
        <w:rPr>
          <w:b/>
        </w:rPr>
        <w:t>Consideraciones del Instituto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rPr>
          <w:rFonts w:ascii="Calibri" w:hAnsi="Calibri"/>
        </w:rPr>
      </w:pPr>
      <w:r>
        <w:rPr>
          <w:lang w:val="es-ES"/>
        </w:rPr>
        <w:lastRenderedPageBreak/>
        <w:t>Relativo al numeral “</w:t>
      </w:r>
      <w:r w:rsidRPr="00D1538A">
        <w:rPr>
          <w:i/>
          <w:lang w:val="es-ES"/>
        </w:rPr>
        <w:t>2.-OBJETIVO</w:t>
      </w:r>
      <w:r>
        <w:rPr>
          <w:lang w:val="es-ES"/>
        </w:rPr>
        <w:t>” de la NORMA 1 “</w:t>
      </w:r>
      <w:r w:rsidRPr="0049639C">
        <w:rPr>
          <w:i/>
          <w:lang w:val="es-ES"/>
        </w:rPr>
        <w:t xml:space="preserve">COMPARTICIÓN DE CANALIZACIÓN DE </w:t>
      </w:r>
      <w:r>
        <w:rPr>
          <w:i/>
          <w:lang w:val="es-ES"/>
        </w:rPr>
        <w:t>TELNOR</w:t>
      </w:r>
      <w:r w:rsidRPr="0049639C">
        <w:rPr>
          <w:i/>
          <w:lang w:val="es-ES"/>
        </w:rPr>
        <w:t xml:space="preserve"> PARA NUEVOS CONCESIONARIOS</w:t>
      </w:r>
      <w:r>
        <w:rPr>
          <w:lang w:val="es-ES"/>
        </w:rPr>
        <w:t>” del ANEXO 2 “</w:t>
      </w:r>
      <w:r w:rsidRPr="00AC0CF1">
        <w:rPr>
          <w:i/>
          <w:lang w:val="es-ES"/>
        </w:rPr>
        <w:t>NORMATIVA TÉCNICA</w:t>
      </w:r>
      <w:r>
        <w:rPr>
          <w:lang w:val="es-ES"/>
        </w:rPr>
        <w:t>”, el AEP en su documento de propuesta de Oferta de Referencia establece lo siguiente:</w:t>
      </w:r>
    </w:p>
    <w:p w:rsidR="007C4016" w:rsidRPr="00492132" w:rsidRDefault="007C4016" w:rsidP="007C4016">
      <w:pPr>
        <w:pStyle w:val="Citaift0"/>
        <w:spacing w:before="240" w:after="0"/>
        <w:rPr>
          <w:b/>
        </w:rPr>
      </w:pPr>
      <w:r w:rsidRPr="00CB42CE">
        <w:t>“</w:t>
      </w:r>
      <w:r w:rsidRPr="00492132">
        <w:rPr>
          <w:b/>
        </w:rPr>
        <w:t>2.-OBJETIVO.</w:t>
      </w:r>
    </w:p>
    <w:p w:rsidR="007C4016" w:rsidRPr="00601C45" w:rsidRDefault="007C4016" w:rsidP="007C4016">
      <w:pPr>
        <w:pStyle w:val="Citaift0"/>
        <w:spacing w:before="240" w:after="0"/>
      </w:pPr>
      <w:r w:rsidRPr="00601C45">
        <w:t xml:space="preserve">El presente documento proporciona los lineamientos técnicos y administrativos que los Concesionarios Solicitantes deberán seguir para la Compartición de Canalización, uso correcto y operación de la Infraestructura compartida de </w:t>
      </w:r>
      <w:r>
        <w:t>TELNOR</w:t>
      </w:r>
      <w:r w:rsidRPr="00601C45">
        <w:t>, los criterios técnicos, para evitar la afectación del servicio y daño en la infraestructura existente durante el proceso de construcción de la red del Concesionario Solicitante.</w:t>
      </w:r>
      <w:r>
        <w:t>”</w:t>
      </w:r>
    </w:p>
    <w:p w:rsidR="007C4016" w:rsidRDefault="007C4016" w:rsidP="007C4016">
      <w:pPr>
        <w:pStyle w:val="IFTnormal"/>
        <w:spacing w:before="240" w:after="0"/>
      </w:pPr>
      <w:r>
        <w:t>C</w:t>
      </w:r>
      <w:r w:rsidRPr="00AF61A1">
        <w:t xml:space="preserve">on la finalidad de brindar mayor certeza a los CS sobre el alcance de </w:t>
      </w:r>
      <w:r>
        <w:t>la normativa técnica</w:t>
      </w:r>
      <w:r w:rsidRPr="00AF61A1">
        <w:t>, es necesario adaptar el objetivo del mismo para precisar que contempla</w:t>
      </w:r>
      <w:r>
        <w:t xml:space="preserve"> </w:t>
      </w:r>
      <w:r w:rsidRPr="00AF61A1">
        <w:t>la normativa técnica</w:t>
      </w:r>
      <w:r>
        <w:t xml:space="preserve"> </w:t>
      </w:r>
      <w:r w:rsidRPr="00AF61A1">
        <w:t xml:space="preserve">que </w:t>
      </w:r>
      <w:r>
        <w:t>contiene</w:t>
      </w:r>
      <w:r w:rsidRPr="00AF61A1">
        <w:t xml:space="preserve"> los criterios técnicos para la utilización y acceso a la infraestructura</w:t>
      </w:r>
      <w:r>
        <w:t xml:space="preserve"> sujeta a compartición por parte del AEP, </w:t>
      </w:r>
      <w:r w:rsidRPr="003533AC">
        <w:rPr>
          <w:lang w:val="es-ES_tradnl"/>
        </w:rPr>
        <w:t>así como para la instalación de cables y de otros elementos de red que sean necesarios para la eficiente prestación de los servicios de telecomunicaciones</w:t>
      </w:r>
      <w:r>
        <w:t>.</w:t>
      </w:r>
    </w:p>
    <w:p w:rsidR="007C4016" w:rsidRPr="0051464C" w:rsidRDefault="007C4016" w:rsidP="007C4016">
      <w:pPr>
        <w:pStyle w:val="IFTnormal"/>
        <w:spacing w:before="240" w:after="0"/>
        <w:rPr>
          <w:b/>
        </w:rPr>
      </w:pPr>
      <w:bookmarkStart w:id="134" w:name="_Ref207457235"/>
      <w:bookmarkEnd w:id="133"/>
      <w:r w:rsidRPr="0051464C">
        <w:rPr>
          <w:b/>
        </w:rPr>
        <w:t>3.-ALCANCE.</w:t>
      </w:r>
      <w:bookmarkEnd w:id="134"/>
    </w:p>
    <w:p w:rsidR="007C4016" w:rsidRPr="00BF4959" w:rsidRDefault="007C4016" w:rsidP="007C4016">
      <w:pPr>
        <w:pStyle w:val="IFTnormal"/>
        <w:spacing w:before="240" w:after="0"/>
        <w:rPr>
          <w:b/>
        </w:rPr>
      </w:pPr>
      <w:r w:rsidRPr="00BF4959">
        <w:rPr>
          <w:b/>
        </w:rPr>
        <w:t>Consideraciones del Instituto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rPr>
          <w:rFonts w:ascii="Calibri" w:hAnsi="Calibri"/>
        </w:rPr>
      </w:pPr>
      <w:r>
        <w:rPr>
          <w:lang w:val="es-ES"/>
        </w:rPr>
        <w:t>Relativo al numeral “</w:t>
      </w:r>
      <w:r w:rsidRPr="00785320">
        <w:rPr>
          <w:i/>
          <w:lang w:val="es-ES"/>
        </w:rPr>
        <w:t>3.- ALCANCE</w:t>
      </w:r>
      <w:r>
        <w:rPr>
          <w:lang w:val="es-ES"/>
        </w:rPr>
        <w:t>” de la NORMA 1 “</w:t>
      </w:r>
      <w:r w:rsidRPr="0049639C">
        <w:rPr>
          <w:i/>
          <w:lang w:val="es-ES"/>
        </w:rPr>
        <w:t xml:space="preserve">COMPARTICIÓN DE CANALIZACIÓN DE </w:t>
      </w:r>
      <w:r>
        <w:rPr>
          <w:i/>
          <w:lang w:val="es-ES"/>
        </w:rPr>
        <w:t>TELNOR</w:t>
      </w:r>
      <w:r w:rsidRPr="0049639C">
        <w:rPr>
          <w:i/>
          <w:lang w:val="es-ES"/>
        </w:rPr>
        <w:t xml:space="preserve"> PARA NUEVOS CONCESIONARIOS</w:t>
      </w:r>
      <w:r>
        <w:rPr>
          <w:lang w:val="es-ES"/>
        </w:rPr>
        <w:t>” del ANEXO 2 Normativa Técnica “</w:t>
      </w:r>
      <w:r w:rsidRPr="0049639C">
        <w:rPr>
          <w:i/>
          <w:lang w:val="es-ES"/>
        </w:rPr>
        <w:t xml:space="preserve">COMPARTICIÓN DE CANALIZACIÓN DE </w:t>
      </w:r>
      <w:r>
        <w:rPr>
          <w:i/>
          <w:lang w:val="es-ES"/>
        </w:rPr>
        <w:t>TELNOR</w:t>
      </w:r>
      <w:r w:rsidRPr="0049639C">
        <w:rPr>
          <w:i/>
          <w:lang w:val="es-ES"/>
        </w:rPr>
        <w:t xml:space="preserve"> PARA NUEVOS CONCESIONARIOS</w:t>
      </w:r>
      <w:r>
        <w:rPr>
          <w:lang w:val="es-ES"/>
        </w:rPr>
        <w:t>” el AEP en su documento de propuesta de Oferta de Referencia establece lo siguiente:</w:t>
      </w:r>
    </w:p>
    <w:p w:rsidR="007C4016" w:rsidRPr="00B3003A" w:rsidRDefault="007C4016" w:rsidP="007C4016">
      <w:pPr>
        <w:pStyle w:val="Citaift0"/>
        <w:spacing w:before="240" w:after="0"/>
        <w:rPr>
          <w:b/>
        </w:rPr>
      </w:pPr>
      <w:r>
        <w:t>“</w:t>
      </w:r>
      <w:r w:rsidRPr="00B3003A">
        <w:rPr>
          <w:b/>
        </w:rPr>
        <w:t>3.-ALCANCE.</w:t>
      </w:r>
    </w:p>
    <w:p w:rsidR="007C4016" w:rsidRPr="00B3003A" w:rsidRDefault="007C4016" w:rsidP="007C4016">
      <w:pPr>
        <w:pStyle w:val="Citaift0"/>
        <w:spacing w:before="240" w:after="0"/>
      </w:pPr>
      <w:r w:rsidRPr="00B3003A">
        <w:t xml:space="preserve">Este documento debe ser aplicado por los Concesionarios que deseen la compartición de la Infraestructura pasiva de </w:t>
      </w:r>
      <w:r>
        <w:t>TELNOR</w:t>
      </w:r>
      <w:r w:rsidRPr="00B3003A">
        <w:t>.”</w:t>
      </w:r>
    </w:p>
    <w:p w:rsidR="007C4016" w:rsidRDefault="007C4016" w:rsidP="007C4016">
      <w:pPr>
        <w:pStyle w:val="IFTnormal"/>
        <w:spacing w:before="240" w:after="0"/>
      </w:pPr>
      <w:r>
        <w:t>El Instituto considera citar la Medida VIGÉSIMO QUINTA de las Medidas Fijas que a la letra dice lo siguiente:</w:t>
      </w:r>
    </w:p>
    <w:p w:rsidR="007C4016" w:rsidRDefault="007C4016" w:rsidP="007C4016">
      <w:pPr>
        <w:pStyle w:val="Citaift0"/>
        <w:spacing w:before="240" w:after="0"/>
      </w:pPr>
      <w:r w:rsidRPr="00886318">
        <w:lastRenderedPageBreak/>
        <w:t>“</w:t>
      </w:r>
      <w:r w:rsidRPr="00886318">
        <w:rPr>
          <w:b/>
        </w:rPr>
        <w:t>VIGÉSIMA QUINTA.-</w:t>
      </w:r>
      <w:r w:rsidRPr="00886318">
        <w:t xml:space="preserve"> El Agente Económico Preponderante y el Concesionario Solicitante se obligan a salvaguardar la infraestructura compartida.</w:t>
      </w:r>
    </w:p>
    <w:p w:rsidR="007C4016" w:rsidRPr="00886318" w:rsidRDefault="007C4016" w:rsidP="007C4016">
      <w:pPr>
        <w:pStyle w:val="Citaift0"/>
        <w:spacing w:before="240" w:after="0"/>
      </w:pPr>
      <w:r w:rsidRPr="00886318">
        <w:t>(…)</w:t>
      </w:r>
      <w:r>
        <w:t>”</w:t>
      </w:r>
    </w:p>
    <w:p w:rsidR="007C4016" w:rsidRDefault="007C4016" w:rsidP="007C4016">
      <w:pPr>
        <w:pStyle w:val="IFTnormal"/>
        <w:spacing w:before="240" w:after="0"/>
      </w:pPr>
      <w:r>
        <w:t>Se entiende que tanto el AEP como el CS deben llevar a cabo lo necesario para que la infraestructura que se comparta no sufra daños, esto es, que la Oferta de Referencia, así como los anexos, debe prevalecer la responsabilidad de ambas partes para salvaguardar la infraestructura compartida, por lo que el alcance debe incluir al CS como al AEP.</w:t>
      </w:r>
    </w:p>
    <w:p w:rsidR="007C4016" w:rsidRPr="009D3D64" w:rsidRDefault="007C4016" w:rsidP="007C4016">
      <w:pPr>
        <w:pStyle w:val="IFTnormal"/>
        <w:spacing w:before="240" w:after="0"/>
        <w:rPr>
          <w:b/>
        </w:rPr>
      </w:pPr>
      <w:r w:rsidRPr="009D3D64">
        <w:rPr>
          <w:b/>
        </w:rPr>
        <w:t>6.- DESARROLLO.</w:t>
      </w:r>
    </w:p>
    <w:p w:rsidR="007C4016" w:rsidRDefault="007C4016" w:rsidP="007C4016">
      <w:pPr>
        <w:pStyle w:val="IFTnormal"/>
        <w:spacing w:before="240" w:after="0"/>
        <w:rPr>
          <w:b/>
        </w:rPr>
      </w:pPr>
      <w:r w:rsidRPr="009D3D64">
        <w:rPr>
          <w:b/>
        </w:rPr>
        <w:t>6.1.- LINEAMIENTOS TÉCNICOS.</w:t>
      </w:r>
    </w:p>
    <w:p w:rsidR="007C4016" w:rsidRPr="008542E3" w:rsidRDefault="007C4016" w:rsidP="007C4016">
      <w:pPr>
        <w:pStyle w:val="IFTnormal"/>
        <w:spacing w:before="240" w:after="0"/>
        <w:rPr>
          <w:b/>
        </w:rPr>
      </w:pPr>
      <w:r w:rsidRPr="008542E3">
        <w:rPr>
          <w:b/>
        </w:rPr>
        <w:t xml:space="preserve">6.1.1.-LINEAMIENTOS GENERALES PARA LA COMPARTICIÓN DE CANALIZACIÓN DE </w:t>
      </w:r>
      <w:r>
        <w:rPr>
          <w:b/>
        </w:rPr>
        <w:t>TELNOR</w:t>
      </w:r>
      <w:r w:rsidRPr="008542E3">
        <w:rPr>
          <w:b/>
        </w:rPr>
        <w:t>.</w:t>
      </w:r>
    </w:p>
    <w:p w:rsidR="007C4016" w:rsidRPr="00491ACC" w:rsidRDefault="007C4016" w:rsidP="007C4016">
      <w:pPr>
        <w:pStyle w:val="IFTnormal"/>
        <w:spacing w:before="240" w:after="0"/>
        <w:rPr>
          <w:b/>
        </w:rPr>
      </w:pPr>
      <w:r w:rsidRPr="00491ACC">
        <w:rPr>
          <w:b/>
        </w:rPr>
        <w:t>Consideraciones del Instituto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rPr>
          <w:lang w:val="es-ES"/>
        </w:rPr>
      </w:pPr>
      <w:r>
        <w:t>A consideración del Instituto los aspectos que se encuentran fuera del alcance de la normativa técnica y con independencia del análisis de su procedencia</w:t>
      </w:r>
      <w:r>
        <w:rPr>
          <w:lang w:val="es-ES"/>
        </w:rPr>
        <w:t xml:space="preserve">, son los siguientes: </w:t>
      </w:r>
    </w:p>
    <w:p w:rsidR="007C4016" w:rsidRPr="00485212" w:rsidRDefault="007C4016" w:rsidP="007C4016">
      <w:pPr>
        <w:pStyle w:val="Citaift0"/>
        <w:spacing w:before="240" w:after="0"/>
        <w:rPr>
          <w:b/>
        </w:rPr>
      </w:pPr>
      <w:r w:rsidRPr="00A9389F">
        <w:t>“</w:t>
      </w:r>
      <w:r w:rsidRPr="00485212">
        <w:rPr>
          <w:b/>
        </w:rPr>
        <w:t xml:space="preserve">6.1.1.-Lineamientos Generales para la compartición de canalización de </w:t>
      </w:r>
      <w:r>
        <w:rPr>
          <w:b/>
        </w:rPr>
        <w:t>TELNOR</w:t>
      </w:r>
      <w:r w:rsidRPr="00485212">
        <w:rPr>
          <w:b/>
        </w:rPr>
        <w:t>.</w:t>
      </w:r>
    </w:p>
    <w:p w:rsidR="007C4016" w:rsidRPr="00601C45" w:rsidRDefault="007C4016" w:rsidP="007C4016">
      <w:pPr>
        <w:pStyle w:val="Citaift0"/>
        <w:numPr>
          <w:ilvl w:val="0"/>
          <w:numId w:val="39"/>
        </w:numPr>
        <w:spacing w:before="240" w:after="0"/>
      </w:pPr>
      <w:r w:rsidRPr="00601C45">
        <w:t>En ningún caso podrán ubicarse cables eléctricos, equipos activos o elementos con alimentación eléctrica que pongan en riesgo al personal técnico.</w:t>
      </w:r>
    </w:p>
    <w:p w:rsidR="007C4016" w:rsidRPr="00601C45" w:rsidRDefault="007C4016" w:rsidP="007C4016">
      <w:pPr>
        <w:pStyle w:val="Citaift0"/>
        <w:numPr>
          <w:ilvl w:val="0"/>
          <w:numId w:val="39"/>
        </w:numPr>
        <w:spacing w:after="0"/>
      </w:pPr>
      <w:r w:rsidRPr="00601C45">
        <w:t xml:space="preserve">Los ductos </w:t>
      </w:r>
      <w:r>
        <w:t xml:space="preserve">o subductos </w:t>
      </w:r>
      <w:r w:rsidRPr="00601C45">
        <w:t xml:space="preserve">de mantenimiento de una canalización no serán objeto de Uso Compartido, ya que éstos se planearon para atender el mantenimiento de la Red de </w:t>
      </w:r>
      <w:r>
        <w:t>TELNOR</w:t>
      </w:r>
      <w:r w:rsidRPr="00601C45">
        <w:t xml:space="preserve"> o bien para sustitución en caso de falla de alguno de los ductos de la canalización.</w:t>
      </w:r>
    </w:p>
    <w:p w:rsidR="007C4016" w:rsidRPr="00601C45" w:rsidRDefault="007C4016" w:rsidP="007C4016">
      <w:pPr>
        <w:pStyle w:val="Citaift0"/>
        <w:numPr>
          <w:ilvl w:val="0"/>
          <w:numId w:val="39"/>
        </w:numPr>
        <w:spacing w:after="0"/>
      </w:pPr>
      <w:r w:rsidRPr="00601C45">
        <w:t xml:space="preserve">Para los casos de subidas (conversión de cables subterráneos a aéreos), es importante considerar la disponibilidad excedente de ductos y pozos para estar en condiciones de atender las solicitudes, quienes tengan el derecho del uso o goce de la infraestructura de </w:t>
      </w:r>
      <w:r>
        <w:t>TELNOR</w:t>
      </w:r>
      <w:r w:rsidRPr="00601C45">
        <w:t xml:space="preserve"> por parte de los Concesionarios Solicitantes.</w:t>
      </w:r>
    </w:p>
    <w:p w:rsidR="007C4016" w:rsidRPr="00601C45" w:rsidRDefault="007C4016" w:rsidP="007C4016">
      <w:pPr>
        <w:pStyle w:val="Citaift0"/>
        <w:numPr>
          <w:ilvl w:val="0"/>
          <w:numId w:val="39"/>
        </w:numPr>
        <w:spacing w:after="0"/>
      </w:pPr>
      <w:r w:rsidRPr="00601C45">
        <w:t xml:space="preserve">El uso de canalización de </w:t>
      </w:r>
      <w:r>
        <w:t>TELNOR</w:t>
      </w:r>
      <w:r w:rsidRPr="00601C45">
        <w:t xml:space="preserve"> por otros Concesionarios Solicitantes, debe respetar los programas de expansión de Red de </w:t>
      </w:r>
      <w:r>
        <w:t>TELNOR</w:t>
      </w:r>
      <w:r w:rsidRPr="00601C45">
        <w:t xml:space="preserve">, y los planes que los Concesionario Solicitantes hayan entregado y programado con </w:t>
      </w:r>
      <w:r>
        <w:lastRenderedPageBreak/>
        <w:t>TELNOR</w:t>
      </w:r>
      <w:r w:rsidRPr="00601C45">
        <w:t>, de lo contrario se atenderán en función a la disponibilidad excedente de recursos.</w:t>
      </w:r>
    </w:p>
    <w:p w:rsidR="007C4016" w:rsidRPr="00120A7F" w:rsidRDefault="007C4016" w:rsidP="007C4016">
      <w:pPr>
        <w:pStyle w:val="Citaift0"/>
        <w:numPr>
          <w:ilvl w:val="0"/>
          <w:numId w:val="39"/>
        </w:numPr>
        <w:spacing w:after="0"/>
        <w:rPr>
          <w:rFonts w:ascii="Calibri" w:hAnsi="Calibri" w:cs="Calibri"/>
          <w:color w:val="000000" w:themeColor="text1"/>
        </w:rPr>
      </w:pPr>
      <w:r w:rsidRPr="00120A7F">
        <w:rPr>
          <w:rFonts w:cs="Calibri"/>
          <w:color w:val="000000" w:themeColor="text1"/>
        </w:rPr>
        <w:t xml:space="preserve">Todo permiso para recorrido de análisis de disponibilidad o visita técnica y para construir, requerido por las autoridades municipales, estatales, federales o Concesionarios Solicitantes de derechos de vía es responsabilidad del Concesionario Solicitante que pretenda ocupar la infraestructura de canalización de </w:t>
      </w:r>
      <w:r>
        <w:rPr>
          <w:rFonts w:cs="Calibri"/>
          <w:color w:val="000000" w:themeColor="text1"/>
        </w:rPr>
        <w:t>TELNOR</w:t>
      </w:r>
      <w:r w:rsidRPr="00120A7F">
        <w:rPr>
          <w:rFonts w:cs="Calibri"/>
          <w:color w:val="000000" w:themeColor="text1"/>
        </w:rPr>
        <w:t>. Tanto de trámite como derechos que devengan.</w:t>
      </w:r>
    </w:p>
    <w:p w:rsidR="007C4016" w:rsidRPr="0097169E" w:rsidRDefault="007C4016" w:rsidP="007C4016">
      <w:pPr>
        <w:pStyle w:val="Citaift0"/>
        <w:numPr>
          <w:ilvl w:val="0"/>
          <w:numId w:val="39"/>
        </w:numPr>
        <w:spacing w:after="0"/>
        <w:rPr>
          <w:rFonts w:cstheme="minorHAnsi"/>
          <w:color w:val="000000" w:themeColor="text1"/>
        </w:rPr>
      </w:pPr>
      <w:r>
        <w:rPr>
          <w:color w:val="000000" w:themeColor="text1"/>
        </w:rPr>
        <w:t>TELNOR</w:t>
      </w:r>
      <w:r w:rsidRPr="00120A7F">
        <w:rPr>
          <w:color w:val="000000" w:themeColor="text1"/>
        </w:rPr>
        <w:t xml:space="preserve"> como responsable de realizar el Análisis de Disponibilidad o Visita Técnica; este último cuando así lo haya solicitado el </w:t>
      </w:r>
      <w:r w:rsidRPr="00020044">
        <w:rPr>
          <w:color w:val="000000" w:themeColor="text1"/>
        </w:rPr>
        <w:t>Concesionario Solicitante:</w:t>
      </w:r>
    </w:p>
    <w:p w:rsidR="007C4016" w:rsidRPr="00120A7F" w:rsidRDefault="007C4016" w:rsidP="007C4016">
      <w:pPr>
        <w:pStyle w:val="Citaift0"/>
        <w:numPr>
          <w:ilvl w:val="1"/>
          <w:numId w:val="39"/>
        </w:numPr>
        <w:spacing w:after="0"/>
        <w:ind w:left="1985"/>
        <w:rPr>
          <w:rFonts w:cstheme="minorHAnsi"/>
          <w:color w:val="000000" w:themeColor="text1"/>
        </w:rPr>
      </w:pPr>
      <w:r w:rsidRPr="00120A7F">
        <w:t xml:space="preserve"> Analizará in situ los elementos sobre los que efectivamente se podrá ejercer el Acceso y Uso Compartido de Infraestructura Pasiva; realizando la investigación en ambas aceras, siempre y </w:t>
      </w:r>
      <w:r w:rsidRPr="00120A7F">
        <w:rPr>
          <w:rFonts w:cstheme="minorHAnsi"/>
          <w:color w:val="000000" w:themeColor="text1"/>
          <w:lang w:val="es-ES"/>
        </w:rPr>
        <w:t xml:space="preserve">cuando lo precise la solicitud entregada por los </w:t>
      </w:r>
      <w:r w:rsidRPr="00120A7F">
        <w:rPr>
          <w:rFonts w:cstheme="minorHAnsi"/>
          <w:color w:val="000000" w:themeColor="text1"/>
        </w:rPr>
        <w:t>Concesionarios Solicitantes. L</w:t>
      </w:r>
      <w:r w:rsidRPr="00120A7F">
        <w:rPr>
          <w:rFonts w:cstheme="minorHAnsi"/>
          <w:color w:val="000000" w:themeColor="text1"/>
          <w:lang w:val="es-ES"/>
        </w:rPr>
        <w:t>a longitud deberá ser la suma de la longitud de ambas aceras</w:t>
      </w:r>
      <w:r w:rsidRPr="00120A7F">
        <w:rPr>
          <w:rFonts w:cstheme="minorHAnsi"/>
          <w:color w:val="000000" w:themeColor="text1"/>
        </w:rPr>
        <w:t>.</w:t>
      </w:r>
    </w:p>
    <w:p w:rsidR="007C4016" w:rsidRPr="00120A7F" w:rsidRDefault="007C4016" w:rsidP="007C4016">
      <w:pPr>
        <w:pStyle w:val="Citaift0"/>
        <w:numPr>
          <w:ilvl w:val="0"/>
          <w:numId w:val="40"/>
        </w:numPr>
        <w:spacing w:after="0"/>
        <w:ind w:left="1985"/>
        <w:rPr>
          <w:rFonts w:cstheme="minorHAnsi"/>
          <w:color w:val="000000" w:themeColor="text1"/>
        </w:rPr>
      </w:pPr>
      <w:r w:rsidRPr="00120A7F">
        <w:t xml:space="preserve">Realizará la investigación de las subidas o bajadas a poste o fachadas, aunque su longitud no venga precisada en la solicitud </w:t>
      </w:r>
      <w:r w:rsidRPr="00120A7F">
        <w:rPr>
          <w:rFonts w:cstheme="minorHAnsi"/>
          <w:color w:val="000000" w:themeColor="text1"/>
          <w:lang w:val="es-ES"/>
        </w:rPr>
        <w:t xml:space="preserve">entregada por los </w:t>
      </w:r>
      <w:r w:rsidRPr="00120A7F">
        <w:rPr>
          <w:rFonts w:cstheme="minorHAnsi"/>
          <w:color w:val="000000" w:themeColor="text1"/>
        </w:rPr>
        <w:t>Concesionarios Solicitantes. Solo debe venir indicado en la solicitud.</w:t>
      </w:r>
    </w:p>
    <w:p w:rsidR="007C4016" w:rsidRPr="00120A7F" w:rsidRDefault="007C4016" w:rsidP="007C4016">
      <w:pPr>
        <w:pStyle w:val="Citaift0"/>
        <w:numPr>
          <w:ilvl w:val="0"/>
          <w:numId w:val="40"/>
        </w:numPr>
        <w:spacing w:after="0"/>
        <w:ind w:left="1985"/>
        <w:rPr>
          <w:rFonts w:cstheme="minorHAnsi"/>
          <w:color w:val="000000" w:themeColor="text1"/>
        </w:rPr>
      </w:pPr>
      <w:r w:rsidRPr="00120A7F">
        <w:t xml:space="preserve">Para una zona delimitada por un polígono, </w:t>
      </w:r>
      <w:r>
        <w:t>TELNOR</w:t>
      </w:r>
      <w:r w:rsidRPr="00120A7F">
        <w:t xml:space="preserve"> realizará la investigación de toda la infraestructura pasiva contenida en el polígono, incluyendo subidas y bajas, así como cruces de calle.</w:t>
      </w:r>
    </w:p>
    <w:p w:rsidR="007C4016" w:rsidRPr="00601C45" w:rsidRDefault="007C4016" w:rsidP="007C4016">
      <w:pPr>
        <w:pStyle w:val="Citaift0"/>
        <w:numPr>
          <w:ilvl w:val="0"/>
          <w:numId w:val="41"/>
        </w:numPr>
        <w:spacing w:before="240" w:after="0"/>
      </w:pPr>
      <w:r w:rsidRPr="00601C45">
        <w:t>El Concesionario Solicitante solamente debe instalar en la canalización los cables, dispositivos de conexión herrajes para su fijación y sujeción. No podrá instalar equipos activos.</w:t>
      </w:r>
    </w:p>
    <w:p w:rsidR="007C4016" w:rsidRPr="00601C45" w:rsidRDefault="007C4016" w:rsidP="007C4016">
      <w:pPr>
        <w:pStyle w:val="Citaift0"/>
        <w:numPr>
          <w:ilvl w:val="0"/>
          <w:numId w:val="41"/>
        </w:numPr>
        <w:spacing w:after="0"/>
      </w:pPr>
      <w:r w:rsidRPr="00601C45">
        <w:t xml:space="preserve">Los nuevos Concesionarios Solicitantes, no deberán manipular y/o acomodar los elementos existentes de </w:t>
      </w:r>
      <w:r>
        <w:t>TELNOR</w:t>
      </w:r>
      <w:r w:rsidRPr="00601C45">
        <w:t xml:space="preserve">, los trabajos necesarios serán realizados por </w:t>
      </w:r>
      <w:r>
        <w:t>TELNOR</w:t>
      </w:r>
      <w:r w:rsidRPr="00601C45">
        <w:t xml:space="preserve"> con cargo al Concesionario Solicitante sobre los elementos existentes:</w:t>
      </w:r>
    </w:p>
    <w:p w:rsidR="007C4016" w:rsidRPr="00601C45" w:rsidRDefault="007C4016" w:rsidP="007C4016">
      <w:pPr>
        <w:pStyle w:val="Citaift0"/>
        <w:numPr>
          <w:ilvl w:val="0"/>
          <w:numId w:val="42"/>
        </w:numPr>
        <w:spacing w:before="240" w:after="0"/>
        <w:ind w:left="1985"/>
      </w:pPr>
      <w:r w:rsidRPr="00601C45">
        <w:t>La infraestructura de apoyo.</w:t>
      </w:r>
    </w:p>
    <w:p w:rsidR="007C4016" w:rsidRPr="00601C45" w:rsidRDefault="007C4016" w:rsidP="007C4016">
      <w:pPr>
        <w:pStyle w:val="Citaift0"/>
        <w:numPr>
          <w:ilvl w:val="0"/>
          <w:numId w:val="42"/>
        </w:numPr>
        <w:spacing w:after="0"/>
        <w:ind w:left="1985"/>
      </w:pPr>
      <w:r w:rsidRPr="00601C45">
        <w:t>Cables multipar de cobre o de fibra óptica.</w:t>
      </w:r>
    </w:p>
    <w:p w:rsidR="007C4016" w:rsidRPr="00601C45" w:rsidRDefault="007C4016" w:rsidP="007C4016">
      <w:pPr>
        <w:pStyle w:val="Citaift0"/>
        <w:numPr>
          <w:ilvl w:val="0"/>
          <w:numId w:val="42"/>
        </w:numPr>
        <w:spacing w:after="0"/>
        <w:ind w:left="1985"/>
      </w:pPr>
      <w:r w:rsidRPr="00601C45">
        <w:t>Cierres de empalme existentes.</w:t>
      </w:r>
    </w:p>
    <w:p w:rsidR="007C4016" w:rsidRPr="00601C45" w:rsidRDefault="007C4016" w:rsidP="007C4016">
      <w:pPr>
        <w:pStyle w:val="Citaift0"/>
        <w:numPr>
          <w:ilvl w:val="0"/>
          <w:numId w:val="43"/>
        </w:numPr>
        <w:spacing w:before="240" w:after="0"/>
      </w:pPr>
      <w:r w:rsidRPr="00601C45">
        <w:t>Las Unidades de Compartición de canalización se contabilizan:</w:t>
      </w:r>
    </w:p>
    <w:p w:rsidR="007C4016" w:rsidRPr="00601C45" w:rsidRDefault="007C4016" w:rsidP="007C4016">
      <w:pPr>
        <w:pStyle w:val="Citaift0"/>
        <w:numPr>
          <w:ilvl w:val="0"/>
          <w:numId w:val="44"/>
        </w:numPr>
        <w:spacing w:before="240" w:after="0"/>
        <w:ind w:left="1985"/>
      </w:pPr>
      <w:r w:rsidRPr="00601C45">
        <w:t>Por metro lineal de ducto.</w:t>
      </w:r>
    </w:p>
    <w:p w:rsidR="007C4016" w:rsidRPr="00601C45" w:rsidRDefault="007C4016" w:rsidP="007C4016">
      <w:pPr>
        <w:pStyle w:val="Citaift0"/>
        <w:numPr>
          <w:ilvl w:val="0"/>
          <w:numId w:val="44"/>
        </w:numPr>
        <w:spacing w:after="0"/>
        <w:ind w:left="1985"/>
      </w:pPr>
      <w:r w:rsidRPr="00601C45">
        <w:t>Diámetro de ducto.</w:t>
      </w:r>
    </w:p>
    <w:p w:rsidR="007C4016" w:rsidRPr="00601C45" w:rsidRDefault="007C4016" w:rsidP="007C4016">
      <w:pPr>
        <w:pStyle w:val="Citaift0"/>
        <w:numPr>
          <w:ilvl w:val="0"/>
          <w:numId w:val="44"/>
        </w:numPr>
        <w:spacing w:after="0"/>
        <w:ind w:left="1985"/>
      </w:pPr>
      <w:r w:rsidRPr="00601C45">
        <w:t>Cantidad de dispositivos de empalme o distribución.</w:t>
      </w:r>
    </w:p>
    <w:p w:rsidR="007C4016" w:rsidRPr="00601C45" w:rsidRDefault="007C4016" w:rsidP="007C4016">
      <w:pPr>
        <w:pStyle w:val="Citaift0"/>
        <w:numPr>
          <w:ilvl w:val="0"/>
          <w:numId w:val="44"/>
        </w:numPr>
        <w:spacing w:after="0"/>
        <w:ind w:left="1985"/>
      </w:pPr>
      <w:r w:rsidRPr="00601C45">
        <w:t>Cantidad de dispositivos alojados en el pozo (cierre, distribución o gaza) indicando el tipo de pozo, véase Anexo 1 de este documento.</w:t>
      </w:r>
    </w:p>
    <w:p w:rsidR="007C4016" w:rsidRPr="00601C45" w:rsidRDefault="007C4016" w:rsidP="007C4016">
      <w:pPr>
        <w:pStyle w:val="Citaift0"/>
        <w:numPr>
          <w:ilvl w:val="0"/>
          <w:numId w:val="44"/>
        </w:numPr>
        <w:spacing w:after="0"/>
        <w:ind w:left="1985"/>
      </w:pPr>
      <w:r w:rsidRPr="00601C45">
        <w:t>Tipo de trabajo adicional requerido (apertura de pozos soldados, desagüe, desazolve, o limpieza).</w:t>
      </w:r>
    </w:p>
    <w:p w:rsidR="007C4016" w:rsidRDefault="007C4016" w:rsidP="007C4016">
      <w:pPr>
        <w:pStyle w:val="Citaift0"/>
        <w:numPr>
          <w:ilvl w:val="0"/>
          <w:numId w:val="45"/>
        </w:numPr>
        <w:spacing w:before="240" w:after="0"/>
      </w:pPr>
      <w:r w:rsidRPr="00601C45">
        <w:lastRenderedPageBreak/>
        <w:t xml:space="preserve">El hecho de alojar cables de otros Concesionarios Solicitantes en canalización y pozos de </w:t>
      </w:r>
      <w:r>
        <w:t>TELNOR</w:t>
      </w:r>
      <w:r w:rsidRPr="00601C45">
        <w:t xml:space="preserve">, no responsabiliza a </w:t>
      </w:r>
      <w:r>
        <w:t>TELNOR</w:t>
      </w:r>
      <w:r w:rsidRPr="00601C45">
        <w:t xml:space="preserve"> por su integridad física.</w:t>
      </w:r>
    </w:p>
    <w:p w:rsidR="007C4016" w:rsidRPr="00601C45" w:rsidRDefault="007C4016" w:rsidP="007C4016">
      <w:pPr>
        <w:pStyle w:val="Citaift0"/>
        <w:numPr>
          <w:ilvl w:val="0"/>
          <w:numId w:val="45"/>
        </w:numPr>
        <w:spacing w:after="0"/>
      </w:pPr>
      <w:r w:rsidRPr="00601C45">
        <w:t xml:space="preserve">Con objeto de asegurar un mantenimiento ágil en caso de corte de cables de los Concesionarios Solicitantes por siniestros, dichos cables deberán estar plenamente identificados dentro de los pozos, no podrán hacer reclamación alguna a </w:t>
      </w:r>
      <w:r>
        <w:t>TELNOR</w:t>
      </w:r>
      <w:r w:rsidRPr="00601C45">
        <w:t xml:space="preserve">, y el Concesionario Solicitante recuperará sus cables una vez que </w:t>
      </w:r>
      <w:r>
        <w:t>TELNOR</w:t>
      </w:r>
      <w:r w:rsidRPr="00601C45">
        <w:t xml:space="preserve"> haya recuperado su Red.</w:t>
      </w:r>
    </w:p>
    <w:p w:rsidR="007C4016" w:rsidRPr="00120A7F" w:rsidRDefault="007C4016" w:rsidP="007C4016">
      <w:pPr>
        <w:pStyle w:val="Citaift0"/>
        <w:numPr>
          <w:ilvl w:val="0"/>
          <w:numId w:val="45"/>
        </w:numPr>
        <w:spacing w:after="0"/>
        <w:rPr>
          <w:rFonts w:ascii="Calibri" w:hAnsi="Calibri"/>
          <w:color w:val="000000" w:themeColor="text1"/>
        </w:rPr>
      </w:pPr>
      <w:r>
        <w:t>(…)</w:t>
      </w:r>
    </w:p>
    <w:p w:rsidR="007C4016" w:rsidRPr="00120A7F" w:rsidRDefault="007C4016" w:rsidP="007C4016">
      <w:pPr>
        <w:pStyle w:val="Citaift0"/>
        <w:numPr>
          <w:ilvl w:val="0"/>
          <w:numId w:val="45"/>
        </w:numPr>
        <w:spacing w:after="0"/>
        <w:rPr>
          <w:rFonts w:ascii="Calibri" w:hAnsi="Calibri"/>
          <w:color w:val="000000" w:themeColor="text1"/>
        </w:rPr>
      </w:pPr>
      <w:r w:rsidRPr="00120A7F">
        <w:rPr>
          <w:color w:val="000000" w:themeColor="text1"/>
        </w:rPr>
        <w:t>Se pone a disposición de los Concesionarios Solicitantes los ductos que tengan disponibilidad excedente en función a la sección útil del ducto o tubo y el tamaño de cable que se pretenda instalar:</w:t>
      </w:r>
    </w:p>
    <w:p w:rsidR="007C4016" w:rsidRPr="00120A7F" w:rsidRDefault="007C4016" w:rsidP="007C4016">
      <w:pPr>
        <w:pStyle w:val="Citaift0"/>
        <w:numPr>
          <w:ilvl w:val="0"/>
          <w:numId w:val="46"/>
        </w:numPr>
        <w:spacing w:before="240" w:after="0"/>
        <w:ind w:left="1985"/>
        <w:rPr>
          <w:rFonts w:ascii="Calibri" w:hAnsi="Calibri"/>
          <w:color w:val="000000" w:themeColor="text1"/>
        </w:rPr>
      </w:pPr>
      <w:r w:rsidRPr="00120A7F">
        <w:t>Ductos de 35.5, 45 y 60 mm para cables de fibra óptica.</w:t>
      </w:r>
    </w:p>
    <w:p w:rsidR="007C4016" w:rsidRPr="00120A7F" w:rsidRDefault="007C4016" w:rsidP="007C4016">
      <w:pPr>
        <w:pStyle w:val="Citaift0"/>
        <w:numPr>
          <w:ilvl w:val="0"/>
          <w:numId w:val="46"/>
        </w:numPr>
        <w:spacing w:after="0"/>
        <w:ind w:left="1985"/>
        <w:rPr>
          <w:rFonts w:ascii="Calibri" w:hAnsi="Calibri"/>
          <w:color w:val="000000" w:themeColor="text1"/>
        </w:rPr>
      </w:pPr>
      <w:r w:rsidRPr="00120A7F">
        <w:t>Ducto de 100 ó 80 mm, o subdivididos en 3 y 2 subductos respectivamente para cables de fibra óptica.</w:t>
      </w:r>
    </w:p>
    <w:p w:rsidR="007C4016" w:rsidRPr="00120A7F" w:rsidRDefault="007C4016" w:rsidP="007C4016">
      <w:pPr>
        <w:pStyle w:val="Citaift0"/>
        <w:numPr>
          <w:ilvl w:val="0"/>
          <w:numId w:val="47"/>
        </w:numPr>
        <w:spacing w:before="240" w:after="0"/>
        <w:rPr>
          <w:rFonts w:ascii="Calibri" w:hAnsi="Calibri"/>
          <w:color w:val="000000" w:themeColor="text1"/>
        </w:rPr>
      </w:pPr>
      <w:r w:rsidRPr="00120A7F">
        <w:t xml:space="preserve">Se excluyen las subidas a postes existentes, que están dimensionadas al límite de su capacidad para </w:t>
      </w:r>
      <w:r>
        <w:t>TELNOR</w:t>
      </w:r>
      <w:r w:rsidRPr="00120A7F">
        <w:t>, el Concesionario Solicitante debe proyectar y construir su propia subida.</w:t>
      </w:r>
    </w:p>
    <w:p w:rsidR="007C4016" w:rsidRPr="00120A7F" w:rsidRDefault="007C4016" w:rsidP="007C4016">
      <w:pPr>
        <w:pStyle w:val="Citaift0"/>
        <w:numPr>
          <w:ilvl w:val="0"/>
          <w:numId w:val="47"/>
        </w:numPr>
        <w:spacing w:after="0"/>
        <w:rPr>
          <w:rFonts w:ascii="Calibri" w:hAnsi="Calibri"/>
          <w:color w:val="000000" w:themeColor="text1"/>
        </w:rPr>
      </w:pPr>
      <w:r w:rsidRPr="00120A7F">
        <w:t xml:space="preserve">Se permite realizar el enlace de los pozos del Concesionario Solicitante con los pozos de </w:t>
      </w:r>
      <w:r>
        <w:t>TELNOR</w:t>
      </w:r>
      <w:r w:rsidRPr="00120A7F">
        <w:t>, siempre que exista disponibilidad de acceso.</w:t>
      </w:r>
    </w:p>
    <w:p w:rsidR="007C4016" w:rsidRPr="00120A7F" w:rsidRDefault="007C4016" w:rsidP="007C4016">
      <w:pPr>
        <w:pStyle w:val="Citaift0"/>
        <w:numPr>
          <w:ilvl w:val="0"/>
          <w:numId w:val="47"/>
        </w:numPr>
        <w:spacing w:after="0"/>
        <w:rPr>
          <w:rFonts w:ascii="Calibri" w:hAnsi="Calibri"/>
          <w:color w:val="000000" w:themeColor="text1"/>
        </w:rPr>
      </w:pPr>
      <w:r w:rsidRPr="00120A7F">
        <w:t>No se podrá interceptar un ducto en ningún punto intermedio de la sección de canalización. Sólo se podrá acceder a ellos desde los pozos.</w:t>
      </w:r>
      <w:r>
        <w:t>”</w:t>
      </w:r>
    </w:p>
    <w:p w:rsidR="007C4016" w:rsidRDefault="007C4016" w:rsidP="007C4016">
      <w:pPr>
        <w:pStyle w:val="IFTnormal"/>
        <w:spacing w:before="240" w:after="0"/>
      </w:pPr>
      <w:r>
        <w:t>Si bien los aspectos antes citados serán eliminados de la NORMA 1 del ANEXO 2</w:t>
      </w:r>
      <w:r>
        <w:rPr>
          <w:lang w:val="es-ES"/>
        </w:rPr>
        <w:t>, es necesario analizar algunos de ellos antes de proceder a identificar si ameritan su ubicación en una sección diferente de la Oferta de Referencia.</w:t>
      </w:r>
    </w:p>
    <w:p w:rsidR="007C4016" w:rsidRDefault="007C4016" w:rsidP="007C4016">
      <w:pPr>
        <w:pStyle w:val="IFTnormal"/>
        <w:spacing w:before="240" w:after="0"/>
      </w:pPr>
      <w:r>
        <w:rPr>
          <w:lang w:val="es-ES"/>
        </w:rPr>
        <w:t>D</w:t>
      </w:r>
      <w:r>
        <w:t>el numeral antes citado el AEP establece lo siguiente:</w:t>
      </w:r>
    </w:p>
    <w:p w:rsidR="007C4016" w:rsidRDefault="007C4016" w:rsidP="007C4016">
      <w:pPr>
        <w:pStyle w:val="Citaift0"/>
        <w:spacing w:before="240" w:after="0"/>
        <w:rPr>
          <w:b/>
        </w:rPr>
      </w:pPr>
      <w:r w:rsidRPr="00A9389F">
        <w:t>“</w:t>
      </w:r>
      <w:r w:rsidRPr="004B5C98">
        <w:rPr>
          <w:b/>
        </w:rPr>
        <w:t xml:space="preserve">6.1.1.-Lineamientos Generales para la compartición de canalización de </w:t>
      </w:r>
      <w:r>
        <w:rPr>
          <w:b/>
        </w:rPr>
        <w:t>TELNOR</w:t>
      </w:r>
      <w:r w:rsidRPr="004B5C98">
        <w:rPr>
          <w:b/>
        </w:rPr>
        <w:t>.</w:t>
      </w:r>
    </w:p>
    <w:p w:rsidR="007C4016" w:rsidRDefault="007C4016" w:rsidP="007C4016">
      <w:pPr>
        <w:pStyle w:val="Citaift0"/>
        <w:spacing w:before="240" w:after="0"/>
      </w:pPr>
      <w:r>
        <w:t>(…)</w:t>
      </w:r>
    </w:p>
    <w:p w:rsidR="007C4016" w:rsidRDefault="007C4016" w:rsidP="007C4016">
      <w:pPr>
        <w:pStyle w:val="Citaift0"/>
        <w:numPr>
          <w:ilvl w:val="0"/>
          <w:numId w:val="39"/>
        </w:numPr>
        <w:spacing w:before="240" w:after="0"/>
      </w:pPr>
      <w:r w:rsidRPr="00601C45">
        <w:t xml:space="preserve">Los ductos </w:t>
      </w:r>
      <w:r>
        <w:t xml:space="preserve">o subductos </w:t>
      </w:r>
      <w:r w:rsidRPr="00601C45">
        <w:t xml:space="preserve">de mantenimiento de una canalización no serán objeto de Uso Compartido, ya que éstos se planearon </w:t>
      </w:r>
      <w:r w:rsidRPr="00923E12">
        <w:rPr>
          <w:b/>
          <w:u w:val="single"/>
        </w:rPr>
        <w:t xml:space="preserve">para atender el mantenimiento de la Red de </w:t>
      </w:r>
      <w:r>
        <w:rPr>
          <w:b/>
          <w:u w:val="single"/>
        </w:rPr>
        <w:t>TELNOR</w:t>
      </w:r>
      <w:r w:rsidRPr="00923E12">
        <w:rPr>
          <w:b/>
        </w:rPr>
        <w:t xml:space="preserve"> </w:t>
      </w:r>
      <w:r w:rsidRPr="00601C45">
        <w:t>o bien para sustitución en caso de falla</w:t>
      </w:r>
    </w:p>
    <w:p w:rsidR="007C4016" w:rsidRDefault="007C4016" w:rsidP="007C4016">
      <w:pPr>
        <w:pStyle w:val="Citaift0"/>
        <w:spacing w:before="240" w:after="0"/>
      </w:pPr>
      <w:r>
        <w:t>(…)”</w:t>
      </w:r>
    </w:p>
    <w:p w:rsidR="007C4016" w:rsidRPr="00EB0297" w:rsidRDefault="007C4016" w:rsidP="007C4016">
      <w:pPr>
        <w:pStyle w:val="IFTnormal"/>
        <w:spacing w:before="240" w:after="0"/>
      </w:pPr>
      <w:r>
        <w:rPr>
          <w:lang w:val="es-ES"/>
        </w:rPr>
        <w:t>Por lo anterior y e</w:t>
      </w:r>
      <w:r w:rsidRPr="00460CA7">
        <w:t>n primera instancia el Instituto considera</w:t>
      </w:r>
      <w:r>
        <w:t xml:space="preserve"> necesario citar la Medida </w:t>
      </w:r>
      <w:r w:rsidRPr="00EB0297">
        <w:rPr>
          <w:lang w:val="es-ES"/>
        </w:rPr>
        <w:t>VIGÉSIMA TERCERA de las Medidas Fijas que indica lo siguiente:</w:t>
      </w:r>
    </w:p>
    <w:p w:rsidR="007C4016" w:rsidRDefault="007C4016" w:rsidP="007C4016">
      <w:pPr>
        <w:pStyle w:val="Citaift0"/>
        <w:spacing w:before="240" w:after="0"/>
        <w:rPr>
          <w:lang w:val="es-ES"/>
        </w:rPr>
      </w:pPr>
      <w:r w:rsidRPr="00EB0297">
        <w:rPr>
          <w:lang w:val="es-ES"/>
        </w:rPr>
        <w:t>“</w:t>
      </w:r>
      <w:r w:rsidRPr="0087469D">
        <w:rPr>
          <w:b/>
          <w:lang w:val="es-ES"/>
        </w:rPr>
        <w:t xml:space="preserve">VIGÉSIMA TERCERA.- </w:t>
      </w:r>
      <w:r>
        <w:rPr>
          <w:lang w:val="es-ES"/>
        </w:rPr>
        <w:t>(…)</w:t>
      </w:r>
    </w:p>
    <w:p w:rsidR="007C4016" w:rsidRDefault="007C4016" w:rsidP="007C4016">
      <w:pPr>
        <w:pStyle w:val="Citaift0"/>
        <w:spacing w:before="240" w:after="0"/>
        <w:rPr>
          <w:bCs/>
          <w:lang w:val="es-ES_tradnl"/>
        </w:rPr>
      </w:pPr>
      <w:r w:rsidRPr="003533AC">
        <w:rPr>
          <w:bCs/>
          <w:lang w:val="es-ES_tradnl"/>
        </w:rPr>
        <w:lastRenderedPageBreak/>
        <w:t xml:space="preserve">Dicha infraestructura deberá estar disponible a los concesionarios de redes públicas de telecomunicaciones sobre bases no discriminatorias </w:t>
      </w:r>
      <w:r w:rsidRPr="00EB0297">
        <w:rPr>
          <w:b/>
          <w:bCs/>
          <w:u w:val="single"/>
          <w:lang w:val="es-ES_tradnl"/>
        </w:rPr>
        <w:t>considerando las condiciones ofrecidas a sus propias operaciones</w:t>
      </w:r>
      <w:r w:rsidRPr="003533AC">
        <w:rPr>
          <w:bCs/>
          <w:lang w:val="es-ES_tradnl"/>
        </w:rPr>
        <w:t>. El Agente Económico Preponderante no deberá otorgar el uso o aprovechamiento de dichos bienes con derechos de exclusividad.</w:t>
      </w:r>
      <w:r>
        <w:rPr>
          <w:bCs/>
          <w:lang w:val="es-ES_tradnl"/>
        </w:rPr>
        <w:t>”</w:t>
      </w:r>
    </w:p>
    <w:p w:rsidR="007C4016" w:rsidRPr="004C274F" w:rsidRDefault="007C4016" w:rsidP="007C4016">
      <w:pPr>
        <w:pStyle w:val="Citaift0"/>
        <w:spacing w:before="240" w:after="0"/>
        <w:jc w:val="right"/>
        <w:rPr>
          <w:bCs/>
          <w:lang w:val="es-ES_tradnl"/>
        </w:rPr>
      </w:pPr>
      <w:r>
        <w:rPr>
          <w:bCs/>
          <w:lang w:val="es-ES_tradnl"/>
        </w:rPr>
        <w:t>(Énfasis añadido)</w:t>
      </w:r>
    </w:p>
    <w:p w:rsidR="007C4016" w:rsidRDefault="007C4016" w:rsidP="007C4016">
      <w:pPr>
        <w:pStyle w:val="IFTnormal"/>
        <w:spacing w:before="240" w:after="0"/>
      </w:pPr>
      <w:r>
        <w:t>De lo anterior se desprende que el AEP no podrá establecer condiciones que inhiban la competencia o imponer requisitos innecesarios para la eficiente prestación de los servicios. En este sentido, por una parte los CS también deberán tener acceso a ductos y subductos de mantenimiento, y la existencia de los mismos no deberá ser una limitante para ofrecer capacidad excedente si el AEP tiene acceso a la misma.</w:t>
      </w:r>
    </w:p>
    <w:p w:rsidR="007C4016" w:rsidRDefault="007C4016" w:rsidP="007C4016">
      <w:pPr>
        <w:pStyle w:val="IFTnormal"/>
        <w:spacing w:before="240" w:after="0"/>
      </w:pPr>
      <w:r>
        <w:t>Por otro lado del numeral antes citado el</w:t>
      </w:r>
      <w:r w:rsidRPr="009E517B">
        <w:t xml:space="preserve"> AEP establece lo siguiente:</w:t>
      </w:r>
    </w:p>
    <w:p w:rsidR="007C4016" w:rsidRDefault="007C4016" w:rsidP="007C4016">
      <w:pPr>
        <w:pStyle w:val="Citaift0"/>
        <w:spacing w:before="240" w:after="0"/>
        <w:rPr>
          <w:b/>
        </w:rPr>
      </w:pPr>
      <w:r>
        <w:t>“</w:t>
      </w:r>
      <w:r w:rsidRPr="004B5C98">
        <w:rPr>
          <w:b/>
        </w:rPr>
        <w:t xml:space="preserve">6.1.1.-Lineamientos Generales para la compartición de canalización de </w:t>
      </w:r>
      <w:r>
        <w:rPr>
          <w:b/>
        </w:rPr>
        <w:t>TELNOR</w:t>
      </w:r>
      <w:r w:rsidRPr="004B5C98">
        <w:rPr>
          <w:b/>
        </w:rPr>
        <w:t>.</w:t>
      </w:r>
    </w:p>
    <w:p w:rsidR="007C4016" w:rsidRDefault="007C4016" w:rsidP="007C4016">
      <w:pPr>
        <w:pStyle w:val="Citaift0"/>
        <w:spacing w:before="240" w:after="0"/>
      </w:pPr>
      <w:r>
        <w:t>(…)</w:t>
      </w:r>
    </w:p>
    <w:p w:rsidR="007C4016" w:rsidRDefault="007C4016" w:rsidP="007C4016">
      <w:pPr>
        <w:pStyle w:val="Citaift0"/>
        <w:numPr>
          <w:ilvl w:val="0"/>
          <w:numId w:val="39"/>
        </w:numPr>
        <w:spacing w:before="240" w:after="0"/>
      </w:pPr>
      <w:r w:rsidRPr="00601C45">
        <w:t xml:space="preserve">El uso de canalización de </w:t>
      </w:r>
      <w:r>
        <w:t>TELNOR</w:t>
      </w:r>
      <w:r w:rsidRPr="00601C45">
        <w:t xml:space="preserve"> por otros Concesionarios Solicitantes, debe respetar los programas de expansión de Red de </w:t>
      </w:r>
      <w:r>
        <w:t>TELNOR</w:t>
      </w:r>
      <w:r w:rsidRPr="00601C45">
        <w:t xml:space="preserve">, y los planes que los Concesionario Solicitantes hayan entregado y programado con </w:t>
      </w:r>
      <w:r>
        <w:t>TELNOR</w:t>
      </w:r>
      <w:r w:rsidRPr="00601C45">
        <w:t>, de lo contrario se atenderán en función a la disponibilidad excedente de recursos.</w:t>
      </w:r>
    </w:p>
    <w:p w:rsidR="007C4016" w:rsidRPr="00601C45" w:rsidRDefault="007C4016" w:rsidP="007C4016">
      <w:pPr>
        <w:pStyle w:val="Citaift0"/>
        <w:numPr>
          <w:ilvl w:val="0"/>
          <w:numId w:val="39"/>
        </w:numPr>
        <w:spacing w:before="240" w:after="0"/>
      </w:pPr>
      <w:r>
        <w:t>(…)”</w:t>
      </w:r>
    </w:p>
    <w:p w:rsidR="007C4016" w:rsidRDefault="007C4016" w:rsidP="007C4016">
      <w:pPr>
        <w:pStyle w:val="IFTnormal"/>
        <w:spacing w:before="240" w:after="0"/>
      </w:pPr>
      <w:r>
        <w:t>Al respecto, el Instituto interpreta que el AEP podría estar reservando infraestructura o recursos para sus programas de expansión, con lo cual estaría imponiendo condiciones que podrían inhibir la competencia. Es por ello que el Instituto considera que este punto deberá eliminarse de la Oferta de Referencia.</w:t>
      </w:r>
    </w:p>
    <w:p w:rsidR="007C4016" w:rsidRDefault="007C4016" w:rsidP="007C4016">
      <w:pPr>
        <w:pStyle w:val="IFTnormal"/>
        <w:spacing w:before="240" w:after="0"/>
      </w:pPr>
      <w:r>
        <w:t>Continuando con el análisis del numeral antes citado, el</w:t>
      </w:r>
      <w:r w:rsidRPr="009E517B">
        <w:t xml:space="preserve"> AEP establece lo siguiente:</w:t>
      </w:r>
    </w:p>
    <w:p w:rsidR="007C4016" w:rsidRPr="00F6686B" w:rsidRDefault="007C4016" w:rsidP="007C4016">
      <w:pPr>
        <w:pStyle w:val="Citaift0"/>
        <w:spacing w:before="240" w:after="0"/>
        <w:rPr>
          <w:b/>
        </w:rPr>
      </w:pPr>
      <w:r>
        <w:t xml:space="preserve"> “</w:t>
      </w:r>
      <w:r w:rsidRPr="00F6686B">
        <w:rPr>
          <w:b/>
        </w:rPr>
        <w:t xml:space="preserve">6.1.1.-Lineamientos Generales para la compartición de canalización de </w:t>
      </w:r>
      <w:r>
        <w:rPr>
          <w:b/>
        </w:rPr>
        <w:t>TELNOR</w:t>
      </w:r>
      <w:r w:rsidRPr="00F6686B">
        <w:rPr>
          <w:b/>
        </w:rPr>
        <w:t>.</w:t>
      </w:r>
    </w:p>
    <w:p w:rsidR="007C4016" w:rsidRDefault="007C4016" w:rsidP="007C4016">
      <w:pPr>
        <w:pStyle w:val="Citaift0"/>
        <w:spacing w:before="240" w:after="0"/>
      </w:pPr>
      <w:r>
        <w:t>(…)</w:t>
      </w:r>
    </w:p>
    <w:p w:rsidR="007C4016" w:rsidRDefault="007C4016" w:rsidP="007C4016">
      <w:pPr>
        <w:pStyle w:val="Citaift0"/>
        <w:numPr>
          <w:ilvl w:val="0"/>
          <w:numId w:val="39"/>
        </w:numPr>
        <w:spacing w:before="240" w:after="0"/>
      </w:pPr>
      <w:r w:rsidRPr="00120A7F">
        <w:t xml:space="preserve">Todo permiso para recorrido de análisis de disponibilidad o visita técnica y para construir, requerido por las autoridades municipales, estatales, federales o Concesionarios Solicitantes de derechos de vía es responsabilidad del Concesionario Solicitante que pretenda ocupar la </w:t>
      </w:r>
      <w:r w:rsidRPr="00120A7F">
        <w:lastRenderedPageBreak/>
        <w:t xml:space="preserve">infraestructura de canalización de </w:t>
      </w:r>
      <w:r>
        <w:t>TELNOR</w:t>
      </w:r>
      <w:r w:rsidRPr="00120A7F">
        <w:t>. Tanto de trámite como derechos que devengan.</w:t>
      </w:r>
    </w:p>
    <w:p w:rsidR="007C4016" w:rsidRDefault="007C4016" w:rsidP="007C4016">
      <w:pPr>
        <w:pStyle w:val="Citaift0"/>
        <w:spacing w:before="240" w:after="0"/>
      </w:pPr>
      <w:r>
        <w:t>(…)”</w:t>
      </w:r>
    </w:p>
    <w:p w:rsidR="007C4016" w:rsidRDefault="007C4016" w:rsidP="007C4016">
      <w:pPr>
        <w:pStyle w:val="IFTnormal"/>
        <w:spacing w:before="240" w:after="0"/>
      </w:pPr>
      <w:r>
        <w:t xml:space="preserve">Es de recordar que la </w:t>
      </w:r>
      <w:r w:rsidRPr="004D12DA">
        <w:t>Medida</w:t>
      </w:r>
      <w:r>
        <w:t xml:space="preserve"> </w:t>
      </w:r>
      <w:r w:rsidRPr="00E220A8">
        <w:rPr>
          <w:lang w:val="es-ES_tradnl"/>
        </w:rPr>
        <w:t>VIGÉSIMA CUARTA</w:t>
      </w:r>
      <w:r w:rsidRPr="004D12DA">
        <w:t xml:space="preserve"> de</w:t>
      </w:r>
      <w:r>
        <w:t xml:space="preserve"> las Medidas Fijas establece lo siguiente:</w:t>
      </w:r>
    </w:p>
    <w:p w:rsidR="007C4016" w:rsidRPr="003533AC" w:rsidRDefault="007C4016" w:rsidP="007C4016">
      <w:pPr>
        <w:pStyle w:val="Citaift0"/>
        <w:spacing w:before="240" w:after="0"/>
        <w:rPr>
          <w:b/>
          <w:lang w:val="es-ES_tradnl"/>
        </w:rPr>
      </w:pPr>
      <w:r>
        <w:t>“</w:t>
      </w:r>
      <w:r w:rsidRPr="003533AC">
        <w:rPr>
          <w:b/>
          <w:lang w:val="es-ES_tradnl"/>
        </w:rPr>
        <w:t xml:space="preserve">VIGÉSIMA CUARTA.- </w:t>
      </w:r>
      <w:r w:rsidRPr="003533AC">
        <w:rPr>
          <w:lang w:val="es-ES_tradnl"/>
        </w:rPr>
        <w:t xml:space="preserve">Cuando el Agente Económico Preponderante realice </w:t>
      </w:r>
      <w:r w:rsidRPr="00E220A8">
        <w:rPr>
          <w:b/>
          <w:u w:val="single"/>
          <w:lang w:val="es-ES_tradnl"/>
        </w:rPr>
        <w:t>nueva obra civil que requiera permisos de autoridades federales, estatales o municipales, este deberá notificar a los concesionarios</w:t>
      </w:r>
      <w:r w:rsidRPr="003533AC">
        <w:rPr>
          <w:lang w:val="es-ES_tradnl"/>
        </w:rPr>
        <w:t xml:space="preserve"> de redes públicas de telecomunicaciones, previo al inicio de los trabajos respectivos, a través del Sistema Electrónico de Gestión, con la finalidad de que puedan solicitar la instalación de su propia infraestructura en dicha obra civil.</w:t>
      </w:r>
    </w:p>
    <w:p w:rsidR="007C4016" w:rsidRDefault="007C4016" w:rsidP="007C4016">
      <w:pPr>
        <w:pStyle w:val="Citaift0"/>
        <w:spacing w:before="240" w:after="0"/>
        <w:rPr>
          <w:lang w:val="es-ES_tradnl"/>
        </w:rPr>
      </w:pPr>
      <w:r>
        <w:rPr>
          <w:lang w:val="es-ES_tradnl"/>
        </w:rPr>
        <w:t>(…)”</w:t>
      </w:r>
    </w:p>
    <w:p w:rsidR="007C4016" w:rsidRDefault="007C4016" w:rsidP="007C4016">
      <w:pPr>
        <w:pStyle w:val="Citaift0"/>
        <w:spacing w:before="240" w:after="0"/>
        <w:jc w:val="right"/>
      </w:pPr>
      <w:r>
        <w:rPr>
          <w:lang w:val="es-ES_tradnl"/>
        </w:rPr>
        <w:t>(Énfasis añadido)</w:t>
      </w:r>
    </w:p>
    <w:p w:rsidR="007C4016" w:rsidRDefault="007C4016" w:rsidP="007C4016">
      <w:pPr>
        <w:pStyle w:val="IFTnormal"/>
        <w:spacing w:before="240" w:after="0"/>
      </w:pPr>
      <w:r>
        <w:t xml:space="preserve">Es decir, las Medidas contemplan que cuando se trata de la infraestructura del AEP, éste será responsable de obtener los permisos requeridos por autoridades federales, estatales o municipales. </w:t>
      </w:r>
    </w:p>
    <w:p w:rsidR="007C4016" w:rsidRDefault="007C4016" w:rsidP="007C4016">
      <w:pPr>
        <w:pStyle w:val="IFTnormal"/>
        <w:spacing w:before="240" w:after="0"/>
      </w:pPr>
      <w:r>
        <w:t xml:space="preserve">Inclusive, dicha condicionante que pretende aplicar el AEP podría establecer condiciones que inhiban la competencia en la prestación de los servicios o términos y condiciones que el AEP no aplica a sus propias operaciones, subsidiarias o filiales, lo anterior conforme a lo establecido </w:t>
      </w:r>
      <w:r w:rsidRPr="004D12DA">
        <w:t>Medida CUADRAGÉSIMA PRIMERA de</w:t>
      </w:r>
      <w:r>
        <w:t xml:space="preserve"> las Medidas Fijas, y que a la letra dice lo siguiente:</w:t>
      </w:r>
    </w:p>
    <w:p w:rsidR="007C4016" w:rsidRPr="004D12DA" w:rsidRDefault="007C4016" w:rsidP="007C4016">
      <w:pPr>
        <w:pStyle w:val="Citaift0"/>
        <w:spacing w:before="240" w:after="0"/>
        <w:rPr>
          <w:b/>
        </w:rPr>
      </w:pPr>
      <w:r w:rsidRPr="004D12DA">
        <w:t>“</w:t>
      </w:r>
      <w:r w:rsidRPr="004D12DA">
        <w:rPr>
          <w:b/>
        </w:rPr>
        <w:t>CUADRAGÉSIMA PRIMERA.-</w:t>
      </w:r>
    </w:p>
    <w:p w:rsidR="007C4016" w:rsidRDefault="007C4016" w:rsidP="007C4016">
      <w:pPr>
        <w:pStyle w:val="Citaift0"/>
        <w:spacing w:before="240" w:after="0"/>
      </w:pPr>
      <w:r>
        <w:t>(…)</w:t>
      </w:r>
    </w:p>
    <w:p w:rsidR="007C4016" w:rsidRDefault="007C4016" w:rsidP="007C4016">
      <w:pPr>
        <w:pStyle w:val="Citaift0"/>
        <w:spacing w:before="240" w:after="0"/>
      </w:pPr>
      <w:r>
        <w:t>El Agente Económico Preponderante no podrá establecer condiciones que inhiban la competencia en la prestación de los servicios objeto de las Ofertas de Referencia, cualquier requisito que no sea necesario para la eficiente prestación del servicio, ni:</w:t>
      </w:r>
    </w:p>
    <w:p w:rsidR="007C4016" w:rsidRDefault="007C4016" w:rsidP="007C4016">
      <w:pPr>
        <w:pStyle w:val="Citaift0"/>
        <w:spacing w:before="240" w:after="0"/>
      </w:pPr>
      <w:r>
        <w:t>(…)</w:t>
      </w:r>
    </w:p>
    <w:p w:rsidR="007C4016" w:rsidRDefault="007C4016" w:rsidP="007C4016">
      <w:pPr>
        <w:pStyle w:val="Citaift0"/>
        <w:spacing w:before="240" w:after="0"/>
      </w:pPr>
      <w:r>
        <w:t>•</w:t>
      </w:r>
      <w:r>
        <w:tab/>
        <w:t>Aplicar términos y condiciones a sus propias operaciones, subsidiarias o filiales, o empresas que pertenezcan al mismo grupo de interés económico distintos a los establecidos en las Ofertas de Referencia.</w:t>
      </w:r>
    </w:p>
    <w:p w:rsidR="007C4016" w:rsidRPr="004D12DA" w:rsidRDefault="007C4016" w:rsidP="007C4016">
      <w:pPr>
        <w:pStyle w:val="Citaift0"/>
        <w:spacing w:before="240" w:after="0"/>
      </w:pPr>
      <w:r>
        <w:t>(…)”</w:t>
      </w:r>
    </w:p>
    <w:p w:rsidR="007C4016" w:rsidRDefault="007C4016" w:rsidP="007C4016">
      <w:pPr>
        <w:pStyle w:val="IFTnormal"/>
        <w:spacing w:before="240" w:after="0"/>
      </w:pPr>
      <w:r>
        <w:lastRenderedPageBreak/>
        <w:t>Por lo anterior, este Instituto considera que se hace necesario eliminar la redacción propuesta por el AEP y establecer que el AEP</w:t>
      </w:r>
      <w:r w:rsidRPr="003536A5">
        <w:t xml:space="preserve"> será responsable de tramitar los permisos necesarios ante la autoridad competente, exceptuando aquellos trámites que de manera estricta deban ser tramitadas por el CS y </w:t>
      </w:r>
      <w:r>
        <w:t>el AEP</w:t>
      </w:r>
      <w:r w:rsidRPr="003536A5">
        <w:t xml:space="preserve"> deberá indicarlos explícitamente.</w:t>
      </w:r>
    </w:p>
    <w:p w:rsidR="007C4016" w:rsidRDefault="007C4016" w:rsidP="007C4016">
      <w:pPr>
        <w:pStyle w:val="IFTnormal"/>
        <w:spacing w:before="240" w:after="0"/>
      </w:pPr>
      <w:r>
        <w:t>Siguiendo con el análisis del numeral antes citado, el</w:t>
      </w:r>
      <w:r w:rsidRPr="009E517B">
        <w:t xml:space="preserve"> AEP establece lo siguiente:</w:t>
      </w:r>
    </w:p>
    <w:p w:rsidR="007C4016" w:rsidRPr="00F6686B" w:rsidRDefault="007C4016" w:rsidP="007C4016">
      <w:pPr>
        <w:pStyle w:val="Citaift0"/>
        <w:spacing w:before="240" w:after="0"/>
        <w:rPr>
          <w:b/>
        </w:rPr>
      </w:pPr>
      <w:r>
        <w:t>“</w:t>
      </w:r>
      <w:r w:rsidRPr="00F6686B">
        <w:rPr>
          <w:b/>
        </w:rPr>
        <w:t xml:space="preserve">6.1.1.-Lineamientos Generales para la compartición de canalización de </w:t>
      </w:r>
      <w:r>
        <w:rPr>
          <w:b/>
        </w:rPr>
        <w:t>TELNOR</w:t>
      </w:r>
      <w:r w:rsidRPr="00F6686B">
        <w:rPr>
          <w:b/>
        </w:rPr>
        <w:t>.</w:t>
      </w:r>
    </w:p>
    <w:p w:rsidR="007C4016" w:rsidRDefault="007C4016" w:rsidP="007C4016">
      <w:pPr>
        <w:pStyle w:val="Citaift0"/>
        <w:spacing w:before="240" w:after="0"/>
      </w:pPr>
      <w:r>
        <w:t>(…)</w:t>
      </w:r>
    </w:p>
    <w:p w:rsidR="007C4016" w:rsidRPr="0097169E" w:rsidRDefault="007C4016" w:rsidP="007C4016">
      <w:pPr>
        <w:pStyle w:val="Citaift0"/>
        <w:numPr>
          <w:ilvl w:val="0"/>
          <w:numId w:val="39"/>
        </w:numPr>
        <w:spacing w:before="240" w:after="0"/>
        <w:rPr>
          <w:rFonts w:cstheme="minorHAnsi"/>
          <w:color w:val="000000" w:themeColor="text1"/>
        </w:rPr>
      </w:pPr>
      <w:r>
        <w:rPr>
          <w:color w:val="000000" w:themeColor="text1"/>
        </w:rPr>
        <w:t>TELNOR</w:t>
      </w:r>
      <w:r w:rsidRPr="00120A7F">
        <w:rPr>
          <w:color w:val="000000" w:themeColor="text1"/>
        </w:rPr>
        <w:t xml:space="preserve"> como responsable de realizar el Análisis de Disponibilidad o Visita Técnica; este último cuando así lo haya solicitado el </w:t>
      </w:r>
      <w:r w:rsidRPr="00020044">
        <w:rPr>
          <w:color w:val="000000" w:themeColor="text1"/>
        </w:rPr>
        <w:t>Concesionario Solicitante:</w:t>
      </w:r>
    </w:p>
    <w:p w:rsidR="007C4016" w:rsidRPr="00120A7F" w:rsidRDefault="007C4016" w:rsidP="007C4016">
      <w:pPr>
        <w:pStyle w:val="Citaift0"/>
        <w:numPr>
          <w:ilvl w:val="1"/>
          <w:numId w:val="39"/>
        </w:numPr>
        <w:spacing w:before="240" w:after="0"/>
        <w:ind w:left="1985"/>
        <w:rPr>
          <w:rFonts w:cstheme="minorHAnsi"/>
          <w:color w:val="000000" w:themeColor="text1"/>
        </w:rPr>
      </w:pPr>
      <w:r w:rsidRPr="00120A7F">
        <w:t xml:space="preserve">Analizará in situ los elementos sobre los que efectivamente se podrá ejercer el Acceso y Uso Compartido de Infraestructura Pasiva; realizando la investigación en ambas aceras, siempre y </w:t>
      </w:r>
      <w:r w:rsidRPr="00120A7F">
        <w:rPr>
          <w:rFonts w:cstheme="minorHAnsi"/>
          <w:color w:val="000000" w:themeColor="text1"/>
          <w:lang w:val="es-ES"/>
        </w:rPr>
        <w:t xml:space="preserve">cuando lo precise la solicitud entregada por los </w:t>
      </w:r>
      <w:r w:rsidRPr="00120A7F">
        <w:rPr>
          <w:rFonts w:cstheme="minorHAnsi"/>
          <w:color w:val="000000" w:themeColor="text1"/>
        </w:rPr>
        <w:t>Concesionarios Solicitantes. L</w:t>
      </w:r>
      <w:r w:rsidRPr="00120A7F">
        <w:rPr>
          <w:rFonts w:cstheme="minorHAnsi"/>
          <w:color w:val="000000" w:themeColor="text1"/>
          <w:lang w:val="es-ES"/>
        </w:rPr>
        <w:t>a longitud deberá ser la suma de la longitud de ambas aceras</w:t>
      </w:r>
      <w:r w:rsidRPr="00120A7F">
        <w:rPr>
          <w:rFonts w:cstheme="minorHAnsi"/>
          <w:color w:val="000000" w:themeColor="text1"/>
        </w:rPr>
        <w:t>.</w:t>
      </w:r>
    </w:p>
    <w:p w:rsidR="007C4016" w:rsidRPr="00120A7F" w:rsidRDefault="007C4016" w:rsidP="007C4016">
      <w:pPr>
        <w:pStyle w:val="Citaift0"/>
        <w:numPr>
          <w:ilvl w:val="0"/>
          <w:numId w:val="40"/>
        </w:numPr>
        <w:spacing w:after="0"/>
        <w:ind w:left="1985"/>
        <w:rPr>
          <w:rFonts w:cstheme="minorHAnsi"/>
          <w:color w:val="000000" w:themeColor="text1"/>
        </w:rPr>
      </w:pPr>
      <w:r w:rsidRPr="00120A7F">
        <w:t xml:space="preserve">Realizará la investigación de las subidas o bajadas a poste o fachadas, aunque su longitud no venga precisada en la solicitud </w:t>
      </w:r>
      <w:r w:rsidRPr="00120A7F">
        <w:rPr>
          <w:rFonts w:cstheme="minorHAnsi"/>
          <w:color w:val="000000" w:themeColor="text1"/>
          <w:lang w:val="es-ES"/>
        </w:rPr>
        <w:t xml:space="preserve">entregada por los </w:t>
      </w:r>
      <w:r w:rsidRPr="00120A7F">
        <w:rPr>
          <w:rFonts w:cstheme="minorHAnsi"/>
          <w:color w:val="000000" w:themeColor="text1"/>
        </w:rPr>
        <w:t>Concesionarios Solicitantes. Solo debe venir indicado en la solicitud.</w:t>
      </w:r>
    </w:p>
    <w:p w:rsidR="007C4016" w:rsidRPr="00120A7F" w:rsidRDefault="007C4016" w:rsidP="007C4016">
      <w:pPr>
        <w:pStyle w:val="Citaift0"/>
        <w:numPr>
          <w:ilvl w:val="0"/>
          <w:numId w:val="40"/>
        </w:numPr>
        <w:spacing w:after="0"/>
        <w:ind w:left="1985"/>
        <w:rPr>
          <w:rFonts w:cstheme="minorHAnsi"/>
          <w:color w:val="000000" w:themeColor="text1"/>
        </w:rPr>
      </w:pPr>
      <w:r w:rsidRPr="00120A7F">
        <w:t xml:space="preserve">Para una zona delimitada por un polígono, </w:t>
      </w:r>
      <w:r>
        <w:t>TELNOR</w:t>
      </w:r>
      <w:r w:rsidRPr="00120A7F">
        <w:t xml:space="preserve"> realizará la investigación de toda la infraestructura pasiva contenida en el polígono, incluyendo subidas y bajas, así como cruces de calle.</w:t>
      </w:r>
    </w:p>
    <w:p w:rsidR="007C4016" w:rsidRDefault="007C4016" w:rsidP="007C4016">
      <w:pPr>
        <w:pStyle w:val="Citaift0"/>
        <w:spacing w:before="240" w:after="0"/>
      </w:pPr>
      <w:r>
        <w:t>(…)</w:t>
      </w:r>
    </w:p>
    <w:p w:rsidR="007C4016" w:rsidRDefault="007C4016" w:rsidP="007C4016">
      <w:pPr>
        <w:pStyle w:val="IFTnormal"/>
        <w:spacing w:before="240" w:after="0"/>
      </w:pPr>
      <w:r>
        <w:t>De lo anterior el Instituto considera su eliminación en función de que lo concerniente al análisis de disponibilidad o visita técnica está contenido en Sección “6.</w:t>
      </w:r>
      <w:r>
        <w:tab/>
        <w:t>ACTIVIDADES DE APOYO PARA LA COMPARTICIÓN DE INFRAESTRUCTURA PASIVA del presente documento.”</w:t>
      </w:r>
    </w:p>
    <w:p w:rsidR="007C4016" w:rsidRDefault="007C4016" w:rsidP="007C4016">
      <w:pPr>
        <w:pStyle w:val="IFTnormal"/>
        <w:spacing w:before="240" w:after="0"/>
      </w:pPr>
      <w:r>
        <w:t>Siguiendo con el análisis del numeral antes citado, el</w:t>
      </w:r>
      <w:r w:rsidRPr="009E517B">
        <w:t xml:space="preserve"> AEP establece lo siguiente:</w:t>
      </w:r>
    </w:p>
    <w:p w:rsidR="007C4016" w:rsidRDefault="007C4016" w:rsidP="007C4016">
      <w:pPr>
        <w:pStyle w:val="IFTcita"/>
        <w:spacing w:before="240" w:after="0"/>
      </w:pPr>
      <w:r>
        <w:t>“</w:t>
      </w:r>
      <w:r w:rsidRPr="00F6686B">
        <w:t xml:space="preserve">6.1.1.-Lineamientos Generales para la compartición de canalización de </w:t>
      </w:r>
      <w:r>
        <w:t>TELNOR</w:t>
      </w:r>
      <w:r w:rsidRPr="00F6686B">
        <w:t>.</w:t>
      </w:r>
    </w:p>
    <w:p w:rsidR="007C4016" w:rsidRPr="00367A38" w:rsidRDefault="007C4016" w:rsidP="007C4016">
      <w:pPr>
        <w:pStyle w:val="IFTcita"/>
        <w:spacing w:before="240" w:after="0"/>
        <w:rPr>
          <w:b w:val="0"/>
        </w:rPr>
      </w:pPr>
      <w:r w:rsidRPr="00367A38">
        <w:rPr>
          <w:b w:val="0"/>
        </w:rPr>
        <w:t>(…)</w:t>
      </w:r>
    </w:p>
    <w:p w:rsidR="007C4016" w:rsidRPr="00601C45" w:rsidRDefault="007C4016" w:rsidP="007C4016">
      <w:pPr>
        <w:pStyle w:val="Citaift0"/>
        <w:numPr>
          <w:ilvl w:val="0"/>
          <w:numId w:val="43"/>
        </w:numPr>
        <w:spacing w:before="240" w:after="0"/>
      </w:pPr>
      <w:r w:rsidRPr="00601C45">
        <w:t>Las Unidades de Compartición de canalización se contabilizan:</w:t>
      </w:r>
    </w:p>
    <w:p w:rsidR="007C4016" w:rsidRPr="00601C45" w:rsidRDefault="007C4016" w:rsidP="007C4016">
      <w:pPr>
        <w:pStyle w:val="Citaift0"/>
        <w:numPr>
          <w:ilvl w:val="0"/>
          <w:numId w:val="44"/>
        </w:numPr>
        <w:spacing w:before="240" w:after="0"/>
        <w:ind w:left="1985"/>
      </w:pPr>
      <w:r>
        <w:t>(…)</w:t>
      </w:r>
    </w:p>
    <w:p w:rsidR="007C4016" w:rsidRDefault="007C4016" w:rsidP="007C4016">
      <w:pPr>
        <w:pStyle w:val="Citaift0"/>
        <w:numPr>
          <w:ilvl w:val="0"/>
          <w:numId w:val="44"/>
        </w:numPr>
        <w:spacing w:before="240" w:after="0"/>
        <w:ind w:left="1985"/>
      </w:pPr>
      <w:r w:rsidRPr="00601C45">
        <w:lastRenderedPageBreak/>
        <w:t>Tipo de trabajo adicional requerido (apertura de pozos soldados, desagüe, desazolve, o limpieza).</w:t>
      </w:r>
    </w:p>
    <w:p w:rsidR="007C4016" w:rsidRDefault="007C4016" w:rsidP="007C4016">
      <w:pPr>
        <w:pStyle w:val="Citaift0"/>
        <w:spacing w:before="240" w:after="0"/>
      </w:pPr>
      <w:r>
        <w:t>(…)</w:t>
      </w:r>
    </w:p>
    <w:p w:rsidR="007C4016" w:rsidRDefault="007C4016" w:rsidP="007C4016">
      <w:pPr>
        <w:pStyle w:val="IFTnormal"/>
        <w:spacing w:before="240" w:after="0"/>
      </w:pPr>
      <w:r>
        <w:t>Al respecto el Instituto interpreta que el AEP podría estar incluyendo en la Oferta de Referencia trabajos inherentes al mantenimiento de su infraestructura, con lo cual estaría imponiendo condiciones que podría inhibir la competencia. Aunado a esto es de recordar que el AEP deberá llevar a cabo todas aquellas actividades para salvaguardar su propia infraestructura, conforme a lo indicado en la Medida VIGÉSIMA QUINTA de las Medidas Fijas, antes citada. Por lo que el Instituto no considera procedente que como parte de las actividades para la prestación de los servicio de compartición se incluyan trabajos inherentes al mantenimiento de las infraestructura.</w:t>
      </w:r>
    </w:p>
    <w:p w:rsidR="007C4016" w:rsidRDefault="007C4016" w:rsidP="007C4016">
      <w:pPr>
        <w:pStyle w:val="IFTnormal"/>
        <w:spacing w:before="240" w:after="0"/>
      </w:pPr>
      <w:r>
        <w:t>Continuando con el análisis el AEP establece lo siguiente:</w:t>
      </w:r>
    </w:p>
    <w:p w:rsidR="007C4016" w:rsidRDefault="007C4016" w:rsidP="007C4016">
      <w:pPr>
        <w:pStyle w:val="Citaift0"/>
        <w:spacing w:before="240" w:after="0"/>
        <w:rPr>
          <w:b/>
        </w:rPr>
      </w:pPr>
      <w:r w:rsidRPr="00A9389F">
        <w:t>“</w:t>
      </w:r>
      <w:r w:rsidRPr="004B5C98">
        <w:rPr>
          <w:b/>
        </w:rPr>
        <w:t xml:space="preserve">6.1.1.-Lineamientos Generales para la compartición de canalización de </w:t>
      </w:r>
      <w:r>
        <w:rPr>
          <w:b/>
        </w:rPr>
        <w:t>TELNOR</w:t>
      </w:r>
      <w:r w:rsidRPr="004B5C98">
        <w:rPr>
          <w:b/>
        </w:rPr>
        <w:t>.</w:t>
      </w:r>
    </w:p>
    <w:p w:rsidR="007C4016" w:rsidRPr="003E5BB8" w:rsidRDefault="007C4016" w:rsidP="007C4016">
      <w:pPr>
        <w:pStyle w:val="Citaift0"/>
        <w:spacing w:before="240" w:after="0"/>
      </w:pPr>
      <w:r w:rsidRPr="003E5BB8">
        <w:t>(…)</w:t>
      </w:r>
    </w:p>
    <w:p w:rsidR="007C4016" w:rsidRDefault="007C4016" w:rsidP="007C4016">
      <w:pPr>
        <w:pStyle w:val="Citaift0"/>
        <w:numPr>
          <w:ilvl w:val="0"/>
          <w:numId w:val="39"/>
        </w:numPr>
        <w:spacing w:before="240" w:after="0"/>
      </w:pPr>
      <w:r w:rsidRPr="00601C45">
        <w:t xml:space="preserve">El hecho de alojar cables de otros Concesionarios Solicitantes en canalización y pozos de </w:t>
      </w:r>
      <w:r>
        <w:t>TELNOR</w:t>
      </w:r>
      <w:r w:rsidRPr="00601C45">
        <w:t xml:space="preserve">, no responsabiliza a </w:t>
      </w:r>
      <w:r>
        <w:t>TELNOR</w:t>
      </w:r>
      <w:r w:rsidRPr="00601C45">
        <w:t xml:space="preserve"> por su integridad física.</w:t>
      </w:r>
    </w:p>
    <w:p w:rsidR="007C4016" w:rsidRPr="00601C45" w:rsidRDefault="007C4016" w:rsidP="007C4016">
      <w:pPr>
        <w:pStyle w:val="Citaift0"/>
        <w:spacing w:before="240" w:after="0"/>
      </w:pPr>
      <w:r>
        <w:t>(…)</w:t>
      </w:r>
    </w:p>
    <w:p w:rsidR="007C4016" w:rsidRDefault="007C4016" w:rsidP="007C4016">
      <w:pPr>
        <w:pStyle w:val="IFTnormal"/>
        <w:spacing w:before="240" w:after="0"/>
      </w:pPr>
      <w:r>
        <w:t>Es de recordar que la Medida VIGÉSIMA QUINTA de las Medidas fijas establece lo siguiente:</w:t>
      </w:r>
    </w:p>
    <w:p w:rsidR="007C4016" w:rsidRDefault="007C4016" w:rsidP="007C4016">
      <w:pPr>
        <w:pStyle w:val="Citaift0"/>
        <w:spacing w:before="240" w:after="0"/>
      </w:pPr>
      <w:r w:rsidRPr="00886318">
        <w:t>“</w:t>
      </w:r>
      <w:r w:rsidRPr="00886318">
        <w:rPr>
          <w:b/>
        </w:rPr>
        <w:t>VIGÉSIMA QUINTA.-</w:t>
      </w:r>
      <w:r w:rsidRPr="00886318">
        <w:t xml:space="preserve"> El Agente Económico Preponderante y el Concesionario Solicitante se obligan a salvaguardar la infraestructura compartida.</w:t>
      </w:r>
    </w:p>
    <w:p w:rsidR="007C4016" w:rsidRPr="00886318" w:rsidRDefault="007C4016" w:rsidP="007C4016">
      <w:pPr>
        <w:pStyle w:val="Citaift0"/>
        <w:spacing w:before="240" w:after="0"/>
      </w:pPr>
      <w:r w:rsidRPr="00886318">
        <w:t>(…)</w:t>
      </w:r>
      <w:r>
        <w:t>”</w:t>
      </w:r>
    </w:p>
    <w:p w:rsidR="007C4016" w:rsidRDefault="007C4016" w:rsidP="007C4016">
      <w:pPr>
        <w:pStyle w:val="IFTnormal"/>
        <w:spacing w:before="240" w:after="0"/>
      </w:pPr>
      <w:r w:rsidRPr="003E5BB8">
        <w:t xml:space="preserve">Se entiende que tanto el AEP como el CS deben llevar a cabo lo necesario para que la infraestructura que se comparta no sufra daños, esto es, que la Oferta de Referencia, así como los anexos, debe prevalecer la responsabilidad de ambas partes para salvaguardar la infraestructura compartida, </w:t>
      </w:r>
      <w:r>
        <w:t>por lo tanto el Instituto considera conveniente eliminar la condicionante establecida por el AEP.</w:t>
      </w:r>
    </w:p>
    <w:p w:rsidR="007C4016" w:rsidRDefault="007C4016" w:rsidP="007C4016">
      <w:pPr>
        <w:pStyle w:val="IFTnormal"/>
        <w:spacing w:before="240" w:after="0"/>
      </w:pPr>
      <w:r w:rsidRPr="00FB0803">
        <w:t>Por último</w:t>
      </w:r>
      <w:r>
        <w:t>, el Instituto considera conveniente eliminar lo siguiente:</w:t>
      </w:r>
    </w:p>
    <w:p w:rsidR="007C4016" w:rsidRDefault="007C4016" w:rsidP="007C4016">
      <w:pPr>
        <w:pStyle w:val="Citaift0"/>
        <w:spacing w:before="240" w:after="0"/>
        <w:rPr>
          <w:b/>
        </w:rPr>
      </w:pPr>
      <w:r w:rsidRPr="00A9389F">
        <w:lastRenderedPageBreak/>
        <w:t>“</w:t>
      </w:r>
      <w:r w:rsidRPr="004B5C98">
        <w:rPr>
          <w:b/>
        </w:rPr>
        <w:t xml:space="preserve">6.1.1.-Lineamientos Generales para la compartición de canalización de </w:t>
      </w:r>
      <w:r>
        <w:rPr>
          <w:b/>
        </w:rPr>
        <w:t>TELNOR</w:t>
      </w:r>
      <w:r w:rsidRPr="004B5C98">
        <w:rPr>
          <w:b/>
        </w:rPr>
        <w:t>.</w:t>
      </w:r>
    </w:p>
    <w:p w:rsidR="007C4016" w:rsidRPr="003E5BB8" w:rsidRDefault="007C4016" w:rsidP="007C4016">
      <w:pPr>
        <w:pStyle w:val="Citaift0"/>
        <w:spacing w:before="240" w:after="0"/>
      </w:pPr>
      <w:r w:rsidRPr="003E5BB8">
        <w:t>(…)</w:t>
      </w:r>
    </w:p>
    <w:p w:rsidR="007C4016" w:rsidRPr="00120A7F" w:rsidRDefault="007C4016" w:rsidP="007C4016">
      <w:pPr>
        <w:pStyle w:val="Citaift0"/>
        <w:numPr>
          <w:ilvl w:val="0"/>
          <w:numId w:val="45"/>
        </w:numPr>
        <w:spacing w:before="240" w:after="0"/>
        <w:rPr>
          <w:rFonts w:ascii="Calibri" w:hAnsi="Calibri"/>
          <w:color w:val="000000" w:themeColor="text1"/>
        </w:rPr>
      </w:pPr>
      <w:r w:rsidRPr="00120A7F">
        <w:rPr>
          <w:color w:val="000000" w:themeColor="text1"/>
        </w:rPr>
        <w:t>Se pone a disposición de los Concesionarios Solicitantes los ductos que tengan disponibilidad excedente en función a la sección útil del ducto o tubo y el tamaño de cable que se pretenda instalar:</w:t>
      </w:r>
    </w:p>
    <w:p w:rsidR="007C4016" w:rsidRPr="00120A7F" w:rsidRDefault="007C4016" w:rsidP="007C4016">
      <w:pPr>
        <w:pStyle w:val="Citaift0"/>
        <w:numPr>
          <w:ilvl w:val="0"/>
          <w:numId w:val="46"/>
        </w:numPr>
        <w:spacing w:before="240" w:after="0"/>
        <w:ind w:left="1985"/>
        <w:rPr>
          <w:rFonts w:ascii="Calibri" w:hAnsi="Calibri"/>
          <w:color w:val="000000" w:themeColor="text1"/>
        </w:rPr>
      </w:pPr>
      <w:r w:rsidRPr="00120A7F">
        <w:t>Ductos de 35.5, 45 y 60 mm para cables de fibra óptica.</w:t>
      </w:r>
    </w:p>
    <w:p w:rsidR="007C4016" w:rsidRPr="00FB0803" w:rsidRDefault="007C4016" w:rsidP="007C4016">
      <w:pPr>
        <w:pStyle w:val="Citaift0"/>
        <w:numPr>
          <w:ilvl w:val="0"/>
          <w:numId w:val="46"/>
        </w:numPr>
        <w:spacing w:before="240" w:after="0"/>
        <w:ind w:left="1985"/>
        <w:rPr>
          <w:rFonts w:ascii="Calibri" w:hAnsi="Calibri"/>
          <w:color w:val="000000" w:themeColor="text1"/>
        </w:rPr>
      </w:pPr>
      <w:r w:rsidRPr="00120A7F">
        <w:t>Ducto de 100 ó 80 mm, o subdivididos en 3 y 2 subductos respectivamente para cables de fibra óptica.</w:t>
      </w:r>
    </w:p>
    <w:p w:rsidR="007C4016" w:rsidRPr="00120A7F" w:rsidRDefault="007C4016" w:rsidP="007C4016">
      <w:pPr>
        <w:pStyle w:val="Citaift0"/>
        <w:spacing w:before="240" w:after="0"/>
        <w:rPr>
          <w:rFonts w:ascii="Calibri" w:hAnsi="Calibri"/>
          <w:color w:val="000000" w:themeColor="text1"/>
        </w:rPr>
      </w:pPr>
      <w:r>
        <w:t>(…)”</w:t>
      </w:r>
    </w:p>
    <w:p w:rsidR="007C4016" w:rsidRDefault="007C4016" w:rsidP="007C4016">
      <w:pPr>
        <w:pStyle w:val="IFTnormal"/>
        <w:spacing w:before="240" w:after="0"/>
      </w:pPr>
      <w:r>
        <w:t>Lo anterior debido a que ha sido atendido en la Sección “</w:t>
      </w:r>
      <w:r w:rsidRPr="00BF3E59">
        <w:rPr>
          <w:i/>
        </w:rPr>
        <w:t>1.</w:t>
      </w:r>
      <w:r w:rsidRPr="00BF3E59">
        <w:rPr>
          <w:i/>
        </w:rPr>
        <w:tab/>
        <w:t>SERVICIO DE ACCESO Y USO COMPARTIDO DE OBRA CIVIL</w:t>
      </w:r>
      <w:r>
        <w:t>” del presente documento, donde además se hace el análisis correspondiente.</w:t>
      </w:r>
    </w:p>
    <w:p w:rsidR="007C4016" w:rsidRPr="00EE181F" w:rsidRDefault="007C4016" w:rsidP="007C4016">
      <w:pPr>
        <w:pStyle w:val="IFTnormal"/>
        <w:spacing w:before="240" w:after="0"/>
        <w:rPr>
          <w:b/>
          <w:color w:val="000000" w:themeColor="text1"/>
        </w:rPr>
      </w:pPr>
      <w:r w:rsidRPr="00EE181F">
        <w:rPr>
          <w:b/>
        </w:rPr>
        <w:t>6.1.2.-</w:t>
      </w:r>
      <w:r w:rsidRPr="00EE181F">
        <w:rPr>
          <w:b/>
          <w:color w:val="000000" w:themeColor="text1"/>
        </w:rPr>
        <w:t>Criterios técnicos para la evaluación de las canalizaciones susceptibles de compartición</w:t>
      </w:r>
    </w:p>
    <w:p w:rsidR="007C4016" w:rsidRPr="00491ACC" w:rsidRDefault="007C4016" w:rsidP="007C4016">
      <w:pPr>
        <w:pStyle w:val="IFTnormal"/>
        <w:spacing w:before="240" w:after="0"/>
        <w:rPr>
          <w:b/>
        </w:rPr>
      </w:pPr>
      <w:r w:rsidRPr="00491ACC">
        <w:rPr>
          <w:b/>
        </w:rPr>
        <w:t>Consideraciones del Instituto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pPr>
      <w:r>
        <w:rPr>
          <w:lang w:val="es-ES"/>
        </w:rPr>
        <w:t>Relativo al numeral 6.1.2 “</w:t>
      </w:r>
      <w:r w:rsidRPr="00945AB3">
        <w:rPr>
          <w:i/>
          <w:lang w:val="es-ES"/>
        </w:rPr>
        <w:t>Criterios técnicos para la evaluación de las canalizaciones susceptibles de compartición</w:t>
      </w:r>
      <w:r>
        <w:rPr>
          <w:lang w:val="es-ES"/>
        </w:rPr>
        <w:t>” de la NORMA 1 “</w:t>
      </w:r>
      <w:r w:rsidRPr="0049639C">
        <w:rPr>
          <w:i/>
          <w:lang w:val="es-ES"/>
        </w:rPr>
        <w:t xml:space="preserve">COMPARTICIÓN DE CANALIZACIÓN DE </w:t>
      </w:r>
      <w:r>
        <w:rPr>
          <w:i/>
          <w:lang w:val="es-ES"/>
        </w:rPr>
        <w:t>TELNOR</w:t>
      </w:r>
      <w:r w:rsidRPr="0049639C">
        <w:rPr>
          <w:i/>
          <w:lang w:val="es-ES"/>
        </w:rPr>
        <w:t xml:space="preserve"> PARA NUEVOS CONCESIONARIOS</w:t>
      </w:r>
      <w:r>
        <w:rPr>
          <w:lang w:val="es-ES"/>
        </w:rPr>
        <w:t>” del ANEXO 2 NORMATIVA TÉCNICA el AEP en su documento de propuesta de Oferta de Referencia establece lo siguiente:</w:t>
      </w:r>
    </w:p>
    <w:p w:rsidR="007C4016" w:rsidRPr="00945AB3" w:rsidRDefault="007C4016" w:rsidP="007C4016">
      <w:pPr>
        <w:pStyle w:val="Citaift0"/>
        <w:spacing w:before="240" w:after="0"/>
        <w:rPr>
          <w:b/>
        </w:rPr>
      </w:pPr>
      <w:r w:rsidRPr="003D24AA">
        <w:t>“</w:t>
      </w:r>
      <w:r w:rsidRPr="00945AB3">
        <w:rPr>
          <w:b/>
        </w:rPr>
        <w:t>6.1.2.-Criterios técnicos para la evaluación de las canalizaciones susceptibles de compartición</w:t>
      </w:r>
    </w:p>
    <w:p w:rsidR="007C4016" w:rsidRPr="006A56F5" w:rsidRDefault="007C4016" w:rsidP="007C4016">
      <w:pPr>
        <w:pStyle w:val="Citaift0"/>
        <w:numPr>
          <w:ilvl w:val="0"/>
          <w:numId w:val="54"/>
        </w:numPr>
        <w:spacing w:before="240" w:after="0"/>
      </w:pPr>
      <w:r w:rsidRPr="00120A7F">
        <w:t xml:space="preserve">El número máximo de cables o subductos </w:t>
      </w:r>
      <w:r w:rsidRPr="00E95AFC">
        <w:t>que podrán</w:t>
      </w:r>
      <w:r w:rsidRPr="006A56F5">
        <w:t xml:space="preserve"> instalarse en un ducto dependerán del criterio de sección útil:</w:t>
      </w:r>
    </w:p>
    <w:p w:rsidR="007C4016" w:rsidRPr="00120A7F" w:rsidRDefault="007C4016" w:rsidP="007C4016">
      <w:pPr>
        <w:pStyle w:val="Citaift0"/>
        <w:numPr>
          <w:ilvl w:val="0"/>
          <w:numId w:val="48"/>
        </w:numPr>
        <w:spacing w:before="240" w:after="0"/>
        <w:ind w:left="1985"/>
        <w:rPr>
          <w:rFonts w:ascii="Calibri" w:hAnsi="Calibri"/>
          <w:color w:val="000000" w:themeColor="text1"/>
        </w:rPr>
      </w:pPr>
      <w:r w:rsidRPr="00120A7F">
        <w:t>La sección útil, equivale al área interior utilizable de un ducto de concreto o tubo de PVC, el cual equivale al 90% del área interior del ducto o tubo (sección total), lo cual garantiza los requerimientos para alojar cables o subductos en su interior.</w:t>
      </w:r>
    </w:p>
    <w:p w:rsidR="007C4016" w:rsidRPr="00120A7F" w:rsidRDefault="007C4016" w:rsidP="007C4016">
      <w:pPr>
        <w:pStyle w:val="Citaift0"/>
        <w:numPr>
          <w:ilvl w:val="0"/>
          <w:numId w:val="48"/>
        </w:numPr>
        <w:spacing w:before="240" w:after="0"/>
        <w:ind w:left="1985"/>
        <w:rPr>
          <w:rFonts w:ascii="Calibri" w:hAnsi="Calibri"/>
          <w:color w:val="000000" w:themeColor="text1"/>
        </w:rPr>
      </w:pPr>
      <w:r w:rsidRPr="00120A7F">
        <w:lastRenderedPageBreak/>
        <w:t>La suma de las secciones de todos los cables o subductos instalados no podrá ser superior al 40% de la sección útil del ducto.</w:t>
      </w:r>
    </w:p>
    <w:p w:rsidR="007C4016" w:rsidRDefault="007C4016" w:rsidP="007C4016">
      <w:pPr>
        <w:pStyle w:val="Citaift0"/>
        <w:numPr>
          <w:ilvl w:val="0"/>
          <w:numId w:val="50"/>
        </w:numPr>
        <w:spacing w:before="240" w:after="0"/>
        <w:ind w:left="1985"/>
      </w:pPr>
      <w:r>
        <w:t>(…)</w:t>
      </w:r>
    </w:p>
    <w:p w:rsidR="007C4016" w:rsidRPr="001D551C" w:rsidRDefault="007C4016" w:rsidP="007C4016">
      <w:pPr>
        <w:pStyle w:val="Citaift0"/>
        <w:numPr>
          <w:ilvl w:val="0"/>
          <w:numId w:val="51"/>
        </w:numPr>
        <w:spacing w:before="240" w:after="0"/>
      </w:pPr>
      <w:r w:rsidRPr="006B3D2A">
        <w:t>En caso de saturación o escasez de espacio, se buscará instalar subductos para la compartición siempre y cuando no se supere el 40% establecido en el criterio de sección útil.</w:t>
      </w:r>
      <w:r>
        <w:t>”</w:t>
      </w:r>
    </w:p>
    <w:p w:rsidR="007C4016" w:rsidRDefault="007C4016" w:rsidP="007C4016">
      <w:pPr>
        <w:pStyle w:val="IFTnormal"/>
        <w:spacing w:before="240" w:after="0"/>
      </w:pPr>
      <w:r>
        <w:t>El Instituto considera conveniente eliminar esta sección debido a que ya ha sido atendida conforme a lo analizado en la Sección “</w:t>
      </w:r>
      <w:r w:rsidRPr="002E27B6">
        <w:rPr>
          <w:i/>
        </w:rPr>
        <w:t>1. SERVICIO DE ACCESO Y USO COMPARTIDO DE OBRA CIVIL.</w:t>
      </w:r>
      <w:r>
        <w:t>” del presente documento.</w:t>
      </w:r>
    </w:p>
    <w:p w:rsidR="007C4016" w:rsidRDefault="007C4016" w:rsidP="007C4016">
      <w:pPr>
        <w:pStyle w:val="IFTnormal"/>
        <w:spacing w:before="240" w:after="0"/>
      </w:pPr>
      <w:r>
        <w:rPr>
          <w:lang w:val="es-ES"/>
        </w:rPr>
        <w:t>Adicional, el AEP en su documento de Propuesta de Oferta de Referencia establece lo siguiente:</w:t>
      </w:r>
    </w:p>
    <w:p w:rsidR="007C4016" w:rsidRPr="00945AB3" w:rsidRDefault="007C4016" w:rsidP="007C4016">
      <w:pPr>
        <w:pStyle w:val="Citaift0"/>
        <w:spacing w:before="240" w:after="0"/>
        <w:rPr>
          <w:b/>
        </w:rPr>
      </w:pPr>
      <w:r w:rsidRPr="003D24AA">
        <w:t>“</w:t>
      </w:r>
      <w:r w:rsidRPr="00945AB3">
        <w:rPr>
          <w:b/>
        </w:rPr>
        <w:t>6.1.2.-Criterios técnicos para la evaluación de las canalizaciones susceptibles de compartición</w:t>
      </w:r>
    </w:p>
    <w:p w:rsidR="007C4016" w:rsidRPr="00120A7F" w:rsidRDefault="007C4016" w:rsidP="007C4016">
      <w:pPr>
        <w:pStyle w:val="Citaift0"/>
        <w:spacing w:before="240" w:after="0"/>
        <w:ind w:left="1625"/>
        <w:rPr>
          <w:rFonts w:ascii="Calibri" w:hAnsi="Calibri"/>
          <w:color w:val="000000" w:themeColor="text1"/>
        </w:rPr>
      </w:pPr>
      <w:r>
        <w:t>(…)</w:t>
      </w:r>
    </w:p>
    <w:p w:rsidR="007C4016" w:rsidRDefault="007C4016" w:rsidP="007C4016">
      <w:pPr>
        <w:pStyle w:val="Citaift0"/>
        <w:numPr>
          <w:ilvl w:val="0"/>
          <w:numId w:val="49"/>
        </w:numPr>
        <w:spacing w:before="240" w:after="0"/>
      </w:pPr>
      <w:r>
        <w:t>Ducto de mantenimiento: de acuerdo al número de ductos que haya en una determinada sección</w:t>
      </w:r>
      <w:r w:rsidRPr="006B3D2A">
        <w:t>, se reservará cierta capacidad para realizar tareas de mantenimiento:</w:t>
      </w:r>
    </w:p>
    <w:p w:rsidR="007C4016" w:rsidRPr="006B3D2A" w:rsidRDefault="007C4016" w:rsidP="007C4016">
      <w:pPr>
        <w:pStyle w:val="Citaift0"/>
        <w:numPr>
          <w:ilvl w:val="0"/>
          <w:numId w:val="50"/>
        </w:numPr>
        <w:spacing w:before="240" w:after="0"/>
        <w:ind w:left="1985"/>
      </w:pPr>
      <w:r w:rsidRPr="006B3D2A">
        <w:t>En caso de haber más de 8 ductos en la sección, se reservará 1 (uno) ducto completo para mantenimiento</w:t>
      </w:r>
      <w:r>
        <w:t>.</w:t>
      </w:r>
    </w:p>
    <w:p w:rsidR="007C4016" w:rsidRPr="006B3D2A" w:rsidRDefault="007C4016" w:rsidP="007C4016">
      <w:pPr>
        <w:pStyle w:val="Citaift0"/>
        <w:numPr>
          <w:ilvl w:val="0"/>
          <w:numId w:val="50"/>
        </w:numPr>
        <w:spacing w:after="0"/>
        <w:ind w:left="1985"/>
      </w:pPr>
      <w:r w:rsidRPr="006B3D2A">
        <w:t>En caso de haber entre 3 y 7 ductos en la sección, se instalará un subducto en algún ducto donde dónde la utilización lo permita, que será utilizado para fines de mantenimiento. Si no es posible realizar dicha instalación, 1 (uno) ducto completo será reservado para mantenimiento.</w:t>
      </w:r>
    </w:p>
    <w:p w:rsidR="007C4016" w:rsidRDefault="007C4016" w:rsidP="007C4016">
      <w:pPr>
        <w:pStyle w:val="Citaift0"/>
        <w:numPr>
          <w:ilvl w:val="0"/>
          <w:numId w:val="50"/>
        </w:numPr>
        <w:spacing w:after="0"/>
        <w:ind w:left="1985"/>
      </w:pPr>
      <w:r w:rsidRPr="006B3D2A">
        <w:t>En caso de haber solo 2 ductos en la sección, deberá instalarse un subducto para mantenimiento.</w:t>
      </w:r>
    </w:p>
    <w:p w:rsidR="007C4016" w:rsidRPr="001D551C" w:rsidRDefault="007C4016" w:rsidP="007C4016">
      <w:pPr>
        <w:pStyle w:val="Citaift0"/>
        <w:spacing w:before="240" w:after="0"/>
        <w:ind w:left="1211"/>
      </w:pPr>
      <w:r>
        <w:t>”</w:t>
      </w:r>
    </w:p>
    <w:p w:rsidR="007C4016" w:rsidRDefault="007C4016" w:rsidP="007C4016">
      <w:pPr>
        <w:pStyle w:val="IFTnormal"/>
        <w:spacing w:before="240" w:after="0"/>
      </w:pPr>
      <w:r>
        <w:t>Este Instituto encuentra conveniente citar de la experiencia internacional la “NORMATIVA TÉCNICA DE COMPARTICIÓN DE INFRAESTRUCTURA PARA MARCO” de Telefónica España, su capítulo “3.1 RESERVA DE ESPACIO”, donde se establece lo siguiente:</w:t>
      </w:r>
    </w:p>
    <w:p w:rsidR="007C4016" w:rsidRPr="00900642" w:rsidRDefault="007C4016" w:rsidP="007C4016">
      <w:pPr>
        <w:pStyle w:val="IFTcita"/>
        <w:spacing w:before="240" w:after="0"/>
      </w:pPr>
      <w:r w:rsidRPr="00900642">
        <w:rPr>
          <w:b w:val="0"/>
        </w:rPr>
        <w:t>“3.1 RESERVA DE ESPACIO</w:t>
      </w:r>
    </w:p>
    <w:p w:rsidR="007C4016" w:rsidRPr="00900642" w:rsidRDefault="007C4016" w:rsidP="007C4016">
      <w:pPr>
        <w:pStyle w:val="IFTcita"/>
        <w:spacing w:before="240" w:after="0"/>
      </w:pPr>
      <w:r w:rsidRPr="00900642">
        <w:rPr>
          <w:b w:val="0"/>
        </w:rPr>
        <w:lastRenderedPageBreak/>
        <w:t xml:space="preserve">En secciones de canalización donde se ubiquen al menos 8 conductos, debe establecerse la reserva de un solo conducto como Reserva Operacional Común (ROC). Por otra parte, en secciones de canalización donde el número de conductos sea superior a 2, si Telefónica dispone de un cable de pares en servicio cuyo diámetro impide su instalación en subconductos, deberá reservarse un conducto completo como ROC. No obstante, si dado el tamaño del cable de pares su instalación en un subconducto puede considerarse viable, debe establecerse la reserva de un único subconducto (o bien la capacidad equivalente </w:t>
      </w:r>
      <w:r w:rsidRPr="00900642">
        <w:rPr>
          <w:u w:val="single"/>
        </w:rPr>
        <w:t>a la tercera parte del conducto</w:t>
      </w:r>
      <w:r w:rsidRPr="00900642">
        <w:rPr>
          <w:b w:val="0"/>
        </w:rPr>
        <w:t>) como ROC. Asimismo, si bien las reservas señaladas tienen por objeto el desarrollo de tareas de mantenimiento, podrá disponerse de parte de la capacidad para la ampliación del servicio universal si fuera necesario, y debidamente acreditado por Telefónica.</w:t>
      </w:r>
    </w:p>
    <w:p w:rsidR="007C4016" w:rsidRPr="00900642" w:rsidRDefault="007C4016" w:rsidP="007C4016">
      <w:pPr>
        <w:pStyle w:val="IFTcita"/>
        <w:spacing w:before="240" w:after="0"/>
      </w:pPr>
      <w:r w:rsidRPr="00900642">
        <w:rPr>
          <w:b w:val="0"/>
        </w:rPr>
        <w:t xml:space="preserve">En las secciones de canalización donde se emplacen dos conductos, únicamente se destinara un subconducto (o bien la capacidad equivalente </w:t>
      </w:r>
      <w:r w:rsidRPr="00900642">
        <w:rPr>
          <w:u w:val="single"/>
        </w:rPr>
        <w:t>a la tercera parte del conducto</w:t>
      </w:r>
      <w:r w:rsidRPr="00900642">
        <w:rPr>
          <w:b w:val="0"/>
        </w:rPr>
        <w:t>) como ROC.</w:t>
      </w:r>
    </w:p>
    <w:p w:rsidR="007C4016" w:rsidRPr="00900642" w:rsidRDefault="007C4016" w:rsidP="007C4016">
      <w:pPr>
        <w:pStyle w:val="IFTcita"/>
        <w:spacing w:before="240" w:after="0"/>
      </w:pPr>
      <w:r w:rsidRPr="00900642">
        <w:rPr>
          <w:b w:val="0"/>
        </w:rPr>
        <w:t>Finalmente, en los conductos presentes en las salidas laterales no podrán aplicarse restricciones a la ocupación por parte de los operadores por motivos de reserva de espacio.</w:t>
      </w:r>
    </w:p>
    <w:p w:rsidR="007C4016" w:rsidRDefault="007C4016" w:rsidP="007C4016">
      <w:pPr>
        <w:pStyle w:val="IFTcita"/>
        <w:spacing w:before="240" w:after="0"/>
      </w:pPr>
      <w:r w:rsidRPr="00900642">
        <w:rPr>
          <w:b w:val="0"/>
        </w:rPr>
        <w:t>(…)”</w:t>
      </w:r>
    </w:p>
    <w:p w:rsidR="007C4016" w:rsidRPr="00900642" w:rsidRDefault="007C4016" w:rsidP="007C4016">
      <w:pPr>
        <w:pStyle w:val="IFTcita"/>
        <w:spacing w:before="240" w:after="0"/>
        <w:jc w:val="right"/>
      </w:pPr>
      <w:r>
        <w:rPr>
          <w:b w:val="0"/>
        </w:rPr>
        <w:t>(Énfasis añadido)</w:t>
      </w:r>
    </w:p>
    <w:p w:rsidR="007C4016" w:rsidRPr="003D24AA" w:rsidRDefault="007C4016" w:rsidP="007C4016">
      <w:pPr>
        <w:pStyle w:val="IFTnormal"/>
        <w:spacing w:before="240" w:after="0"/>
        <w:rPr>
          <w:b/>
        </w:rPr>
      </w:pPr>
      <w:r>
        <w:t>Se puede observar que la propuesta del AEP es mayormente consistente con la práctica internacional, sin embargo, este no especifica la capacidad a considerar para mantenimiento cuando se emplacen dos ductos y no sea posible la instalación de un subducto para mantenimiento. De la experiencia internacional se indica que se instalará un subducto o bien la capacidad equivalente a la tercera parte del ducto. El Instituto encentra conveniente, con el objetivo de dotar de mayor claridad a la oferta, considerar dicho parámetro en el espacio que se puede destinar para mantenimiento.</w:t>
      </w:r>
    </w:p>
    <w:p w:rsidR="007C4016" w:rsidRPr="00755099" w:rsidRDefault="007C4016" w:rsidP="007C4016">
      <w:pPr>
        <w:pStyle w:val="IFTnormal"/>
        <w:spacing w:before="240" w:after="0"/>
        <w:rPr>
          <w:b/>
        </w:rPr>
      </w:pPr>
      <w:r w:rsidRPr="00755099">
        <w:rPr>
          <w:b/>
        </w:rPr>
        <w:t xml:space="preserve">6.1.3.-Ingeniería y construcción de compartición de Canalización de </w:t>
      </w:r>
      <w:r>
        <w:rPr>
          <w:b/>
        </w:rPr>
        <w:t>TELNOR</w:t>
      </w:r>
      <w:r w:rsidRPr="00755099">
        <w:rPr>
          <w:b/>
        </w:rPr>
        <w:t>.</w:t>
      </w:r>
    </w:p>
    <w:p w:rsidR="007C4016" w:rsidRPr="00147A5E" w:rsidRDefault="007C4016" w:rsidP="007C4016">
      <w:pPr>
        <w:pStyle w:val="IFTnormal"/>
        <w:spacing w:before="240" w:after="0"/>
        <w:rPr>
          <w:b/>
        </w:rPr>
      </w:pPr>
      <w:r w:rsidRPr="00147A5E">
        <w:rPr>
          <w:b/>
        </w:rPr>
        <w:t>Consideraciones del Instituto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Pr="00601C45" w:rsidRDefault="007C4016" w:rsidP="007C4016">
      <w:pPr>
        <w:pStyle w:val="IFTnormal"/>
        <w:spacing w:before="240" w:after="0"/>
      </w:pPr>
      <w:r>
        <w:rPr>
          <w:lang w:val="es-ES"/>
        </w:rPr>
        <w:t>Relativo al numeral “</w:t>
      </w:r>
      <w:r w:rsidRPr="00771ADE">
        <w:rPr>
          <w:i/>
          <w:lang w:val="es-ES"/>
        </w:rPr>
        <w:t xml:space="preserve">6.1.3 </w:t>
      </w:r>
      <w:r w:rsidRPr="00450438">
        <w:rPr>
          <w:i/>
          <w:lang w:val="es-ES"/>
        </w:rPr>
        <w:t xml:space="preserve">Ingeniería y construcción de compartición de Canalización de </w:t>
      </w:r>
      <w:r>
        <w:rPr>
          <w:i/>
          <w:lang w:val="es-ES"/>
        </w:rPr>
        <w:t>TELNOR</w:t>
      </w:r>
      <w:r w:rsidRPr="00450438">
        <w:rPr>
          <w:i/>
          <w:lang w:val="es-ES"/>
        </w:rPr>
        <w:t>.</w:t>
      </w:r>
      <w:r>
        <w:rPr>
          <w:lang w:val="es-ES"/>
        </w:rPr>
        <w:t>” de la NORMA 1 “</w:t>
      </w:r>
      <w:r w:rsidRPr="0049639C">
        <w:rPr>
          <w:i/>
          <w:lang w:val="es-ES"/>
        </w:rPr>
        <w:t xml:space="preserve">COMPARTICIÓN DE CANALIZACIÓN DE </w:t>
      </w:r>
      <w:r>
        <w:rPr>
          <w:i/>
          <w:lang w:val="es-ES"/>
        </w:rPr>
        <w:t>TELNOR</w:t>
      </w:r>
      <w:r w:rsidRPr="0049639C">
        <w:rPr>
          <w:i/>
          <w:lang w:val="es-ES"/>
        </w:rPr>
        <w:t xml:space="preserve"> PARA NUEVOS CONCESIONARIOS</w:t>
      </w:r>
      <w:r>
        <w:rPr>
          <w:lang w:val="es-ES"/>
        </w:rPr>
        <w:t>” del ANEXO 2 “</w:t>
      </w:r>
      <w:r w:rsidRPr="00A16323">
        <w:rPr>
          <w:i/>
          <w:lang w:val="es-ES"/>
        </w:rPr>
        <w:t>NORMATIVA TÉCNICA</w:t>
      </w:r>
      <w:r>
        <w:rPr>
          <w:lang w:val="es-ES"/>
        </w:rPr>
        <w:t xml:space="preserve">” el AEP en su documento de propuesta de Oferta de Referencia establece </w:t>
      </w:r>
      <w:r>
        <w:t xml:space="preserve">aspectos </w:t>
      </w:r>
      <w:r>
        <w:lastRenderedPageBreak/>
        <w:t xml:space="preserve">que no obedecen a criterios técnicos y su normativa, además de que son repetitivos con lo establecido en la Sección </w:t>
      </w:r>
      <w:r w:rsidRPr="00BF3E59">
        <w:t>“</w:t>
      </w:r>
      <w:r w:rsidRPr="00BF3E59">
        <w:rPr>
          <w:i/>
        </w:rPr>
        <w:t>1.</w:t>
      </w:r>
      <w:r w:rsidRPr="00BF3E59">
        <w:rPr>
          <w:i/>
        </w:rPr>
        <w:tab/>
        <w:t>SERVICIO DE ACCESO Y USO COMPARTIDO DE OBRA CIVIL</w:t>
      </w:r>
      <w:r>
        <w:t>” de su Propuesta de Oferta de Referencia por lo que el Instituto considera conveniente su eliminación.</w:t>
      </w:r>
    </w:p>
    <w:p w:rsidR="007C4016" w:rsidRPr="00295CE5" w:rsidRDefault="007C4016" w:rsidP="007C4016">
      <w:pPr>
        <w:pStyle w:val="IFTnormal"/>
        <w:spacing w:before="240" w:after="0"/>
      </w:pPr>
      <w:bookmarkStart w:id="135" w:name="_Ref274157088"/>
      <w:r w:rsidRPr="00C738F1">
        <w:rPr>
          <w:b/>
        </w:rPr>
        <w:t>6.2.3.-</w:t>
      </w:r>
      <w:r w:rsidRPr="006923EA">
        <w:rPr>
          <w:b/>
        </w:rPr>
        <w:t>Tendido de Cable e Instalación de otros Elementos de Red Sobre la Infraestructura Desagregada.</w:t>
      </w:r>
    </w:p>
    <w:p w:rsidR="007C4016" w:rsidRPr="00ED2A51" w:rsidRDefault="007C4016" w:rsidP="007C4016">
      <w:pPr>
        <w:pStyle w:val="IFTnormal"/>
        <w:spacing w:before="240" w:after="0"/>
        <w:rPr>
          <w:b/>
        </w:rPr>
      </w:pPr>
      <w:r w:rsidRPr="00BF4959">
        <w:rPr>
          <w:b/>
        </w:rPr>
        <w:t>Consideraciones del Instituto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Pr="005A5046" w:rsidRDefault="007C4016" w:rsidP="007C4016">
      <w:pPr>
        <w:pStyle w:val="IFTnormal"/>
        <w:spacing w:before="240" w:after="0"/>
        <w:rPr>
          <w:lang w:val="es-ES"/>
        </w:rPr>
      </w:pPr>
      <w:r>
        <w:rPr>
          <w:lang w:val="es-ES"/>
        </w:rPr>
        <w:t>El Instituto considera que lo presentado por el AEP en el numeral</w:t>
      </w:r>
      <w:r w:rsidRPr="00E268E3">
        <w:rPr>
          <w:lang w:val="es-ES"/>
        </w:rPr>
        <w:t xml:space="preserve"> “</w:t>
      </w:r>
      <w:r w:rsidRPr="004C3E34">
        <w:rPr>
          <w:i/>
          <w:lang w:val="es-ES"/>
        </w:rPr>
        <w:t>6.2.3.-Tendido de Cable e Instalación de otros Elementos de Red Sobre la Infraestructura Desagregada</w:t>
      </w:r>
      <w:r w:rsidRPr="00E268E3">
        <w:rPr>
          <w:lang w:val="es-ES"/>
        </w:rPr>
        <w:t>”</w:t>
      </w:r>
      <w:r>
        <w:rPr>
          <w:lang w:val="es-ES"/>
        </w:rPr>
        <w:t xml:space="preserve"> no se apega a las Medidas </w:t>
      </w:r>
      <w:r w:rsidRPr="00ED2A51">
        <w:rPr>
          <w:lang w:val="es-ES"/>
        </w:rPr>
        <w:t>Fija</w:t>
      </w:r>
      <w:r>
        <w:rPr>
          <w:lang w:val="es-ES"/>
        </w:rPr>
        <w:t>s, ya que establece</w:t>
      </w:r>
      <w:r w:rsidRPr="00F41C53">
        <w:rPr>
          <w:lang w:val="es-ES"/>
        </w:rPr>
        <w:t xml:space="preserve"> cuestiones que obedecen al alcance, procedimiento, términos y condiciones para la prestación de los servicios</w:t>
      </w:r>
      <w:r>
        <w:rPr>
          <w:lang w:val="es-ES"/>
        </w:rPr>
        <w:t xml:space="preserve">. Como ya se ha señalado con anterioridad, la Medida </w:t>
      </w:r>
      <w:r w:rsidRPr="005A5046">
        <w:rPr>
          <w:lang w:val="es-ES"/>
        </w:rPr>
        <w:t>VIGÉSIMA SÉPTIMA</w:t>
      </w:r>
      <w:r>
        <w:rPr>
          <w:lang w:val="es-ES"/>
        </w:rPr>
        <w:t xml:space="preserve"> establece </w:t>
      </w:r>
      <w:r w:rsidRPr="00F41C53">
        <w:rPr>
          <w:lang w:val="es-ES"/>
        </w:rPr>
        <w:t>que el AEP deberá proporcionar la normativa técnica que contenga criterios técnicos para la utilización y acceso a la infraestructura, así como la instalación de cables, y de otros elementos necesarios para la eficiente prestación de los servicios de telecomuni</w:t>
      </w:r>
      <w:r>
        <w:rPr>
          <w:lang w:val="es-ES"/>
        </w:rPr>
        <w:t>caciones.</w:t>
      </w:r>
    </w:p>
    <w:p w:rsidR="007C4016" w:rsidRPr="007D3721" w:rsidRDefault="007C4016" w:rsidP="007C4016">
      <w:pPr>
        <w:pStyle w:val="IFTnormal"/>
        <w:spacing w:before="240" w:after="0"/>
      </w:pPr>
      <w:r w:rsidRPr="007D3721">
        <w:t xml:space="preserve">Ahora bien, de lo presentado por el AEP se observa que </w:t>
      </w:r>
      <w:r>
        <w:t>esta sección</w:t>
      </w:r>
      <w:r w:rsidRPr="007D3721">
        <w:t xml:space="preserve"> incluye </w:t>
      </w:r>
      <w:r>
        <w:t>aspectos económico</w:t>
      </w:r>
      <w:r w:rsidRPr="007D3721">
        <w:t xml:space="preserve">s, de alcance, procedimiento y administrativo del servicio, lo cual no es consistente con la medida </w:t>
      </w:r>
      <w:r>
        <w:t>anteriormente citada</w:t>
      </w:r>
      <w:r w:rsidRPr="007D3721">
        <w:t xml:space="preserve">. </w:t>
      </w:r>
      <w:r>
        <w:t>Es por ello que se considera que al</w:t>
      </w:r>
      <w:r w:rsidRPr="007D3721">
        <w:t xml:space="preserve"> contener la normativa técnica este tipo de cuestiones no dota claridad </w:t>
      </w:r>
      <w:r>
        <w:t>la Oferta de Referencia</w:t>
      </w:r>
      <w:r w:rsidRPr="007D3721">
        <w:t>, ni da certeza a los CS sobre los alcances del servicio.</w:t>
      </w:r>
    </w:p>
    <w:p w:rsidR="007C4016" w:rsidRDefault="007C4016" w:rsidP="007C4016">
      <w:pPr>
        <w:pStyle w:val="IFTnormal"/>
        <w:spacing w:before="240" w:after="0"/>
      </w:pPr>
      <w:r>
        <w:t>De manera específica a continuación se citan estos aspectos:</w:t>
      </w:r>
    </w:p>
    <w:p w:rsidR="007C4016" w:rsidRPr="004E5FED" w:rsidRDefault="007C4016" w:rsidP="007C4016">
      <w:pPr>
        <w:pStyle w:val="Citaift0"/>
        <w:spacing w:before="240" w:after="0"/>
        <w:rPr>
          <w:b/>
        </w:rPr>
      </w:pPr>
      <w:r w:rsidRPr="004E5FED">
        <w:rPr>
          <w:b/>
        </w:rPr>
        <w:t>“6.2.3.- Tendido de Cable e Instalación de otros Elementos de Red Sobre la Infraestructura Desagregada.</w:t>
      </w:r>
    </w:p>
    <w:p w:rsidR="007C4016" w:rsidRDefault="007C4016" w:rsidP="007C4016">
      <w:pPr>
        <w:pStyle w:val="Citaift0"/>
        <w:spacing w:before="240" w:after="0"/>
      </w:pPr>
      <w:r w:rsidRPr="00601C45">
        <w:t xml:space="preserve">El método a seguir para introducir los cables de cobre o de fibra óptica de los Concesionarios Solicitantes en la Infraestructura Desagregada en centrales de </w:t>
      </w:r>
      <w:r>
        <w:t>TELNOR</w:t>
      </w:r>
      <w:r w:rsidRPr="00601C45">
        <w:t xml:space="preserve"> es de la siguiente forma:</w:t>
      </w:r>
    </w:p>
    <w:p w:rsidR="007C4016" w:rsidRPr="00601C45" w:rsidRDefault="007C4016" w:rsidP="007C4016">
      <w:pPr>
        <w:pStyle w:val="Citaift0"/>
        <w:spacing w:before="240" w:after="0"/>
      </w:pPr>
      <w:r>
        <w:t>[…]</w:t>
      </w:r>
    </w:p>
    <w:p w:rsidR="007C4016" w:rsidRPr="00F8108B" w:rsidRDefault="007C4016" w:rsidP="007C4016">
      <w:pPr>
        <w:pStyle w:val="Citaift0"/>
        <w:numPr>
          <w:ilvl w:val="0"/>
          <w:numId w:val="35"/>
        </w:numPr>
        <w:spacing w:before="240" w:after="0"/>
      </w:pPr>
      <w:r w:rsidRPr="00F8108B">
        <w:t>Tendido de cable de fibra óptica:</w:t>
      </w:r>
    </w:p>
    <w:p w:rsidR="007C4016" w:rsidRPr="00F8108B" w:rsidRDefault="007C4016" w:rsidP="007C4016">
      <w:pPr>
        <w:pStyle w:val="Citaift0"/>
        <w:spacing w:before="240" w:after="0"/>
      </w:pPr>
      <w:r w:rsidRPr="00F8108B">
        <w:lastRenderedPageBreak/>
        <w:t xml:space="preserve"> […]</w:t>
      </w:r>
    </w:p>
    <w:p w:rsidR="007C4016" w:rsidRPr="00F8108B" w:rsidRDefault="007C4016" w:rsidP="007C4016">
      <w:pPr>
        <w:pStyle w:val="Citaift0"/>
        <w:numPr>
          <w:ilvl w:val="0"/>
          <w:numId w:val="38"/>
        </w:numPr>
        <w:spacing w:before="240" w:after="0"/>
        <w:ind w:left="1701"/>
        <w:rPr>
          <w:b/>
          <w:u w:val="single"/>
        </w:rPr>
      </w:pPr>
      <w:r w:rsidRPr="00577C82">
        <w:t xml:space="preserve">Los Concesionarios Solicitantes podrán requerir un segundo tendido de cable de cobre o fibra en una misma central, independientemente de que el nuevo cable sea para disponer de rutas independientes o para ampliar la capacidad inicialmente dispuesta, siempre y cuando no concurran las situaciones de escasez de espacio, considerando para ello el procedimiento de Modificación de Infraestructura Compartida. </w:t>
      </w:r>
      <w:r w:rsidRPr="00EA1D6E">
        <w:t xml:space="preserve">El Concesionario Solicitante podrá solicitar a </w:t>
      </w:r>
      <w:r>
        <w:t>TELNOR</w:t>
      </w:r>
      <w:r w:rsidRPr="00EA1D6E">
        <w:t xml:space="preserve"> la sustitución del cable actual por otro de mayor capacidad.”</w:t>
      </w:r>
    </w:p>
    <w:p w:rsidR="007C4016" w:rsidRPr="00F8108B" w:rsidRDefault="007C4016" w:rsidP="007C4016">
      <w:pPr>
        <w:pStyle w:val="IFTnormal"/>
        <w:spacing w:before="240" w:after="0"/>
      </w:pPr>
      <w:r w:rsidRPr="00F8108B">
        <w:t>De lo anterior, a juicio del Instituto</w:t>
      </w:r>
      <w:r>
        <w:t>,</w:t>
      </w:r>
      <w:r w:rsidRPr="00F8108B">
        <w:t xml:space="preserve"> los criterios </w:t>
      </w:r>
      <w:r>
        <w:t xml:space="preserve">descriptivos del alcance </w:t>
      </w:r>
      <w:r w:rsidRPr="00EB431A">
        <w:t>para la prestación del servicio</w:t>
      </w:r>
      <w:r>
        <w:t xml:space="preserve"> deben situarse en su correspondiente descripción del servicio, con la finalidad de que su respectivo anexo se enfoque en cuestiones técnicas.</w:t>
      </w:r>
    </w:p>
    <w:p w:rsidR="007C4016" w:rsidRDefault="007C4016" w:rsidP="007C4016">
      <w:pPr>
        <w:pStyle w:val="IFTnormal"/>
        <w:spacing w:before="240" w:after="0"/>
        <w:rPr>
          <w:lang w:val="es-ES"/>
        </w:rPr>
      </w:pPr>
      <w:r>
        <w:rPr>
          <w:lang w:val="es-ES"/>
        </w:rPr>
        <w:t xml:space="preserve">Asimismo, se establece que los servicios de </w:t>
      </w:r>
      <w:r w:rsidRPr="00967C19">
        <w:rPr>
          <w:lang w:val="es-ES"/>
        </w:rPr>
        <w:t>Acceso y Uso Compa</w:t>
      </w:r>
      <w:r>
        <w:rPr>
          <w:lang w:val="es-ES"/>
        </w:rPr>
        <w:t>rtido de Infraestructura Pasiva deberán cumplir con parámetros relevantes de calidad, como se muestra a continuación de la Medida VIGÉSIMA NOVENA:</w:t>
      </w:r>
    </w:p>
    <w:p w:rsidR="007C4016" w:rsidRPr="00967C19" w:rsidRDefault="007C4016" w:rsidP="007C4016">
      <w:pPr>
        <w:pStyle w:val="Citaift0"/>
        <w:spacing w:before="240" w:after="0"/>
        <w:rPr>
          <w:lang w:val="es-ES_tradnl"/>
        </w:rPr>
      </w:pPr>
      <w:r>
        <w:rPr>
          <w:b/>
          <w:lang w:val="es-ES_tradnl"/>
        </w:rPr>
        <w:t>“</w:t>
      </w:r>
      <w:r w:rsidRPr="00967C19">
        <w:rPr>
          <w:b/>
          <w:lang w:val="es-ES_tradnl"/>
        </w:rPr>
        <w:t xml:space="preserve">VIGÉSIMA NOVENA.- </w:t>
      </w:r>
      <w:r w:rsidRPr="00967C19">
        <w:rPr>
          <w:lang w:val="es-ES_tradnl"/>
        </w:rPr>
        <w:t xml:space="preserve">El Agente Económico Preponderante deberá proporcionar el Servicio de Acceso y Uso Compartido de Infraestructura Pasiva, en condiciones satisfactorias de calidad. Para tal efecto señalará los siguientes parámetros: </w:t>
      </w:r>
    </w:p>
    <w:p w:rsidR="007C4016" w:rsidRPr="00967C19" w:rsidRDefault="007C4016" w:rsidP="007C4016">
      <w:pPr>
        <w:pStyle w:val="Citaift0"/>
        <w:numPr>
          <w:ilvl w:val="0"/>
          <w:numId w:val="33"/>
        </w:numPr>
        <w:spacing w:before="240" w:after="0"/>
        <w:rPr>
          <w:lang w:val="es-ES_tradnl"/>
        </w:rPr>
      </w:pPr>
      <w:r w:rsidRPr="00967C19">
        <w:rPr>
          <w:lang w:val="es-ES_tradnl"/>
        </w:rPr>
        <w:t>Plazos de entrega.</w:t>
      </w:r>
    </w:p>
    <w:p w:rsidR="007C4016" w:rsidRPr="00967C19" w:rsidRDefault="007C4016" w:rsidP="007C4016">
      <w:pPr>
        <w:pStyle w:val="Citaift0"/>
        <w:numPr>
          <w:ilvl w:val="0"/>
          <w:numId w:val="33"/>
        </w:numPr>
        <w:spacing w:after="0"/>
        <w:rPr>
          <w:lang w:val="es-ES_tradnl"/>
        </w:rPr>
      </w:pPr>
      <w:r w:rsidRPr="00967C19">
        <w:rPr>
          <w:lang w:val="es-ES_tradnl"/>
        </w:rPr>
        <w:t>Plazos para el tendido de cable e instalación de infraestructura.</w:t>
      </w:r>
    </w:p>
    <w:p w:rsidR="007C4016" w:rsidRPr="00967C19" w:rsidRDefault="007C4016" w:rsidP="007C4016">
      <w:pPr>
        <w:pStyle w:val="Citaift0"/>
        <w:numPr>
          <w:ilvl w:val="0"/>
          <w:numId w:val="33"/>
        </w:numPr>
        <w:spacing w:after="0"/>
        <w:rPr>
          <w:lang w:val="es-ES_tradnl"/>
        </w:rPr>
      </w:pPr>
      <w:r w:rsidRPr="00967C19">
        <w:rPr>
          <w:lang w:val="es-ES_tradnl"/>
        </w:rPr>
        <w:t>Plazos de reparación de fallas y gestión de incidencias.</w:t>
      </w:r>
    </w:p>
    <w:p w:rsidR="007C4016" w:rsidRPr="00967C19" w:rsidRDefault="007C4016" w:rsidP="007C4016">
      <w:pPr>
        <w:pStyle w:val="Citaift0"/>
        <w:numPr>
          <w:ilvl w:val="0"/>
          <w:numId w:val="33"/>
        </w:numPr>
        <w:spacing w:after="0"/>
        <w:rPr>
          <w:b/>
          <w:u w:val="single"/>
          <w:lang w:val="es-ES_tradnl"/>
        </w:rPr>
      </w:pPr>
      <w:r w:rsidRPr="00967C19">
        <w:rPr>
          <w:b/>
          <w:u w:val="single"/>
          <w:lang w:val="es-ES_tradnl"/>
        </w:rPr>
        <w:t>Parámetros que sean relevantes para el Acceso y Uso Compartido de Infraestructura Pasiva.</w:t>
      </w:r>
    </w:p>
    <w:p w:rsidR="007C4016" w:rsidRPr="00967C19" w:rsidRDefault="007C4016" w:rsidP="007C4016">
      <w:pPr>
        <w:pStyle w:val="Citaift0"/>
        <w:numPr>
          <w:ilvl w:val="0"/>
          <w:numId w:val="33"/>
        </w:numPr>
        <w:spacing w:after="0"/>
        <w:rPr>
          <w:lang w:val="es-ES_tradnl"/>
        </w:rPr>
      </w:pPr>
      <w:r w:rsidRPr="00967C19">
        <w:rPr>
          <w:lang w:val="es-ES_tradnl"/>
        </w:rPr>
        <w:t>Plazos para la realización de visitas técnicas.</w:t>
      </w:r>
    </w:p>
    <w:p w:rsidR="007C4016" w:rsidRPr="00967C19" w:rsidRDefault="007C4016" w:rsidP="007C4016">
      <w:pPr>
        <w:pStyle w:val="Citaift0"/>
        <w:numPr>
          <w:ilvl w:val="0"/>
          <w:numId w:val="33"/>
        </w:numPr>
        <w:spacing w:after="0"/>
        <w:rPr>
          <w:lang w:val="es-ES_tradnl"/>
        </w:rPr>
      </w:pPr>
      <w:r w:rsidRPr="00967C19">
        <w:rPr>
          <w:lang w:val="es-ES_tradnl"/>
        </w:rPr>
        <w:t>Indicadores de calidad.</w:t>
      </w:r>
    </w:p>
    <w:p w:rsidR="007C4016" w:rsidRDefault="007C4016" w:rsidP="007C4016">
      <w:pPr>
        <w:pStyle w:val="Citaift0"/>
        <w:spacing w:after="0"/>
        <w:rPr>
          <w:lang w:val="es-ES_tradnl"/>
        </w:rPr>
      </w:pPr>
      <w:r w:rsidRPr="00967C19">
        <w:rPr>
          <w:lang w:val="es-ES_tradnl"/>
        </w:rPr>
        <w:t>Los parámetros de calidad formarán parte de la Oferta de Referencia por lo que quedarán sujetos al tratamiento previsto en la Medida Cuadragésima Primera.</w:t>
      </w:r>
      <w:r>
        <w:rPr>
          <w:lang w:val="es-ES_tradnl"/>
        </w:rPr>
        <w:t>”</w:t>
      </w:r>
    </w:p>
    <w:p w:rsidR="007C4016" w:rsidRDefault="007C4016" w:rsidP="007C4016">
      <w:pPr>
        <w:pStyle w:val="Citaift0"/>
        <w:spacing w:before="240" w:after="0"/>
        <w:jc w:val="right"/>
        <w:rPr>
          <w:lang w:val="es-ES_tradnl"/>
        </w:rPr>
      </w:pPr>
      <w:r>
        <w:rPr>
          <w:lang w:val="es-ES_tradnl"/>
        </w:rPr>
        <w:t>(Énfasis añadido)</w:t>
      </w:r>
    </w:p>
    <w:p w:rsidR="007C4016" w:rsidRDefault="007C4016" w:rsidP="007C4016">
      <w:pPr>
        <w:pStyle w:val="IFTnormal"/>
        <w:spacing w:before="240" w:after="0"/>
        <w:rPr>
          <w:lang w:val="es-ES_tradnl"/>
        </w:rPr>
      </w:pPr>
      <w:r>
        <w:rPr>
          <w:lang w:val="es-ES_tradnl"/>
        </w:rPr>
        <w:t xml:space="preserve">Aunado a lo anterior, el AEP en su </w:t>
      </w:r>
      <w:r w:rsidRPr="00B83345">
        <w:rPr>
          <w:lang w:val="es-ES_tradnl"/>
        </w:rPr>
        <w:t>Respuesta al Oficio de Requerimiento</w:t>
      </w:r>
      <w:r>
        <w:rPr>
          <w:lang w:val="es-ES_tradnl"/>
        </w:rPr>
        <w:t xml:space="preserve"> indicó los tipos de pruebas técnicas para validar la instalación en el servicio de tendido de cable, tanto para medio de transmisión de cobre como de fibra óptica, como se cita a continuación:</w:t>
      </w:r>
    </w:p>
    <w:p w:rsidR="007C4016" w:rsidRDefault="007C4016" w:rsidP="007C4016">
      <w:pPr>
        <w:pStyle w:val="CitaIFT"/>
        <w:spacing w:before="240" w:after="0"/>
        <w:rPr>
          <w:b/>
          <w:lang w:val="es-ES_tradnl"/>
        </w:rPr>
      </w:pPr>
      <w:r w:rsidRPr="006E70DE">
        <w:rPr>
          <w:b/>
          <w:lang w:val="es-ES_tradnl"/>
        </w:rPr>
        <w:t>“24. Proporcionar información del tipo de pruebas técnicas necesarias para validar la instalación del servicio de tendido de cable en planta interna y externa. Indicar los parámetros de calidad de acuerdo al tipo de cable instalado (cobre o fibra óptica). Referir estándares utilizados.</w:t>
      </w:r>
    </w:p>
    <w:p w:rsidR="007C4016" w:rsidRDefault="007C4016" w:rsidP="007C4016">
      <w:pPr>
        <w:pStyle w:val="CitaIFT"/>
        <w:spacing w:before="240" w:after="0"/>
        <w:rPr>
          <w:b/>
          <w:lang w:val="es-ES_tradnl"/>
        </w:rPr>
      </w:pPr>
      <w:r w:rsidRPr="006E70DE">
        <w:rPr>
          <w:b/>
          <w:lang w:val="es-ES_tradnl"/>
        </w:rPr>
        <w:lastRenderedPageBreak/>
        <w:t>Respuesta:</w:t>
      </w:r>
    </w:p>
    <w:p w:rsidR="007C4016" w:rsidRDefault="007C4016" w:rsidP="007C4016">
      <w:pPr>
        <w:pStyle w:val="CitaIFT"/>
        <w:spacing w:before="240" w:after="0"/>
        <w:rPr>
          <w:lang w:val="es-ES_tradnl"/>
        </w:rPr>
      </w:pPr>
      <w:r>
        <w:rPr>
          <w:lang w:val="es-ES_tradnl"/>
        </w:rPr>
        <w:t>Para fibra.- atenuación en los empalmes (debe ser inferior a 0.08 dB) (UIT-T L.21)</w:t>
      </w:r>
    </w:p>
    <w:p w:rsidR="007C4016" w:rsidRDefault="007C4016" w:rsidP="007C4016">
      <w:pPr>
        <w:pStyle w:val="CitaIFT"/>
        <w:spacing w:before="240" w:after="0"/>
        <w:rPr>
          <w:lang w:val="es-ES_tradnl"/>
        </w:rPr>
      </w:pPr>
      <w:r>
        <w:rPr>
          <w:lang w:val="es-ES_tradnl"/>
        </w:rPr>
        <w:t>Para cobre.- prueba de continuidad</w:t>
      </w:r>
    </w:p>
    <w:p w:rsidR="007C4016" w:rsidRPr="00967C19" w:rsidRDefault="007C4016" w:rsidP="007C4016">
      <w:pPr>
        <w:pStyle w:val="CitaIFT"/>
        <w:spacing w:before="240" w:after="0"/>
        <w:rPr>
          <w:lang w:val="es-ES_tradnl"/>
        </w:rPr>
      </w:pPr>
      <w:r>
        <w:rPr>
          <w:lang w:val="es-ES_tradnl"/>
        </w:rPr>
        <w:t xml:space="preserve">Estándar: Tecnologías de Planta Exterior para Redes Públicas (CCITT) UIT-T </w:t>
      </w:r>
      <w:r>
        <w:rPr>
          <w:vertAlign w:val="superscript"/>
          <w:lang w:val="es-ES_tradnl"/>
        </w:rPr>
        <w:t>3</w:t>
      </w:r>
      <w:r>
        <w:rPr>
          <w:lang w:val="es-ES_tradnl"/>
        </w:rPr>
        <w:t>”</w:t>
      </w:r>
    </w:p>
    <w:p w:rsidR="007C4016" w:rsidRDefault="007C4016" w:rsidP="007C4016">
      <w:pPr>
        <w:pStyle w:val="IFTnormal"/>
        <w:spacing w:before="240" w:after="0"/>
        <w:rPr>
          <w:lang w:val="es-ES"/>
        </w:rPr>
      </w:pPr>
      <w:r>
        <w:rPr>
          <w:lang w:val="es-ES"/>
        </w:rPr>
        <w:t xml:space="preserve">De lo anterior, el Instituto confirma que existen pruebas para validar la instalación del servicio de tendido de cable, mismas que el AEP emplea para sus propias operaciones, como son las pruebas de continuidad y las pruebas de atenuación en los empalmes. </w:t>
      </w:r>
      <w:r w:rsidRPr="00A34684">
        <w:rPr>
          <w:lang w:val="es-ES"/>
        </w:rPr>
        <w:t>Debido a que el medio de transmisión no se encuentra conectado a ningún dispositivo de transmisión o recepción de información, no se podrían medir parámetros distintos a los señalados por el AEP.</w:t>
      </w:r>
      <w:r>
        <w:rPr>
          <w:lang w:val="es-ES"/>
        </w:rPr>
        <w:t xml:space="preserve"> Es decir, no se pueden medir parámetros técnicos de voz, datos o video, debido a que no se está transmitiendo algún servicio por medio del cable instalado. Por consiguiente, el Instituto considera establecer en el numeral </w:t>
      </w:r>
      <w:r w:rsidRPr="002C11FF">
        <w:rPr>
          <w:lang w:val="es-ES"/>
        </w:rPr>
        <w:t>“</w:t>
      </w:r>
      <w:r w:rsidRPr="003A68F2">
        <w:rPr>
          <w:i/>
          <w:lang w:val="es-ES"/>
        </w:rPr>
        <w:t>6.2.3.-Tendido de Cable e Instalación de otros Elementos de Red Sobre la Infraestructura Desagregada</w:t>
      </w:r>
      <w:r w:rsidRPr="002C11FF">
        <w:rPr>
          <w:lang w:val="es-ES"/>
        </w:rPr>
        <w:t>”</w:t>
      </w:r>
      <w:r>
        <w:rPr>
          <w:lang w:val="es-ES"/>
        </w:rPr>
        <w:t xml:space="preserve"> de la </w:t>
      </w:r>
      <w:r w:rsidRPr="002C11FF">
        <w:rPr>
          <w:lang w:val="es-ES"/>
        </w:rPr>
        <w:t xml:space="preserve">NORMA 1 </w:t>
      </w:r>
      <w:r>
        <w:rPr>
          <w:lang w:val="es-ES"/>
        </w:rPr>
        <w:t>“</w:t>
      </w:r>
      <w:r w:rsidRPr="003A68F2">
        <w:rPr>
          <w:i/>
          <w:lang w:val="es-ES"/>
        </w:rPr>
        <w:t xml:space="preserve">COMPARTICIÓN DE CANALIZACIÓN DE </w:t>
      </w:r>
      <w:r>
        <w:rPr>
          <w:i/>
          <w:lang w:val="es-ES"/>
        </w:rPr>
        <w:t>TELNOR</w:t>
      </w:r>
      <w:r w:rsidRPr="003A68F2">
        <w:rPr>
          <w:i/>
          <w:lang w:val="es-ES"/>
        </w:rPr>
        <w:t xml:space="preserve"> PARA NUEVOS CONCESIONARIOS</w:t>
      </w:r>
      <w:r>
        <w:rPr>
          <w:lang w:val="es-ES"/>
        </w:rPr>
        <w:t>”, pruebas de calidad para verificar la instalación y el adecuado estado de los cables que el AEP proporciona a los CS.</w:t>
      </w:r>
    </w:p>
    <w:p w:rsidR="007C4016" w:rsidRDefault="007C4016" w:rsidP="007C4016">
      <w:pPr>
        <w:pStyle w:val="IFTnormal"/>
        <w:spacing w:before="240" w:after="0"/>
        <w:rPr>
          <w:lang w:val="es-ES"/>
        </w:rPr>
      </w:pPr>
      <w:r>
        <w:rPr>
          <w:lang w:val="es-ES"/>
        </w:rPr>
        <w:t>Por otra parte, el AEP señala dentro de los</w:t>
      </w:r>
      <w:r w:rsidRPr="00F37908">
        <w:rPr>
          <w:lang w:val="es-ES"/>
        </w:rPr>
        <w:t xml:space="preserve"> procedimiento</w:t>
      </w:r>
      <w:r>
        <w:rPr>
          <w:lang w:val="es-ES"/>
        </w:rPr>
        <w:t>s</w:t>
      </w:r>
      <w:r w:rsidRPr="00F37908">
        <w:rPr>
          <w:lang w:val="es-ES"/>
        </w:rPr>
        <w:t xml:space="preserve"> de “Baja de los Servicios” la actividad de “Retiro de Infraestructura”, es decir, parte del proceso es que al finalizar el procedimiento de baja, </w:t>
      </w:r>
      <w:r>
        <w:rPr>
          <w:lang w:val="es-ES"/>
        </w:rPr>
        <w:t>se retirará el cableado de la infraestructura del AEP, así como</w:t>
      </w:r>
      <w:r w:rsidRPr="00F37908">
        <w:rPr>
          <w:lang w:val="es-ES"/>
        </w:rPr>
        <w:t xml:space="preserve"> otros elementos</w:t>
      </w:r>
      <w:r>
        <w:rPr>
          <w:lang w:val="es-ES"/>
        </w:rPr>
        <w:t>. De ahí que el Instituto considera que se deben establecer normativas técnicas para el correcto procedimiento de remoción de cable, con la finalidad de que los diferentes servicios objetos de esta oferta puedan realizar el proceso adecuado sin dañar la infraestructura.</w:t>
      </w:r>
    </w:p>
    <w:p w:rsidR="007C4016" w:rsidRDefault="007C4016" w:rsidP="007C4016">
      <w:pPr>
        <w:pStyle w:val="IFTnormal"/>
        <w:spacing w:before="240" w:after="0"/>
        <w:rPr>
          <w:lang w:val="es-ES"/>
        </w:rPr>
      </w:pPr>
      <w:r>
        <w:rPr>
          <w:lang w:val="es-ES"/>
        </w:rPr>
        <w:t>A juicio del Instituto, el retiro de cableado tanto en planta interna como en planta externa es necesario para procurar que la infraestructura pasiva se encuentre en buenas condiciones y con un uso eficiente, la cual pudiera optimizar la capacidad excedente para ofrecer servicios a los cocesionarios. A este respecto, la Medida VIGÉSIMA QUINTA establece que debido a que los CS como el AEP se encuentran obligados a salvaguardar la infraestructura compartida, como se cita a continuación:</w:t>
      </w:r>
    </w:p>
    <w:p w:rsidR="007C4016" w:rsidRPr="00067274" w:rsidRDefault="007C4016" w:rsidP="007C4016">
      <w:pPr>
        <w:pStyle w:val="Citaift0"/>
        <w:spacing w:before="240" w:after="0"/>
        <w:rPr>
          <w:lang w:val="es-ES"/>
        </w:rPr>
      </w:pPr>
      <w:r w:rsidRPr="00067274">
        <w:rPr>
          <w:b/>
          <w:lang w:val="es-ES"/>
        </w:rPr>
        <w:t>“VIGÉSIMA QUINTA</w:t>
      </w:r>
      <w:r w:rsidRPr="00067274">
        <w:rPr>
          <w:lang w:val="es-ES"/>
        </w:rPr>
        <w:t xml:space="preserve">.- </w:t>
      </w:r>
      <w:r w:rsidRPr="00067274">
        <w:rPr>
          <w:b/>
          <w:u w:val="single"/>
          <w:lang w:val="es-ES"/>
        </w:rPr>
        <w:t>El Agente Económico Preponderante y el Concesionario Solicitante se obligan a salvaguardar la infraestructura compartida.</w:t>
      </w:r>
      <w:r w:rsidRPr="00067274">
        <w:rPr>
          <w:lang w:val="es-ES"/>
        </w:rPr>
        <w:t xml:space="preserve"> </w:t>
      </w:r>
    </w:p>
    <w:p w:rsidR="007C4016" w:rsidRPr="00067274" w:rsidRDefault="007C4016" w:rsidP="007C4016">
      <w:pPr>
        <w:pStyle w:val="Citaift0"/>
        <w:spacing w:before="240" w:after="0"/>
        <w:rPr>
          <w:lang w:val="es-ES"/>
        </w:rPr>
      </w:pPr>
      <w:r w:rsidRPr="00067274">
        <w:rPr>
          <w:lang w:val="es-ES"/>
        </w:rPr>
        <w:t>En caso de que cualquier elemento instalado en la infraestructura compartida esté causando daño o perjuicio a la misma o ponga en peligro la seguridad de las personas o de la propiedad, dicho elemento será retirado.</w:t>
      </w:r>
    </w:p>
    <w:p w:rsidR="007C4016" w:rsidRPr="00067274" w:rsidRDefault="007C4016" w:rsidP="007C4016">
      <w:pPr>
        <w:pStyle w:val="Citaift0"/>
        <w:spacing w:before="240" w:after="0"/>
        <w:rPr>
          <w:lang w:val="es-ES"/>
        </w:rPr>
      </w:pPr>
      <w:r w:rsidRPr="00067274">
        <w:rPr>
          <w:lang w:val="es-ES"/>
        </w:rPr>
        <w:lastRenderedPageBreak/>
        <w:t>En caso de que exista un desacuerdo al respecto, se procederá de conformidad con la Medida Sexagésima.</w:t>
      </w:r>
    </w:p>
    <w:p w:rsidR="007C4016" w:rsidRDefault="007C4016" w:rsidP="007C4016">
      <w:pPr>
        <w:pStyle w:val="Citaift0"/>
        <w:spacing w:before="240" w:after="0"/>
        <w:rPr>
          <w:lang w:val="es-ES"/>
        </w:rPr>
      </w:pPr>
      <w:r w:rsidRPr="00067274">
        <w:rPr>
          <w:lang w:val="es-ES"/>
        </w:rPr>
        <w:t>En tanto el Instituto se pronuncia al respecto, es obligación del Agente Económico Preponderante, así como derecho del Concesionario Solicitante, ofrecer de manera expedita una solución alternativa correctiva que permita la continuidad en la prestación de los servicios de telecomunicaciones.</w:t>
      </w:r>
      <w:r>
        <w:rPr>
          <w:lang w:val="es-ES"/>
        </w:rPr>
        <w:t>”</w:t>
      </w:r>
    </w:p>
    <w:p w:rsidR="007C4016" w:rsidRDefault="007C4016" w:rsidP="007C4016">
      <w:pPr>
        <w:pStyle w:val="IFTnormal"/>
        <w:spacing w:before="240" w:after="0"/>
        <w:rPr>
          <w:lang w:val="es-ES"/>
        </w:rPr>
      </w:pPr>
      <w:r>
        <w:rPr>
          <w:lang w:val="es-ES"/>
        </w:rPr>
        <w:t xml:space="preserve">Al respecto, el AEP estableció en su </w:t>
      </w:r>
      <w:r w:rsidRPr="00B83345">
        <w:rPr>
          <w:lang w:val="es-ES"/>
        </w:rPr>
        <w:t>Respuesta al Oficio de Requerimiento</w:t>
      </w:r>
      <w:r>
        <w:rPr>
          <w:lang w:val="es-ES"/>
        </w:rPr>
        <w:t xml:space="preserve"> los criterios para l</w:t>
      </w:r>
      <w:r w:rsidRPr="008D6BF0">
        <w:rPr>
          <w:lang w:val="es-ES"/>
        </w:rPr>
        <w:t xml:space="preserve">a remoción del cableado que deja de estar en </w:t>
      </w:r>
      <w:r>
        <w:rPr>
          <w:lang w:val="es-ES"/>
        </w:rPr>
        <w:t>uso en planta interna y externa, como se cita a continuación:</w:t>
      </w:r>
    </w:p>
    <w:p w:rsidR="007C4016" w:rsidRPr="00BD1C3F" w:rsidRDefault="007C4016" w:rsidP="007C4016">
      <w:pPr>
        <w:pStyle w:val="Citaift0"/>
        <w:spacing w:before="240" w:after="0"/>
        <w:rPr>
          <w:b/>
        </w:rPr>
      </w:pPr>
      <w:r>
        <w:rPr>
          <w:b/>
        </w:rPr>
        <w:t>“</w:t>
      </w:r>
      <w:r w:rsidRPr="00BD1C3F">
        <w:rPr>
          <w:b/>
        </w:rPr>
        <w:t>25. indicar los criterios para la remoción de cableado que deja de estar en uso en planta interna y externa.</w:t>
      </w:r>
    </w:p>
    <w:p w:rsidR="007C4016" w:rsidRPr="00BD1C3F" w:rsidRDefault="007C4016" w:rsidP="007C4016">
      <w:pPr>
        <w:pStyle w:val="Citaift0"/>
        <w:spacing w:before="240" w:after="0"/>
        <w:rPr>
          <w:b/>
        </w:rPr>
      </w:pPr>
      <w:r w:rsidRPr="00BD1C3F">
        <w:rPr>
          <w:b/>
        </w:rPr>
        <w:t>Respuesta:</w:t>
      </w:r>
    </w:p>
    <w:p w:rsidR="007C4016" w:rsidRDefault="007C4016" w:rsidP="007C4016">
      <w:pPr>
        <w:pStyle w:val="Citaift0"/>
        <w:spacing w:before="240" w:after="0"/>
      </w:pPr>
      <w:r w:rsidRPr="00DE4FF1">
        <w:t>La remoción o desmontaje de los cables de planta externa, se real</w:t>
      </w:r>
      <w:r>
        <w:t xml:space="preserve">iza cuando se ha ratificado que </w:t>
      </w:r>
      <w:r w:rsidRPr="00DE4FF1">
        <w:t>no tiene habilitado ningún servicio.</w:t>
      </w:r>
    </w:p>
    <w:p w:rsidR="007C4016" w:rsidRDefault="007C4016" w:rsidP="007C4016">
      <w:pPr>
        <w:pStyle w:val="Citaift0"/>
        <w:spacing w:before="240" w:after="0"/>
      </w:pPr>
      <w:r>
        <w:t xml:space="preserve">Criterios para la remoción o desmontaje de los cables de planta externa: </w:t>
      </w:r>
    </w:p>
    <w:p w:rsidR="007C4016" w:rsidRDefault="007C4016" w:rsidP="007C4016">
      <w:pPr>
        <w:pStyle w:val="Citaift0"/>
        <w:numPr>
          <w:ilvl w:val="0"/>
          <w:numId w:val="68"/>
        </w:numPr>
        <w:spacing w:before="240" w:after="0"/>
      </w:pPr>
      <w:r>
        <w:t>Si el cable se encuentran sin servicio</w:t>
      </w:r>
    </w:p>
    <w:p w:rsidR="007C4016" w:rsidRDefault="007C4016" w:rsidP="007C4016">
      <w:pPr>
        <w:pStyle w:val="Citaift0"/>
        <w:numPr>
          <w:ilvl w:val="0"/>
          <w:numId w:val="68"/>
        </w:numPr>
        <w:spacing w:after="0"/>
      </w:pPr>
      <w:r>
        <w:t>El cable está o no asignado a un proyecto</w:t>
      </w:r>
    </w:p>
    <w:p w:rsidR="007C4016" w:rsidRDefault="007C4016" w:rsidP="007C4016">
      <w:pPr>
        <w:pStyle w:val="Citaift0"/>
        <w:numPr>
          <w:ilvl w:val="0"/>
          <w:numId w:val="68"/>
        </w:numPr>
        <w:spacing w:after="0"/>
      </w:pPr>
      <w:r>
        <w:t>El cable está asignado algún cliente</w:t>
      </w:r>
    </w:p>
    <w:p w:rsidR="007C4016" w:rsidRDefault="007C4016" w:rsidP="007C4016">
      <w:pPr>
        <w:pStyle w:val="Citaift0"/>
        <w:spacing w:before="240" w:after="0"/>
      </w:pPr>
      <w:r>
        <w:t>En ocasiones la remoción de cableado pone en riesgo la canalización y redes existentes en operación, al personal o los vehículos, en tales condiciones de riesgo se opta por no retirar el cableado. Los criterios que impiden la remoción de cableado utilizando los procedimientos convencionales son:</w:t>
      </w:r>
    </w:p>
    <w:p w:rsidR="007C4016" w:rsidRDefault="007C4016" w:rsidP="007C4016">
      <w:pPr>
        <w:pStyle w:val="Citaift0"/>
        <w:numPr>
          <w:ilvl w:val="0"/>
          <w:numId w:val="135"/>
        </w:numPr>
        <w:spacing w:before="240" w:after="0"/>
      </w:pPr>
      <w:r>
        <w:t>Vías caídas.- Cuando a lo largo del eje de canalización ubicado en arroyo o en banqueta sufrió de algún hundimiento de la tierra, la cual oprime el cable en su interior.</w:t>
      </w:r>
    </w:p>
    <w:p w:rsidR="007C4016" w:rsidRDefault="007C4016" w:rsidP="007C4016">
      <w:pPr>
        <w:pStyle w:val="Citaift0"/>
        <w:numPr>
          <w:ilvl w:val="0"/>
          <w:numId w:val="135"/>
        </w:numPr>
        <w:spacing w:after="0"/>
      </w:pPr>
      <w:r>
        <w:t>Vías estranguladas.- A lo largo de las canalizaciones pude existir alteraciones en las rutas debido al crecimiento de las raíces de los árboles.</w:t>
      </w:r>
    </w:p>
    <w:p w:rsidR="007C4016" w:rsidRDefault="007C4016" w:rsidP="007C4016">
      <w:pPr>
        <w:pStyle w:val="Citaift0"/>
        <w:numPr>
          <w:ilvl w:val="0"/>
          <w:numId w:val="135"/>
        </w:numPr>
        <w:spacing w:after="0"/>
      </w:pPr>
      <w:r>
        <w:t>Adherencia del cableado a la canalización.- La interacción del cableado con las adversidades en instalaciones subterráneas (corrosión, humedad, aguas residuales, etc.), originan que la cubierta del cableado se "adhiera" a las paredes del ducto interior de concreto, lo cual imposibilita el desmontaje del mismo.</w:t>
      </w:r>
    </w:p>
    <w:p w:rsidR="007C4016" w:rsidRDefault="007C4016" w:rsidP="007C4016">
      <w:pPr>
        <w:pStyle w:val="Citaift0"/>
        <w:numPr>
          <w:ilvl w:val="0"/>
          <w:numId w:val="135"/>
        </w:numPr>
        <w:spacing w:after="0"/>
      </w:pPr>
      <w:r>
        <w:t>Remoción riesgosa.- La instalación de cableado puede ocasionar que éstos se "trencen", si se intentara retirarlos, la fricción entre las cubiertas de los cables existentes, origina la ruptura del las cubiertas exteriores, provocando la interrupción de los servicios existentes.</w:t>
      </w:r>
    </w:p>
    <w:p w:rsidR="007C4016" w:rsidRDefault="007C4016" w:rsidP="007C4016">
      <w:pPr>
        <w:pStyle w:val="Citaift0"/>
        <w:spacing w:before="240" w:after="0"/>
      </w:pPr>
      <w:r>
        <w:lastRenderedPageBreak/>
        <w:t>Para los casos 1) y 2), el realizar el desmontaje del cable con equipo mecanizado (WINCH) ocasionará daños a la obra de canalización, a los pozos y a los cables con servicios activos existentes.”</w:t>
      </w:r>
    </w:p>
    <w:p w:rsidR="007C4016" w:rsidRDefault="007C4016" w:rsidP="007C4016">
      <w:pPr>
        <w:pStyle w:val="IFTnormal"/>
        <w:spacing w:before="240" w:after="0"/>
        <w:rPr>
          <w:lang w:val="es-ES"/>
        </w:rPr>
      </w:pPr>
      <w:r>
        <w:rPr>
          <w:lang w:val="es-ES"/>
        </w:rPr>
        <w:t>De lo anterior, a juicio del Instituto, la remoción del cableado que ya no se encuentra en uso tiene una gran relevancia para la infraestructura pasiva, en la cual en muchas ocasiones al no retirar dicho cableado se satura la infraestructura impidiendo que algún CS pueda solicitar un servicio. Por consiguiente, el Instituto considera establecer dentro de la “</w:t>
      </w:r>
      <w:r w:rsidRPr="000A1C39">
        <w:rPr>
          <w:i/>
          <w:lang w:val="es-ES"/>
        </w:rPr>
        <w:t xml:space="preserve">NORMA 1: COMPARTICIÓN DE CANALIZACIÓN DE </w:t>
      </w:r>
      <w:r>
        <w:rPr>
          <w:i/>
          <w:lang w:val="es-ES"/>
        </w:rPr>
        <w:t>TELNOR</w:t>
      </w:r>
      <w:r w:rsidRPr="000A1C39">
        <w:rPr>
          <w:i/>
          <w:lang w:val="es-ES"/>
        </w:rPr>
        <w:t xml:space="preserve"> PARA NUEVOS CONCESIONARIOS</w:t>
      </w:r>
      <w:r>
        <w:rPr>
          <w:lang w:val="es-ES"/>
        </w:rPr>
        <w:t>”, un apartado con normatividad técnica de acuerdo a lo presentado por el AEP en el Requerimiento de Información para realizar el procedimiento de remoción de cableado.</w:t>
      </w:r>
    </w:p>
    <w:p w:rsidR="007C4016" w:rsidRDefault="007C4016" w:rsidP="007C4016">
      <w:pPr>
        <w:pStyle w:val="IFTnormal"/>
        <w:spacing w:before="240" w:after="0"/>
        <w:rPr>
          <w:lang w:val="es-ES"/>
        </w:rPr>
      </w:pPr>
      <w:r>
        <w:rPr>
          <w:lang w:val="es-ES"/>
        </w:rPr>
        <w:t xml:space="preserve">Nota: si bien en la transcripción de la respuesta del AEP antes citada este indica en los puntos </w:t>
      </w:r>
      <w:r w:rsidRPr="00534A43">
        <w:rPr>
          <w:i/>
          <w:lang w:val="es-ES"/>
        </w:rPr>
        <w:t>“•</w:t>
      </w:r>
      <w:r w:rsidRPr="00534A43">
        <w:rPr>
          <w:i/>
          <w:lang w:val="es-ES"/>
        </w:rPr>
        <w:tab/>
        <w:t>El cable está o no asignado a un proyecto</w:t>
      </w:r>
      <w:r>
        <w:rPr>
          <w:lang w:val="es-ES"/>
        </w:rPr>
        <w:t>” y “</w:t>
      </w:r>
      <w:r w:rsidRPr="00534A43">
        <w:rPr>
          <w:i/>
          <w:lang w:val="es-ES"/>
        </w:rPr>
        <w:t>•</w:t>
      </w:r>
      <w:r w:rsidRPr="00534A43">
        <w:rPr>
          <w:i/>
          <w:lang w:val="es-ES"/>
        </w:rPr>
        <w:tab/>
        <w:t>El cable está asignado algún cliente</w:t>
      </w:r>
      <w:r>
        <w:rPr>
          <w:lang w:val="es-ES"/>
        </w:rPr>
        <w:t xml:space="preserve">”, el Instituto interpreta que la remoción se lleva a cabo cuando no está asignado. </w:t>
      </w:r>
    </w:p>
    <w:p w:rsidR="007C4016" w:rsidRDefault="007C4016" w:rsidP="007C4016">
      <w:pPr>
        <w:pStyle w:val="IFTnormal"/>
        <w:spacing w:before="240" w:after="0"/>
        <w:rPr>
          <w:b/>
        </w:rPr>
      </w:pPr>
      <w:r>
        <w:rPr>
          <w:b/>
        </w:rPr>
        <w:t>Redacción Definitiva</w:t>
      </w:r>
    </w:p>
    <w:p w:rsidR="007C4016" w:rsidRPr="00D841C7" w:rsidRDefault="007C4016" w:rsidP="007C4016">
      <w:pPr>
        <w:suppressAutoHyphens w:val="0"/>
        <w:spacing w:before="240" w:after="0" w:line="276" w:lineRule="auto"/>
        <w:ind w:right="-91"/>
        <w:contextualSpacing w:val="0"/>
        <w:rPr>
          <w:rFonts w:ascii="ITC Avant Garde" w:eastAsia="Calibri" w:hAnsi="ITC Avant Garde"/>
          <w:b/>
          <w:i/>
          <w:sz w:val="18"/>
          <w:szCs w:val="22"/>
          <w:lang w:val="es-ES" w:eastAsia="en-US"/>
        </w:rPr>
      </w:pPr>
      <w:r w:rsidRPr="000B50E0">
        <w:rPr>
          <w:rFonts w:ascii="ITC Avant Garde" w:eastAsia="MS Mincho" w:hAnsi="ITC Avant Garde" w:cs="Calibri"/>
          <w:bCs/>
          <w:sz w:val="22"/>
          <w:szCs w:val="22"/>
          <w:lang w:val="es-ES" w:eastAsia="en-US"/>
        </w:rPr>
        <w:t>Derivado del análisis previo, el Instituto resue</w:t>
      </w:r>
      <w:r>
        <w:rPr>
          <w:rFonts w:ascii="ITC Avant Garde" w:eastAsia="MS Mincho" w:hAnsi="ITC Avant Garde" w:cs="Calibri"/>
          <w:bCs/>
          <w:sz w:val="22"/>
          <w:szCs w:val="22"/>
          <w:lang w:val="es-ES" w:eastAsia="en-US"/>
        </w:rPr>
        <w:t xml:space="preserve">lve modificar la </w:t>
      </w:r>
      <w:r w:rsidRPr="00B83345">
        <w:rPr>
          <w:rFonts w:ascii="ITC Avant Garde" w:eastAsia="MS Mincho" w:hAnsi="ITC Avant Garde" w:cs="Calibri"/>
          <w:sz w:val="22"/>
          <w:szCs w:val="22"/>
          <w:lang w:val="es-ES" w:eastAsia="en-US"/>
        </w:rPr>
        <w:t>Propuesta de Oferta de Referencia</w:t>
      </w:r>
      <w:r w:rsidRPr="000B50E0">
        <w:rPr>
          <w:rFonts w:ascii="ITC Avant Garde" w:eastAsia="MS Mincho" w:hAnsi="ITC Avant Garde" w:cs="Calibri"/>
          <w:bCs/>
          <w:sz w:val="22"/>
          <w:szCs w:val="22"/>
          <w:lang w:val="es-ES" w:eastAsia="en-US"/>
        </w:rPr>
        <w:t xml:space="preserve"> para que en </w:t>
      </w:r>
      <w:r>
        <w:rPr>
          <w:rFonts w:ascii="ITC Avant Garde" w:eastAsia="MS Mincho" w:hAnsi="ITC Avant Garde" w:cs="Calibri"/>
          <w:bCs/>
          <w:sz w:val="22"/>
          <w:szCs w:val="22"/>
          <w:lang w:val="es-ES" w:eastAsia="en-US"/>
        </w:rPr>
        <w:t>la NORMA 1 “</w:t>
      </w:r>
      <w:r w:rsidRPr="00873D88">
        <w:rPr>
          <w:rFonts w:ascii="ITC Avant Garde" w:eastAsia="MS Mincho" w:hAnsi="ITC Avant Garde" w:cs="Calibri"/>
          <w:bCs/>
          <w:i/>
          <w:sz w:val="22"/>
          <w:szCs w:val="22"/>
          <w:lang w:val="es-ES" w:eastAsia="en-US"/>
        </w:rPr>
        <w:t xml:space="preserve">COMPARTICIÓN DE CANALIZACIÓN DE </w:t>
      </w:r>
      <w:r>
        <w:rPr>
          <w:rFonts w:ascii="ITC Avant Garde" w:eastAsia="MS Mincho" w:hAnsi="ITC Avant Garde" w:cs="Calibri"/>
          <w:bCs/>
          <w:i/>
          <w:sz w:val="22"/>
          <w:szCs w:val="22"/>
          <w:lang w:val="es-ES" w:eastAsia="en-US"/>
        </w:rPr>
        <w:t>TELNOR</w:t>
      </w:r>
      <w:r w:rsidRPr="00873D88">
        <w:rPr>
          <w:rFonts w:ascii="ITC Avant Garde" w:eastAsia="MS Mincho" w:hAnsi="ITC Avant Garde" w:cs="Calibri"/>
          <w:bCs/>
          <w:i/>
          <w:sz w:val="22"/>
          <w:szCs w:val="22"/>
          <w:lang w:val="es-ES" w:eastAsia="en-US"/>
        </w:rPr>
        <w:t xml:space="preserve"> PARA NUEVOS CONCESIONARIOS.</w:t>
      </w:r>
      <w:r>
        <w:rPr>
          <w:rFonts w:ascii="ITC Avant Garde" w:eastAsia="MS Mincho" w:hAnsi="ITC Avant Garde" w:cs="Calibri"/>
          <w:bCs/>
          <w:sz w:val="22"/>
          <w:szCs w:val="22"/>
          <w:lang w:val="es-ES" w:eastAsia="en-US"/>
        </w:rPr>
        <w:t xml:space="preserve">” del ANEXO </w:t>
      </w:r>
      <w:r>
        <w:rPr>
          <w:rFonts w:ascii="ITC Avant Garde" w:eastAsia="MS Mincho" w:hAnsi="ITC Avant Garde" w:cs="Calibri"/>
          <w:sz w:val="22"/>
          <w:szCs w:val="22"/>
          <w:lang w:val="es-ES" w:eastAsia="en-US"/>
        </w:rPr>
        <w:t>2</w:t>
      </w:r>
      <w:r>
        <w:rPr>
          <w:rFonts w:ascii="ITC Avant Garde" w:eastAsia="MS Mincho" w:hAnsi="ITC Avant Garde" w:cs="Calibri"/>
          <w:bCs/>
          <w:sz w:val="22"/>
          <w:szCs w:val="22"/>
          <w:lang w:val="es-ES" w:eastAsia="en-US"/>
        </w:rPr>
        <w:t xml:space="preserve"> “</w:t>
      </w:r>
      <w:r w:rsidRPr="00873D88">
        <w:rPr>
          <w:rFonts w:ascii="ITC Avant Garde" w:eastAsia="MS Mincho" w:hAnsi="ITC Avant Garde" w:cs="Calibri"/>
          <w:bCs/>
          <w:i/>
          <w:sz w:val="22"/>
          <w:szCs w:val="22"/>
          <w:lang w:val="es-ES" w:eastAsia="en-US"/>
        </w:rPr>
        <w:t>NORMATIVA TÉCNICA</w:t>
      </w:r>
      <w:r>
        <w:rPr>
          <w:rFonts w:ascii="ITC Avant Garde" w:eastAsia="MS Mincho" w:hAnsi="ITC Avant Garde" w:cs="Calibri"/>
          <w:bCs/>
          <w:sz w:val="22"/>
          <w:szCs w:val="22"/>
          <w:lang w:val="es-ES" w:eastAsia="en-US"/>
        </w:rPr>
        <w:t>” quedando</w:t>
      </w:r>
      <w:r>
        <w:rPr>
          <w:rFonts w:ascii="ITC Avant Garde" w:eastAsia="MS Mincho" w:hAnsi="ITC Avant Garde" w:cs="Calibri"/>
          <w:sz w:val="22"/>
          <w:szCs w:val="22"/>
          <w:lang w:val="es-ES" w:eastAsia="en-US"/>
        </w:rPr>
        <w:t xml:space="preserve"> de </w:t>
      </w:r>
      <w:r>
        <w:rPr>
          <w:rFonts w:ascii="ITC Avant Garde" w:eastAsia="MS Mincho" w:hAnsi="ITC Avant Garde" w:cs="Calibri"/>
          <w:bCs/>
          <w:sz w:val="22"/>
          <w:szCs w:val="22"/>
          <w:lang w:val="es-ES" w:eastAsia="en-US"/>
        </w:rPr>
        <w:t>la manera</w:t>
      </w:r>
      <w:r w:rsidRPr="000B50E0">
        <w:rPr>
          <w:rFonts w:ascii="ITC Avant Garde" w:eastAsia="MS Mincho" w:hAnsi="ITC Avant Garde" w:cs="Calibri"/>
          <w:bCs/>
          <w:sz w:val="22"/>
          <w:szCs w:val="22"/>
          <w:lang w:val="es-ES" w:eastAsia="en-US"/>
        </w:rPr>
        <w:t xml:space="preserve"> siguiente:</w:t>
      </w:r>
      <w:r>
        <w:rPr>
          <w:rFonts w:ascii="ITC Avant Garde" w:eastAsia="MS Mincho" w:hAnsi="ITC Avant Garde" w:cs="Calibri"/>
          <w:bCs/>
          <w:sz w:val="22"/>
          <w:szCs w:val="22"/>
          <w:lang w:val="es-ES" w:eastAsia="en-US"/>
        </w:rPr>
        <w:t xml:space="preserve"> </w:t>
      </w:r>
    </w:p>
    <w:p w:rsidR="007C4016" w:rsidRPr="00AD2CEA" w:rsidRDefault="007C4016" w:rsidP="007C4016">
      <w:pPr>
        <w:pStyle w:val="IFTnormal"/>
        <w:spacing w:before="240" w:after="0"/>
        <w:ind w:left="851" w:right="760"/>
        <w:rPr>
          <w:b/>
        </w:rPr>
      </w:pPr>
      <w:r w:rsidRPr="00AD2CEA">
        <w:rPr>
          <w:b/>
        </w:rPr>
        <w:t>NORMA</w:t>
      </w:r>
      <w:r>
        <w:rPr>
          <w:b/>
        </w:rPr>
        <w:t xml:space="preserve"> 1</w:t>
      </w:r>
      <w:r w:rsidRPr="00AD2CEA">
        <w:rPr>
          <w:b/>
        </w:rPr>
        <w:t xml:space="preserve">: COMPARTICIÓN DE CANALIZACIÓN DE </w:t>
      </w:r>
      <w:r>
        <w:rPr>
          <w:b/>
        </w:rPr>
        <w:t>TELNOR</w:t>
      </w:r>
      <w:r w:rsidRPr="00AD2CEA">
        <w:rPr>
          <w:b/>
        </w:rPr>
        <w:t xml:space="preserve"> PARA NUEVOS CONCESIONARIOS.</w:t>
      </w:r>
    </w:p>
    <w:p w:rsidR="007C4016" w:rsidRPr="00AD2CEA" w:rsidRDefault="007C4016" w:rsidP="007C4016">
      <w:pPr>
        <w:pStyle w:val="IFTnormal"/>
        <w:spacing w:before="240" w:after="0"/>
        <w:ind w:left="851" w:right="760"/>
        <w:rPr>
          <w:b/>
        </w:rPr>
      </w:pPr>
      <w:r w:rsidRPr="00AD2CEA">
        <w:rPr>
          <w:b/>
        </w:rPr>
        <w:t>CONTENIDO</w:t>
      </w:r>
    </w:p>
    <w:tbl>
      <w:tblPr>
        <w:tblStyle w:val="Cuadrculadetablaclara1"/>
        <w:tblW w:w="76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Caption w:val="Tabla"/>
        <w:tblDescription w:val="COMPARTICIÓN DE CANALIZACIÓN DE TELNOR PARA NUEVOS CONCESIONARIOS.&#10;CONTENIDO"/>
      </w:tblPr>
      <w:tblGrid>
        <w:gridCol w:w="709"/>
        <w:gridCol w:w="5953"/>
        <w:gridCol w:w="992"/>
      </w:tblGrid>
      <w:tr w:rsidR="007C4016" w:rsidRPr="00E97E67" w:rsidTr="00483567">
        <w:trPr>
          <w:tblHeader/>
          <w:jc w:val="center"/>
        </w:trPr>
        <w:tc>
          <w:tcPr>
            <w:tcW w:w="709" w:type="dxa"/>
          </w:tcPr>
          <w:p w:rsidR="007C4016" w:rsidRPr="00E97E67" w:rsidRDefault="007C4016" w:rsidP="005C782A">
            <w:pPr>
              <w:spacing w:after="0"/>
              <w:rPr>
                <w:rFonts w:ascii="ITC Avant Garde" w:eastAsia="MS Mincho" w:hAnsi="ITC Avant Garde" w:cs="Calibri"/>
                <w:bCs/>
                <w:sz w:val="22"/>
                <w:szCs w:val="22"/>
                <w:lang w:eastAsia="en-US"/>
              </w:rPr>
            </w:pPr>
          </w:p>
        </w:tc>
        <w:tc>
          <w:tcPr>
            <w:tcW w:w="5953"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p>
        </w:tc>
        <w:tc>
          <w:tcPr>
            <w:tcW w:w="992" w:type="dxa"/>
          </w:tcPr>
          <w:p w:rsidR="007C4016" w:rsidRPr="00E97E67"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Página Nº</w:t>
            </w:r>
          </w:p>
        </w:tc>
      </w:tr>
      <w:tr w:rsidR="007C4016" w:rsidRPr="00E97E67" w:rsidTr="00483567">
        <w:trPr>
          <w:jc w:val="center"/>
        </w:trPr>
        <w:tc>
          <w:tcPr>
            <w:tcW w:w="709"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1.-</w:t>
            </w:r>
          </w:p>
        </w:tc>
        <w:tc>
          <w:tcPr>
            <w:tcW w:w="5953" w:type="dxa"/>
          </w:tcPr>
          <w:p w:rsidR="007C4016" w:rsidRPr="00E97E67" w:rsidRDefault="007C4016" w:rsidP="005C782A">
            <w:pPr>
              <w:tabs>
                <w:tab w:val="center" w:pos="4419"/>
                <w:tab w:val="right" w:pos="8838"/>
              </w:tabs>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Histórico de modificaciones.</w:t>
            </w:r>
          </w:p>
        </w:tc>
        <w:tc>
          <w:tcPr>
            <w:tcW w:w="992" w:type="dxa"/>
          </w:tcPr>
          <w:p w:rsidR="007C4016" w:rsidRPr="00E97E67"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2</w:t>
            </w:r>
          </w:p>
        </w:tc>
      </w:tr>
      <w:tr w:rsidR="007C4016" w:rsidRPr="00E97E67" w:rsidTr="00483567">
        <w:trPr>
          <w:jc w:val="center"/>
        </w:trPr>
        <w:tc>
          <w:tcPr>
            <w:tcW w:w="709"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2.-</w:t>
            </w:r>
          </w:p>
        </w:tc>
        <w:tc>
          <w:tcPr>
            <w:tcW w:w="5953"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Objetivo.</w:t>
            </w:r>
          </w:p>
        </w:tc>
        <w:tc>
          <w:tcPr>
            <w:tcW w:w="992" w:type="dxa"/>
          </w:tcPr>
          <w:p w:rsidR="007C4016" w:rsidRPr="00E97E67"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4</w:t>
            </w:r>
          </w:p>
        </w:tc>
      </w:tr>
      <w:tr w:rsidR="007C4016" w:rsidRPr="00E97E67" w:rsidTr="00483567">
        <w:trPr>
          <w:jc w:val="center"/>
        </w:trPr>
        <w:tc>
          <w:tcPr>
            <w:tcW w:w="709"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3.-</w:t>
            </w:r>
          </w:p>
        </w:tc>
        <w:tc>
          <w:tcPr>
            <w:tcW w:w="5953"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Alcance.</w:t>
            </w:r>
          </w:p>
        </w:tc>
        <w:tc>
          <w:tcPr>
            <w:tcW w:w="992" w:type="dxa"/>
          </w:tcPr>
          <w:p w:rsidR="007C4016" w:rsidRPr="00E97E67"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4</w:t>
            </w:r>
          </w:p>
        </w:tc>
      </w:tr>
      <w:tr w:rsidR="007C4016" w:rsidRPr="00E97E67" w:rsidTr="00483567">
        <w:trPr>
          <w:jc w:val="center"/>
        </w:trPr>
        <w:tc>
          <w:tcPr>
            <w:tcW w:w="709"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4.-</w:t>
            </w:r>
          </w:p>
        </w:tc>
        <w:tc>
          <w:tcPr>
            <w:tcW w:w="5953"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Definiciones.</w:t>
            </w:r>
          </w:p>
        </w:tc>
        <w:tc>
          <w:tcPr>
            <w:tcW w:w="992" w:type="dxa"/>
          </w:tcPr>
          <w:p w:rsidR="007C4016" w:rsidRPr="00E97E67"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4</w:t>
            </w:r>
          </w:p>
        </w:tc>
      </w:tr>
      <w:tr w:rsidR="007C4016" w:rsidRPr="00E97E67" w:rsidTr="00483567">
        <w:trPr>
          <w:jc w:val="center"/>
        </w:trPr>
        <w:tc>
          <w:tcPr>
            <w:tcW w:w="709"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5.-</w:t>
            </w:r>
          </w:p>
        </w:tc>
        <w:tc>
          <w:tcPr>
            <w:tcW w:w="5953"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Documentos de Referencia.</w:t>
            </w:r>
          </w:p>
        </w:tc>
        <w:tc>
          <w:tcPr>
            <w:tcW w:w="992" w:type="dxa"/>
          </w:tcPr>
          <w:p w:rsidR="007C4016" w:rsidRPr="00E97E67"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4</w:t>
            </w:r>
          </w:p>
        </w:tc>
      </w:tr>
      <w:tr w:rsidR="007C4016" w:rsidRPr="00E97E67" w:rsidTr="00483567">
        <w:trPr>
          <w:jc w:val="center"/>
        </w:trPr>
        <w:tc>
          <w:tcPr>
            <w:tcW w:w="709"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6.-</w:t>
            </w:r>
          </w:p>
        </w:tc>
        <w:tc>
          <w:tcPr>
            <w:tcW w:w="5953"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Desarrollo.</w:t>
            </w:r>
          </w:p>
        </w:tc>
        <w:tc>
          <w:tcPr>
            <w:tcW w:w="992" w:type="dxa"/>
          </w:tcPr>
          <w:p w:rsidR="007C4016" w:rsidRPr="00E97E67"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4</w:t>
            </w:r>
          </w:p>
        </w:tc>
      </w:tr>
      <w:tr w:rsidR="007C4016" w:rsidRPr="00E97E67" w:rsidTr="00483567">
        <w:trPr>
          <w:jc w:val="center"/>
        </w:trPr>
        <w:tc>
          <w:tcPr>
            <w:tcW w:w="709"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6.1.-</w:t>
            </w:r>
          </w:p>
        </w:tc>
        <w:tc>
          <w:tcPr>
            <w:tcW w:w="5953"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Lineamientos Técnicos.</w:t>
            </w:r>
          </w:p>
        </w:tc>
        <w:tc>
          <w:tcPr>
            <w:tcW w:w="992" w:type="dxa"/>
          </w:tcPr>
          <w:p w:rsidR="007C4016" w:rsidRPr="00E97E67"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4</w:t>
            </w:r>
          </w:p>
        </w:tc>
      </w:tr>
      <w:tr w:rsidR="007C4016" w:rsidRPr="00E97E67" w:rsidTr="00483567">
        <w:trPr>
          <w:jc w:val="center"/>
        </w:trPr>
        <w:tc>
          <w:tcPr>
            <w:tcW w:w="709"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6.2.-</w:t>
            </w:r>
          </w:p>
        </w:tc>
        <w:tc>
          <w:tcPr>
            <w:tcW w:w="5953"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 xml:space="preserve">Reglas de Seguridad para Realizar Trabajos de Construcción en Canalización de </w:t>
            </w:r>
            <w:r>
              <w:rPr>
                <w:rFonts w:ascii="ITC Avant Garde" w:eastAsia="MS Mincho" w:hAnsi="ITC Avant Garde" w:cs="Calibri"/>
                <w:bCs/>
                <w:sz w:val="22"/>
                <w:szCs w:val="22"/>
                <w:lang w:eastAsia="en-US"/>
              </w:rPr>
              <w:t>Telnor</w:t>
            </w:r>
            <w:r w:rsidRPr="00E97E67">
              <w:rPr>
                <w:rFonts w:ascii="ITC Avant Garde" w:eastAsia="MS Mincho" w:hAnsi="ITC Avant Garde" w:cs="Calibri"/>
                <w:bCs/>
                <w:sz w:val="22"/>
                <w:szCs w:val="22"/>
                <w:lang w:eastAsia="en-US"/>
              </w:rPr>
              <w:t>.</w:t>
            </w:r>
          </w:p>
        </w:tc>
        <w:tc>
          <w:tcPr>
            <w:tcW w:w="992" w:type="dxa"/>
          </w:tcPr>
          <w:p w:rsidR="007C4016" w:rsidRPr="00E97E67"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8</w:t>
            </w:r>
          </w:p>
        </w:tc>
      </w:tr>
      <w:tr w:rsidR="007C4016" w:rsidRPr="00E97E67" w:rsidTr="00483567">
        <w:trPr>
          <w:jc w:val="center"/>
        </w:trPr>
        <w:tc>
          <w:tcPr>
            <w:tcW w:w="709"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6.3.-</w:t>
            </w:r>
          </w:p>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p>
        </w:tc>
        <w:tc>
          <w:tcPr>
            <w:tcW w:w="5953" w:type="dxa"/>
          </w:tcPr>
          <w:p w:rsidR="007C4016" w:rsidRPr="00E97E67" w:rsidRDefault="007C4016" w:rsidP="005C782A">
            <w:pPr>
              <w:keepNext/>
              <w:suppressAutoHyphens w:val="0"/>
              <w:spacing w:after="0" w:line="240" w:lineRule="auto"/>
              <w:contextualSpacing w:val="0"/>
              <w:jc w:val="left"/>
              <w:outlineLvl w:val="1"/>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Tendido de Cable e Instalación de otros Elementos de Red Sobre la Infraestructura Desagregada.</w:t>
            </w:r>
          </w:p>
        </w:tc>
        <w:tc>
          <w:tcPr>
            <w:tcW w:w="992" w:type="dxa"/>
          </w:tcPr>
          <w:p w:rsidR="007C4016" w:rsidRPr="00E97E67"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12</w:t>
            </w:r>
          </w:p>
        </w:tc>
      </w:tr>
      <w:tr w:rsidR="007C4016" w:rsidRPr="00E97E67" w:rsidTr="00483567">
        <w:trPr>
          <w:jc w:val="center"/>
        </w:trPr>
        <w:tc>
          <w:tcPr>
            <w:tcW w:w="709"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lastRenderedPageBreak/>
              <w:t>6.4.-</w:t>
            </w:r>
          </w:p>
        </w:tc>
        <w:tc>
          <w:tcPr>
            <w:tcW w:w="5953" w:type="dxa"/>
          </w:tcPr>
          <w:p w:rsidR="007C4016" w:rsidRPr="00E97E67" w:rsidRDefault="007C4016" w:rsidP="005C782A">
            <w:pPr>
              <w:keepNext/>
              <w:suppressAutoHyphens w:val="0"/>
              <w:spacing w:after="0" w:line="240" w:lineRule="auto"/>
              <w:contextualSpacing w:val="0"/>
              <w:jc w:val="left"/>
              <w:outlineLvl w:val="1"/>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Remoción de cableado en planta interna y externa.</w:t>
            </w:r>
          </w:p>
        </w:tc>
        <w:tc>
          <w:tcPr>
            <w:tcW w:w="992" w:type="dxa"/>
          </w:tcPr>
          <w:p w:rsidR="007C4016" w:rsidRPr="00E97E67"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13</w:t>
            </w:r>
          </w:p>
        </w:tc>
      </w:tr>
      <w:tr w:rsidR="007C4016" w:rsidRPr="00E97E67" w:rsidTr="00483567">
        <w:trPr>
          <w:jc w:val="center"/>
        </w:trPr>
        <w:tc>
          <w:tcPr>
            <w:tcW w:w="709"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7.-</w:t>
            </w:r>
          </w:p>
        </w:tc>
        <w:tc>
          <w:tcPr>
            <w:tcW w:w="5953"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Anexos.</w:t>
            </w:r>
          </w:p>
        </w:tc>
        <w:tc>
          <w:tcPr>
            <w:tcW w:w="992" w:type="dxa"/>
          </w:tcPr>
          <w:p w:rsidR="007C4016" w:rsidRPr="00E97E67"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14</w:t>
            </w:r>
          </w:p>
        </w:tc>
      </w:tr>
      <w:tr w:rsidR="007C4016" w:rsidRPr="00E97E67" w:rsidTr="00483567">
        <w:trPr>
          <w:jc w:val="center"/>
        </w:trPr>
        <w:tc>
          <w:tcPr>
            <w:tcW w:w="709"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8.-</w:t>
            </w:r>
          </w:p>
        </w:tc>
        <w:tc>
          <w:tcPr>
            <w:tcW w:w="5953" w:type="dxa"/>
          </w:tcPr>
          <w:p w:rsidR="007C4016" w:rsidRPr="00E97E67"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Bibliografía.</w:t>
            </w:r>
          </w:p>
        </w:tc>
        <w:tc>
          <w:tcPr>
            <w:tcW w:w="992" w:type="dxa"/>
          </w:tcPr>
          <w:p w:rsidR="007C4016" w:rsidRPr="00E97E67"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14</w:t>
            </w:r>
          </w:p>
        </w:tc>
      </w:tr>
    </w:tbl>
    <w:p w:rsidR="007C4016" w:rsidRDefault="007C4016" w:rsidP="007C4016">
      <w:pPr>
        <w:pStyle w:val="IFTnormal"/>
        <w:spacing w:before="240" w:after="0"/>
        <w:ind w:left="851" w:right="760"/>
      </w:pPr>
    </w:p>
    <w:p w:rsidR="007C4016" w:rsidRPr="000C6B6B" w:rsidRDefault="007C4016" w:rsidP="007C4016">
      <w:pPr>
        <w:pStyle w:val="IFTnormal"/>
        <w:spacing w:before="240" w:after="0"/>
        <w:ind w:left="851" w:right="760"/>
        <w:rPr>
          <w:b/>
        </w:rPr>
      </w:pPr>
      <w:r w:rsidRPr="000C6B6B">
        <w:rPr>
          <w:b/>
        </w:rPr>
        <w:t>1.- HISTÓRICO DE MODIFICACIONES.</w:t>
      </w:r>
    </w:p>
    <w:tbl>
      <w:tblPr>
        <w:tblStyle w:val="Cuadrculadetabla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Caption w:val="Tabla"/>
        <w:tblDescription w:val="HISTÓRICO DE MODIFICACIONES."/>
      </w:tblPr>
      <w:tblGrid>
        <w:gridCol w:w="1701"/>
        <w:gridCol w:w="1067"/>
        <w:gridCol w:w="4745"/>
      </w:tblGrid>
      <w:tr w:rsidR="007C4016" w:rsidRPr="00D30F55" w:rsidTr="00483567">
        <w:trPr>
          <w:tblHeader/>
          <w:jc w:val="center"/>
        </w:trPr>
        <w:tc>
          <w:tcPr>
            <w:tcW w:w="1701" w:type="dxa"/>
          </w:tcPr>
          <w:p w:rsidR="007C4016" w:rsidRPr="005621CA" w:rsidRDefault="007C4016" w:rsidP="005C782A">
            <w:pPr>
              <w:pStyle w:val="Texto1"/>
              <w:spacing w:after="0"/>
              <w:ind w:left="0"/>
              <w:jc w:val="center"/>
              <w:rPr>
                <w:rFonts w:ascii="ITC Avant Garde" w:eastAsia="MS Mincho" w:hAnsi="ITC Avant Garde" w:cs="Calibri"/>
                <w:b/>
                <w:bCs/>
                <w:sz w:val="22"/>
                <w:szCs w:val="22"/>
                <w:u w:val="single"/>
                <w:lang w:eastAsia="en-US"/>
              </w:rPr>
            </w:pPr>
            <w:r w:rsidRPr="005621CA">
              <w:rPr>
                <w:rFonts w:ascii="ITC Avant Garde" w:eastAsia="MS Mincho" w:hAnsi="ITC Avant Garde" w:cs="Calibri"/>
                <w:b/>
                <w:bCs/>
                <w:sz w:val="22"/>
                <w:szCs w:val="22"/>
                <w:u w:val="single"/>
                <w:lang w:eastAsia="en-US"/>
              </w:rPr>
              <w:t>Fecha</w:t>
            </w:r>
          </w:p>
        </w:tc>
        <w:tc>
          <w:tcPr>
            <w:tcW w:w="1067" w:type="dxa"/>
          </w:tcPr>
          <w:p w:rsidR="007C4016" w:rsidRPr="005621CA" w:rsidRDefault="007C4016" w:rsidP="005C782A">
            <w:pPr>
              <w:suppressAutoHyphens w:val="0"/>
              <w:spacing w:after="0" w:line="240" w:lineRule="auto"/>
              <w:contextualSpacing w:val="0"/>
              <w:jc w:val="center"/>
              <w:rPr>
                <w:rFonts w:ascii="ITC Avant Garde" w:eastAsia="MS Mincho" w:hAnsi="ITC Avant Garde" w:cs="Calibri"/>
                <w:b/>
                <w:bCs/>
                <w:sz w:val="22"/>
                <w:szCs w:val="22"/>
                <w:u w:val="single"/>
                <w:lang w:eastAsia="en-US"/>
              </w:rPr>
            </w:pPr>
            <w:r w:rsidRPr="005621CA">
              <w:rPr>
                <w:rFonts w:ascii="ITC Avant Garde" w:eastAsia="MS Mincho" w:hAnsi="ITC Avant Garde" w:cs="Calibri"/>
                <w:b/>
                <w:bCs/>
                <w:sz w:val="22"/>
                <w:szCs w:val="22"/>
                <w:u w:val="single"/>
                <w:lang w:eastAsia="en-US"/>
              </w:rPr>
              <w:t>Revisión</w:t>
            </w:r>
          </w:p>
        </w:tc>
        <w:tc>
          <w:tcPr>
            <w:tcW w:w="4745" w:type="dxa"/>
          </w:tcPr>
          <w:p w:rsidR="007C4016" w:rsidRPr="005621CA" w:rsidRDefault="007C4016" w:rsidP="005C782A">
            <w:pPr>
              <w:suppressAutoHyphens w:val="0"/>
              <w:spacing w:after="0" w:line="240" w:lineRule="auto"/>
              <w:contextualSpacing w:val="0"/>
              <w:jc w:val="center"/>
              <w:rPr>
                <w:rFonts w:ascii="ITC Avant Garde" w:eastAsia="MS Mincho" w:hAnsi="ITC Avant Garde" w:cs="Calibri"/>
                <w:b/>
                <w:bCs/>
                <w:sz w:val="22"/>
                <w:szCs w:val="22"/>
                <w:u w:val="single"/>
                <w:lang w:eastAsia="en-US"/>
              </w:rPr>
            </w:pPr>
            <w:r w:rsidRPr="005621CA">
              <w:rPr>
                <w:rFonts w:ascii="ITC Avant Garde" w:eastAsia="MS Mincho" w:hAnsi="ITC Avant Garde" w:cs="Calibri"/>
                <w:b/>
                <w:bCs/>
                <w:sz w:val="22"/>
                <w:szCs w:val="22"/>
                <w:u w:val="single"/>
                <w:lang w:eastAsia="en-US"/>
              </w:rPr>
              <w:t>Modificaciones</w:t>
            </w:r>
          </w:p>
        </w:tc>
      </w:tr>
      <w:tr w:rsidR="007C4016" w:rsidRPr="00D30F55" w:rsidTr="00483567">
        <w:trPr>
          <w:jc w:val="center"/>
        </w:trPr>
        <w:tc>
          <w:tcPr>
            <w:tcW w:w="1701" w:type="dxa"/>
          </w:tcPr>
          <w:p w:rsidR="007C4016" w:rsidRPr="00D30F55"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00/05/2014</w:t>
            </w:r>
          </w:p>
        </w:tc>
        <w:tc>
          <w:tcPr>
            <w:tcW w:w="1067" w:type="dxa"/>
          </w:tcPr>
          <w:p w:rsidR="007C4016" w:rsidRPr="00D30F55"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01</w:t>
            </w:r>
          </w:p>
        </w:tc>
        <w:tc>
          <w:tcPr>
            <w:tcW w:w="4745" w:type="dxa"/>
          </w:tcPr>
          <w:p w:rsidR="007C4016" w:rsidRPr="00D30F55" w:rsidRDefault="007C4016" w:rsidP="005C782A">
            <w:pPr>
              <w:suppressAutoHyphens w:val="0"/>
              <w:spacing w:after="0" w:line="240" w:lineRule="auto"/>
              <w:contextualSpacing w:val="0"/>
              <w:jc w:val="left"/>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Primera Edición.</w:t>
            </w:r>
          </w:p>
        </w:tc>
      </w:tr>
      <w:tr w:rsidR="007C4016" w:rsidRPr="00D30F55" w:rsidTr="00483567">
        <w:trPr>
          <w:jc w:val="center"/>
        </w:trPr>
        <w:tc>
          <w:tcPr>
            <w:tcW w:w="1701" w:type="dxa"/>
          </w:tcPr>
          <w:p w:rsidR="007C4016" w:rsidRPr="00D30F55"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30/06/2015</w:t>
            </w:r>
          </w:p>
        </w:tc>
        <w:tc>
          <w:tcPr>
            <w:tcW w:w="1067" w:type="dxa"/>
          </w:tcPr>
          <w:p w:rsidR="007C4016" w:rsidRPr="00D30F55"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02</w:t>
            </w:r>
          </w:p>
        </w:tc>
        <w:tc>
          <w:tcPr>
            <w:tcW w:w="4745" w:type="dxa"/>
          </w:tcPr>
          <w:p w:rsidR="007C4016" w:rsidRPr="00D30F55" w:rsidRDefault="007C4016" w:rsidP="005C782A">
            <w:pPr>
              <w:suppressAutoHyphens w:val="0"/>
              <w:spacing w:after="0" w:line="240" w:lineRule="auto"/>
              <w:contextualSpacing w:val="0"/>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 xml:space="preserve">En el punto 6.1.1. Se precisa la compartición para los títulos legales de propiedad de los postes, bases no discriminatorias y no exclusividad. </w:t>
            </w:r>
          </w:p>
          <w:p w:rsidR="007C4016" w:rsidRPr="00D30F55" w:rsidRDefault="007C4016" w:rsidP="005C782A">
            <w:pPr>
              <w:suppressAutoHyphens w:val="0"/>
              <w:spacing w:after="0" w:line="240" w:lineRule="auto"/>
              <w:contextualSpacing w:val="0"/>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En el punto 6.1.2. Se precisa para obra nueva la repartición de costos proporcionales.</w:t>
            </w:r>
          </w:p>
        </w:tc>
      </w:tr>
      <w:tr w:rsidR="007C4016" w:rsidRPr="00D30F55" w:rsidTr="00483567">
        <w:trPr>
          <w:jc w:val="center"/>
        </w:trPr>
        <w:tc>
          <w:tcPr>
            <w:tcW w:w="1701" w:type="dxa"/>
          </w:tcPr>
          <w:p w:rsidR="007C4016" w:rsidRPr="00D30F55"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30/10/2015</w:t>
            </w:r>
          </w:p>
        </w:tc>
        <w:tc>
          <w:tcPr>
            <w:tcW w:w="1067" w:type="dxa"/>
          </w:tcPr>
          <w:p w:rsidR="007C4016" w:rsidRPr="00D30F55" w:rsidRDefault="007C4016" w:rsidP="005C782A">
            <w:pPr>
              <w:suppressAutoHyphens w:val="0"/>
              <w:spacing w:after="0" w:line="240" w:lineRule="auto"/>
              <w:contextualSpacing w:val="0"/>
              <w:jc w:val="center"/>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03</w:t>
            </w:r>
          </w:p>
        </w:tc>
        <w:tc>
          <w:tcPr>
            <w:tcW w:w="4745" w:type="dxa"/>
          </w:tcPr>
          <w:p w:rsidR="007C4016" w:rsidRPr="00D30F55" w:rsidRDefault="007C4016" w:rsidP="005C782A">
            <w:pPr>
              <w:suppressAutoHyphens w:val="0"/>
              <w:spacing w:after="0" w:line="240" w:lineRule="auto"/>
              <w:contextualSpacing w:val="0"/>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Se elimina: definiciones Recuperación de Espacio y Visita Técnica. Del Punto 6.1.1. Los lineamientos Generales que están incluidos en la Oferta, Del punto 6.1.2. Etapas de atención de los servicios que están incluidos en la Oferta. Todo el punto 6.3. Trámites y Requisitos…, 6.4. Actividades para…</w:t>
            </w:r>
          </w:p>
        </w:tc>
      </w:tr>
    </w:tbl>
    <w:p w:rsidR="007C4016" w:rsidRDefault="007C4016" w:rsidP="007C4016">
      <w:pPr>
        <w:pStyle w:val="IFTnormal"/>
        <w:spacing w:before="240" w:after="0"/>
        <w:ind w:right="760"/>
      </w:pPr>
    </w:p>
    <w:p w:rsidR="007C4016" w:rsidRPr="000C6B6B" w:rsidRDefault="007C4016" w:rsidP="007C4016">
      <w:pPr>
        <w:spacing w:before="240" w:after="0"/>
        <w:ind w:left="851" w:right="760"/>
        <w:rPr>
          <w:b/>
        </w:rPr>
      </w:pPr>
      <w:r>
        <w:tab/>
      </w:r>
      <w:r>
        <w:tab/>
      </w:r>
      <w:r w:rsidRPr="00B83D3F">
        <w:rPr>
          <w:rFonts w:ascii="ITC Avant Garde" w:eastAsia="MS Mincho" w:hAnsi="ITC Avant Garde" w:cs="Calibri"/>
          <w:b/>
          <w:sz w:val="22"/>
          <w:szCs w:val="22"/>
          <w:lang w:eastAsia="en-US"/>
        </w:rPr>
        <w:t>2.- OBJETIVO.</w:t>
      </w:r>
    </w:p>
    <w:p w:rsidR="007C4016" w:rsidRDefault="007C4016" w:rsidP="007C4016">
      <w:pPr>
        <w:pStyle w:val="IFTnormal"/>
        <w:spacing w:before="240" w:after="0"/>
        <w:ind w:left="851" w:right="760"/>
      </w:pPr>
      <w:r>
        <w:t>El presente documento contiene la normativa técnica que se deberá seguir para la utilización y acceso a la infraestructura pasiva de Telnor, así como para la instalación de cables y de otros elementos de red que sean necesarios para la eficiente prestación de los servicios de telecomunicaciones.</w:t>
      </w:r>
    </w:p>
    <w:p w:rsidR="007C4016" w:rsidRPr="000C6B6B" w:rsidRDefault="007C4016" w:rsidP="007C4016">
      <w:pPr>
        <w:pStyle w:val="IFTnormal"/>
        <w:spacing w:before="240" w:after="0"/>
        <w:ind w:left="851" w:right="760"/>
        <w:rPr>
          <w:b/>
        </w:rPr>
      </w:pPr>
      <w:r w:rsidRPr="000C6B6B">
        <w:rPr>
          <w:b/>
        </w:rPr>
        <w:t>3.- ALCANCE.</w:t>
      </w:r>
    </w:p>
    <w:p w:rsidR="007C4016" w:rsidRDefault="007C4016" w:rsidP="007C4016">
      <w:pPr>
        <w:pStyle w:val="IFTnormal"/>
        <w:spacing w:before="240" w:after="0"/>
        <w:ind w:left="851" w:right="760"/>
      </w:pPr>
      <w:r>
        <w:t>Este documento debe ser aplicado por Telnor y los Concesionarios Solicitantes que deseen la compartición de la Infraestructura pasiva.</w:t>
      </w:r>
    </w:p>
    <w:p w:rsidR="007C4016" w:rsidRPr="000C6B6B" w:rsidRDefault="007C4016" w:rsidP="007C4016">
      <w:pPr>
        <w:pStyle w:val="IFTnormal"/>
        <w:spacing w:before="240" w:after="0"/>
        <w:ind w:left="851" w:right="760"/>
        <w:rPr>
          <w:b/>
        </w:rPr>
      </w:pPr>
      <w:r w:rsidRPr="000C6B6B">
        <w:rPr>
          <w:b/>
        </w:rPr>
        <w:lastRenderedPageBreak/>
        <w:t>4.- DEFINICIONES.</w:t>
      </w:r>
    </w:p>
    <w:p w:rsidR="007C4016" w:rsidRDefault="007C4016" w:rsidP="007C4016">
      <w:pPr>
        <w:pStyle w:val="IFTnormal"/>
        <w:spacing w:before="240" w:after="0"/>
        <w:ind w:left="851" w:right="760"/>
      </w:pPr>
      <w:r w:rsidRPr="005621CA">
        <w:rPr>
          <w:b/>
        </w:rPr>
        <w:t>Ducto de mantenimiento.</w:t>
      </w:r>
      <w:r>
        <w:t xml:space="preserve"> Es un ducto o subducto, que exista en la  canalización, de acuerdo al número de ductos existentes en el tramo, que TELNOR asigna para mantenimiento.</w:t>
      </w:r>
    </w:p>
    <w:p w:rsidR="007C4016" w:rsidRDefault="007C4016" w:rsidP="007C4016">
      <w:pPr>
        <w:pStyle w:val="IFTnormal"/>
        <w:spacing w:before="240" w:after="0"/>
        <w:ind w:left="851" w:right="760"/>
      </w:pPr>
      <w:r w:rsidRPr="005621CA">
        <w:rPr>
          <w:b/>
        </w:rPr>
        <w:t>Pozos.</w:t>
      </w:r>
      <w:r>
        <w:t xml:space="preserve"> Obras subterráneas destinadas a permitir la instalación de cables, la distribución de la Red, así como para alojar empalmes y cables.</w:t>
      </w:r>
    </w:p>
    <w:p w:rsidR="007C4016" w:rsidRDefault="007C4016" w:rsidP="007C4016">
      <w:pPr>
        <w:pStyle w:val="IFTnormal"/>
        <w:spacing w:before="240" w:after="0"/>
        <w:ind w:left="851" w:right="760"/>
      </w:pPr>
      <w:r w:rsidRPr="005621CA">
        <w:rPr>
          <w:b/>
        </w:rPr>
        <w:t>Sección total.</w:t>
      </w:r>
      <w:r>
        <w:t xml:space="preserve"> Área interior de un ducto de concreto o tubo de PVC, establecido por el fabricante basado en el diámetro interior.</w:t>
      </w:r>
    </w:p>
    <w:p w:rsidR="007C4016" w:rsidRDefault="007C4016" w:rsidP="007C4016">
      <w:pPr>
        <w:pStyle w:val="IFTnormal"/>
        <w:spacing w:before="240" w:after="0"/>
        <w:ind w:left="851" w:right="760"/>
      </w:pPr>
      <w:r w:rsidRPr="005621CA">
        <w:rPr>
          <w:b/>
        </w:rPr>
        <w:t>Subducto.</w:t>
      </w:r>
      <w:r>
        <w:t xml:space="preserve"> Solución basada en dividir los ductos utilizando minitubos o miniductos, o de ser posible en soluciones basadas en materiales no rígidos como pueden ser los subductos textiles.</w:t>
      </w:r>
    </w:p>
    <w:p w:rsidR="007C4016" w:rsidRPr="000C6B6B" w:rsidRDefault="007C4016" w:rsidP="007C4016">
      <w:pPr>
        <w:pStyle w:val="IFTnormal"/>
        <w:spacing w:before="240" w:after="0"/>
        <w:ind w:left="851" w:right="760"/>
        <w:rPr>
          <w:b/>
        </w:rPr>
      </w:pPr>
      <w:r w:rsidRPr="000C6B6B">
        <w:rPr>
          <w:b/>
        </w:rPr>
        <w:t>5.- DOCUMENTOS DE REFERENCIA.</w:t>
      </w:r>
    </w:p>
    <w:p w:rsidR="007C4016" w:rsidRDefault="007C4016" w:rsidP="007C4016">
      <w:pPr>
        <w:pStyle w:val="IFTnormal"/>
        <w:spacing w:before="240" w:after="0"/>
        <w:ind w:left="851" w:right="760"/>
      </w:pPr>
      <w:r>
        <w:t>No aplica.</w:t>
      </w:r>
    </w:p>
    <w:p w:rsidR="007C4016" w:rsidRPr="000C6B6B" w:rsidRDefault="007C4016" w:rsidP="007C4016">
      <w:pPr>
        <w:pStyle w:val="IFTnormal"/>
        <w:spacing w:before="240" w:after="0"/>
        <w:ind w:left="851" w:right="760"/>
        <w:rPr>
          <w:b/>
        </w:rPr>
      </w:pPr>
      <w:r w:rsidRPr="000C6B6B">
        <w:rPr>
          <w:b/>
        </w:rPr>
        <w:t>6.- DESARROLLO.</w:t>
      </w:r>
    </w:p>
    <w:p w:rsidR="007C4016" w:rsidRPr="000C6B6B" w:rsidRDefault="007C4016" w:rsidP="007C4016">
      <w:pPr>
        <w:pStyle w:val="IFTnormal"/>
        <w:spacing w:before="240" w:after="0"/>
        <w:ind w:left="851" w:right="760"/>
        <w:rPr>
          <w:b/>
        </w:rPr>
      </w:pPr>
      <w:r w:rsidRPr="000C6B6B">
        <w:rPr>
          <w:b/>
        </w:rPr>
        <w:t>6.1.- LINEAMIENTOS TÉCNICOS.</w:t>
      </w:r>
    </w:p>
    <w:p w:rsidR="007C4016" w:rsidRPr="000C6B6B" w:rsidRDefault="007C4016" w:rsidP="007C4016">
      <w:pPr>
        <w:pStyle w:val="IFTnormal"/>
        <w:spacing w:before="240" w:after="0"/>
        <w:ind w:left="851" w:right="760"/>
        <w:rPr>
          <w:b/>
        </w:rPr>
      </w:pPr>
      <w:r w:rsidRPr="000C6B6B">
        <w:rPr>
          <w:b/>
        </w:rPr>
        <w:t xml:space="preserve">6.1.1.- Lineamientos Generales para la compartición de canalización de </w:t>
      </w:r>
      <w:r>
        <w:rPr>
          <w:b/>
        </w:rPr>
        <w:t>TELNOR</w:t>
      </w:r>
      <w:r w:rsidRPr="000C6B6B">
        <w:rPr>
          <w:b/>
        </w:rPr>
        <w:t>.</w:t>
      </w:r>
    </w:p>
    <w:p w:rsidR="007C4016" w:rsidRDefault="007C4016" w:rsidP="007C4016">
      <w:pPr>
        <w:pStyle w:val="IFTnormal"/>
        <w:numPr>
          <w:ilvl w:val="0"/>
          <w:numId w:val="119"/>
        </w:numPr>
        <w:spacing w:before="240" w:after="0"/>
        <w:ind w:right="760"/>
      </w:pPr>
      <w:r>
        <w:t>Los soportes para los cables del Concesionario Solicitante deben ser materiales homologados que no pongan en riesgo la Red existente de TELNOR por mala calidad. Los cuales deben ser galvanizados por inmersión en caliente o por deposito galvánico electrolítico  cumpliendo los estándares: ASTM A 47, 116, 143, 164, 326, 376, 384, 385, 780 y ASTM B 633</w:t>
      </w:r>
    </w:p>
    <w:p w:rsidR="007C4016" w:rsidRPr="00B1469D" w:rsidRDefault="007C4016" w:rsidP="007C4016">
      <w:pPr>
        <w:pStyle w:val="IFTnormal"/>
        <w:spacing w:before="240" w:after="0"/>
        <w:ind w:left="851" w:right="760"/>
        <w:rPr>
          <w:b/>
        </w:rPr>
      </w:pPr>
      <w:r w:rsidRPr="00B1469D">
        <w:rPr>
          <w:b/>
        </w:rPr>
        <w:t xml:space="preserve">6.1.2.- Ingeniería y construcción de compartición de Canalización de </w:t>
      </w:r>
      <w:r>
        <w:rPr>
          <w:b/>
        </w:rPr>
        <w:t>TELNOR</w:t>
      </w:r>
      <w:r w:rsidRPr="00B1469D">
        <w:rPr>
          <w:b/>
        </w:rPr>
        <w:t>.</w:t>
      </w:r>
    </w:p>
    <w:p w:rsidR="007C4016" w:rsidRDefault="007C4016" w:rsidP="007C4016">
      <w:pPr>
        <w:pStyle w:val="IFTnormal"/>
        <w:spacing w:after="0"/>
        <w:ind w:left="851" w:right="760"/>
        <w:jc w:val="center"/>
      </w:pPr>
      <w:r>
        <w:lastRenderedPageBreak/>
        <w:t xml:space="preserve">Tabla 1. Pozos y canalizaciones con ductos de concreto. </w:t>
      </w:r>
      <w:r>
        <w:rPr>
          <w:rFonts w:ascii="Calibri" w:hAnsi="Calibri"/>
          <w:noProof/>
          <w:sz w:val="24"/>
          <w:szCs w:val="24"/>
          <w:lang w:eastAsia="es-MX"/>
        </w:rPr>
        <w:drawing>
          <wp:inline distT="0" distB="0" distL="0" distR="0" wp14:anchorId="4AAC25B5" wp14:editId="492F6F17">
            <wp:extent cx="4371281" cy="2493034"/>
            <wp:effectExtent l="0" t="0" r="0" b="2540"/>
            <wp:docPr id="33" name="Imagen 3" descr="Tabla 1. Pozos y canalizaciones con ductos de concret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3242" cy="2499855"/>
                    </a:xfrm>
                    <a:prstGeom prst="rect">
                      <a:avLst/>
                    </a:prstGeom>
                    <a:noFill/>
                    <a:ln>
                      <a:noFill/>
                    </a:ln>
                  </pic:spPr>
                </pic:pic>
              </a:graphicData>
            </a:graphic>
          </wp:inline>
        </w:drawing>
      </w:r>
    </w:p>
    <w:p w:rsidR="007C4016" w:rsidRDefault="007C4016" w:rsidP="007C4016">
      <w:pPr>
        <w:pStyle w:val="IFTnormal"/>
        <w:spacing w:before="240" w:after="0"/>
        <w:ind w:left="851" w:right="760"/>
        <w:jc w:val="center"/>
      </w:pPr>
      <w:r>
        <w:t xml:space="preserve">Tabla 2. Pozos y canalizaciones con ductos de PVC. </w:t>
      </w:r>
      <w:r>
        <w:rPr>
          <w:rFonts w:ascii="Calibri" w:hAnsi="Calibri"/>
          <w:noProof/>
          <w:sz w:val="24"/>
          <w:szCs w:val="24"/>
          <w:lang w:eastAsia="es-MX"/>
        </w:rPr>
        <w:drawing>
          <wp:inline distT="0" distB="0" distL="0" distR="0" wp14:anchorId="3BC59322" wp14:editId="25AA47A9">
            <wp:extent cx="4442604" cy="2502156"/>
            <wp:effectExtent l="0" t="0" r="0" b="0"/>
            <wp:docPr id="34" name="Imagen 2" descr="Tabla 2. Pozos y canalizaciones con ductos de PVC.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3">
                      <a:extLst>
                        <a:ext uri="{28A0092B-C50C-407E-A947-70E740481C1C}">
                          <a14:useLocalDpi xmlns:a14="http://schemas.microsoft.com/office/drawing/2010/main" val="0"/>
                        </a:ext>
                      </a:extLst>
                    </a:blip>
                    <a:srcRect l="3206" r="3053" b="3653"/>
                    <a:stretch>
                      <a:fillRect/>
                    </a:stretch>
                  </pic:blipFill>
                  <pic:spPr bwMode="auto">
                    <a:xfrm>
                      <a:off x="0" y="0"/>
                      <a:ext cx="4445639" cy="2503865"/>
                    </a:xfrm>
                    <a:prstGeom prst="rect">
                      <a:avLst/>
                    </a:prstGeom>
                    <a:noFill/>
                    <a:ln>
                      <a:noFill/>
                    </a:ln>
                  </pic:spPr>
                </pic:pic>
              </a:graphicData>
            </a:graphic>
          </wp:inline>
        </w:drawing>
      </w:r>
    </w:p>
    <w:p w:rsidR="007C4016" w:rsidRDefault="007C4016" w:rsidP="007C4016">
      <w:pPr>
        <w:pStyle w:val="IFTnormal"/>
        <w:numPr>
          <w:ilvl w:val="0"/>
          <w:numId w:val="120"/>
        </w:numPr>
        <w:spacing w:before="240" w:after="0"/>
        <w:ind w:left="1560" w:right="760"/>
      </w:pPr>
      <w:r>
        <w:t>En pozos de Telnor los dispositivos del Concesionario Solicitante que requieran de conexiones a tierra deben conectarse al cable existente en el pozo (si existe) o instalar una varilla de 1.5 m de ¾” cadweld para conectar su cable.</w:t>
      </w:r>
    </w:p>
    <w:p w:rsidR="007C4016" w:rsidRDefault="007C4016" w:rsidP="007C4016">
      <w:pPr>
        <w:pStyle w:val="IFTnormal"/>
        <w:numPr>
          <w:ilvl w:val="0"/>
          <w:numId w:val="120"/>
        </w:numPr>
        <w:spacing w:after="0"/>
        <w:ind w:left="1560" w:right="760"/>
      </w:pPr>
      <w:r>
        <w:t>Los cables existentes que estén en riesgo de ser pisados o afectados durante la inmersión, deben ser protegidos y acomodados en los soportes.</w:t>
      </w:r>
    </w:p>
    <w:p w:rsidR="007C4016" w:rsidRDefault="007C4016" w:rsidP="007C4016">
      <w:pPr>
        <w:pStyle w:val="IFTnormal"/>
        <w:numPr>
          <w:ilvl w:val="0"/>
          <w:numId w:val="120"/>
        </w:numPr>
        <w:spacing w:after="0"/>
        <w:ind w:left="1560" w:right="760"/>
      </w:pPr>
      <w:r>
        <w:t xml:space="preserve">El movimiento de los cables existentes, se hace por dos operarios, uno o cada extremo del pozo y moviéndolos </w:t>
      </w:r>
      <w:r>
        <w:lastRenderedPageBreak/>
        <w:t>lentamente hasta acomodarlos en los soportes. En caso de que falten soportes en los bastidores, éstos deberán de colocarse invariablemente.</w:t>
      </w:r>
    </w:p>
    <w:p w:rsidR="007C4016" w:rsidRDefault="007C4016" w:rsidP="007C4016">
      <w:pPr>
        <w:pStyle w:val="IFTnormal"/>
        <w:numPr>
          <w:ilvl w:val="0"/>
          <w:numId w:val="120"/>
        </w:numPr>
        <w:spacing w:after="0"/>
        <w:ind w:left="1560" w:right="760"/>
      </w:pPr>
      <w:r>
        <w:t>Si se detectan cables existentes con fugas de gas, reportarlo a Telnor.</w:t>
      </w:r>
    </w:p>
    <w:p w:rsidR="007C4016" w:rsidRDefault="007C4016" w:rsidP="007C4016">
      <w:pPr>
        <w:pStyle w:val="IFTnormal"/>
        <w:numPr>
          <w:ilvl w:val="0"/>
          <w:numId w:val="120"/>
        </w:numPr>
        <w:spacing w:after="0"/>
        <w:ind w:left="1560" w:right="760"/>
      </w:pPr>
      <w:r>
        <w:t>El descenso al pozo, se hace apoyándose en los escalones, de no haberlos, se debe utilizar la escalera portátil.</w:t>
      </w:r>
    </w:p>
    <w:p w:rsidR="007C4016" w:rsidRDefault="007C4016" w:rsidP="007C4016">
      <w:pPr>
        <w:pStyle w:val="IFTnormal"/>
        <w:numPr>
          <w:ilvl w:val="0"/>
          <w:numId w:val="120"/>
        </w:numPr>
        <w:spacing w:after="0"/>
        <w:ind w:left="1560" w:right="760"/>
      </w:pPr>
      <w:r>
        <w:t>Por ningún motivo se deben pisar los cables, ya que esto puede ocasionar un accidente y provocar daños a los cables, con la consecuente afectación a la continuidad del servicio.</w:t>
      </w:r>
    </w:p>
    <w:p w:rsidR="007C4016" w:rsidRDefault="007C4016" w:rsidP="007C4016">
      <w:pPr>
        <w:pStyle w:val="IFTnormal"/>
        <w:numPr>
          <w:ilvl w:val="0"/>
          <w:numId w:val="120"/>
        </w:numPr>
        <w:spacing w:after="0"/>
        <w:ind w:left="1560" w:right="760"/>
      </w:pPr>
      <w:r>
        <w:t>Los cables de paso en el pozo:</w:t>
      </w:r>
    </w:p>
    <w:p w:rsidR="007C4016" w:rsidRDefault="007C4016" w:rsidP="007C4016">
      <w:pPr>
        <w:pStyle w:val="IFTnormal"/>
        <w:numPr>
          <w:ilvl w:val="0"/>
          <w:numId w:val="93"/>
        </w:numPr>
        <w:spacing w:before="240" w:after="0"/>
        <w:ind w:left="1843" w:right="760"/>
      </w:pPr>
      <w:r>
        <w:t>En caso de que alguno de los ductos tenga un tropezón, se genera la solicitud de acondicionamiento para su reparación.</w:t>
      </w:r>
    </w:p>
    <w:p w:rsidR="007C4016" w:rsidRDefault="007C4016" w:rsidP="007C4016">
      <w:pPr>
        <w:pStyle w:val="IFTnormal"/>
        <w:numPr>
          <w:ilvl w:val="0"/>
          <w:numId w:val="93"/>
        </w:numPr>
        <w:spacing w:after="0"/>
        <w:ind w:left="1843" w:right="760"/>
      </w:pPr>
      <w:r>
        <w:t>Los cables a instalar en el pozo debe ser sin excesivas longitudes.</w:t>
      </w:r>
    </w:p>
    <w:p w:rsidR="007C4016" w:rsidRDefault="007C4016" w:rsidP="007C4016">
      <w:pPr>
        <w:pStyle w:val="IFTnormal"/>
        <w:numPr>
          <w:ilvl w:val="0"/>
          <w:numId w:val="93"/>
        </w:numPr>
        <w:spacing w:after="0"/>
        <w:ind w:left="1843" w:right="760"/>
      </w:pPr>
      <w:r>
        <w:t>Se colocara en el soporte correspondiente a los niveles de su ducto.</w:t>
      </w:r>
    </w:p>
    <w:p w:rsidR="007C4016" w:rsidRDefault="007C4016" w:rsidP="007C4016">
      <w:pPr>
        <w:pStyle w:val="IFTnormal"/>
        <w:numPr>
          <w:ilvl w:val="0"/>
          <w:numId w:val="93"/>
        </w:numPr>
        <w:spacing w:after="0"/>
        <w:ind w:left="1843" w:right="760"/>
      </w:pPr>
      <w:r>
        <w:t>El cable debe estar identificado con una etiqueta que diferencie a cables de Telnor de los otros Concesionarios Solicitantes. La identificación será clara, duradera y legible a simple vista con el logo, marca o la identificación del Concesionario Solicitante.</w:t>
      </w:r>
    </w:p>
    <w:p w:rsidR="007C4016" w:rsidRDefault="007C4016" w:rsidP="007C4016">
      <w:pPr>
        <w:pStyle w:val="IFTnormal"/>
        <w:numPr>
          <w:ilvl w:val="0"/>
          <w:numId w:val="93"/>
        </w:numPr>
        <w:spacing w:after="0"/>
        <w:ind w:left="1843" w:right="760"/>
      </w:pPr>
      <w:r>
        <w:t>El cable no debe obstaculizar la trayectoria hacia los eslabones, (barra de fierro en forma de “U”, que sirve a sujetar las poleas para el jalado de los cables pozos).</w:t>
      </w:r>
    </w:p>
    <w:p w:rsidR="007C4016" w:rsidRDefault="007C4016" w:rsidP="007C4016">
      <w:pPr>
        <w:pStyle w:val="IFTnormal"/>
        <w:numPr>
          <w:ilvl w:val="0"/>
          <w:numId w:val="93"/>
        </w:numPr>
        <w:spacing w:after="0"/>
        <w:ind w:left="1843" w:right="760"/>
      </w:pPr>
      <w:r>
        <w:t>Los ductos de los pozos de visita, las acometidas a Centrales y/o Edificios de Clientes, incluyendo el ducto ocupado por el cable a instalar debe ser sellado con Resina Expandible.</w:t>
      </w:r>
    </w:p>
    <w:p w:rsidR="007C4016" w:rsidRDefault="007C4016" w:rsidP="007C4016">
      <w:pPr>
        <w:pStyle w:val="IFTnormal"/>
        <w:numPr>
          <w:ilvl w:val="0"/>
          <w:numId w:val="93"/>
        </w:numPr>
        <w:spacing w:after="0"/>
        <w:ind w:left="1843" w:right="760"/>
      </w:pPr>
      <w:r>
        <w:t>Los cables a instalar no deben quedar encimados sobre cables existentes.</w:t>
      </w:r>
    </w:p>
    <w:p w:rsidR="007C4016" w:rsidRDefault="007C4016" w:rsidP="007C4016">
      <w:pPr>
        <w:pStyle w:val="IFTnormal"/>
        <w:numPr>
          <w:ilvl w:val="0"/>
          <w:numId w:val="94"/>
        </w:numPr>
        <w:spacing w:before="240" w:after="0"/>
        <w:ind w:left="1560" w:right="760"/>
      </w:pPr>
      <w:r>
        <w:t>Ocupación de Ductos en Pozos con una pared de empalmes.</w:t>
      </w:r>
    </w:p>
    <w:p w:rsidR="007C4016" w:rsidRDefault="007C4016" w:rsidP="007C4016">
      <w:pPr>
        <w:pStyle w:val="IFTnormal"/>
        <w:numPr>
          <w:ilvl w:val="0"/>
          <w:numId w:val="95"/>
        </w:numPr>
        <w:spacing w:after="0"/>
        <w:ind w:left="1843" w:right="760"/>
      </w:pPr>
      <w:r>
        <w:lastRenderedPageBreak/>
        <w:t>La ocupación de ductos se inicia en la pared de empalmes hacia el lado contrario y de las camas de ductos inferiores hacia las camas de ductos superiores. Véase figura 1.</w:t>
      </w:r>
    </w:p>
    <w:p w:rsidR="007C4016" w:rsidRDefault="007C4016" w:rsidP="007C4016">
      <w:pPr>
        <w:pStyle w:val="IFTnormal"/>
        <w:numPr>
          <w:ilvl w:val="0"/>
          <w:numId w:val="95"/>
        </w:numPr>
        <w:spacing w:after="0"/>
        <w:ind w:left="1843" w:right="760"/>
      </w:pPr>
      <w:r>
        <w:t>Los soportes instalados para cable en los bastidores forman las camas. Los bastidores tienen capacidad para cuatro camas y la numeración de las camas se inicia de la parte más baja del bastidor.</w:t>
      </w:r>
    </w:p>
    <w:p w:rsidR="007C4016" w:rsidRDefault="007C4016" w:rsidP="007C4016">
      <w:pPr>
        <w:pStyle w:val="IFTnormal"/>
        <w:numPr>
          <w:ilvl w:val="0"/>
          <w:numId w:val="95"/>
        </w:numPr>
        <w:spacing w:after="0"/>
        <w:ind w:left="1843" w:right="760"/>
      </w:pPr>
      <w:r>
        <w:t>La ubicación de los cables en las camas de los soportes, debe corresponder con las camas de las ductos. Los empalmes de una misma cama se distribuyen en el espacio que hay en el soporte. Lo anterior se muestra en la figura 1.</w:t>
      </w:r>
    </w:p>
    <w:p w:rsidR="007C4016" w:rsidRDefault="007C4016" w:rsidP="007C4016">
      <w:pPr>
        <w:pStyle w:val="IFTnormal"/>
        <w:spacing w:before="240" w:after="0"/>
        <w:ind w:left="851" w:right="760"/>
      </w:pPr>
      <w:r>
        <w:rPr>
          <w:rFonts w:ascii="Calibri" w:hAnsi="Calibri"/>
          <w:noProof/>
          <w:sz w:val="24"/>
          <w:szCs w:val="24"/>
          <w:lang w:eastAsia="es-MX"/>
        </w:rPr>
        <w:drawing>
          <wp:inline distT="0" distB="0" distL="0" distR="0" wp14:anchorId="108BDCBD" wp14:editId="609FF6EE">
            <wp:extent cx="4857750" cy="1695450"/>
            <wp:effectExtent l="0" t="0" r="0" b="0"/>
            <wp:docPr id="36" name="Imagen 31" descr="Figura 1. Ocupación de ductos y soportes de cables en pozos con una pared de empalm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1695450"/>
                    </a:xfrm>
                    <a:prstGeom prst="rect">
                      <a:avLst/>
                    </a:prstGeom>
                    <a:noFill/>
                    <a:ln>
                      <a:noFill/>
                    </a:ln>
                  </pic:spPr>
                </pic:pic>
              </a:graphicData>
            </a:graphic>
          </wp:inline>
        </w:drawing>
      </w:r>
    </w:p>
    <w:p w:rsidR="007C4016" w:rsidRDefault="007C4016" w:rsidP="007C4016">
      <w:pPr>
        <w:pStyle w:val="IFTnormal"/>
        <w:spacing w:before="240" w:after="0"/>
        <w:ind w:left="851"/>
      </w:pPr>
      <w:r>
        <w:t>Figura 1. Ocupación de ductos y soportes de cables en pozos con una pared de empalme.</w:t>
      </w:r>
    </w:p>
    <w:p w:rsidR="007C4016" w:rsidRDefault="007C4016" w:rsidP="007C4016">
      <w:pPr>
        <w:pStyle w:val="IFTnormal"/>
        <w:numPr>
          <w:ilvl w:val="0"/>
          <w:numId w:val="96"/>
        </w:numPr>
        <w:spacing w:before="240" w:after="0"/>
        <w:ind w:left="1560" w:right="760"/>
      </w:pPr>
      <w:r>
        <w:t>Ocupación de Ductos en Pozos con dos paredes de empalmes:</w:t>
      </w:r>
    </w:p>
    <w:p w:rsidR="007C4016" w:rsidRDefault="007C4016" w:rsidP="007C4016">
      <w:pPr>
        <w:pStyle w:val="IFTnormal"/>
        <w:numPr>
          <w:ilvl w:val="0"/>
          <w:numId w:val="97"/>
        </w:numPr>
        <w:spacing w:after="0"/>
        <w:ind w:left="1701" w:right="760"/>
      </w:pPr>
      <w:r>
        <w:t>La canalización se divide verticalmente en dos partes iguales, la ocupación de cada pared de empalmes se hace de las ductos de afuera hacia el centro de la canalización y de las camas inferiores a las camas superiores. Véase figura 2.</w:t>
      </w:r>
    </w:p>
    <w:p w:rsidR="007C4016" w:rsidRDefault="007C4016" w:rsidP="007C4016">
      <w:pPr>
        <w:pStyle w:val="IFTnormal"/>
        <w:numPr>
          <w:ilvl w:val="0"/>
          <w:numId w:val="97"/>
        </w:numPr>
        <w:spacing w:after="0"/>
        <w:ind w:left="1701" w:right="760"/>
      </w:pPr>
      <w:r>
        <w:t>El acomodo de cables y empalmes en los soportes, se hace de forma que las camas correspondan a la misma cama de ductos. Esto se muestra en la figura 2.</w:t>
      </w:r>
    </w:p>
    <w:p w:rsidR="007C4016" w:rsidRDefault="007C4016" w:rsidP="007C4016">
      <w:pPr>
        <w:spacing w:before="240" w:after="0"/>
        <w:ind w:left="851" w:right="760"/>
        <w:jc w:val="center"/>
      </w:pPr>
      <w:r>
        <w:rPr>
          <w:rFonts w:ascii="Calibri" w:hAnsi="Calibri"/>
          <w:noProof/>
          <w:lang w:eastAsia="es-MX"/>
        </w:rPr>
        <w:lastRenderedPageBreak/>
        <w:drawing>
          <wp:inline distT="0" distB="0" distL="0" distR="0" wp14:anchorId="73D0F21B" wp14:editId="31E4FA5C">
            <wp:extent cx="3924300" cy="1924050"/>
            <wp:effectExtent l="0" t="0" r="0" b="0"/>
            <wp:docPr id="37" name="Imagen 29" descr="Figura 2. Ocupación de ductos y soportes de cables en pozos con dos paredes de empalm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300" cy="1924050"/>
                    </a:xfrm>
                    <a:prstGeom prst="rect">
                      <a:avLst/>
                    </a:prstGeom>
                    <a:noFill/>
                    <a:ln>
                      <a:noFill/>
                    </a:ln>
                  </pic:spPr>
                </pic:pic>
              </a:graphicData>
            </a:graphic>
          </wp:inline>
        </w:drawing>
      </w:r>
    </w:p>
    <w:p w:rsidR="007C4016" w:rsidRDefault="007C4016" w:rsidP="007C4016">
      <w:pPr>
        <w:pStyle w:val="IFTnormal"/>
        <w:spacing w:before="240" w:after="0"/>
        <w:ind w:left="851" w:right="760"/>
      </w:pPr>
      <w:r>
        <w:t>Figura 2. Ocupación de ductos y soportes de cables en pozos con dos paredes de empalme.</w:t>
      </w:r>
    </w:p>
    <w:p w:rsidR="007C4016" w:rsidRDefault="007C4016" w:rsidP="007C4016">
      <w:pPr>
        <w:pStyle w:val="IFTnormal"/>
        <w:numPr>
          <w:ilvl w:val="0"/>
          <w:numId w:val="98"/>
        </w:numPr>
        <w:spacing w:before="240" w:after="0"/>
        <w:ind w:left="1560" w:right="760"/>
      </w:pPr>
      <w:r>
        <w:t>En ningún caso, los cables podrán pasar por el piso del pozo.</w:t>
      </w:r>
    </w:p>
    <w:p w:rsidR="007C4016" w:rsidRDefault="007C4016" w:rsidP="007C4016">
      <w:pPr>
        <w:pStyle w:val="IFTnormal"/>
        <w:numPr>
          <w:ilvl w:val="0"/>
          <w:numId w:val="98"/>
        </w:numPr>
        <w:spacing w:before="240" w:after="0"/>
        <w:ind w:left="1560" w:right="760"/>
      </w:pPr>
      <w:r>
        <w:t>Gazas de cables de fibra:</w:t>
      </w:r>
    </w:p>
    <w:p w:rsidR="007C4016" w:rsidRDefault="007C4016" w:rsidP="007C4016">
      <w:pPr>
        <w:pStyle w:val="IFTnormal"/>
        <w:numPr>
          <w:ilvl w:val="0"/>
          <w:numId w:val="99"/>
        </w:numPr>
        <w:spacing w:before="240" w:after="0"/>
        <w:ind w:left="1701" w:right="760"/>
      </w:pPr>
      <w:r>
        <w:t>Las gazas de cables de fibra óptica se deben sujetar con 4 cinturones plásticos, distribuidos a cada 90 grados y no deben sujetarse a gazas de Telnor.</w:t>
      </w:r>
    </w:p>
    <w:p w:rsidR="007C4016" w:rsidRDefault="007C4016" w:rsidP="007C4016">
      <w:pPr>
        <w:pStyle w:val="IFTnormal"/>
        <w:numPr>
          <w:ilvl w:val="0"/>
          <w:numId w:val="99"/>
        </w:numPr>
        <w:spacing w:after="0"/>
        <w:ind w:left="1701" w:right="760"/>
      </w:pPr>
      <w:r>
        <w:t>La longitud máxima permitida para  la gaza en pozo es de 5 metros cada una, el diámetro interior de las gazas debe ser de 40 a 50 cm.</w:t>
      </w:r>
    </w:p>
    <w:p w:rsidR="007C4016" w:rsidRDefault="007C4016" w:rsidP="007C4016">
      <w:pPr>
        <w:pStyle w:val="IFTnormal"/>
        <w:numPr>
          <w:ilvl w:val="0"/>
          <w:numId w:val="100"/>
        </w:numPr>
        <w:spacing w:before="240" w:after="0"/>
        <w:ind w:left="1560" w:right="760"/>
      </w:pPr>
      <w:r>
        <w:t>Todos los cables que entren o salgan de un cierre, deben ser identificados con etiqueta diferenciadora a Telnor y a otros Concesionarios Solicitantes. La identificación será clara, duradera y legible a simple vista con el logo, marca o la identificación del Concesionario Solicitante.</w:t>
      </w:r>
    </w:p>
    <w:p w:rsidR="007C4016" w:rsidRDefault="007C4016" w:rsidP="007C4016">
      <w:pPr>
        <w:pStyle w:val="IFTnormal"/>
        <w:numPr>
          <w:ilvl w:val="0"/>
          <w:numId w:val="100"/>
        </w:numPr>
        <w:spacing w:after="0"/>
        <w:ind w:left="1560" w:right="760"/>
      </w:pPr>
      <w:r>
        <w:t>Los cables de los Concesionarios Solicitantes deberán estar plenamente identificados con la leyenda “CABLE PROPIEDAD DE NOMBRE DEL CONCESIONARIO SOLICITANTE”.</w:t>
      </w:r>
    </w:p>
    <w:p w:rsidR="007C4016" w:rsidRDefault="007C4016" w:rsidP="007C4016">
      <w:pPr>
        <w:pStyle w:val="IFTnormal"/>
        <w:numPr>
          <w:ilvl w:val="0"/>
          <w:numId w:val="100"/>
        </w:numPr>
        <w:spacing w:after="0"/>
        <w:ind w:left="1560" w:right="760"/>
      </w:pPr>
      <w:r>
        <w:t>Ubicación de los cierres de empalme o elementos pasivos del Concesionario Solicitante:</w:t>
      </w:r>
    </w:p>
    <w:p w:rsidR="007C4016" w:rsidRDefault="007C4016" w:rsidP="007C4016">
      <w:pPr>
        <w:pStyle w:val="IFTnormal"/>
        <w:numPr>
          <w:ilvl w:val="0"/>
          <w:numId w:val="101"/>
        </w:numPr>
        <w:spacing w:before="240" w:after="0"/>
        <w:ind w:left="1701" w:right="760"/>
      </w:pPr>
      <w:r>
        <w:t xml:space="preserve">Los elementos deberán ubicarse en las paredes longitudinales de los pozos tipo Ch, Med y G. </w:t>
      </w:r>
    </w:p>
    <w:p w:rsidR="007C4016" w:rsidRDefault="007C4016" w:rsidP="007C4016">
      <w:pPr>
        <w:pStyle w:val="IFTnormal"/>
        <w:numPr>
          <w:ilvl w:val="0"/>
          <w:numId w:val="101"/>
        </w:numPr>
        <w:spacing w:after="0"/>
        <w:ind w:left="1701" w:right="760"/>
      </w:pPr>
      <w:r>
        <w:lastRenderedPageBreak/>
        <w:t>Los elementos deberán ubicarse en la pared de empalmes para los pozos L, K, C, M y P.</w:t>
      </w:r>
    </w:p>
    <w:p w:rsidR="007C4016" w:rsidRDefault="007C4016" w:rsidP="007C4016">
      <w:pPr>
        <w:pStyle w:val="IFTnormal"/>
        <w:numPr>
          <w:ilvl w:val="0"/>
          <w:numId w:val="101"/>
        </w:numPr>
        <w:spacing w:after="0"/>
        <w:ind w:left="1701" w:right="760"/>
      </w:pPr>
      <w:r>
        <w:t>Está estrictamente prohibido colocar dispositivos y cables en el techo.</w:t>
      </w:r>
    </w:p>
    <w:p w:rsidR="007C4016" w:rsidRDefault="007C4016" w:rsidP="007C4016">
      <w:pPr>
        <w:pStyle w:val="IFTnormal"/>
        <w:numPr>
          <w:ilvl w:val="0"/>
          <w:numId w:val="101"/>
        </w:numPr>
        <w:spacing w:after="0"/>
        <w:ind w:left="1701" w:right="760"/>
      </w:pPr>
      <w:r>
        <w:t>Se deberá tener la precaución de no obstruir las entradas o salidas de ductos.</w:t>
      </w:r>
    </w:p>
    <w:p w:rsidR="007C4016" w:rsidRPr="00B1469D" w:rsidRDefault="007C4016" w:rsidP="007C4016">
      <w:pPr>
        <w:pStyle w:val="IFTnormal"/>
        <w:spacing w:before="240" w:after="0"/>
        <w:ind w:left="851" w:right="760"/>
        <w:rPr>
          <w:b/>
        </w:rPr>
      </w:pPr>
      <w:r w:rsidRPr="00B1469D">
        <w:rPr>
          <w:b/>
        </w:rPr>
        <w:t xml:space="preserve">6.2.- REGLAS DE SEGURIDAD PARA REALIZAR TRABAJOS DE CONSTRUCCIÓN EN CANALIZACIÓN DE </w:t>
      </w:r>
      <w:r>
        <w:rPr>
          <w:b/>
        </w:rPr>
        <w:t>TELNOR</w:t>
      </w:r>
      <w:r w:rsidRPr="00B1469D">
        <w:rPr>
          <w:b/>
        </w:rPr>
        <w:t>.</w:t>
      </w:r>
    </w:p>
    <w:p w:rsidR="007C4016" w:rsidRDefault="007C4016" w:rsidP="007C4016">
      <w:pPr>
        <w:pStyle w:val="IFTnormal"/>
        <w:spacing w:before="240" w:after="0"/>
        <w:ind w:left="851" w:right="760"/>
      </w:pPr>
      <w:r>
        <w:t>El Concesionario Solicitante deberá asegurarse que su constructor cuenta con la capacitación, los recursos humanos, herramientas, equipos y materiales para cumplir con la construcción en canalizaciones de Telnor, así como con la seguridad de sus trabajadores, de los terceros que éste contrate y peatones, en las zonas donde el Concesionario Solicitante cuente con los trabajos a construir validados por Telnor.</w:t>
      </w:r>
    </w:p>
    <w:p w:rsidR="007C4016" w:rsidRDefault="007C4016" w:rsidP="007C4016">
      <w:pPr>
        <w:pStyle w:val="IFTnormal"/>
        <w:spacing w:before="240" w:after="0"/>
        <w:ind w:left="851" w:right="760"/>
      </w:pPr>
      <w:r>
        <w:t>Todo trabajador deberá cumplir con el equipo de seguridad:</w:t>
      </w:r>
    </w:p>
    <w:p w:rsidR="007C4016" w:rsidRDefault="007C4016" w:rsidP="007C4016">
      <w:pPr>
        <w:pStyle w:val="IFTnormal"/>
        <w:numPr>
          <w:ilvl w:val="0"/>
          <w:numId w:val="102"/>
        </w:numPr>
        <w:spacing w:before="240" w:after="0"/>
        <w:ind w:left="1560" w:right="760"/>
      </w:pPr>
      <w:r>
        <w:t>Uniforme que indique el nombre del Concesionario Solicitante.</w:t>
      </w:r>
    </w:p>
    <w:p w:rsidR="007C4016" w:rsidRDefault="007C4016" w:rsidP="007C4016">
      <w:pPr>
        <w:pStyle w:val="IFTnormal"/>
        <w:numPr>
          <w:ilvl w:val="0"/>
          <w:numId w:val="102"/>
        </w:numPr>
        <w:spacing w:after="0"/>
        <w:ind w:left="1560" w:right="760"/>
      </w:pPr>
      <w:r>
        <w:t>Guantes contra riesgos mecánicos y contra agresivos químicos.</w:t>
      </w:r>
    </w:p>
    <w:p w:rsidR="007C4016" w:rsidRDefault="007C4016" w:rsidP="007C4016">
      <w:pPr>
        <w:pStyle w:val="IFTnormal"/>
        <w:numPr>
          <w:ilvl w:val="0"/>
          <w:numId w:val="102"/>
        </w:numPr>
        <w:spacing w:after="0"/>
        <w:ind w:left="1560" w:right="760"/>
      </w:pPr>
      <w:r>
        <w:t>Casco dieléctrico.</w:t>
      </w:r>
    </w:p>
    <w:p w:rsidR="007C4016" w:rsidRDefault="007C4016" w:rsidP="007C4016">
      <w:pPr>
        <w:pStyle w:val="IFTnormal"/>
        <w:numPr>
          <w:ilvl w:val="0"/>
          <w:numId w:val="102"/>
        </w:numPr>
        <w:spacing w:after="0"/>
        <w:ind w:left="1560" w:right="760"/>
      </w:pPr>
      <w:r>
        <w:t>Zapatos de seguridad.</w:t>
      </w:r>
    </w:p>
    <w:p w:rsidR="007C4016" w:rsidRDefault="007C4016" w:rsidP="007C4016">
      <w:pPr>
        <w:pStyle w:val="IFTnormal"/>
        <w:numPr>
          <w:ilvl w:val="0"/>
          <w:numId w:val="102"/>
        </w:numPr>
        <w:spacing w:after="0"/>
        <w:ind w:left="1560" w:right="760"/>
      </w:pPr>
      <w:r>
        <w:t>Botas bajas de cuero, de agua.</w:t>
      </w:r>
    </w:p>
    <w:p w:rsidR="007C4016" w:rsidRDefault="007C4016" w:rsidP="007C4016">
      <w:pPr>
        <w:pStyle w:val="IFTnormal"/>
        <w:numPr>
          <w:ilvl w:val="0"/>
          <w:numId w:val="102"/>
        </w:numPr>
        <w:spacing w:after="0"/>
        <w:ind w:left="1560" w:right="760"/>
      </w:pPr>
      <w:r>
        <w:t>Gafas de seguridad.</w:t>
      </w:r>
    </w:p>
    <w:p w:rsidR="007C4016" w:rsidRDefault="007C4016" w:rsidP="007C4016">
      <w:pPr>
        <w:pStyle w:val="IFTnormal"/>
        <w:numPr>
          <w:ilvl w:val="0"/>
          <w:numId w:val="102"/>
        </w:numPr>
        <w:spacing w:after="0"/>
        <w:ind w:left="1560" w:right="760"/>
      </w:pPr>
      <w:r>
        <w:t>Protector lumbar.</w:t>
      </w:r>
    </w:p>
    <w:p w:rsidR="007C4016" w:rsidRDefault="007C4016" w:rsidP="007C4016">
      <w:pPr>
        <w:pStyle w:val="IFTnormal"/>
        <w:numPr>
          <w:ilvl w:val="0"/>
          <w:numId w:val="102"/>
        </w:numPr>
        <w:spacing w:after="0"/>
        <w:ind w:left="1560" w:right="760"/>
      </w:pPr>
      <w:r>
        <w:t>Bolsas portaherramientas, etc.</w:t>
      </w:r>
    </w:p>
    <w:p w:rsidR="007C4016" w:rsidRDefault="007C4016" w:rsidP="007C4016">
      <w:pPr>
        <w:pStyle w:val="IFTnormal"/>
        <w:numPr>
          <w:ilvl w:val="0"/>
          <w:numId w:val="102"/>
        </w:numPr>
        <w:spacing w:after="0"/>
        <w:ind w:left="1560" w:right="760"/>
      </w:pPr>
      <w:r>
        <w:t>Chaleco reflectante, etc.</w:t>
      </w:r>
    </w:p>
    <w:p w:rsidR="007C4016" w:rsidRDefault="007C4016" w:rsidP="007C4016">
      <w:pPr>
        <w:pStyle w:val="IFTnormal"/>
        <w:spacing w:before="240" w:after="0"/>
        <w:ind w:left="851" w:right="760"/>
      </w:pPr>
      <w:r>
        <w:t>La obra:</w:t>
      </w:r>
    </w:p>
    <w:p w:rsidR="007C4016" w:rsidRDefault="007C4016" w:rsidP="007C4016">
      <w:pPr>
        <w:pStyle w:val="IFTnormal"/>
        <w:numPr>
          <w:ilvl w:val="0"/>
          <w:numId w:val="103"/>
        </w:numPr>
        <w:spacing w:before="240" w:after="0"/>
        <w:ind w:left="1560" w:right="760"/>
      </w:pPr>
      <w:r>
        <w:t>Escalera.</w:t>
      </w:r>
    </w:p>
    <w:p w:rsidR="007C4016" w:rsidRDefault="007C4016" w:rsidP="007C4016">
      <w:pPr>
        <w:pStyle w:val="IFTnormal"/>
        <w:numPr>
          <w:ilvl w:val="0"/>
          <w:numId w:val="103"/>
        </w:numPr>
        <w:spacing w:after="0"/>
        <w:ind w:left="1560" w:right="760"/>
      </w:pPr>
      <w:r>
        <w:t>Conos de señalamiento.</w:t>
      </w:r>
    </w:p>
    <w:p w:rsidR="007C4016" w:rsidRDefault="007C4016" w:rsidP="007C4016">
      <w:pPr>
        <w:pStyle w:val="IFTnormal"/>
        <w:numPr>
          <w:ilvl w:val="0"/>
          <w:numId w:val="103"/>
        </w:numPr>
        <w:spacing w:after="0"/>
        <w:ind w:left="1560" w:right="760"/>
      </w:pPr>
      <w:r>
        <w:t>Cintas de señalización.</w:t>
      </w:r>
    </w:p>
    <w:p w:rsidR="007C4016" w:rsidRDefault="007C4016" w:rsidP="007C4016">
      <w:pPr>
        <w:pStyle w:val="IFTnormal"/>
        <w:numPr>
          <w:ilvl w:val="0"/>
          <w:numId w:val="103"/>
        </w:numPr>
        <w:spacing w:after="0"/>
        <w:ind w:left="1560" w:right="760"/>
      </w:pPr>
      <w:r>
        <w:t>Herramienta para instalar cable aéreo (porta bobina, pértiga, poleas, winch, etc.).</w:t>
      </w:r>
    </w:p>
    <w:p w:rsidR="007C4016" w:rsidRDefault="007C4016" w:rsidP="007C4016">
      <w:pPr>
        <w:pStyle w:val="IFTnormal"/>
        <w:numPr>
          <w:ilvl w:val="0"/>
          <w:numId w:val="103"/>
        </w:numPr>
        <w:spacing w:after="0"/>
        <w:ind w:left="1560" w:right="760"/>
      </w:pPr>
      <w:r>
        <w:lastRenderedPageBreak/>
        <w:t>Manta indicando: el Concesionario Solicitante que está construyendo, tiempo de duración de la Obra, Número telefónico del responsable de la obra, obra que se está realizando, identificador de la obra, etc.</w:t>
      </w:r>
    </w:p>
    <w:p w:rsidR="007C4016" w:rsidRDefault="007C4016" w:rsidP="007C4016">
      <w:pPr>
        <w:pStyle w:val="IFTnormal"/>
        <w:spacing w:before="240" w:after="0"/>
        <w:ind w:left="851" w:right="760"/>
      </w:pPr>
      <w:r>
        <w:t>Vehículos:</w:t>
      </w:r>
    </w:p>
    <w:p w:rsidR="007C4016" w:rsidRDefault="007C4016" w:rsidP="007C4016">
      <w:pPr>
        <w:pStyle w:val="IFTnormal"/>
        <w:numPr>
          <w:ilvl w:val="0"/>
          <w:numId w:val="104"/>
        </w:numPr>
        <w:spacing w:before="240" w:after="0"/>
        <w:ind w:left="1560" w:right="760"/>
      </w:pPr>
      <w:r>
        <w:t>Identificación del Concesionario Solicitante responsable de la obra.</w:t>
      </w:r>
    </w:p>
    <w:p w:rsidR="007C4016" w:rsidRDefault="007C4016" w:rsidP="007C4016">
      <w:pPr>
        <w:pStyle w:val="IFTnormal"/>
        <w:numPr>
          <w:ilvl w:val="0"/>
          <w:numId w:val="104"/>
        </w:numPr>
        <w:spacing w:after="0"/>
        <w:ind w:left="1560" w:right="760"/>
      </w:pPr>
      <w:r>
        <w:t>Teléfono para quejas, etc.</w:t>
      </w:r>
    </w:p>
    <w:p w:rsidR="007C4016" w:rsidRDefault="007C4016" w:rsidP="007C4016">
      <w:pPr>
        <w:pStyle w:val="IFTnormal"/>
        <w:numPr>
          <w:ilvl w:val="0"/>
          <w:numId w:val="104"/>
        </w:numPr>
        <w:spacing w:after="0"/>
        <w:ind w:left="1560" w:right="760"/>
      </w:pPr>
      <w:r>
        <w:t>Se debe poner especial atención en que los materiales, herramienta y equipo no queden tan próximos a la boca del pozo, que pudieran caer al interior del mismo, lesionando con ello al técnico que está trabajando en el interior o a los cables existentes.</w:t>
      </w:r>
    </w:p>
    <w:p w:rsidR="007C4016" w:rsidRPr="00B1469D" w:rsidRDefault="007C4016" w:rsidP="007C4016">
      <w:pPr>
        <w:pStyle w:val="IFTnormal"/>
        <w:spacing w:before="240" w:after="0"/>
        <w:ind w:left="851" w:right="760"/>
        <w:rPr>
          <w:b/>
        </w:rPr>
      </w:pPr>
      <w:r w:rsidRPr="00B1469D">
        <w:rPr>
          <w:b/>
        </w:rPr>
        <w:t>6.2.1.- Apertura y cierre del Pozo.</w:t>
      </w:r>
    </w:p>
    <w:p w:rsidR="007C4016" w:rsidRDefault="007C4016" w:rsidP="007C4016">
      <w:pPr>
        <w:pStyle w:val="IFTnormal"/>
        <w:numPr>
          <w:ilvl w:val="0"/>
          <w:numId w:val="105"/>
        </w:numPr>
        <w:spacing w:before="240" w:after="0"/>
        <w:ind w:left="1560" w:right="760"/>
      </w:pPr>
      <w:r>
        <w:t>Con carácter general y antes de iniciar los trabajos y proceder a la apertura del pozo es preciso proteger colocando los dispositivos de señalización.</w:t>
      </w:r>
    </w:p>
    <w:p w:rsidR="007C4016" w:rsidRDefault="007C4016" w:rsidP="007C4016">
      <w:pPr>
        <w:pStyle w:val="IFTnormal"/>
        <w:numPr>
          <w:ilvl w:val="0"/>
          <w:numId w:val="105"/>
        </w:numPr>
        <w:spacing w:after="0"/>
        <w:ind w:left="1560" w:right="760"/>
      </w:pPr>
      <w:r>
        <w:t>Cuando se tiene acceso a un pozo para realizar el enlace con un pozo del Concesionario Solicitante o para su uso, tanto la apertura como el cierre de la tapa se llevarán a cabo con la mayor precaución posible, a fin de evitar la caída de  la tapa en el interior del registro, con el consiguiente daño y afectación de la Red instalada.</w:t>
      </w:r>
    </w:p>
    <w:p w:rsidR="007C4016" w:rsidRDefault="007C4016" w:rsidP="007C4016">
      <w:pPr>
        <w:pStyle w:val="IFTnormal"/>
        <w:numPr>
          <w:ilvl w:val="0"/>
          <w:numId w:val="105"/>
        </w:numPr>
        <w:spacing w:after="0"/>
        <w:ind w:left="1560" w:right="760"/>
      </w:pPr>
      <w:r>
        <w:t>Las tapas de los pozos se levantarán con el gancho. En ningún caso se emplearán otras herramientas. El manejo de la tapa, una vez abierto el pozo, se hará por deslizamiento. Si no fuese posible deslizar la tapa, por ejemplo, en los casos en que el acceso al pozo está elevado respecto del terreno circundante, entre dos personas se alzará la tapa; una vez terminado el trabajo en el pozo, se presentará la tapa sobre el marco y se encajonará finalmente por deslizamiento. Véase figura 3.</w:t>
      </w:r>
    </w:p>
    <w:p w:rsidR="007C4016" w:rsidRPr="00B1469D" w:rsidRDefault="007C4016" w:rsidP="007C4016">
      <w:pPr>
        <w:pStyle w:val="IFTnormal"/>
        <w:spacing w:before="240" w:after="0"/>
        <w:ind w:left="851" w:right="760"/>
        <w:rPr>
          <w:b/>
        </w:rPr>
      </w:pPr>
      <w:r w:rsidRPr="00B1469D">
        <w:rPr>
          <w:b/>
        </w:rPr>
        <w:t>6.2.2.- Entrada al pozo.</w:t>
      </w:r>
    </w:p>
    <w:p w:rsidR="007C4016" w:rsidRDefault="007C4016" w:rsidP="007C4016">
      <w:pPr>
        <w:pStyle w:val="IFTnormal"/>
        <w:numPr>
          <w:ilvl w:val="0"/>
          <w:numId w:val="106"/>
        </w:numPr>
        <w:spacing w:before="240" w:after="0"/>
        <w:ind w:left="1560" w:right="760"/>
      </w:pPr>
      <w:r>
        <w:lastRenderedPageBreak/>
        <w:t>Para entrar a un pozo, el Concesionario Solicitante realizará las siguientes actividades, a fin de que haya condiciones de seguridad y limpieza, para evitar daños a cables ya instalados y que ocasionen faltas en el servicio, así como riesgos al personal.</w:t>
      </w:r>
    </w:p>
    <w:p w:rsidR="007C4016" w:rsidRDefault="007C4016" w:rsidP="007C4016">
      <w:pPr>
        <w:pStyle w:val="IFTnormal"/>
        <w:numPr>
          <w:ilvl w:val="0"/>
          <w:numId w:val="106"/>
        </w:numPr>
        <w:spacing w:after="0"/>
        <w:ind w:left="1560" w:right="760"/>
      </w:pPr>
      <w:r>
        <w:t>Detección de gases en Pozo. Se considera en principio a todo pozo como posible depósito de gases explosivos, tóxicos, asfixiantes o carencia de oxígeno; es por ello, que la entrada al pozo irá precedida por la determinación del porcentaje de oxígeno y de la detección de gases, tanto tóxicos como explosivos. En los sitios o zonas en los que se tengan antecedentes de riesgos y también en aquellos pozos cercanos a:</w:t>
      </w:r>
    </w:p>
    <w:p w:rsidR="007C4016" w:rsidRDefault="007C4016" w:rsidP="007C4016">
      <w:pPr>
        <w:pStyle w:val="IFTnormal"/>
        <w:numPr>
          <w:ilvl w:val="0"/>
          <w:numId w:val="107"/>
        </w:numPr>
        <w:spacing w:before="240" w:after="0"/>
        <w:ind w:left="1701" w:right="760"/>
      </w:pPr>
      <w:r>
        <w:t>Redes subterráneas de gas natural para consumo de la población.</w:t>
      </w:r>
    </w:p>
    <w:p w:rsidR="007C4016" w:rsidRDefault="007C4016" w:rsidP="007C4016">
      <w:pPr>
        <w:pStyle w:val="IFTnormal"/>
        <w:numPr>
          <w:ilvl w:val="0"/>
          <w:numId w:val="107"/>
        </w:numPr>
        <w:spacing w:after="0"/>
        <w:ind w:left="1701" w:right="760"/>
      </w:pPr>
      <w:r>
        <w:t>Estaciones de venta de gasolina y diesel.</w:t>
      </w:r>
    </w:p>
    <w:p w:rsidR="007C4016" w:rsidRDefault="007C4016" w:rsidP="007C4016">
      <w:pPr>
        <w:pStyle w:val="IFTnormal"/>
        <w:numPr>
          <w:ilvl w:val="0"/>
          <w:numId w:val="107"/>
        </w:numPr>
        <w:spacing w:after="0"/>
        <w:ind w:left="1701" w:right="760"/>
      </w:pPr>
      <w:r>
        <w:t>Edificios con depósito de gasolina y diesel.</w:t>
      </w:r>
    </w:p>
    <w:p w:rsidR="007C4016" w:rsidRDefault="007C4016" w:rsidP="007C4016">
      <w:pPr>
        <w:pStyle w:val="IFTnormal"/>
        <w:numPr>
          <w:ilvl w:val="0"/>
          <w:numId w:val="107"/>
        </w:numPr>
        <w:spacing w:after="0"/>
        <w:ind w:left="1701" w:right="760"/>
      </w:pPr>
      <w:r>
        <w:t>Ductos de PEMEX.</w:t>
      </w:r>
    </w:p>
    <w:p w:rsidR="007C4016" w:rsidRDefault="007C4016" w:rsidP="007C4016">
      <w:pPr>
        <w:pStyle w:val="IFTnormal"/>
        <w:numPr>
          <w:ilvl w:val="0"/>
          <w:numId w:val="107"/>
        </w:numPr>
        <w:spacing w:after="0"/>
        <w:ind w:left="1701" w:right="760"/>
      </w:pPr>
      <w:r>
        <w:t>Estaciones de gas y plantas petroquímicas.</w:t>
      </w:r>
    </w:p>
    <w:p w:rsidR="007C4016" w:rsidRDefault="007C4016" w:rsidP="007C4016">
      <w:pPr>
        <w:pStyle w:val="IFTnormal"/>
        <w:numPr>
          <w:ilvl w:val="0"/>
          <w:numId w:val="108"/>
        </w:numPr>
        <w:spacing w:before="240" w:after="0"/>
        <w:ind w:left="1560" w:right="760"/>
      </w:pPr>
      <w:r>
        <w:t>No debe entrar ningún trabajador del CS a un pozo sin antes haber efectuado pruebas que permitan asegurar que no existen gases peligrosos. Cuando se realice cualquier trabajo en pozo, es necesario realizar previamente lo siguiente:</w:t>
      </w:r>
    </w:p>
    <w:p w:rsidR="007C4016" w:rsidRDefault="007C4016" w:rsidP="007C4016">
      <w:pPr>
        <w:pStyle w:val="IFTnormal"/>
        <w:numPr>
          <w:ilvl w:val="0"/>
          <w:numId w:val="109"/>
        </w:numPr>
        <w:spacing w:before="240" w:after="0"/>
        <w:ind w:left="1701" w:right="760"/>
      </w:pPr>
      <w:r>
        <w:t>Localización del pozo.</w:t>
      </w:r>
    </w:p>
    <w:p w:rsidR="007C4016" w:rsidRDefault="007C4016" w:rsidP="007C4016">
      <w:pPr>
        <w:pStyle w:val="IFTnormal"/>
        <w:numPr>
          <w:ilvl w:val="0"/>
          <w:numId w:val="109"/>
        </w:numPr>
        <w:spacing w:after="0"/>
        <w:ind w:left="1701" w:right="760"/>
      </w:pPr>
      <w:r>
        <w:t>Colocación de señalización en la entrada al pozo; ya que toda obra que se ejecuta en la vía pública, deben contar con dispositivos de señalización preventivos, restrictivos e informativos.</w:t>
      </w:r>
    </w:p>
    <w:p w:rsidR="007C4016" w:rsidRDefault="007C4016" w:rsidP="007C4016">
      <w:pPr>
        <w:pStyle w:val="IFTnormal"/>
        <w:numPr>
          <w:ilvl w:val="0"/>
          <w:numId w:val="109"/>
        </w:numPr>
        <w:spacing w:after="0"/>
        <w:ind w:left="1701" w:right="760"/>
      </w:pPr>
      <w:r>
        <w:t>Proceda a la apertura del pozo.</w:t>
      </w:r>
    </w:p>
    <w:p w:rsidR="007C4016" w:rsidRDefault="007C4016" w:rsidP="007C4016">
      <w:pPr>
        <w:pStyle w:val="IFTnormal"/>
        <w:numPr>
          <w:ilvl w:val="0"/>
          <w:numId w:val="109"/>
        </w:numPr>
        <w:spacing w:after="0"/>
        <w:ind w:left="1701" w:right="760"/>
      </w:pPr>
      <w:r>
        <w:t>Detección de gases.</w:t>
      </w:r>
    </w:p>
    <w:p w:rsidR="007C4016" w:rsidRDefault="007C4016" w:rsidP="007C4016">
      <w:pPr>
        <w:pStyle w:val="IFTnormal"/>
        <w:numPr>
          <w:ilvl w:val="0"/>
          <w:numId w:val="109"/>
        </w:numPr>
        <w:spacing w:after="0"/>
        <w:ind w:left="1701" w:right="760"/>
      </w:pPr>
      <w:r>
        <w:t>Carencia de oxigeno o irrespirable.</w:t>
      </w:r>
    </w:p>
    <w:p w:rsidR="007C4016" w:rsidRDefault="007C4016" w:rsidP="007C4016">
      <w:pPr>
        <w:pStyle w:val="IFTnormal"/>
        <w:numPr>
          <w:ilvl w:val="0"/>
          <w:numId w:val="109"/>
        </w:numPr>
        <w:spacing w:after="0"/>
        <w:ind w:left="1701" w:right="760"/>
      </w:pPr>
      <w:r>
        <w:t>Gas explosivo.</w:t>
      </w:r>
    </w:p>
    <w:p w:rsidR="007C4016" w:rsidRDefault="007C4016" w:rsidP="007C4016">
      <w:pPr>
        <w:pStyle w:val="IFTnormal"/>
        <w:numPr>
          <w:ilvl w:val="0"/>
          <w:numId w:val="109"/>
        </w:numPr>
        <w:spacing w:after="0"/>
        <w:ind w:left="1701" w:right="760"/>
      </w:pPr>
      <w:r>
        <w:t>Gas tóxico.</w:t>
      </w:r>
    </w:p>
    <w:p w:rsidR="007C4016" w:rsidRDefault="007C4016" w:rsidP="007C4016">
      <w:pPr>
        <w:pStyle w:val="IFTnormal"/>
        <w:numPr>
          <w:ilvl w:val="0"/>
          <w:numId w:val="110"/>
        </w:numPr>
        <w:spacing w:before="240" w:after="0"/>
        <w:ind w:left="1560" w:right="760"/>
      </w:pPr>
      <w:r>
        <w:t>Si hay gases se procede:</w:t>
      </w:r>
    </w:p>
    <w:p w:rsidR="007C4016" w:rsidRDefault="007C4016" w:rsidP="007C4016">
      <w:pPr>
        <w:pStyle w:val="IFTnormal"/>
        <w:numPr>
          <w:ilvl w:val="0"/>
          <w:numId w:val="111"/>
        </w:numPr>
        <w:spacing w:before="240" w:after="0"/>
        <w:ind w:left="1701" w:right="760"/>
      </w:pPr>
      <w:r>
        <w:lastRenderedPageBreak/>
        <w:t>A la ventilación del pozo.</w:t>
      </w:r>
    </w:p>
    <w:p w:rsidR="007C4016" w:rsidRDefault="007C4016" w:rsidP="007C4016">
      <w:pPr>
        <w:pStyle w:val="IFTnormal"/>
        <w:numPr>
          <w:ilvl w:val="0"/>
          <w:numId w:val="111"/>
        </w:numPr>
        <w:spacing w:after="0"/>
        <w:ind w:left="1701" w:right="760"/>
      </w:pPr>
      <w:r>
        <w:t>Se vuelve a medir si existe la presencia de gases en el pozo.</w:t>
      </w:r>
    </w:p>
    <w:p w:rsidR="007C4016" w:rsidRDefault="007C4016" w:rsidP="007C4016">
      <w:pPr>
        <w:pStyle w:val="IFTnormal"/>
        <w:numPr>
          <w:ilvl w:val="0"/>
          <w:numId w:val="111"/>
        </w:numPr>
        <w:spacing w:after="0"/>
        <w:ind w:left="1701" w:right="760"/>
      </w:pPr>
      <w:r>
        <w:t>Si, a pesar de ventilar el pozo previamente a los trabajos, se detectan gases, existe falta de oxígeno, o existen de gases por emanación, se debe cerrar el pozo e informar a Telnor.</w:t>
      </w:r>
    </w:p>
    <w:p w:rsidR="007C4016" w:rsidRPr="00B1469D" w:rsidRDefault="007C4016" w:rsidP="007C4016">
      <w:pPr>
        <w:pStyle w:val="IFTnormal"/>
        <w:spacing w:before="240" w:after="0"/>
        <w:ind w:left="851" w:right="760"/>
        <w:rPr>
          <w:b/>
        </w:rPr>
      </w:pPr>
      <w:r w:rsidRPr="00B1469D">
        <w:rPr>
          <w:b/>
        </w:rPr>
        <w:t>6.2.2.1.- Precauciones que deben seguir al trabajar en pozos.</w:t>
      </w:r>
    </w:p>
    <w:p w:rsidR="007C4016" w:rsidRDefault="007C4016" w:rsidP="007C4016">
      <w:pPr>
        <w:pStyle w:val="IFTnormal"/>
        <w:numPr>
          <w:ilvl w:val="0"/>
          <w:numId w:val="112"/>
        </w:numPr>
        <w:spacing w:before="240" w:after="0"/>
        <w:ind w:left="1560" w:right="760"/>
      </w:pPr>
      <w:r>
        <w:t>Acondicionamiento de los pozos por parte del CS, si se trabaja la inmersión de cables.</w:t>
      </w:r>
    </w:p>
    <w:p w:rsidR="007C4016" w:rsidRDefault="007C4016" w:rsidP="007C4016">
      <w:pPr>
        <w:pStyle w:val="IFTnormal"/>
        <w:numPr>
          <w:ilvl w:val="0"/>
          <w:numId w:val="113"/>
        </w:numPr>
        <w:spacing w:after="0"/>
        <w:ind w:left="1701" w:right="760"/>
      </w:pPr>
      <w:r>
        <w:t>Instale el brocal contra escurrimientos si existe el riesgo de inundación.</w:t>
      </w:r>
    </w:p>
    <w:p w:rsidR="007C4016" w:rsidRDefault="007C4016" w:rsidP="007C4016">
      <w:pPr>
        <w:pStyle w:val="IFTnormal"/>
        <w:numPr>
          <w:ilvl w:val="0"/>
          <w:numId w:val="113"/>
        </w:numPr>
        <w:spacing w:after="0"/>
        <w:ind w:left="1701" w:right="760"/>
      </w:pPr>
      <w:r>
        <w:t>Colocar sombrilla para cablista y defensa para pozo.</w:t>
      </w:r>
    </w:p>
    <w:p w:rsidR="007C4016" w:rsidRDefault="007C4016" w:rsidP="007C4016">
      <w:pPr>
        <w:pStyle w:val="IFTnormal"/>
        <w:numPr>
          <w:ilvl w:val="0"/>
          <w:numId w:val="113"/>
        </w:numPr>
        <w:spacing w:after="0"/>
        <w:ind w:left="1701" w:right="760"/>
      </w:pPr>
      <w:r>
        <w:t>Instalar extractor de aire.</w:t>
      </w:r>
    </w:p>
    <w:p w:rsidR="007C4016" w:rsidRDefault="007C4016" w:rsidP="007C4016">
      <w:pPr>
        <w:pStyle w:val="IFTnormal"/>
        <w:numPr>
          <w:ilvl w:val="0"/>
          <w:numId w:val="114"/>
        </w:numPr>
        <w:spacing w:before="240" w:after="0"/>
        <w:ind w:left="1560" w:right="760"/>
      </w:pPr>
      <w:r>
        <w:t>En el interior o en la boca del pozo está rigurosamente prohibido fumar.</w:t>
      </w:r>
    </w:p>
    <w:p w:rsidR="007C4016" w:rsidRDefault="007C4016" w:rsidP="007C4016">
      <w:pPr>
        <w:pStyle w:val="IFTnormal"/>
        <w:numPr>
          <w:ilvl w:val="0"/>
          <w:numId w:val="114"/>
        </w:numPr>
        <w:spacing w:after="0"/>
        <w:ind w:left="1560" w:right="760"/>
      </w:pPr>
      <w:r>
        <w:t>Encender fósforos o mecheros, introducir quemadores de gas encendidos, encendedores, para soldar o para contraer mangas termo-contráctiles; en el interior del pozo antes de ello, debe asegurarse de que la ventilación es total y no existe peligro de una explosión.</w:t>
      </w:r>
    </w:p>
    <w:p w:rsidR="007C4016" w:rsidRDefault="007C4016" w:rsidP="007C4016">
      <w:pPr>
        <w:pStyle w:val="IFTnormal"/>
        <w:numPr>
          <w:ilvl w:val="0"/>
          <w:numId w:val="114"/>
        </w:numPr>
        <w:spacing w:after="0"/>
        <w:ind w:left="1560" w:right="760"/>
      </w:pPr>
      <w:r>
        <w:t>Se debe contar con todos los insumos necesarios (material, equipo y herramienta) para poder hacer el trabajo en el pozo, de no contar con ellos, NO SE DEBE iniciar la ejecución de los trabajos.</w:t>
      </w:r>
    </w:p>
    <w:p w:rsidR="007C4016" w:rsidRPr="00B1469D" w:rsidRDefault="007C4016" w:rsidP="007C4016">
      <w:pPr>
        <w:pStyle w:val="IFTnormal"/>
        <w:spacing w:before="240" w:after="0"/>
        <w:ind w:left="851" w:right="760"/>
        <w:rPr>
          <w:b/>
        </w:rPr>
      </w:pPr>
      <w:r w:rsidRPr="00B1469D">
        <w:rPr>
          <w:b/>
        </w:rPr>
        <w:t>6.2.2.2.- Colocación de Señalización.</w:t>
      </w:r>
    </w:p>
    <w:p w:rsidR="007C4016" w:rsidRDefault="007C4016" w:rsidP="007C4016">
      <w:pPr>
        <w:pStyle w:val="IFTnormal"/>
        <w:numPr>
          <w:ilvl w:val="0"/>
          <w:numId w:val="115"/>
        </w:numPr>
        <w:spacing w:before="240" w:after="0"/>
        <w:ind w:left="1560" w:right="760"/>
      </w:pPr>
      <w:r>
        <w:t>Cuando el pozo se localiza en el arroyo, se colocarán conos a cada 5 m, formando un triángulo con base de 4 m y un vértice distante a 25 m, tanto en avenidas como en ejes viales como se muestra en la figura 3.</w:t>
      </w:r>
    </w:p>
    <w:p w:rsidR="007C4016" w:rsidRDefault="007C4016" w:rsidP="007C4016">
      <w:pPr>
        <w:pStyle w:val="IFTnormal"/>
        <w:spacing w:before="240" w:after="0"/>
        <w:ind w:left="851" w:right="760"/>
        <w:jc w:val="center"/>
      </w:pPr>
      <w:r>
        <w:rPr>
          <w:rFonts w:ascii="Calibri" w:hAnsi="Calibri"/>
          <w:noProof/>
          <w:sz w:val="24"/>
          <w:szCs w:val="24"/>
          <w:lang w:eastAsia="es-MX"/>
        </w:rPr>
        <w:lastRenderedPageBreak/>
        <w:drawing>
          <wp:inline distT="0" distB="0" distL="0" distR="0" wp14:anchorId="38655B56" wp14:editId="236DC9C3">
            <wp:extent cx="2038350" cy="2070100"/>
            <wp:effectExtent l="0" t="0" r="0" b="6350"/>
            <wp:docPr id="38" name="Imagen 5" descr=" Figura 3. Señalización de pozo en arroy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8350" cy="2070100"/>
                    </a:xfrm>
                    <a:prstGeom prst="rect">
                      <a:avLst/>
                    </a:prstGeom>
                    <a:noFill/>
                    <a:ln>
                      <a:noFill/>
                    </a:ln>
                  </pic:spPr>
                </pic:pic>
              </a:graphicData>
            </a:graphic>
          </wp:inline>
        </w:drawing>
      </w:r>
    </w:p>
    <w:p w:rsidR="007C4016" w:rsidRDefault="007C4016" w:rsidP="007C4016">
      <w:pPr>
        <w:pStyle w:val="IFTnormal"/>
        <w:spacing w:before="240" w:after="0"/>
        <w:ind w:left="851" w:right="760"/>
        <w:jc w:val="center"/>
      </w:pPr>
      <w:r>
        <w:t xml:space="preserve"> Figura 3. Señalización de pozo en arroyo.</w:t>
      </w:r>
    </w:p>
    <w:p w:rsidR="007C4016" w:rsidRPr="00B1469D" w:rsidRDefault="007C4016" w:rsidP="007C4016">
      <w:pPr>
        <w:pStyle w:val="IFTnormal"/>
        <w:spacing w:before="240" w:after="0"/>
        <w:ind w:left="851" w:right="760"/>
        <w:rPr>
          <w:b/>
        </w:rPr>
      </w:pPr>
      <w:r w:rsidRPr="00B1469D">
        <w:rPr>
          <w:b/>
        </w:rPr>
        <w:t>6.2.2.3.- Limpieza y Ventilación.</w:t>
      </w:r>
    </w:p>
    <w:p w:rsidR="007C4016" w:rsidRDefault="007C4016" w:rsidP="007C4016">
      <w:pPr>
        <w:pStyle w:val="IFTnormal"/>
        <w:numPr>
          <w:ilvl w:val="0"/>
          <w:numId w:val="116"/>
        </w:numPr>
        <w:spacing w:before="240" w:after="0"/>
        <w:ind w:left="1560" w:right="760"/>
      </w:pPr>
      <w:r>
        <w:t>Retire todos los desperdicios y basura.</w:t>
      </w:r>
    </w:p>
    <w:p w:rsidR="007C4016" w:rsidRDefault="007C4016" w:rsidP="007C4016">
      <w:pPr>
        <w:pStyle w:val="IFTnormal"/>
        <w:numPr>
          <w:ilvl w:val="0"/>
          <w:numId w:val="116"/>
        </w:numPr>
        <w:spacing w:after="0"/>
        <w:ind w:left="1560" w:right="760"/>
      </w:pPr>
      <w:r>
        <w:t>Limpie los muros de la zona del empalme.</w:t>
      </w:r>
    </w:p>
    <w:p w:rsidR="007C4016" w:rsidRDefault="007C4016" w:rsidP="007C4016">
      <w:pPr>
        <w:pStyle w:val="IFTnormal"/>
        <w:numPr>
          <w:ilvl w:val="0"/>
          <w:numId w:val="116"/>
        </w:numPr>
        <w:spacing w:after="0"/>
        <w:ind w:left="1560" w:right="760"/>
      </w:pPr>
      <w:r>
        <w:t>Aplique bactericida y desodorante en paredes y en el firme del pozo.</w:t>
      </w:r>
    </w:p>
    <w:p w:rsidR="007C4016" w:rsidRDefault="007C4016" w:rsidP="007C4016">
      <w:pPr>
        <w:pStyle w:val="IFTnormal"/>
        <w:numPr>
          <w:ilvl w:val="0"/>
          <w:numId w:val="116"/>
        </w:numPr>
        <w:spacing w:after="0"/>
        <w:ind w:left="1560" w:right="760"/>
      </w:pPr>
      <w:r>
        <w:t>Use mascarilla contra malos olores en caso de ser necesario.</w:t>
      </w:r>
    </w:p>
    <w:p w:rsidR="007C4016" w:rsidRDefault="007C4016" w:rsidP="007C4016">
      <w:pPr>
        <w:pStyle w:val="IFTnormal"/>
        <w:numPr>
          <w:ilvl w:val="0"/>
          <w:numId w:val="116"/>
        </w:numPr>
        <w:spacing w:after="0"/>
        <w:ind w:left="1560" w:right="760"/>
      </w:pPr>
      <w:r>
        <w:t>Coloque el extractor de aire en el brocal o en el acceso del pozo para ventilarlo y poder realizar los trabajos más cómodamente, sí en el interior del pozo persisten los malos olores.</w:t>
      </w:r>
    </w:p>
    <w:p w:rsidR="007C4016" w:rsidRDefault="007C4016" w:rsidP="007C4016">
      <w:pPr>
        <w:pStyle w:val="IFTnormal"/>
        <w:numPr>
          <w:ilvl w:val="0"/>
          <w:numId w:val="116"/>
        </w:numPr>
        <w:spacing w:after="0"/>
        <w:ind w:left="1560" w:right="760"/>
      </w:pPr>
      <w:r>
        <w:t>Coloque cartones en el firme del pozo en forma de tarima.</w:t>
      </w:r>
    </w:p>
    <w:p w:rsidR="007C4016" w:rsidRDefault="007C4016" w:rsidP="007C4016">
      <w:pPr>
        <w:pStyle w:val="IFTnormal"/>
        <w:numPr>
          <w:ilvl w:val="0"/>
          <w:numId w:val="116"/>
        </w:numPr>
        <w:spacing w:after="0"/>
        <w:ind w:left="1560" w:right="760"/>
      </w:pPr>
      <w:r>
        <w:t>Al finalizar el trabajo, el pozo, la baqueta o el arroyo deberá quedar sin material sobrante de la actividad.</w:t>
      </w:r>
    </w:p>
    <w:p w:rsidR="007C4016" w:rsidRPr="00B1469D" w:rsidRDefault="007C4016" w:rsidP="007C4016">
      <w:pPr>
        <w:pStyle w:val="IFTnormal"/>
        <w:spacing w:before="240" w:after="0"/>
        <w:ind w:left="851" w:right="760"/>
        <w:rPr>
          <w:b/>
        </w:rPr>
      </w:pPr>
      <w:r w:rsidRPr="00B1469D">
        <w:rPr>
          <w:b/>
        </w:rPr>
        <w:t>6.2.2.</w:t>
      </w:r>
      <w:r>
        <w:rPr>
          <w:b/>
        </w:rPr>
        <w:t>4</w:t>
      </w:r>
      <w:r w:rsidRPr="00B1469D">
        <w:rPr>
          <w:b/>
        </w:rPr>
        <w:t>.- Brocal contra Escurrimientos.</w:t>
      </w:r>
    </w:p>
    <w:p w:rsidR="007C4016" w:rsidRDefault="007C4016" w:rsidP="007C4016">
      <w:pPr>
        <w:pStyle w:val="IFTnormal"/>
        <w:numPr>
          <w:ilvl w:val="0"/>
          <w:numId w:val="117"/>
        </w:numPr>
        <w:spacing w:before="240" w:after="0"/>
        <w:ind w:left="1560" w:right="760"/>
      </w:pPr>
      <w:r>
        <w:t>En caso de que los trabajos se realicen en temporada de lluvias y por la ubicación del pozo exista riesgo de inundación por escurrimiento de aguas pluviales, Instale un brocal contra escurrimientos.</w:t>
      </w:r>
    </w:p>
    <w:p w:rsidR="007C4016" w:rsidRPr="00B1469D" w:rsidRDefault="007C4016" w:rsidP="007C4016">
      <w:pPr>
        <w:pStyle w:val="IFTnormal"/>
        <w:spacing w:before="240" w:after="0"/>
        <w:ind w:left="851" w:right="760"/>
        <w:rPr>
          <w:b/>
        </w:rPr>
      </w:pPr>
      <w:r w:rsidRPr="00B1469D">
        <w:rPr>
          <w:b/>
        </w:rPr>
        <w:t>6.2.2.</w:t>
      </w:r>
      <w:r>
        <w:rPr>
          <w:b/>
        </w:rPr>
        <w:t>5</w:t>
      </w:r>
      <w:r w:rsidRPr="00B1469D">
        <w:rPr>
          <w:b/>
        </w:rPr>
        <w:t>.- Colocación de Sombrilla para Cablista y Defensa para Pozo.</w:t>
      </w:r>
    </w:p>
    <w:p w:rsidR="007C4016" w:rsidRDefault="007C4016" w:rsidP="007C4016">
      <w:pPr>
        <w:pStyle w:val="IFTnormal"/>
        <w:numPr>
          <w:ilvl w:val="0"/>
          <w:numId w:val="118"/>
        </w:numPr>
        <w:spacing w:before="240" w:after="0"/>
        <w:ind w:left="1560" w:right="760"/>
      </w:pPr>
      <w:r>
        <w:lastRenderedPageBreak/>
        <w:t>Cuando por las condiciones climatológicas, durante el desarrollo del trabajo se requiera Reducir la exposición solar o la lluvia, use la sombrilla para este fin.</w:t>
      </w:r>
    </w:p>
    <w:p w:rsidR="007C4016" w:rsidRDefault="007C4016" w:rsidP="007C4016">
      <w:pPr>
        <w:pStyle w:val="IFTnormal"/>
        <w:numPr>
          <w:ilvl w:val="0"/>
          <w:numId w:val="118"/>
        </w:numPr>
        <w:spacing w:after="0"/>
        <w:ind w:left="1560" w:right="760"/>
      </w:pPr>
      <w:r>
        <w:t>Use la Defensa para pozo como señal de precaución que el pozo está abierto, la cual debe ser colocada en el lado contrario, en donde se encuentra la tapa. Véase figura 3a.</w:t>
      </w:r>
    </w:p>
    <w:p w:rsidR="007C4016" w:rsidRPr="00C4485A" w:rsidRDefault="007C4016" w:rsidP="007C4016">
      <w:pPr>
        <w:pStyle w:val="Citaift0"/>
        <w:spacing w:before="240" w:after="0"/>
        <w:rPr>
          <w:b/>
          <w:i w:val="0"/>
          <w:sz w:val="22"/>
          <w:szCs w:val="22"/>
        </w:rPr>
      </w:pPr>
      <w:r w:rsidRPr="00C4485A">
        <w:rPr>
          <w:b/>
          <w:i w:val="0"/>
          <w:sz w:val="22"/>
          <w:szCs w:val="22"/>
        </w:rPr>
        <w:t>6.3.- TENDIDO DE CABLE E INSTALACIÓN DE OTROS ELEMENTOS DE RED SOBRE LA INFRAESTRUCTURA DESAGREGADA.</w:t>
      </w:r>
    </w:p>
    <w:p w:rsidR="007C4016" w:rsidRPr="00C4485A" w:rsidRDefault="007C4016" w:rsidP="007C4016">
      <w:pPr>
        <w:pStyle w:val="Citaift0"/>
        <w:spacing w:before="240" w:after="0"/>
        <w:rPr>
          <w:i w:val="0"/>
          <w:sz w:val="22"/>
          <w:szCs w:val="22"/>
        </w:rPr>
      </w:pPr>
      <w:r w:rsidRPr="00C4485A">
        <w:rPr>
          <w:i w:val="0"/>
          <w:sz w:val="22"/>
          <w:szCs w:val="22"/>
        </w:rPr>
        <w:t xml:space="preserve">El método a seguir para introducir los cables de cobre o de fibra óptica de los Concesionarios Solicitantes en la Infraestructura Desagregada en centrales de </w:t>
      </w:r>
      <w:r>
        <w:rPr>
          <w:i w:val="0"/>
          <w:sz w:val="22"/>
          <w:szCs w:val="22"/>
        </w:rPr>
        <w:t>Telnor</w:t>
      </w:r>
      <w:r w:rsidRPr="002E27B6">
        <w:rPr>
          <w:i w:val="0"/>
          <w:sz w:val="22"/>
          <w:szCs w:val="22"/>
        </w:rPr>
        <w:t xml:space="preserve"> </w:t>
      </w:r>
      <w:r w:rsidRPr="00C4485A">
        <w:rPr>
          <w:i w:val="0"/>
          <w:sz w:val="22"/>
          <w:szCs w:val="22"/>
        </w:rPr>
        <w:t>es de la siguiente forma:</w:t>
      </w:r>
    </w:p>
    <w:p w:rsidR="007C4016" w:rsidRPr="00C4485A" w:rsidRDefault="007C4016" w:rsidP="007C4016">
      <w:pPr>
        <w:pStyle w:val="Citaift0"/>
        <w:numPr>
          <w:ilvl w:val="0"/>
          <w:numId w:val="35"/>
        </w:numPr>
        <w:spacing w:before="240" w:after="0"/>
        <w:rPr>
          <w:i w:val="0"/>
          <w:sz w:val="22"/>
          <w:szCs w:val="22"/>
        </w:rPr>
      </w:pPr>
      <w:r w:rsidRPr="00C4485A">
        <w:rPr>
          <w:i w:val="0"/>
          <w:sz w:val="22"/>
          <w:szCs w:val="22"/>
        </w:rPr>
        <w:t>Pozo de visita de la Central Telefónica:</w:t>
      </w:r>
    </w:p>
    <w:p w:rsidR="007C4016" w:rsidRPr="00C4485A" w:rsidRDefault="007C4016" w:rsidP="007C4016">
      <w:pPr>
        <w:pStyle w:val="Citaift0"/>
        <w:numPr>
          <w:ilvl w:val="0"/>
          <w:numId w:val="36"/>
        </w:numPr>
        <w:spacing w:before="240" w:after="0"/>
        <w:ind w:left="2061"/>
        <w:rPr>
          <w:i w:val="0"/>
          <w:sz w:val="22"/>
          <w:szCs w:val="22"/>
        </w:rPr>
      </w:pPr>
      <w:r w:rsidRPr="00C4485A">
        <w:rPr>
          <w:i w:val="0"/>
          <w:sz w:val="22"/>
          <w:szCs w:val="22"/>
        </w:rPr>
        <w:t xml:space="preserve">El acceso de todo cable a la central de </w:t>
      </w:r>
      <w:r>
        <w:rPr>
          <w:i w:val="0"/>
          <w:sz w:val="22"/>
          <w:szCs w:val="22"/>
        </w:rPr>
        <w:t>Telnor</w:t>
      </w:r>
      <w:r w:rsidRPr="002E27B6">
        <w:rPr>
          <w:i w:val="0"/>
          <w:sz w:val="22"/>
          <w:szCs w:val="22"/>
        </w:rPr>
        <w:t xml:space="preserve"> </w:t>
      </w:r>
      <w:r w:rsidRPr="00C4485A">
        <w:rPr>
          <w:i w:val="0"/>
          <w:sz w:val="22"/>
          <w:szCs w:val="22"/>
        </w:rPr>
        <w:t>se realiza a través de un pozo especial que se denomina “pozo de visita”.</w:t>
      </w:r>
    </w:p>
    <w:p w:rsidR="007C4016" w:rsidRPr="00C4485A" w:rsidRDefault="007C4016" w:rsidP="007C4016">
      <w:pPr>
        <w:pStyle w:val="Citaift0"/>
        <w:numPr>
          <w:ilvl w:val="0"/>
          <w:numId w:val="36"/>
        </w:numPr>
        <w:spacing w:after="0"/>
        <w:ind w:left="2061"/>
        <w:rPr>
          <w:i w:val="0"/>
          <w:sz w:val="22"/>
          <w:szCs w:val="22"/>
        </w:rPr>
      </w:pPr>
      <w:r w:rsidRPr="00C4485A">
        <w:rPr>
          <w:i w:val="0"/>
          <w:sz w:val="22"/>
          <w:szCs w:val="22"/>
        </w:rPr>
        <w:t xml:space="preserve">Los ductos que comunican al pozo de visita y la fosa de cables siempre deben estar obturados en ambos extremos. La instalación del cable será realizada por </w:t>
      </w:r>
      <w:r>
        <w:rPr>
          <w:i w:val="0"/>
          <w:sz w:val="22"/>
          <w:szCs w:val="22"/>
        </w:rPr>
        <w:t>Telnor</w:t>
      </w:r>
      <w:r w:rsidRPr="00C4485A">
        <w:rPr>
          <w:i w:val="0"/>
          <w:sz w:val="22"/>
          <w:szCs w:val="22"/>
        </w:rPr>
        <w:t>.</w:t>
      </w:r>
    </w:p>
    <w:p w:rsidR="007C4016" w:rsidRPr="00C4485A" w:rsidRDefault="007C4016" w:rsidP="007C4016">
      <w:pPr>
        <w:pStyle w:val="Citaift0"/>
        <w:numPr>
          <w:ilvl w:val="0"/>
          <w:numId w:val="35"/>
        </w:numPr>
        <w:spacing w:before="240" w:after="0"/>
        <w:rPr>
          <w:i w:val="0"/>
          <w:sz w:val="22"/>
          <w:szCs w:val="22"/>
        </w:rPr>
      </w:pPr>
      <w:r w:rsidRPr="00C4485A">
        <w:rPr>
          <w:i w:val="0"/>
          <w:sz w:val="22"/>
          <w:szCs w:val="22"/>
        </w:rPr>
        <w:t>Tendido de cable de fibra óptica:</w:t>
      </w:r>
    </w:p>
    <w:p w:rsidR="007C4016" w:rsidRPr="00C4485A" w:rsidRDefault="007C4016" w:rsidP="007C4016">
      <w:pPr>
        <w:pStyle w:val="Citaift0"/>
        <w:numPr>
          <w:ilvl w:val="0"/>
          <w:numId w:val="37"/>
        </w:numPr>
        <w:spacing w:before="240" w:after="0"/>
        <w:ind w:left="2061"/>
        <w:rPr>
          <w:i w:val="0"/>
          <w:sz w:val="22"/>
          <w:szCs w:val="22"/>
        </w:rPr>
      </w:pPr>
      <w:r w:rsidRPr="00C4485A">
        <w:rPr>
          <w:i w:val="0"/>
          <w:sz w:val="22"/>
          <w:szCs w:val="22"/>
        </w:rPr>
        <w:t xml:space="preserve">El cable que suministra e instala </w:t>
      </w:r>
      <w:r>
        <w:rPr>
          <w:i w:val="0"/>
          <w:sz w:val="22"/>
          <w:szCs w:val="22"/>
        </w:rPr>
        <w:t>Telnor</w:t>
      </w:r>
      <w:r w:rsidRPr="00C4485A">
        <w:rPr>
          <w:i w:val="0"/>
          <w:sz w:val="22"/>
          <w:szCs w:val="22"/>
        </w:rPr>
        <w:t>, y que ofrece al Concesionario Solicitante en capacidades de 48 ó 96 fibras (identificación de las fibras con el código internacional), mono modo del tipo G652 D, desde la fosa de cables hasta la sala de coubicación para desagregación del Concesionario Solicitante.</w:t>
      </w:r>
    </w:p>
    <w:p w:rsidR="007C4016" w:rsidRPr="00C4485A" w:rsidRDefault="007C4016" w:rsidP="007C4016">
      <w:pPr>
        <w:pStyle w:val="Citaift0"/>
        <w:numPr>
          <w:ilvl w:val="0"/>
          <w:numId w:val="37"/>
        </w:numPr>
        <w:spacing w:after="0"/>
        <w:ind w:left="2061"/>
        <w:rPr>
          <w:i w:val="0"/>
          <w:sz w:val="22"/>
          <w:szCs w:val="22"/>
        </w:rPr>
      </w:pPr>
      <w:r w:rsidRPr="00C4485A">
        <w:rPr>
          <w:i w:val="0"/>
          <w:sz w:val="22"/>
          <w:szCs w:val="22"/>
        </w:rPr>
        <w:t>No está permitido realizar enlaces de pozos del Concesionario Solicitante con el pozo de visita.</w:t>
      </w:r>
    </w:p>
    <w:p w:rsidR="007C4016" w:rsidRPr="00C4485A" w:rsidRDefault="007C4016" w:rsidP="007C4016">
      <w:pPr>
        <w:pStyle w:val="Citaift0"/>
        <w:numPr>
          <w:ilvl w:val="0"/>
          <w:numId w:val="37"/>
        </w:numPr>
        <w:spacing w:after="0"/>
        <w:ind w:left="2061"/>
        <w:rPr>
          <w:i w:val="0"/>
          <w:sz w:val="22"/>
          <w:szCs w:val="22"/>
        </w:rPr>
      </w:pPr>
      <w:r w:rsidRPr="00C4485A">
        <w:rPr>
          <w:i w:val="0"/>
          <w:sz w:val="22"/>
          <w:szCs w:val="22"/>
        </w:rPr>
        <w:t>No se permite ubicar cajas de empalme o gazas en el pozo de visita.</w:t>
      </w:r>
    </w:p>
    <w:p w:rsidR="007C4016" w:rsidRPr="00C4485A" w:rsidRDefault="007C4016" w:rsidP="007C4016">
      <w:pPr>
        <w:pStyle w:val="Citaift0"/>
        <w:numPr>
          <w:ilvl w:val="0"/>
          <w:numId w:val="37"/>
        </w:numPr>
        <w:spacing w:after="0"/>
        <w:ind w:left="2061"/>
        <w:rPr>
          <w:i w:val="0"/>
          <w:sz w:val="22"/>
          <w:szCs w:val="22"/>
        </w:rPr>
      </w:pPr>
      <w:r>
        <w:rPr>
          <w:i w:val="0"/>
          <w:sz w:val="22"/>
          <w:szCs w:val="22"/>
        </w:rPr>
        <w:t>Telnor</w:t>
      </w:r>
      <w:r w:rsidRPr="00C4485A">
        <w:rPr>
          <w:i w:val="0"/>
          <w:sz w:val="22"/>
          <w:szCs w:val="22"/>
        </w:rPr>
        <w:t xml:space="preserve"> instalará el cable de fibra óptica entre DFO del Concesionario Solicitante y el pozo posterior del pozo de visita del Concesionario Solicitante (1er pozo posterior al </w:t>
      </w:r>
      <w:r w:rsidRPr="00C4485A">
        <w:rPr>
          <w:i w:val="0"/>
          <w:sz w:val="22"/>
          <w:szCs w:val="22"/>
        </w:rPr>
        <w:lastRenderedPageBreak/>
        <w:t>pozo de acometida a la central telefónica), en el cual el Concesionario Solicitante dejo su cable en gaza. Véase figura 4.</w:t>
      </w:r>
    </w:p>
    <w:p w:rsidR="007C4016" w:rsidRDefault="007C4016" w:rsidP="007C4016">
      <w:pPr>
        <w:pStyle w:val="Citaift0"/>
        <w:numPr>
          <w:ilvl w:val="0"/>
          <w:numId w:val="37"/>
        </w:numPr>
        <w:spacing w:after="0"/>
        <w:ind w:left="2061"/>
        <w:rPr>
          <w:i w:val="0"/>
          <w:sz w:val="22"/>
          <w:szCs w:val="22"/>
        </w:rPr>
      </w:pPr>
      <w:r>
        <w:rPr>
          <w:i w:val="0"/>
          <w:sz w:val="22"/>
          <w:szCs w:val="22"/>
        </w:rPr>
        <w:t>Telnor</w:t>
      </w:r>
      <w:r w:rsidRPr="00C4485A">
        <w:rPr>
          <w:i w:val="0"/>
          <w:sz w:val="22"/>
          <w:szCs w:val="22"/>
        </w:rPr>
        <w:t xml:space="preserve"> realizará el cambio de tipo de cable en la fosa de cables suministrando e instalando un cierre con sus respectivas fusiones de fibras ópticas. Véase figura 4.</w:t>
      </w:r>
    </w:p>
    <w:p w:rsidR="007C4016" w:rsidRPr="00C4485A" w:rsidRDefault="007C4016" w:rsidP="007C4016">
      <w:pPr>
        <w:pStyle w:val="Citaift0"/>
        <w:spacing w:before="240" w:after="0"/>
        <w:jc w:val="right"/>
        <w:rPr>
          <w:i w:val="0"/>
          <w:sz w:val="22"/>
          <w:szCs w:val="22"/>
        </w:rPr>
      </w:pPr>
      <w:r w:rsidRPr="00C4485A">
        <w:rPr>
          <w:i w:val="0"/>
          <w:noProof/>
          <w:sz w:val="22"/>
          <w:szCs w:val="22"/>
          <w:lang w:eastAsia="es-MX"/>
        </w:rPr>
        <w:drawing>
          <wp:inline distT="0" distB="0" distL="0" distR="0" wp14:anchorId="45E1F74F" wp14:editId="08D977C1">
            <wp:extent cx="4495800" cy="1873250"/>
            <wp:effectExtent l="0" t="0" r="0" b="0"/>
            <wp:docPr id="17" name="Imagen 17" descr="Figura 4. Recorrido del cable instalado por Telnor en la central para los Concesionarios Solicitant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5800" cy="1873250"/>
                    </a:xfrm>
                    <a:prstGeom prst="rect">
                      <a:avLst/>
                    </a:prstGeom>
                    <a:noFill/>
                    <a:ln>
                      <a:noFill/>
                    </a:ln>
                  </pic:spPr>
                </pic:pic>
              </a:graphicData>
            </a:graphic>
          </wp:inline>
        </w:drawing>
      </w:r>
    </w:p>
    <w:p w:rsidR="007C4016" w:rsidRDefault="007C4016" w:rsidP="007C4016">
      <w:pPr>
        <w:pStyle w:val="Citaift0"/>
        <w:spacing w:before="240" w:after="0"/>
        <w:jc w:val="center"/>
        <w:rPr>
          <w:i w:val="0"/>
          <w:sz w:val="22"/>
          <w:szCs w:val="22"/>
        </w:rPr>
      </w:pPr>
      <w:r w:rsidRPr="00C4485A">
        <w:rPr>
          <w:b/>
          <w:i w:val="0"/>
          <w:sz w:val="22"/>
          <w:szCs w:val="22"/>
        </w:rPr>
        <w:t>Figura 4</w:t>
      </w:r>
      <w:r w:rsidRPr="00C4485A">
        <w:rPr>
          <w:i w:val="0"/>
          <w:sz w:val="22"/>
          <w:szCs w:val="22"/>
        </w:rPr>
        <w:t xml:space="preserve">. Recorrido del cable instalado por </w:t>
      </w:r>
      <w:r>
        <w:rPr>
          <w:i w:val="0"/>
          <w:sz w:val="22"/>
          <w:szCs w:val="22"/>
        </w:rPr>
        <w:t>Telnor</w:t>
      </w:r>
      <w:r w:rsidRPr="002E27B6">
        <w:rPr>
          <w:i w:val="0"/>
          <w:sz w:val="22"/>
          <w:szCs w:val="22"/>
        </w:rPr>
        <w:t xml:space="preserve"> </w:t>
      </w:r>
      <w:r w:rsidRPr="00C4485A">
        <w:rPr>
          <w:i w:val="0"/>
          <w:sz w:val="22"/>
          <w:szCs w:val="22"/>
        </w:rPr>
        <w:t>en la central para los Concesionarios Solicitantes.</w:t>
      </w:r>
    </w:p>
    <w:p w:rsidR="007C4016" w:rsidRPr="00C4485A" w:rsidRDefault="007C4016" w:rsidP="007C4016">
      <w:pPr>
        <w:pStyle w:val="Citaift0"/>
        <w:numPr>
          <w:ilvl w:val="0"/>
          <w:numId w:val="38"/>
        </w:numPr>
        <w:spacing w:before="240" w:after="0"/>
        <w:ind w:left="2061"/>
        <w:rPr>
          <w:i w:val="0"/>
          <w:sz w:val="22"/>
          <w:szCs w:val="22"/>
        </w:rPr>
      </w:pPr>
      <w:r>
        <w:rPr>
          <w:i w:val="0"/>
          <w:sz w:val="22"/>
          <w:szCs w:val="22"/>
        </w:rPr>
        <w:t xml:space="preserve">Telnor </w:t>
      </w:r>
      <w:r w:rsidRPr="00C4485A">
        <w:rPr>
          <w:i w:val="0"/>
          <w:sz w:val="22"/>
          <w:szCs w:val="22"/>
        </w:rPr>
        <w:t>dejará el cable en punta con el extremo protegido con un capuchón, para evitar la entrada de humedad al cable y dejando la gaza suficiente, para que en la sala de coubicación para desagregación, el cable se pueda rematar en el distribuidor (DFO) del Concesionario Solicitante.</w:t>
      </w:r>
    </w:p>
    <w:p w:rsidR="007C4016" w:rsidRPr="00C4485A" w:rsidRDefault="007C4016" w:rsidP="007C4016">
      <w:pPr>
        <w:pStyle w:val="Citaift0"/>
        <w:numPr>
          <w:ilvl w:val="0"/>
          <w:numId w:val="38"/>
        </w:numPr>
        <w:spacing w:after="0"/>
        <w:ind w:left="2061"/>
        <w:rPr>
          <w:i w:val="0"/>
          <w:sz w:val="22"/>
          <w:szCs w:val="22"/>
        </w:rPr>
      </w:pPr>
      <w:r>
        <w:rPr>
          <w:i w:val="0"/>
          <w:sz w:val="22"/>
          <w:szCs w:val="22"/>
        </w:rPr>
        <w:t>Telnor</w:t>
      </w:r>
      <w:r w:rsidRPr="00C4485A">
        <w:rPr>
          <w:i w:val="0"/>
          <w:sz w:val="22"/>
          <w:szCs w:val="22"/>
        </w:rPr>
        <w:t xml:space="preserve"> colocará etiquetas de identificación en cada extremo del cable, en el interior de pozos de paso y en cada cable de entrada ó salida de un cierre de empalme, la etiqueta permitirá la identificación del Concesionario Solicitante. La etiqueta debe ser suministrada por el Concesionario Solicitante.</w:t>
      </w:r>
    </w:p>
    <w:p w:rsidR="007C4016" w:rsidRPr="00C4485A" w:rsidRDefault="007C4016" w:rsidP="007C4016">
      <w:pPr>
        <w:pStyle w:val="Citaift0"/>
        <w:numPr>
          <w:ilvl w:val="0"/>
          <w:numId w:val="38"/>
        </w:numPr>
        <w:spacing w:after="0"/>
        <w:ind w:left="2061"/>
        <w:rPr>
          <w:i w:val="0"/>
          <w:sz w:val="22"/>
          <w:szCs w:val="22"/>
        </w:rPr>
      </w:pPr>
      <w:r w:rsidRPr="00C4485A">
        <w:rPr>
          <w:i w:val="0"/>
          <w:sz w:val="22"/>
          <w:szCs w:val="22"/>
        </w:rPr>
        <w:t>Los cables de Fibra Óptica que se instalan dentro de la central, se acomodan y se fija a la escalerilla de aluminio, desde la entrada a la fosa o trinchera, hasta la sala de coubicación para desagregación donde se ubica el Distribuidor de Fibras Ópticas (DFO).”</w:t>
      </w:r>
    </w:p>
    <w:p w:rsidR="007C4016" w:rsidRPr="00C4485A" w:rsidRDefault="007C4016" w:rsidP="007C4016">
      <w:pPr>
        <w:pStyle w:val="Citaift0"/>
        <w:spacing w:before="240" w:after="0"/>
        <w:ind w:left="2061"/>
        <w:rPr>
          <w:i w:val="0"/>
          <w:sz w:val="22"/>
          <w:szCs w:val="22"/>
        </w:rPr>
      </w:pPr>
      <w:r w:rsidRPr="00C4485A">
        <w:rPr>
          <w:i w:val="0"/>
          <w:sz w:val="22"/>
          <w:szCs w:val="22"/>
        </w:rPr>
        <w:lastRenderedPageBreak/>
        <w:t>Los cables de Fibra Óptica, los cierres de empalmes de transición de cable exterior a interior, deben estar sobre las escalerillas y sujeto a la misma.</w:t>
      </w:r>
    </w:p>
    <w:p w:rsidR="007C4016" w:rsidRPr="00232395" w:rsidRDefault="007C4016" w:rsidP="007C4016">
      <w:pPr>
        <w:pStyle w:val="Citaift0"/>
        <w:numPr>
          <w:ilvl w:val="0"/>
          <w:numId w:val="35"/>
        </w:numPr>
        <w:spacing w:before="240" w:after="0"/>
        <w:ind w:left="1573"/>
        <w:rPr>
          <w:i w:val="0"/>
          <w:sz w:val="22"/>
          <w:szCs w:val="22"/>
        </w:rPr>
      </w:pPr>
      <w:bookmarkStart w:id="136" w:name="_Ref284088016"/>
      <w:r w:rsidRPr="00232395">
        <w:rPr>
          <w:i w:val="0"/>
          <w:sz w:val="22"/>
          <w:szCs w:val="22"/>
        </w:rPr>
        <w:t>Para la verificación del estado e instalación del cable  en planta interna o externa se realizarán las siguientes actividades:</w:t>
      </w:r>
    </w:p>
    <w:p w:rsidR="007C4016" w:rsidRPr="00232395" w:rsidRDefault="007C4016" w:rsidP="007C4016">
      <w:pPr>
        <w:pStyle w:val="Citaift0"/>
        <w:numPr>
          <w:ilvl w:val="0"/>
          <w:numId w:val="38"/>
        </w:numPr>
        <w:spacing w:before="240" w:after="0"/>
        <w:ind w:left="2061"/>
        <w:rPr>
          <w:i w:val="0"/>
          <w:sz w:val="22"/>
          <w:szCs w:val="22"/>
        </w:rPr>
      </w:pPr>
      <w:r w:rsidRPr="00232395">
        <w:rPr>
          <w:i w:val="0"/>
          <w:sz w:val="22"/>
          <w:szCs w:val="22"/>
        </w:rPr>
        <w:t>Prueba de continuidad en cableado de cobre y fibra óptica.</w:t>
      </w:r>
    </w:p>
    <w:p w:rsidR="007C4016" w:rsidRPr="00232395" w:rsidRDefault="007C4016" w:rsidP="007C4016">
      <w:pPr>
        <w:pStyle w:val="Citaift0"/>
        <w:numPr>
          <w:ilvl w:val="0"/>
          <w:numId w:val="38"/>
        </w:numPr>
        <w:spacing w:after="0"/>
        <w:ind w:left="2061"/>
        <w:rPr>
          <w:i w:val="0"/>
          <w:sz w:val="22"/>
          <w:szCs w:val="22"/>
        </w:rPr>
      </w:pPr>
      <w:r w:rsidRPr="00232395">
        <w:rPr>
          <w:i w:val="0"/>
          <w:sz w:val="22"/>
          <w:szCs w:val="22"/>
        </w:rPr>
        <w:t xml:space="preserve">Verificación de la </w:t>
      </w:r>
      <w:r w:rsidRPr="00232395">
        <w:rPr>
          <w:i w:val="0"/>
          <w:sz w:val="22"/>
          <w:szCs w:val="22"/>
          <w:lang w:val="es-ES_tradnl"/>
        </w:rPr>
        <w:t>atenuación en los empalmes de fibra óptica, la cual debe ser inferior a 0.08 [dB]</w:t>
      </w:r>
      <w:r>
        <w:rPr>
          <w:i w:val="0"/>
          <w:sz w:val="22"/>
          <w:szCs w:val="22"/>
          <w:lang w:val="es-ES_tradnl"/>
        </w:rPr>
        <w:t>,</w:t>
      </w:r>
      <w:r w:rsidRPr="00232395">
        <w:rPr>
          <w:i w:val="0"/>
          <w:sz w:val="22"/>
          <w:szCs w:val="22"/>
          <w:lang w:val="es-ES_tradnl"/>
        </w:rPr>
        <w:t xml:space="preserve"> de acuerdo a la recomendación </w:t>
      </w:r>
      <w:r>
        <w:rPr>
          <w:i w:val="0"/>
          <w:sz w:val="22"/>
          <w:szCs w:val="22"/>
          <w:lang w:val="es-ES_tradnl"/>
        </w:rPr>
        <w:t>ITU</w:t>
      </w:r>
      <w:r w:rsidRPr="00232395">
        <w:rPr>
          <w:i w:val="0"/>
          <w:sz w:val="22"/>
          <w:szCs w:val="22"/>
          <w:lang w:val="es-ES_tradnl"/>
        </w:rPr>
        <w:t>-T L.12 “</w:t>
      </w:r>
      <w:r w:rsidRPr="00C4485A">
        <w:rPr>
          <w:i w:val="0"/>
          <w:sz w:val="22"/>
          <w:szCs w:val="22"/>
          <w:lang w:val="es-ES_tradnl"/>
        </w:rPr>
        <w:t>Empalmes de fibra óptica</w:t>
      </w:r>
      <w:r>
        <w:rPr>
          <w:i w:val="0"/>
          <w:sz w:val="22"/>
          <w:szCs w:val="22"/>
          <w:lang w:val="es-ES_tradnl"/>
        </w:rPr>
        <w:t>”.</w:t>
      </w:r>
    </w:p>
    <w:p w:rsidR="007C4016" w:rsidRPr="00752423" w:rsidRDefault="007C4016" w:rsidP="007C4016">
      <w:pPr>
        <w:pStyle w:val="Citaift0"/>
        <w:spacing w:before="240" w:after="0"/>
        <w:rPr>
          <w:b/>
          <w:i w:val="0"/>
          <w:sz w:val="22"/>
          <w:szCs w:val="22"/>
        </w:rPr>
      </w:pPr>
      <w:r>
        <w:rPr>
          <w:b/>
          <w:i w:val="0"/>
          <w:sz w:val="22"/>
          <w:szCs w:val="22"/>
        </w:rPr>
        <w:t>6.4</w:t>
      </w:r>
      <w:r w:rsidRPr="00E508E3">
        <w:rPr>
          <w:b/>
          <w:i w:val="0"/>
          <w:sz w:val="22"/>
          <w:szCs w:val="22"/>
        </w:rPr>
        <w:t>.- REMOCIÓN DE CABLEADO EN PLANTA INTERNA Y EXTERNA.</w:t>
      </w:r>
      <w:r w:rsidRPr="00E508E3">
        <w:rPr>
          <w:i w:val="0"/>
          <w:sz w:val="22"/>
          <w:szCs w:val="22"/>
        </w:rPr>
        <w:t xml:space="preserve"> </w:t>
      </w:r>
    </w:p>
    <w:p w:rsidR="007C4016" w:rsidRPr="00B61BA7" w:rsidRDefault="007C4016" w:rsidP="007C4016">
      <w:pPr>
        <w:pStyle w:val="Citaift0"/>
        <w:spacing w:before="240" w:after="0"/>
        <w:rPr>
          <w:i w:val="0"/>
          <w:sz w:val="22"/>
          <w:szCs w:val="22"/>
        </w:rPr>
      </w:pPr>
      <w:r w:rsidRPr="00B61BA7">
        <w:rPr>
          <w:i w:val="0"/>
          <w:sz w:val="22"/>
          <w:szCs w:val="22"/>
        </w:rPr>
        <w:t>La remoción o desmontaje de los cables se realiza cuando se ha ratificado que no tiene habilitado ningún servicio.</w:t>
      </w:r>
    </w:p>
    <w:p w:rsidR="007C4016" w:rsidRPr="00B61BA7" w:rsidRDefault="007C4016" w:rsidP="007C4016">
      <w:pPr>
        <w:pStyle w:val="Citaift0"/>
        <w:spacing w:before="240" w:after="0"/>
        <w:rPr>
          <w:i w:val="0"/>
          <w:sz w:val="22"/>
          <w:szCs w:val="22"/>
        </w:rPr>
      </w:pPr>
      <w:r>
        <w:rPr>
          <w:i w:val="0"/>
          <w:sz w:val="22"/>
          <w:szCs w:val="22"/>
        </w:rPr>
        <w:t>Los c</w:t>
      </w:r>
      <w:r w:rsidRPr="00B61BA7">
        <w:rPr>
          <w:i w:val="0"/>
          <w:sz w:val="22"/>
          <w:szCs w:val="22"/>
        </w:rPr>
        <w:t>riterios para la remoció</w:t>
      </w:r>
      <w:r>
        <w:rPr>
          <w:i w:val="0"/>
          <w:sz w:val="22"/>
          <w:szCs w:val="22"/>
        </w:rPr>
        <w:t>n o desmontaje de los cables son los siguientes:</w:t>
      </w:r>
    </w:p>
    <w:p w:rsidR="007C4016" w:rsidRPr="00B61BA7" w:rsidRDefault="007C4016" w:rsidP="007C4016">
      <w:pPr>
        <w:pStyle w:val="Citaift0"/>
        <w:numPr>
          <w:ilvl w:val="0"/>
          <w:numId w:val="35"/>
        </w:numPr>
        <w:spacing w:before="240" w:after="0"/>
        <w:rPr>
          <w:i w:val="0"/>
          <w:sz w:val="22"/>
          <w:szCs w:val="22"/>
        </w:rPr>
      </w:pPr>
      <w:r>
        <w:rPr>
          <w:i w:val="0"/>
          <w:sz w:val="22"/>
          <w:szCs w:val="22"/>
        </w:rPr>
        <w:t>El cable se encuentra</w:t>
      </w:r>
      <w:r w:rsidRPr="00B61BA7">
        <w:rPr>
          <w:i w:val="0"/>
          <w:sz w:val="22"/>
          <w:szCs w:val="22"/>
        </w:rPr>
        <w:t xml:space="preserve"> sin servicio</w:t>
      </w:r>
      <w:r>
        <w:rPr>
          <w:i w:val="0"/>
          <w:sz w:val="22"/>
          <w:szCs w:val="22"/>
        </w:rPr>
        <w:t>.</w:t>
      </w:r>
    </w:p>
    <w:p w:rsidR="007C4016" w:rsidRPr="00B61BA7" w:rsidRDefault="007C4016" w:rsidP="007C4016">
      <w:pPr>
        <w:pStyle w:val="Citaift0"/>
        <w:numPr>
          <w:ilvl w:val="0"/>
          <w:numId w:val="35"/>
        </w:numPr>
        <w:spacing w:after="0"/>
        <w:rPr>
          <w:i w:val="0"/>
          <w:sz w:val="22"/>
          <w:szCs w:val="22"/>
        </w:rPr>
      </w:pPr>
      <w:r w:rsidRPr="00B61BA7">
        <w:rPr>
          <w:i w:val="0"/>
          <w:sz w:val="22"/>
          <w:szCs w:val="22"/>
        </w:rPr>
        <w:t>El cable está o no asignado a un proyecto</w:t>
      </w:r>
      <w:r>
        <w:rPr>
          <w:i w:val="0"/>
          <w:sz w:val="22"/>
          <w:szCs w:val="22"/>
        </w:rPr>
        <w:t>.</w:t>
      </w:r>
    </w:p>
    <w:p w:rsidR="007C4016" w:rsidRDefault="007C4016" w:rsidP="007C4016">
      <w:pPr>
        <w:pStyle w:val="Citaift0"/>
        <w:numPr>
          <w:ilvl w:val="0"/>
          <w:numId w:val="35"/>
        </w:numPr>
        <w:spacing w:after="0"/>
        <w:rPr>
          <w:i w:val="0"/>
          <w:sz w:val="22"/>
          <w:szCs w:val="22"/>
        </w:rPr>
      </w:pPr>
      <w:r w:rsidRPr="00B61BA7">
        <w:rPr>
          <w:i w:val="0"/>
          <w:sz w:val="22"/>
          <w:szCs w:val="22"/>
        </w:rPr>
        <w:t>El cable está</w:t>
      </w:r>
      <w:r>
        <w:rPr>
          <w:i w:val="0"/>
          <w:sz w:val="22"/>
          <w:szCs w:val="22"/>
        </w:rPr>
        <w:t xml:space="preserve"> o no</w:t>
      </w:r>
      <w:r w:rsidRPr="00B61BA7">
        <w:rPr>
          <w:i w:val="0"/>
          <w:sz w:val="22"/>
          <w:szCs w:val="22"/>
        </w:rPr>
        <w:t xml:space="preserve"> asignado </w:t>
      </w:r>
      <w:r>
        <w:rPr>
          <w:i w:val="0"/>
          <w:sz w:val="22"/>
          <w:szCs w:val="22"/>
        </w:rPr>
        <w:t xml:space="preserve">a </w:t>
      </w:r>
      <w:r w:rsidRPr="00B61BA7">
        <w:rPr>
          <w:i w:val="0"/>
          <w:sz w:val="22"/>
          <w:szCs w:val="22"/>
        </w:rPr>
        <w:t>algún cliente</w:t>
      </w:r>
      <w:r>
        <w:rPr>
          <w:i w:val="0"/>
          <w:sz w:val="22"/>
          <w:szCs w:val="22"/>
        </w:rPr>
        <w:t>.</w:t>
      </w:r>
    </w:p>
    <w:p w:rsidR="007C4016" w:rsidRPr="00E508E3" w:rsidRDefault="007C4016" w:rsidP="007C4016">
      <w:pPr>
        <w:pStyle w:val="Citaift0"/>
        <w:spacing w:before="240" w:after="0"/>
        <w:rPr>
          <w:i w:val="0"/>
          <w:sz w:val="22"/>
          <w:szCs w:val="22"/>
        </w:rPr>
      </w:pPr>
      <w:r w:rsidRPr="00E508E3">
        <w:rPr>
          <w:i w:val="0"/>
          <w:sz w:val="22"/>
          <w:szCs w:val="22"/>
        </w:rPr>
        <w:t>Los criterios que impiden la remoción de cableado utilizando los procedimientos convencionales son:</w:t>
      </w:r>
    </w:p>
    <w:p w:rsidR="007C4016" w:rsidRPr="00E508E3" w:rsidRDefault="007C4016" w:rsidP="007C4016">
      <w:pPr>
        <w:pStyle w:val="Citaift0"/>
        <w:numPr>
          <w:ilvl w:val="0"/>
          <w:numId w:val="136"/>
        </w:numPr>
        <w:spacing w:before="240" w:after="0"/>
        <w:rPr>
          <w:i w:val="0"/>
          <w:sz w:val="22"/>
          <w:szCs w:val="22"/>
        </w:rPr>
      </w:pPr>
      <w:r w:rsidRPr="00E508E3">
        <w:rPr>
          <w:i w:val="0"/>
          <w:sz w:val="22"/>
          <w:szCs w:val="22"/>
        </w:rPr>
        <w:t>Vías caídas.- Cuando a lo largo del eje de canalización ubicado en arroyo o en banqueta sufrió de algún hundimiento de la tierra, la cual oprime el cable en su interior.</w:t>
      </w:r>
    </w:p>
    <w:p w:rsidR="007C4016" w:rsidRPr="00E508E3" w:rsidRDefault="007C4016" w:rsidP="007C4016">
      <w:pPr>
        <w:pStyle w:val="Citaift0"/>
        <w:numPr>
          <w:ilvl w:val="0"/>
          <w:numId w:val="136"/>
        </w:numPr>
        <w:spacing w:after="0"/>
        <w:rPr>
          <w:i w:val="0"/>
          <w:sz w:val="22"/>
          <w:szCs w:val="22"/>
        </w:rPr>
      </w:pPr>
      <w:r w:rsidRPr="00E508E3">
        <w:rPr>
          <w:i w:val="0"/>
          <w:sz w:val="22"/>
          <w:szCs w:val="22"/>
        </w:rPr>
        <w:t>Vías estranguladas.- A lo largo de las canalizaciones pude existir alteraciones en las rutas debido al crecimiento de las raíces de los árboles.</w:t>
      </w:r>
    </w:p>
    <w:p w:rsidR="007C4016" w:rsidRPr="00E508E3" w:rsidRDefault="007C4016" w:rsidP="007C4016">
      <w:pPr>
        <w:pStyle w:val="Citaift0"/>
        <w:numPr>
          <w:ilvl w:val="0"/>
          <w:numId w:val="136"/>
        </w:numPr>
        <w:spacing w:after="0"/>
        <w:rPr>
          <w:i w:val="0"/>
          <w:sz w:val="22"/>
          <w:szCs w:val="22"/>
        </w:rPr>
      </w:pPr>
      <w:r w:rsidRPr="00E508E3">
        <w:rPr>
          <w:i w:val="0"/>
          <w:sz w:val="22"/>
          <w:szCs w:val="22"/>
        </w:rPr>
        <w:t xml:space="preserve">Adherencia del cableado a la canalización.- La interacción del cableado con las adversidades en instalaciones subterráneas (corrosión, humedad, aguas residuales, etc.), originan que la cubierta del cableado se "adhiera" a las </w:t>
      </w:r>
      <w:r w:rsidRPr="00E508E3">
        <w:rPr>
          <w:i w:val="0"/>
          <w:sz w:val="22"/>
          <w:szCs w:val="22"/>
        </w:rPr>
        <w:lastRenderedPageBreak/>
        <w:t>paredes del ducto interior de concreto, lo cual imposibilita el desmontaje del mismo.</w:t>
      </w:r>
    </w:p>
    <w:p w:rsidR="007C4016" w:rsidRPr="00E508E3" w:rsidRDefault="007C4016" w:rsidP="007C4016">
      <w:pPr>
        <w:pStyle w:val="Citaift0"/>
        <w:numPr>
          <w:ilvl w:val="0"/>
          <w:numId w:val="136"/>
        </w:numPr>
        <w:spacing w:after="0"/>
        <w:rPr>
          <w:i w:val="0"/>
          <w:sz w:val="22"/>
          <w:szCs w:val="22"/>
        </w:rPr>
      </w:pPr>
      <w:r w:rsidRPr="00E508E3">
        <w:rPr>
          <w:i w:val="0"/>
          <w:sz w:val="22"/>
          <w:szCs w:val="22"/>
        </w:rPr>
        <w:t>Remoción riesgosa.- La instalación de cableado puede ocasionar que éstos se "trencen", si se intentara retirarlos, la fricción entre las cubiertas de los cables existentes, origina la ruptura de las cubiertas exteriores, provocando la interrupción de los servicios existentes.</w:t>
      </w:r>
    </w:p>
    <w:p w:rsidR="007C4016" w:rsidRPr="00E508E3" w:rsidRDefault="007C4016" w:rsidP="007C4016">
      <w:pPr>
        <w:pStyle w:val="Citaift0"/>
        <w:spacing w:before="240" w:after="0"/>
        <w:rPr>
          <w:i w:val="0"/>
          <w:sz w:val="22"/>
          <w:szCs w:val="22"/>
        </w:rPr>
      </w:pPr>
      <w:r w:rsidRPr="00E508E3">
        <w:rPr>
          <w:i w:val="0"/>
          <w:sz w:val="22"/>
          <w:szCs w:val="22"/>
        </w:rPr>
        <w:t>Para los casos 1) y 2), el realizar el desmontaje del cable con equipo mecanizado (WINCH) ocasionará daños a la obra de canalización, a los pozos y a los cables con servicios activos existentes.</w:t>
      </w:r>
    </w:p>
    <w:p w:rsidR="007C4016" w:rsidRPr="00AD2CEA" w:rsidRDefault="007C4016" w:rsidP="007C4016">
      <w:pPr>
        <w:pStyle w:val="IFTnormal"/>
        <w:spacing w:before="240" w:after="0"/>
        <w:ind w:left="851" w:right="760"/>
        <w:rPr>
          <w:b/>
        </w:rPr>
      </w:pPr>
      <w:r w:rsidRPr="00AD2CEA">
        <w:rPr>
          <w:b/>
        </w:rPr>
        <w:t>7.- ANEXOS.</w:t>
      </w:r>
    </w:p>
    <w:p w:rsidR="007C4016" w:rsidRDefault="007C4016" w:rsidP="007C4016">
      <w:pPr>
        <w:pStyle w:val="IFTnormal"/>
        <w:spacing w:before="240" w:after="0"/>
        <w:ind w:left="851" w:right="760"/>
      </w:pPr>
      <w:r>
        <w:t>Anexo 1. Tipos de Pozo, Dimensiones y Tapas.</w:t>
      </w:r>
    </w:p>
    <w:p w:rsidR="007C4016" w:rsidRPr="00AD2CEA" w:rsidRDefault="007C4016" w:rsidP="007C4016">
      <w:pPr>
        <w:pStyle w:val="IFTnormal"/>
        <w:spacing w:before="240" w:after="0"/>
        <w:ind w:left="851" w:right="760"/>
        <w:rPr>
          <w:b/>
        </w:rPr>
      </w:pPr>
      <w:r w:rsidRPr="00AD2CEA">
        <w:rPr>
          <w:b/>
        </w:rPr>
        <w:t>8.- BIBLIOGRAFÍA.</w:t>
      </w:r>
    </w:p>
    <w:p w:rsidR="007C4016" w:rsidRDefault="007C4016" w:rsidP="007C4016">
      <w:pPr>
        <w:pStyle w:val="IFTnormal"/>
        <w:spacing w:before="240" w:after="0"/>
        <w:ind w:left="851" w:right="760"/>
      </w:pPr>
      <w:r>
        <w:t>Rec. ITU-T L.12: Empalmes de fibra óptica.</w:t>
      </w:r>
      <w:bookmarkEnd w:id="135"/>
      <w:bookmarkEnd w:id="136"/>
    </w:p>
    <w:p w:rsidR="007C4016" w:rsidRPr="0097169E" w:rsidRDefault="007C4016" w:rsidP="007C4016">
      <w:pPr>
        <w:pStyle w:val="IFTnormal"/>
        <w:spacing w:before="240" w:after="0"/>
        <w:ind w:right="760"/>
        <w:rPr>
          <w:b/>
        </w:rPr>
      </w:pPr>
      <w:r w:rsidRPr="0097169E">
        <w:rPr>
          <w:b/>
        </w:rPr>
        <w:t>NORMA 2: COMPARTICIÓN DE POSTES DE TELNOR PARA NUEVOS CONCESIONARIOS</w:t>
      </w:r>
    </w:p>
    <w:p w:rsidR="007C4016" w:rsidRPr="00BF4959" w:rsidRDefault="007C4016" w:rsidP="007C4016">
      <w:pPr>
        <w:pStyle w:val="IFTnormal"/>
        <w:spacing w:before="240" w:after="0"/>
        <w:rPr>
          <w:b/>
        </w:rPr>
      </w:pPr>
      <w:r w:rsidRPr="00BF4959">
        <w:rPr>
          <w:b/>
        </w:rPr>
        <w:t>Consideraciones del Instituto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pPr>
      <w:r w:rsidRPr="00DB0F30">
        <w:t>De la lectura del contenido de</w:t>
      </w:r>
      <w:r>
        <w:t xml:space="preserve"> </w:t>
      </w:r>
      <w:r w:rsidRPr="00DB0F30">
        <w:t>l</w:t>
      </w:r>
      <w:r>
        <w:t>a NORMA 2 “</w:t>
      </w:r>
      <w:r w:rsidRPr="00EF738F">
        <w:rPr>
          <w:i/>
        </w:rPr>
        <w:t xml:space="preserve">COMPARTICIÓN DE POSTES DE </w:t>
      </w:r>
      <w:r>
        <w:rPr>
          <w:i/>
        </w:rPr>
        <w:t>TELNOR</w:t>
      </w:r>
      <w:r w:rsidRPr="00EF738F">
        <w:rPr>
          <w:i/>
        </w:rPr>
        <w:t xml:space="preserve"> PARA NUEVOS CONCESIONARIOS</w:t>
      </w:r>
      <w:r>
        <w:t>” del ANEXO 2 “</w:t>
      </w:r>
      <w:r w:rsidRPr="005325B7">
        <w:rPr>
          <w:i/>
        </w:rPr>
        <w:t>NORMATIVIDAD TÉCNICA</w:t>
      </w:r>
      <w:r>
        <w:t xml:space="preserve">” de </w:t>
      </w:r>
      <w:r w:rsidRPr="00DB0F30">
        <w:t>la Propuesta de Oferta de Referencia del AEP</w:t>
      </w:r>
      <w:r>
        <w:t xml:space="preserve"> </w:t>
      </w:r>
      <w:r w:rsidRPr="00DB0F30">
        <w:t>el Instituto realiza las consideraciones siguientes</w:t>
      </w:r>
      <w:r>
        <w:t xml:space="preserve">: </w:t>
      </w:r>
    </w:p>
    <w:p w:rsidR="007C4016" w:rsidRDefault="007C4016" w:rsidP="007C4016">
      <w:pPr>
        <w:pStyle w:val="IFTnormal"/>
        <w:spacing w:before="240" w:after="0"/>
      </w:pPr>
      <w:r>
        <w:t>En consistencia con lo señalado en la sección “</w:t>
      </w:r>
      <w:r w:rsidRPr="00F219CD">
        <w:rPr>
          <w:i/>
        </w:rPr>
        <w:t>1. SERVICIO DE ACCESO Y USO COMPARTIDO DE OBRA CIVIL</w:t>
      </w:r>
      <w:r>
        <w:t xml:space="preserve">” del presente documento, el AEP establece en la normativa técnica aspectos que obedecen al alcance, procedimiento, </w:t>
      </w:r>
      <w:r w:rsidRPr="00171CF3">
        <w:t>términos</w:t>
      </w:r>
      <w:r>
        <w:t xml:space="preserve"> y</w:t>
      </w:r>
      <w:r w:rsidRPr="00171CF3">
        <w:t xml:space="preserve"> condiciones</w:t>
      </w:r>
      <w:r>
        <w:t xml:space="preserve"> para la prestación del Servicio de Acceso y Uso Compartido de Obra Civil, lo cual, no es consistente con la Medida </w:t>
      </w:r>
      <w:r w:rsidRPr="008132A3">
        <w:t>V</w:t>
      </w:r>
      <w:r>
        <w:t>IGÉSIMA SÉPTIMA de las Medidas Fijas</w:t>
      </w:r>
      <w:r w:rsidRPr="009A0D63">
        <w:t xml:space="preserve"> </w:t>
      </w:r>
      <w:r>
        <w:t>que indica lo siguiente:</w:t>
      </w:r>
    </w:p>
    <w:p w:rsidR="007C4016" w:rsidRPr="003533AC" w:rsidRDefault="007C4016" w:rsidP="007C4016">
      <w:pPr>
        <w:pStyle w:val="Citaift0"/>
        <w:spacing w:before="240" w:after="0"/>
        <w:rPr>
          <w:lang w:val="es-ES_tradnl"/>
        </w:rPr>
      </w:pPr>
      <w:r>
        <w:rPr>
          <w:b/>
          <w:lang w:val="es-ES_tradnl"/>
        </w:rPr>
        <w:lastRenderedPageBreak/>
        <w:t xml:space="preserve"> “</w:t>
      </w:r>
      <w:r w:rsidRPr="003533AC">
        <w:rPr>
          <w:b/>
          <w:lang w:val="es-ES_tradnl"/>
        </w:rPr>
        <w:t xml:space="preserve">VIGÉSIMA SÉPTIMA. </w:t>
      </w:r>
      <w:r w:rsidRPr="003533AC">
        <w:rPr>
          <w:lang w:val="es-ES_tradnl"/>
        </w:rPr>
        <w:t xml:space="preserve">El Agente Económico Preponderante deberá proporcionar al Instituto, y a los Concesionarios Solicitantes, a través del Sistema Electrónico de Gestión, </w:t>
      </w:r>
      <w:r w:rsidRPr="0048581B">
        <w:rPr>
          <w:b/>
          <w:u w:val="single"/>
          <w:lang w:val="es-ES_tradnl"/>
        </w:rPr>
        <w:t>la normativa técnica</w:t>
      </w:r>
      <w:r w:rsidRPr="003533AC">
        <w:rPr>
          <w:lang w:val="es-ES_tradnl"/>
        </w:rPr>
        <w:t xml:space="preserve">, aprobada por el Instituto mediante el procedimiento previsto en la Medida Cuadragésima Primera, </w:t>
      </w:r>
      <w:r w:rsidRPr="0048581B">
        <w:rPr>
          <w:b/>
          <w:u w:val="single"/>
          <w:lang w:val="es-ES_tradnl"/>
        </w:rPr>
        <w:t>que contenga los criterios técnicos para la utilización y acceso a la infraestructura que se pone a disposición de otros concesionarios</w:t>
      </w:r>
      <w:r w:rsidRPr="003533AC">
        <w:rPr>
          <w:lang w:val="es-ES_tradnl"/>
        </w:rPr>
        <w:t xml:space="preserve">, así como para la instalación de cables y de otros elementos de red que sean necesarios para la eficiente prestación de los servicios de telecomunicaciones, y todas las demás que sean relevantes.  </w:t>
      </w:r>
    </w:p>
    <w:p w:rsidR="007C4016" w:rsidRDefault="007C4016" w:rsidP="007C4016">
      <w:pPr>
        <w:pStyle w:val="Citaift0"/>
        <w:spacing w:before="240" w:after="0"/>
        <w:rPr>
          <w:lang w:val="es-ES_tradnl"/>
        </w:rPr>
      </w:pPr>
      <w:r w:rsidRPr="003533AC">
        <w:rPr>
          <w:lang w:val="es-ES_tradnl"/>
        </w:rPr>
        <w:t>Los Concesionarios Solicitantes deberán observar la normativa técnica cuando hagan uso del servicio de Acceso y Uso Compartido de Infraestructura Pasiva, prevista en la Oferta Pública de Referencia.</w:t>
      </w:r>
      <w:r>
        <w:rPr>
          <w:lang w:val="es-ES_tradnl"/>
        </w:rPr>
        <w:t>”</w:t>
      </w:r>
    </w:p>
    <w:p w:rsidR="007C4016" w:rsidRDefault="007C4016" w:rsidP="007C4016">
      <w:pPr>
        <w:pStyle w:val="Citaift0"/>
        <w:spacing w:before="240" w:after="0"/>
        <w:jc w:val="right"/>
      </w:pPr>
      <w:r>
        <w:t>(Énfasis añadido)</w:t>
      </w:r>
    </w:p>
    <w:p w:rsidR="007C4016" w:rsidRDefault="007C4016" w:rsidP="007C4016">
      <w:pPr>
        <w:pStyle w:val="IFTnormal"/>
        <w:spacing w:before="240" w:after="0"/>
      </w:pPr>
      <w:r>
        <w:t>De lo anterior se desprende que el AEP deberá proporcionar la normativa técnica que contenga criterios técnicos para la utilización y acceso a la infraestructura, así como la instalación de cables, por ejemplo en ductos o postes, y de otros elementos necesarios para la eficiente prestación de los servicios de telecomunicaciones.</w:t>
      </w:r>
    </w:p>
    <w:p w:rsidR="007C4016" w:rsidRDefault="007C4016" w:rsidP="007C4016">
      <w:pPr>
        <w:pStyle w:val="IFTnormal"/>
        <w:spacing w:before="240" w:after="0"/>
      </w:pPr>
      <w:r>
        <w:t>Con la finalidad de brindar mayor certeza a los CS sobre el alcance que contiene esta normativa técnica y seguir lo dispuesto en la Medida antes citada,</w:t>
      </w:r>
      <w:r w:rsidRPr="00B6175B">
        <w:t xml:space="preserve"> el Instituto considera </w:t>
      </w:r>
      <w:r>
        <w:t xml:space="preserve">conveniente </w:t>
      </w:r>
      <w:r w:rsidRPr="00B6175B">
        <w:t>modificar l</w:t>
      </w:r>
      <w:r>
        <w:t>a</w:t>
      </w:r>
      <w:r w:rsidRPr="00B6175B">
        <w:t xml:space="preserve"> NORMA </w:t>
      </w:r>
      <w:r>
        <w:t>2</w:t>
      </w:r>
      <w:r w:rsidRPr="00B6175B">
        <w:t xml:space="preserve"> del ANEXO 2</w:t>
      </w:r>
      <w:r>
        <w:t xml:space="preserve">, </w:t>
      </w:r>
      <w:r w:rsidRPr="00B6175B">
        <w:t xml:space="preserve">para eliminar de su contenido </w:t>
      </w:r>
      <w:r>
        <w:t>los aspectos</w:t>
      </w:r>
      <w:r w:rsidRPr="00B6175B">
        <w:t xml:space="preserve"> de carácter administrativo y operativo que no pertenecen al mismo y en su caso adecuar y trasladar aquellas que</w:t>
      </w:r>
      <w:r>
        <w:t xml:space="preserve"> sean aplicables a la Sección “</w:t>
      </w:r>
      <w:r w:rsidRPr="009A0D63">
        <w:rPr>
          <w:i/>
        </w:rPr>
        <w:t>1.</w:t>
      </w:r>
      <w:r w:rsidRPr="009A0D63">
        <w:rPr>
          <w:i/>
        </w:rPr>
        <w:tab/>
        <w:t>SERVICIO DE ACCESO Y USO COMPARTIDO DE OBRA CIVIL</w:t>
      </w:r>
      <w:r w:rsidRPr="00B6175B">
        <w:t>”</w:t>
      </w:r>
      <w:r>
        <w:t xml:space="preserve"> o a otras secciones de la Oferta de Referencia, sin perjuicio del análisis del Instituto para determinar que estos aspectos no establezcan condiciones que podrían inhibir la competencia en la prestación de los servicios objeto de la Oferta de Referencia.</w:t>
      </w:r>
    </w:p>
    <w:p w:rsidR="007C4016" w:rsidRPr="0051464C" w:rsidRDefault="007C4016" w:rsidP="007C4016">
      <w:pPr>
        <w:pStyle w:val="IFTnormal"/>
        <w:spacing w:before="240" w:after="0"/>
        <w:rPr>
          <w:b/>
        </w:rPr>
      </w:pPr>
      <w:r w:rsidRPr="0051464C">
        <w:rPr>
          <w:b/>
        </w:rPr>
        <w:t>2.-OBJETIVO.</w:t>
      </w:r>
    </w:p>
    <w:p w:rsidR="007C4016" w:rsidRPr="00BF4959" w:rsidRDefault="007C4016" w:rsidP="007C4016">
      <w:pPr>
        <w:pStyle w:val="IFTnormal"/>
        <w:spacing w:before="240" w:after="0"/>
        <w:rPr>
          <w:b/>
        </w:rPr>
      </w:pPr>
      <w:r w:rsidRPr="00BF4959">
        <w:rPr>
          <w:b/>
        </w:rPr>
        <w:t>Consideraciones del Instituto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rPr>
          <w:rFonts w:ascii="Calibri" w:hAnsi="Calibri"/>
        </w:rPr>
      </w:pPr>
      <w:r>
        <w:rPr>
          <w:lang w:val="es-ES"/>
        </w:rPr>
        <w:t>Relativo al numeral “</w:t>
      </w:r>
      <w:r w:rsidRPr="00D1538A">
        <w:rPr>
          <w:i/>
          <w:lang w:val="es-ES"/>
        </w:rPr>
        <w:t>2.-OBJETIVO</w:t>
      </w:r>
      <w:r>
        <w:rPr>
          <w:lang w:val="es-ES"/>
        </w:rPr>
        <w:t xml:space="preserve">” de la NORMA 2 </w:t>
      </w:r>
      <w:r w:rsidRPr="00DF78D7">
        <w:rPr>
          <w:i/>
          <w:lang w:val="es-ES"/>
        </w:rPr>
        <w:t xml:space="preserve">“COMPARTICIÓN DE POSTES DE </w:t>
      </w:r>
      <w:r>
        <w:rPr>
          <w:i/>
          <w:lang w:val="es-ES"/>
        </w:rPr>
        <w:t>TELNOR</w:t>
      </w:r>
      <w:r w:rsidRPr="00DF78D7">
        <w:rPr>
          <w:i/>
          <w:lang w:val="es-ES"/>
        </w:rPr>
        <w:t xml:space="preserve"> PARA NUEVOS CONCESIONARIOS” </w:t>
      </w:r>
      <w:r w:rsidRPr="00DF78D7">
        <w:rPr>
          <w:lang w:val="es-ES"/>
        </w:rPr>
        <w:t>del ANEXO 2</w:t>
      </w:r>
      <w:r w:rsidRPr="00DF78D7">
        <w:rPr>
          <w:i/>
          <w:lang w:val="es-ES"/>
        </w:rPr>
        <w:t xml:space="preserve"> “NORMATIVIDAD TÉCNICA”</w:t>
      </w:r>
      <w:r>
        <w:rPr>
          <w:lang w:val="es-ES"/>
        </w:rPr>
        <w:t>, el AEP en su documento de propuesta de Oferta de Referencia establece lo siguiente:</w:t>
      </w:r>
    </w:p>
    <w:p w:rsidR="007C4016" w:rsidRPr="00DC2939" w:rsidRDefault="007C4016" w:rsidP="007C4016">
      <w:pPr>
        <w:pStyle w:val="Citaift0"/>
        <w:spacing w:before="240" w:after="0"/>
        <w:rPr>
          <w:b/>
        </w:rPr>
      </w:pPr>
      <w:r w:rsidRPr="00DF78D7">
        <w:lastRenderedPageBreak/>
        <w:t>“</w:t>
      </w:r>
      <w:r w:rsidRPr="00DC2939">
        <w:rPr>
          <w:b/>
        </w:rPr>
        <w:t>2.- OBJETIVO.</w:t>
      </w:r>
    </w:p>
    <w:p w:rsidR="007C4016" w:rsidRDefault="007C4016" w:rsidP="007C4016">
      <w:pPr>
        <w:pStyle w:val="Citaift0"/>
        <w:spacing w:before="240" w:after="0"/>
      </w:pPr>
      <w:r>
        <w:t xml:space="preserve">El presente documento </w:t>
      </w:r>
      <w:r w:rsidRPr="00F53C66">
        <w:t>establece lineamientos técnicos y administrativos</w:t>
      </w:r>
      <w:r w:rsidRPr="00563111">
        <w:t xml:space="preserve"> que los C</w:t>
      </w:r>
      <w:r w:rsidRPr="00E811C5">
        <w:t>oncesionarios Solicitantes deberán seguir, para la Compartición, el correcto uso y operación de la Infraestructur</w:t>
      </w:r>
      <w:r>
        <w:t xml:space="preserve">a de Postes de TELNOR, los criterios técnicos que los Concesionarios </w:t>
      </w:r>
      <w:r w:rsidRPr="00F53C66">
        <w:t>solicitantes deberán seguir para garantizar convivencia armoniosa y evitar la afectación del servicio y daño en la infraestructura existente durante el proceso de construcción del Concesionario solicitante</w:t>
      </w:r>
      <w:r w:rsidRPr="00563111">
        <w:t>.</w:t>
      </w:r>
      <w:r>
        <w:t>”</w:t>
      </w:r>
    </w:p>
    <w:p w:rsidR="007C4016" w:rsidRPr="0051464C" w:rsidRDefault="007C4016" w:rsidP="007C4016">
      <w:pPr>
        <w:pStyle w:val="IFTnormal"/>
        <w:spacing w:before="240" w:after="0"/>
        <w:rPr>
          <w:b/>
        </w:rPr>
      </w:pPr>
      <w:r w:rsidRPr="0051464C">
        <w:rPr>
          <w:b/>
        </w:rPr>
        <w:t>3.-ALCANCE.</w:t>
      </w:r>
    </w:p>
    <w:p w:rsidR="007C4016" w:rsidRPr="00BF4959" w:rsidRDefault="007C4016" w:rsidP="007C4016">
      <w:pPr>
        <w:pStyle w:val="IFTnormal"/>
        <w:spacing w:before="240" w:after="0"/>
        <w:rPr>
          <w:b/>
        </w:rPr>
      </w:pPr>
      <w:r w:rsidRPr="00BF4959">
        <w:rPr>
          <w:b/>
        </w:rPr>
        <w:t>Consideraciones del Instituto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rPr>
          <w:rFonts w:ascii="Calibri" w:hAnsi="Calibri"/>
        </w:rPr>
      </w:pPr>
      <w:r>
        <w:rPr>
          <w:lang w:val="es-ES"/>
        </w:rPr>
        <w:t>Relativo al numeral “</w:t>
      </w:r>
      <w:r w:rsidRPr="00785320">
        <w:rPr>
          <w:i/>
          <w:lang w:val="es-ES"/>
        </w:rPr>
        <w:t>3.- ALCANCE</w:t>
      </w:r>
      <w:r>
        <w:rPr>
          <w:lang w:val="es-ES"/>
        </w:rPr>
        <w:t xml:space="preserve">” de la NORMA 2 </w:t>
      </w:r>
      <w:r w:rsidRPr="00DF78D7">
        <w:rPr>
          <w:i/>
          <w:lang w:val="es-ES"/>
        </w:rPr>
        <w:t xml:space="preserve">“COMPARTICIÓN DE POSTES DE </w:t>
      </w:r>
      <w:r>
        <w:rPr>
          <w:i/>
          <w:lang w:val="es-ES"/>
        </w:rPr>
        <w:t>TELNOR</w:t>
      </w:r>
      <w:r w:rsidRPr="00DF78D7">
        <w:rPr>
          <w:i/>
          <w:lang w:val="es-ES"/>
        </w:rPr>
        <w:t xml:space="preserve"> PARA NUEVOS CONCESIONARIOS” </w:t>
      </w:r>
      <w:r w:rsidRPr="00DF78D7">
        <w:rPr>
          <w:lang w:val="es-ES"/>
        </w:rPr>
        <w:t>del ANEXO 2</w:t>
      </w:r>
      <w:r w:rsidRPr="00DF78D7">
        <w:rPr>
          <w:i/>
          <w:lang w:val="es-ES"/>
        </w:rPr>
        <w:t xml:space="preserve"> “NORMATIVIDAD TÉCNICA”</w:t>
      </w:r>
      <w:r>
        <w:rPr>
          <w:lang w:val="es-ES"/>
        </w:rPr>
        <w:t>, el AEP en su documento de propuesta de Oferta de Referencia establece lo siguiente:</w:t>
      </w:r>
    </w:p>
    <w:p w:rsidR="007C4016" w:rsidRPr="00B3003A" w:rsidRDefault="007C4016" w:rsidP="007C4016">
      <w:pPr>
        <w:pStyle w:val="Citaift0"/>
        <w:spacing w:before="240" w:after="0"/>
        <w:rPr>
          <w:b/>
        </w:rPr>
      </w:pPr>
      <w:r>
        <w:t>“</w:t>
      </w:r>
      <w:r w:rsidRPr="00B3003A">
        <w:rPr>
          <w:b/>
        </w:rPr>
        <w:t>3.-ALCANCE.</w:t>
      </w:r>
    </w:p>
    <w:p w:rsidR="007C4016" w:rsidRPr="00B3003A" w:rsidRDefault="007C4016" w:rsidP="007C4016">
      <w:pPr>
        <w:pStyle w:val="Citaift0"/>
        <w:spacing w:before="240" w:after="0"/>
      </w:pPr>
      <w:r w:rsidRPr="00B3003A">
        <w:t xml:space="preserve">Este documento debe ser aplicado por los Concesionarios que deseen la compartición de la Infraestructura pasiva de </w:t>
      </w:r>
      <w:r>
        <w:t>TELNOR</w:t>
      </w:r>
      <w:r w:rsidRPr="00B3003A">
        <w:t>.”</w:t>
      </w:r>
    </w:p>
    <w:p w:rsidR="007C4016" w:rsidRDefault="007C4016" w:rsidP="007C4016">
      <w:pPr>
        <w:pStyle w:val="IFTnormal"/>
        <w:spacing w:before="240" w:after="0"/>
      </w:pPr>
      <w:r>
        <w:t>El Instituto considera citar la Medida VIGÉSIMO QUINTA de las Medidas Fijas que a la letra dice lo siguiente:</w:t>
      </w:r>
    </w:p>
    <w:p w:rsidR="007C4016" w:rsidRDefault="007C4016" w:rsidP="007C4016">
      <w:pPr>
        <w:pStyle w:val="Citaift0"/>
        <w:spacing w:before="240" w:after="0"/>
      </w:pPr>
      <w:r w:rsidRPr="00886318">
        <w:t>“</w:t>
      </w:r>
      <w:r w:rsidRPr="00886318">
        <w:rPr>
          <w:b/>
        </w:rPr>
        <w:t>VIGÉSIMA QUINTA.-</w:t>
      </w:r>
      <w:r w:rsidRPr="00886318">
        <w:t xml:space="preserve"> El Agente Económico Preponderante y el Concesionario Solicitante se obligan a salvaguardar la infraestructura compartida.</w:t>
      </w:r>
    </w:p>
    <w:p w:rsidR="007C4016" w:rsidRPr="00886318" w:rsidRDefault="007C4016" w:rsidP="007C4016">
      <w:pPr>
        <w:pStyle w:val="Citaift0"/>
        <w:spacing w:before="240" w:after="0"/>
      </w:pPr>
      <w:r w:rsidRPr="00886318">
        <w:t>(…)</w:t>
      </w:r>
      <w:r>
        <w:t>”</w:t>
      </w:r>
    </w:p>
    <w:p w:rsidR="007C4016" w:rsidRDefault="007C4016" w:rsidP="007C4016">
      <w:pPr>
        <w:pStyle w:val="IFTnormal"/>
        <w:spacing w:before="240" w:after="0"/>
      </w:pPr>
      <w:r>
        <w:t>Se entiende que tanto el AEP como el CS deben llevar a cabo lo necesario para que la infraestructura que se comparta no sufra daños, esto es, que la Oferta de Referencia, así como los anexos, debe prevalecer la responsabilidad de ambas partes para salvaguardar la infraestructura compartida, por lo que el alcance debe incluir al CS como al AEP.</w:t>
      </w:r>
    </w:p>
    <w:p w:rsidR="007C4016" w:rsidRPr="0051464C" w:rsidRDefault="007C4016" w:rsidP="007C4016">
      <w:pPr>
        <w:pStyle w:val="IFTnormal"/>
        <w:spacing w:before="240" w:after="0"/>
        <w:rPr>
          <w:b/>
        </w:rPr>
      </w:pPr>
      <w:r w:rsidRPr="0051464C">
        <w:rPr>
          <w:b/>
        </w:rPr>
        <w:t>6.- DESARROLLO.</w:t>
      </w:r>
    </w:p>
    <w:p w:rsidR="007C4016" w:rsidRPr="0051464C" w:rsidRDefault="007C4016" w:rsidP="007C4016">
      <w:pPr>
        <w:pStyle w:val="IFTnormal"/>
        <w:spacing w:before="240" w:after="0"/>
        <w:rPr>
          <w:b/>
        </w:rPr>
      </w:pPr>
      <w:r w:rsidRPr="0051464C">
        <w:rPr>
          <w:b/>
        </w:rPr>
        <w:t>6.1.- LINEAMIENTOS TÉCNICOS.</w:t>
      </w:r>
    </w:p>
    <w:p w:rsidR="007C4016" w:rsidRPr="0051464C" w:rsidRDefault="007C4016" w:rsidP="007C4016">
      <w:pPr>
        <w:pStyle w:val="IFTnormal"/>
        <w:spacing w:before="240" w:after="0"/>
        <w:rPr>
          <w:b/>
        </w:rPr>
      </w:pPr>
      <w:r w:rsidRPr="0051464C">
        <w:rPr>
          <w:b/>
        </w:rPr>
        <w:lastRenderedPageBreak/>
        <w:t xml:space="preserve">6.1.1.- Lineamientos Generales para la compartición de Postes de </w:t>
      </w:r>
      <w:r>
        <w:rPr>
          <w:b/>
        </w:rPr>
        <w:t>TELNOR</w:t>
      </w:r>
      <w:r w:rsidRPr="0051464C">
        <w:rPr>
          <w:b/>
        </w:rPr>
        <w:t>.</w:t>
      </w:r>
    </w:p>
    <w:p w:rsidR="007C4016" w:rsidRPr="00491ACC" w:rsidRDefault="007C4016" w:rsidP="007C4016">
      <w:pPr>
        <w:pStyle w:val="IFTnormal"/>
        <w:spacing w:before="240" w:after="0"/>
        <w:rPr>
          <w:b/>
        </w:rPr>
      </w:pPr>
      <w:r w:rsidRPr="00491ACC">
        <w:rPr>
          <w:b/>
        </w:rPr>
        <w:t>Consideraciones del Instituto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rPr>
          <w:lang w:val="es-ES"/>
        </w:rPr>
      </w:pPr>
      <w:r>
        <w:t>A consideración del Instituto los aspectos que se encuentran fuera del alcance de la normativa técnica y con independencia del análisis de su procedencia</w:t>
      </w:r>
      <w:r>
        <w:rPr>
          <w:lang w:val="es-ES"/>
        </w:rPr>
        <w:t xml:space="preserve">, son los siguientes: </w:t>
      </w:r>
    </w:p>
    <w:p w:rsidR="007C4016" w:rsidRPr="00DC2939" w:rsidRDefault="007C4016" w:rsidP="007C4016">
      <w:pPr>
        <w:pStyle w:val="Citaift0"/>
        <w:spacing w:before="240" w:after="0"/>
        <w:rPr>
          <w:b/>
        </w:rPr>
      </w:pPr>
      <w:r w:rsidRPr="008B47C9">
        <w:t>“</w:t>
      </w:r>
      <w:r w:rsidRPr="00DC2939">
        <w:rPr>
          <w:b/>
        </w:rPr>
        <w:t xml:space="preserve">6.1.1.- Lineamientos Generales para la compartición de Postes de </w:t>
      </w:r>
      <w:r>
        <w:rPr>
          <w:b/>
        </w:rPr>
        <w:t>TELNOR</w:t>
      </w:r>
      <w:r w:rsidRPr="00DC2939">
        <w:rPr>
          <w:b/>
        </w:rPr>
        <w:t>.</w:t>
      </w:r>
    </w:p>
    <w:p w:rsidR="007C4016" w:rsidRPr="00BF4F4A" w:rsidRDefault="007C4016" w:rsidP="007C4016">
      <w:pPr>
        <w:pStyle w:val="Citaift0"/>
        <w:numPr>
          <w:ilvl w:val="0"/>
          <w:numId w:val="23"/>
        </w:numPr>
        <w:spacing w:before="240" w:after="0"/>
      </w:pPr>
      <w:r>
        <w:t>(…)</w:t>
      </w:r>
    </w:p>
    <w:p w:rsidR="007C4016" w:rsidRPr="00BF4F4A" w:rsidRDefault="007C4016" w:rsidP="007C4016">
      <w:pPr>
        <w:pStyle w:val="Citaift0"/>
        <w:numPr>
          <w:ilvl w:val="0"/>
          <w:numId w:val="23"/>
        </w:numPr>
        <w:spacing w:after="0"/>
      </w:pPr>
      <w:r w:rsidRPr="00BF4F4A">
        <w:t xml:space="preserve">El uso de postes de </w:t>
      </w:r>
      <w:r>
        <w:t>TELNOR</w:t>
      </w:r>
      <w:r w:rsidRPr="00BF4F4A">
        <w:t xml:space="preserve"> por otros Concesionarios solicitantes, deberá estar sujeto y respetar los programas de expansión de Red de </w:t>
      </w:r>
      <w:r>
        <w:t>TELNOR</w:t>
      </w:r>
      <w:r w:rsidRPr="00BF4F4A">
        <w:t xml:space="preserve">, y los planes que los Concesionarios solicitantes hayan entregado y programado con </w:t>
      </w:r>
      <w:r>
        <w:t>TELNOR</w:t>
      </w:r>
      <w:r w:rsidRPr="00BF4F4A">
        <w:t>, de lo contrario se atenderán en función a la disponibilidad de recursos.</w:t>
      </w:r>
    </w:p>
    <w:p w:rsidR="007C4016" w:rsidRPr="00BF4F4A" w:rsidRDefault="007C4016" w:rsidP="007C4016">
      <w:pPr>
        <w:pStyle w:val="Citaift0"/>
        <w:numPr>
          <w:ilvl w:val="0"/>
          <w:numId w:val="23"/>
        </w:numPr>
        <w:spacing w:after="0"/>
      </w:pPr>
      <w:r w:rsidRPr="00BF4F4A">
        <w:t xml:space="preserve">Todo permiso para construir, requerido por las autoridades municipales, estatales, federales o concesionarios de derechos de vía, es responsabilidad del Concesionario Solicitante que pretenda ocupar la infraestructura de postes de </w:t>
      </w:r>
      <w:r>
        <w:t>TELNOR</w:t>
      </w:r>
      <w:r w:rsidRPr="00BF4F4A">
        <w:t>. Tanto de trámite como los derechos que devengan.</w:t>
      </w:r>
    </w:p>
    <w:p w:rsidR="007C4016" w:rsidRPr="00BF4F4A" w:rsidRDefault="007C4016" w:rsidP="007C4016">
      <w:pPr>
        <w:pStyle w:val="Citaift0"/>
        <w:numPr>
          <w:ilvl w:val="0"/>
          <w:numId w:val="23"/>
        </w:numPr>
        <w:spacing w:after="0"/>
      </w:pPr>
      <w:r>
        <w:t>(…)</w:t>
      </w:r>
    </w:p>
    <w:p w:rsidR="007C4016" w:rsidRPr="00BF4F4A" w:rsidRDefault="007C4016" w:rsidP="007C4016">
      <w:pPr>
        <w:pStyle w:val="Citaift0"/>
        <w:numPr>
          <w:ilvl w:val="0"/>
          <w:numId w:val="23"/>
        </w:numPr>
        <w:spacing w:after="0"/>
      </w:pPr>
      <w:r w:rsidRPr="00BF4F4A">
        <w:t xml:space="preserve">El Concesionario solicitante debe entregar a </w:t>
      </w:r>
      <w:r>
        <w:t>TELNOR</w:t>
      </w:r>
      <w:r w:rsidRPr="00BF4F4A">
        <w:t xml:space="preserve"> las características de instalación de sus cables (tensiones sobre el cable durante su instalación), ya sean por tensión constante o flecha fija, para determinar la carga en los postes.</w:t>
      </w:r>
    </w:p>
    <w:p w:rsidR="007C4016" w:rsidRPr="00BF4F4A" w:rsidRDefault="007C4016" w:rsidP="007C4016">
      <w:pPr>
        <w:pStyle w:val="Citaift0"/>
        <w:numPr>
          <w:ilvl w:val="0"/>
          <w:numId w:val="23"/>
        </w:numPr>
        <w:spacing w:after="0"/>
      </w:pPr>
      <w:r w:rsidRPr="00BF4F4A">
        <w:t xml:space="preserve">Es responsabilidad del Concesionario hacer el cálculo de carga a la cual será sometido el poste, al instalar sus cables en el poste de </w:t>
      </w:r>
      <w:r>
        <w:t>TELNOR</w:t>
      </w:r>
      <w:r w:rsidRPr="00BF4F4A">
        <w:t xml:space="preserve"> y tomar las medidas pertinentes necesarias para preservar su integridad física del poste y de funcionamiento del cableado ya instalado, </w:t>
      </w:r>
      <w:r>
        <w:t>TELNOR</w:t>
      </w:r>
      <w:r w:rsidRPr="00BF4F4A">
        <w:t xml:space="preserve"> Validara dicho cálculo del proyecto que realice el Concesionario.</w:t>
      </w:r>
    </w:p>
    <w:p w:rsidR="007C4016" w:rsidRPr="00BF4F4A" w:rsidRDefault="007C4016" w:rsidP="007C4016">
      <w:pPr>
        <w:pStyle w:val="Citaift0"/>
        <w:numPr>
          <w:ilvl w:val="0"/>
          <w:numId w:val="23"/>
        </w:numPr>
        <w:spacing w:after="0"/>
      </w:pPr>
      <w:r>
        <w:t>(…)</w:t>
      </w:r>
    </w:p>
    <w:p w:rsidR="007C4016" w:rsidRDefault="007C4016" w:rsidP="007C4016">
      <w:pPr>
        <w:pStyle w:val="Citaift0"/>
        <w:numPr>
          <w:ilvl w:val="0"/>
          <w:numId w:val="23"/>
        </w:numPr>
        <w:spacing w:after="0"/>
      </w:pPr>
      <w:r w:rsidRPr="00BF4F4A">
        <w:t xml:space="preserve">Los nuevos Concesionarios, no deberán manipular y/o acomodar los elementos existentes de </w:t>
      </w:r>
      <w:r>
        <w:t>TELNOR</w:t>
      </w:r>
      <w:r w:rsidRPr="00BF4F4A">
        <w:t xml:space="preserve">, los trabajos necesarios serán realizados por </w:t>
      </w:r>
      <w:r>
        <w:t>TELNOR</w:t>
      </w:r>
      <w:r w:rsidRPr="00BF4F4A">
        <w:t xml:space="preserve"> con cargo al Concesionario mediante los trabajos de Acondicionamiento que pueden ser:</w:t>
      </w:r>
    </w:p>
    <w:p w:rsidR="007C4016" w:rsidRPr="00BF4F4A" w:rsidRDefault="007C4016" w:rsidP="007C4016">
      <w:pPr>
        <w:pStyle w:val="Citaift0"/>
        <w:numPr>
          <w:ilvl w:val="1"/>
          <w:numId w:val="23"/>
        </w:numPr>
        <w:spacing w:after="0"/>
      </w:pPr>
      <w:r w:rsidRPr="00BF4F4A">
        <w:t xml:space="preserve"> La infraestructura de apoyo.</w:t>
      </w:r>
    </w:p>
    <w:p w:rsidR="007C4016" w:rsidRPr="00BF4F4A" w:rsidRDefault="007C4016" w:rsidP="007C4016">
      <w:pPr>
        <w:pStyle w:val="Citaift0"/>
        <w:numPr>
          <w:ilvl w:val="0"/>
          <w:numId w:val="21"/>
        </w:numPr>
        <w:spacing w:after="0"/>
        <w:ind w:left="2268"/>
      </w:pPr>
      <w:r w:rsidRPr="00BF4F4A">
        <w:t>Cordones de Acometidas a clientes (bajantes).</w:t>
      </w:r>
    </w:p>
    <w:p w:rsidR="007C4016" w:rsidRPr="00BF4F4A" w:rsidRDefault="007C4016" w:rsidP="007C4016">
      <w:pPr>
        <w:pStyle w:val="Citaift0"/>
        <w:numPr>
          <w:ilvl w:val="0"/>
          <w:numId w:val="21"/>
        </w:numPr>
        <w:spacing w:after="0"/>
        <w:ind w:left="2268"/>
      </w:pPr>
      <w:r w:rsidRPr="00BF4F4A">
        <w:t>Cables multipar de cobre o de fibra óptica.</w:t>
      </w:r>
    </w:p>
    <w:p w:rsidR="007C4016" w:rsidRPr="00BF4F4A" w:rsidRDefault="007C4016" w:rsidP="007C4016">
      <w:pPr>
        <w:pStyle w:val="Citaift0"/>
        <w:numPr>
          <w:ilvl w:val="0"/>
          <w:numId w:val="21"/>
        </w:numPr>
        <w:spacing w:after="0"/>
        <w:ind w:left="2268"/>
      </w:pPr>
      <w:r w:rsidRPr="00BF4F4A">
        <w:t>Puntos de Dispersión de cobre o de fibra óptica.</w:t>
      </w:r>
    </w:p>
    <w:p w:rsidR="007C4016" w:rsidRPr="00BF4F4A" w:rsidRDefault="007C4016" w:rsidP="007C4016">
      <w:pPr>
        <w:pStyle w:val="Citaift0"/>
        <w:numPr>
          <w:ilvl w:val="0"/>
          <w:numId w:val="21"/>
        </w:numPr>
        <w:spacing w:after="0"/>
        <w:ind w:left="2268"/>
      </w:pPr>
      <w:r>
        <w:tab/>
      </w:r>
      <w:r>
        <w:tab/>
      </w:r>
      <w:r w:rsidRPr="00BF4F4A">
        <w:t>Cierres de empalme.</w:t>
      </w:r>
    </w:p>
    <w:p w:rsidR="007C4016" w:rsidRPr="00BF4F4A" w:rsidRDefault="007C4016" w:rsidP="007C4016">
      <w:pPr>
        <w:pStyle w:val="Citaift0"/>
        <w:numPr>
          <w:ilvl w:val="0"/>
          <w:numId w:val="22"/>
        </w:numPr>
        <w:spacing w:before="240" w:after="0"/>
      </w:pPr>
      <w:r>
        <w:lastRenderedPageBreak/>
        <w:t xml:space="preserve"> (…)</w:t>
      </w:r>
    </w:p>
    <w:p w:rsidR="007C4016" w:rsidRPr="00BF4F4A" w:rsidRDefault="007C4016" w:rsidP="007C4016">
      <w:pPr>
        <w:pStyle w:val="Citaift0"/>
        <w:numPr>
          <w:ilvl w:val="0"/>
          <w:numId w:val="22"/>
        </w:numPr>
        <w:spacing w:after="0"/>
      </w:pPr>
      <w:r w:rsidRPr="00BF4F4A">
        <w:t xml:space="preserve">Para rematar los cables, el Concesionario Solicitante debe utilizar materiales que no pongan en riesgo la red existente de </w:t>
      </w:r>
      <w:r>
        <w:t>TELNOR</w:t>
      </w:r>
      <w:r w:rsidRPr="00BF4F4A">
        <w:t xml:space="preserve"> por mala calidad.</w:t>
      </w:r>
    </w:p>
    <w:p w:rsidR="007C4016" w:rsidRPr="00BF4F4A" w:rsidRDefault="007C4016" w:rsidP="007C4016">
      <w:pPr>
        <w:pStyle w:val="Citaift0"/>
        <w:numPr>
          <w:ilvl w:val="0"/>
          <w:numId w:val="22"/>
        </w:numPr>
        <w:spacing w:after="0"/>
      </w:pPr>
      <w:r w:rsidRPr="00BF4F4A">
        <w:t xml:space="preserve">Se pone a disposición de los Concesionarios Solicitantes cualquier tipo de poste (madera, acero o concreto) propiedad de </w:t>
      </w:r>
      <w:r>
        <w:t>TELNOR</w:t>
      </w:r>
      <w:r w:rsidRPr="00BF4F4A">
        <w:t xml:space="preserve"> que tenga Disponibilidad de vacante.</w:t>
      </w:r>
    </w:p>
    <w:p w:rsidR="007C4016" w:rsidRPr="00BF4F4A" w:rsidRDefault="007C4016" w:rsidP="007C4016">
      <w:pPr>
        <w:pStyle w:val="Citaift0"/>
        <w:numPr>
          <w:ilvl w:val="0"/>
          <w:numId w:val="22"/>
        </w:numPr>
        <w:spacing w:after="0"/>
      </w:pPr>
      <w:r>
        <w:t>TELNOR</w:t>
      </w:r>
      <w:r w:rsidRPr="00BF4F4A">
        <w:t xml:space="preserve"> como responsable de realizar el Análisis de Disponibilidad o Visita Técnica; este último cuando así lo haya solicitado el Concesionario Solicitante:</w:t>
      </w:r>
    </w:p>
    <w:p w:rsidR="007C4016" w:rsidRDefault="007C4016" w:rsidP="007C4016">
      <w:pPr>
        <w:pStyle w:val="Citaift0"/>
        <w:numPr>
          <w:ilvl w:val="0"/>
          <w:numId w:val="24"/>
        </w:numPr>
        <w:spacing w:before="240" w:after="0"/>
        <w:ind w:left="2127"/>
      </w:pPr>
      <w:r>
        <w:t>Analizará in situ los elementos sobre los que efectivamente se podrá ejercer el Acceso y Uso Compartido de Infraestructura Pasiva; realizando la investigación en ambas aceras, siempre y cuando lo precise la solicitud entregada por los Concesionarios Solicitantes. La longitud deberá ser la suma de la longitud de ambas aceras.</w:t>
      </w:r>
    </w:p>
    <w:p w:rsidR="007C4016" w:rsidRDefault="007C4016" w:rsidP="007C4016">
      <w:pPr>
        <w:pStyle w:val="Citaift0"/>
        <w:numPr>
          <w:ilvl w:val="0"/>
          <w:numId w:val="24"/>
        </w:numPr>
        <w:spacing w:after="0"/>
        <w:ind w:left="2127"/>
      </w:pPr>
      <w:r>
        <w:t>Realizará la investigación de las subidas o bajadas a poste o fachadas, aunque su longitud no venga precisada en la solicitud entregada por los Concesionarios Solicitantes. Solo debe venir indicado en la solicitud.</w:t>
      </w:r>
    </w:p>
    <w:p w:rsidR="007C4016" w:rsidRDefault="007C4016" w:rsidP="007C4016">
      <w:pPr>
        <w:pStyle w:val="Citaift0"/>
        <w:numPr>
          <w:ilvl w:val="0"/>
          <w:numId w:val="24"/>
        </w:numPr>
        <w:spacing w:after="0"/>
        <w:ind w:left="2127"/>
      </w:pPr>
      <w:r>
        <w:t>Para una zona delimitada por un polígono, TELNOR realizará la investigación de toda la infraestructura pasiva contenida en el polígono, incluyendo subidas y bajas, así como cruces de calle.</w:t>
      </w:r>
    </w:p>
    <w:p w:rsidR="007C4016" w:rsidRDefault="007C4016" w:rsidP="007C4016">
      <w:pPr>
        <w:pStyle w:val="Citaift0"/>
        <w:numPr>
          <w:ilvl w:val="0"/>
          <w:numId w:val="25"/>
        </w:numPr>
        <w:spacing w:before="240" w:after="0"/>
      </w:pPr>
      <w:r>
        <w:t>Se excluye de Uso Compartido en el poste, la Disponibilidad planeada por TELNOR para la fase de saturación de Zonas que atiende, solamente se considera como Disponibilidad vacante.</w:t>
      </w:r>
    </w:p>
    <w:p w:rsidR="007C4016" w:rsidRDefault="007C4016" w:rsidP="007C4016">
      <w:pPr>
        <w:pStyle w:val="Citaift0"/>
        <w:numPr>
          <w:ilvl w:val="0"/>
          <w:numId w:val="25"/>
        </w:numPr>
        <w:spacing w:before="240" w:after="0"/>
      </w:pPr>
      <w:r>
        <w:t xml:space="preserve"> (…)</w:t>
      </w:r>
    </w:p>
    <w:p w:rsidR="007C4016" w:rsidRPr="00DC2939" w:rsidRDefault="007C4016" w:rsidP="007C4016">
      <w:pPr>
        <w:pStyle w:val="Citaift0"/>
        <w:spacing w:before="240" w:after="0"/>
        <w:rPr>
          <w:b/>
        </w:rPr>
      </w:pPr>
      <w:r w:rsidRPr="00DC2939">
        <w:rPr>
          <w:b/>
        </w:rPr>
        <w:t xml:space="preserve">6.1.2.- Ingeniería y construcción de compartición de Postes de </w:t>
      </w:r>
      <w:r>
        <w:rPr>
          <w:b/>
        </w:rPr>
        <w:t>TELNOR</w:t>
      </w:r>
      <w:r w:rsidRPr="00DC2939">
        <w:rPr>
          <w:b/>
        </w:rPr>
        <w:t>.</w:t>
      </w:r>
    </w:p>
    <w:p w:rsidR="007C4016" w:rsidRDefault="007C4016" w:rsidP="007C4016">
      <w:pPr>
        <w:pStyle w:val="Citaift0"/>
        <w:numPr>
          <w:ilvl w:val="0"/>
          <w:numId w:val="26"/>
        </w:numPr>
        <w:spacing w:before="240" w:after="0"/>
      </w:pPr>
      <w:r>
        <w:t>(…)</w:t>
      </w:r>
    </w:p>
    <w:p w:rsidR="007C4016" w:rsidRDefault="007C4016" w:rsidP="007C4016">
      <w:pPr>
        <w:pStyle w:val="Citaift0"/>
        <w:numPr>
          <w:ilvl w:val="0"/>
          <w:numId w:val="26"/>
        </w:numPr>
        <w:spacing w:after="0"/>
      </w:pPr>
      <w:r>
        <w:t>La compartición de postes se realiza por trayectoria (con un punto origen y un punto destino) o área, para que el Concesionario solicitante despliegue su propia red.</w:t>
      </w:r>
    </w:p>
    <w:p w:rsidR="007C4016" w:rsidRDefault="007C4016" w:rsidP="007C4016">
      <w:pPr>
        <w:pStyle w:val="Citaift0"/>
        <w:numPr>
          <w:ilvl w:val="0"/>
          <w:numId w:val="26"/>
        </w:numPr>
        <w:spacing w:after="0"/>
      </w:pPr>
      <w:r>
        <w:t>La Factibilidad total de compartición de postes es para aquellos postes que tengan menos de 5 cables instalados o la Tensión Máxima de Operación (To) permitida en el poste, la que suceda primero.</w:t>
      </w:r>
    </w:p>
    <w:p w:rsidR="007C4016" w:rsidRDefault="007C4016" w:rsidP="007C4016">
      <w:pPr>
        <w:pStyle w:val="Citaift0"/>
        <w:numPr>
          <w:ilvl w:val="0"/>
          <w:numId w:val="26"/>
        </w:numPr>
        <w:spacing w:after="0"/>
      </w:pPr>
      <w:r>
        <w:t>La definición de hasta 5 cables se basa en la cantidad máxima que no genere contaminación visual en la vía pública.</w:t>
      </w:r>
    </w:p>
    <w:p w:rsidR="007C4016" w:rsidRDefault="007C4016" w:rsidP="007C4016">
      <w:pPr>
        <w:pStyle w:val="Citaift0"/>
        <w:numPr>
          <w:ilvl w:val="0"/>
          <w:numId w:val="26"/>
        </w:numPr>
        <w:spacing w:after="0"/>
      </w:pPr>
      <w:r>
        <w:t>La cantidad máxima de 5 cables puede disminuir si las autoridades locales así lo establezcan vía documento oficial.</w:t>
      </w:r>
    </w:p>
    <w:p w:rsidR="007C4016" w:rsidRDefault="007C4016" w:rsidP="007C4016">
      <w:pPr>
        <w:pStyle w:val="Citaift0"/>
        <w:numPr>
          <w:ilvl w:val="0"/>
          <w:numId w:val="26"/>
        </w:numPr>
        <w:spacing w:after="0"/>
      </w:pPr>
      <w:r>
        <w:t>Se documentara que un poste tiene hasta “n” número de cables vacante, para uso compartido.</w:t>
      </w:r>
    </w:p>
    <w:p w:rsidR="007C4016" w:rsidRDefault="007C4016" w:rsidP="007C4016">
      <w:pPr>
        <w:pStyle w:val="Citaift0"/>
        <w:numPr>
          <w:ilvl w:val="0"/>
          <w:numId w:val="26"/>
        </w:numPr>
        <w:spacing w:after="0"/>
      </w:pPr>
      <w:r>
        <w:t>(…)</w:t>
      </w:r>
    </w:p>
    <w:p w:rsidR="007C4016" w:rsidRDefault="007C4016" w:rsidP="007C4016">
      <w:pPr>
        <w:pStyle w:val="Citaift0"/>
        <w:numPr>
          <w:ilvl w:val="0"/>
          <w:numId w:val="27"/>
        </w:numPr>
        <w:spacing w:after="0"/>
      </w:pPr>
      <w:r>
        <w:lastRenderedPageBreak/>
        <w:t>TELNOR realizará el acondicionamiento de la Infraestructura con previa autorización y pago del Concesionario solicitante:</w:t>
      </w:r>
    </w:p>
    <w:p w:rsidR="007C4016" w:rsidRDefault="007C4016" w:rsidP="007C4016">
      <w:pPr>
        <w:pStyle w:val="Citaift0"/>
        <w:numPr>
          <w:ilvl w:val="0"/>
          <w:numId w:val="28"/>
        </w:numPr>
        <w:spacing w:before="240" w:after="0"/>
        <w:ind w:left="1985"/>
      </w:pPr>
      <w:r>
        <w:t>En caso de postes en mal estado, no debe instalarse en el poste más cables que pongan en riesgo la Red existente de TELNOR.</w:t>
      </w:r>
    </w:p>
    <w:p w:rsidR="007C4016" w:rsidRDefault="007C4016" w:rsidP="007C4016">
      <w:pPr>
        <w:pStyle w:val="Citaift0"/>
        <w:numPr>
          <w:ilvl w:val="0"/>
          <w:numId w:val="28"/>
        </w:numPr>
        <w:spacing w:after="0"/>
        <w:ind w:left="1985"/>
      </w:pPr>
      <w:r>
        <w:t>Movimiento o reacomodo de accesorios existentes del poste, para poder instalar el punto de apoyo del Concesionario solicitante.</w:t>
      </w:r>
    </w:p>
    <w:p w:rsidR="007C4016" w:rsidRDefault="007C4016" w:rsidP="007C4016">
      <w:pPr>
        <w:pStyle w:val="Citaift0"/>
        <w:numPr>
          <w:ilvl w:val="0"/>
          <w:numId w:val="28"/>
        </w:numPr>
        <w:spacing w:after="0"/>
        <w:ind w:left="1985"/>
      </w:pPr>
      <w:r>
        <w:t>La colocación de retenidas en cambios de dirección y/o para mantener en equilibrio de las tensiones que se ejercen sobre los postes, debido a la instalación de cables y/o gazas del Concesionario.</w:t>
      </w:r>
    </w:p>
    <w:p w:rsidR="007C4016" w:rsidRDefault="007C4016" w:rsidP="007C4016">
      <w:pPr>
        <w:pStyle w:val="Citaift0"/>
        <w:numPr>
          <w:ilvl w:val="0"/>
          <w:numId w:val="28"/>
        </w:numPr>
        <w:spacing w:after="0"/>
        <w:ind w:left="1985"/>
      </w:pPr>
      <w:r>
        <w:t>Si los trabajos requieren permisos ante las autoridades correspondientes, el Concesionario solicitante debe tramitar y cubrir los derechos correspondientes. </w:t>
      </w:r>
    </w:p>
    <w:p w:rsidR="007C4016" w:rsidRDefault="007C4016" w:rsidP="007C4016">
      <w:pPr>
        <w:pStyle w:val="Citaift0"/>
        <w:numPr>
          <w:ilvl w:val="0"/>
          <w:numId w:val="29"/>
        </w:numPr>
        <w:spacing w:before="240" w:after="0"/>
      </w:pPr>
      <w:r>
        <w:t>El Concesionario debe poner los postes necesarios para completar las trayectorias aéreas de cable donde no existan postes de TELNOR.</w:t>
      </w:r>
    </w:p>
    <w:p w:rsidR="007C4016" w:rsidRDefault="007C4016" w:rsidP="007C4016">
      <w:pPr>
        <w:pStyle w:val="Citaift0"/>
        <w:numPr>
          <w:ilvl w:val="0"/>
          <w:numId w:val="30"/>
        </w:numPr>
        <w:spacing w:before="240" w:after="0"/>
        <w:ind w:left="1985"/>
      </w:pPr>
      <w:r>
        <w:t>Si los trabajos requieren permisos ante las autoridades correspondientes, el Concesionario solicitante debe tramitar y cubrir los derechos correspondientes.</w:t>
      </w:r>
    </w:p>
    <w:p w:rsidR="007C4016" w:rsidRDefault="007C4016" w:rsidP="007C4016">
      <w:pPr>
        <w:pStyle w:val="Citaift0"/>
        <w:numPr>
          <w:ilvl w:val="0"/>
          <w:numId w:val="31"/>
        </w:numPr>
        <w:spacing w:after="0"/>
      </w:pPr>
      <w:r>
        <w:t xml:space="preserve">TELNOR cuantificará con el documento del Concesionario Solicitante, la cantidad de cables a instalar en un poste y cuantificara el excedente a 86.4 Kg ejercido por un solo cable. </w:t>
      </w:r>
    </w:p>
    <w:p w:rsidR="007C4016" w:rsidRDefault="007C4016" w:rsidP="007C4016">
      <w:pPr>
        <w:pStyle w:val="Citaift0"/>
        <w:numPr>
          <w:ilvl w:val="0"/>
          <w:numId w:val="32"/>
        </w:numPr>
        <w:spacing w:after="0"/>
      </w:pPr>
      <w:r>
        <w:t xml:space="preserve"> (…)</w:t>
      </w:r>
    </w:p>
    <w:p w:rsidR="007C4016" w:rsidRDefault="007C4016" w:rsidP="007C4016">
      <w:pPr>
        <w:pStyle w:val="Citaift0"/>
        <w:numPr>
          <w:ilvl w:val="0"/>
          <w:numId w:val="32"/>
        </w:numPr>
        <w:spacing w:after="0"/>
      </w:pPr>
      <w:r>
        <w:t>La distancia mínima a la que podrá colocarse un poste de otro Concesionario respecto a uno de TELNOR es de 0.5 m. respetando el área de trabajo de TELNOR.</w:t>
      </w:r>
    </w:p>
    <w:p w:rsidR="007C4016" w:rsidRDefault="007C4016" w:rsidP="007C4016">
      <w:pPr>
        <w:pStyle w:val="Citaift0"/>
        <w:numPr>
          <w:ilvl w:val="0"/>
          <w:numId w:val="32"/>
        </w:numPr>
        <w:spacing w:after="0"/>
      </w:pPr>
      <w:r>
        <w:t xml:space="preserve">La factibilidad de los documentos que presenten los Concesionarios Solicitantes, la realizara TELNOR mediante la validación del proyecto, asegurando que cumple la norma de ingeniería y construcción que establece el presente documento. </w:t>
      </w:r>
    </w:p>
    <w:p w:rsidR="007C4016" w:rsidRDefault="007C4016" w:rsidP="007C4016">
      <w:pPr>
        <w:pStyle w:val="Citaift0"/>
        <w:numPr>
          <w:ilvl w:val="0"/>
          <w:numId w:val="32"/>
        </w:numPr>
        <w:spacing w:after="0"/>
      </w:pPr>
      <w:r>
        <w:t>La información de planos que proporcionen los Concesionarios Solicitantes será en formato magnético shape file, en capas independientes para actualizar el sistema de inventario.”</w:t>
      </w:r>
    </w:p>
    <w:p w:rsidR="007C4016" w:rsidRDefault="007C4016" w:rsidP="007C4016">
      <w:pPr>
        <w:pStyle w:val="IFTnormal"/>
        <w:spacing w:before="240" w:after="0"/>
        <w:rPr>
          <w:lang w:val="es-ES"/>
        </w:rPr>
      </w:pPr>
      <w:r>
        <w:t>Si bien los aspectos antes citados serán eliminados de la NORMA 2 del ANEXO 2</w:t>
      </w:r>
      <w:r>
        <w:rPr>
          <w:lang w:val="es-ES"/>
        </w:rPr>
        <w:t>, es necesario analizar algunos de ellos antes de proceder a identificar si ameritan su ubicación en una sección diferente de la Oferta de Referencia.</w:t>
      </w:r>
    </w:p>
    <w:p w:rsidR="007C4016" w:rsidRDefault="007C4016" w:rsidP="007C4016">
      <w:pPr>
        <w:pStyle w:val="IFTnormal"/>
        <w:spacing w:before="240" w:after="0"/>
      </w:pPr>
      <w:r>
        <w:rPr>
          <w:lang w:val="es-ES"/>
        </w:rPr>
        <w:t>D</w:t>
      </w:r>
      <w:r>
        <w:t>e los aspectos antes citados el AEP establece los siguientes:</w:t>
      </w:r>
    </w:p>
    <w:p w:rsidR="007C4016" w:rsidRPr="00DC2939" w:rsidRDefault="007C4016" w:rsidP="007C4016">
      <w:pPr>
        <w:pStyle w:val="Citaift0"/>
        <w:spacing w:before="240" w:after="0"/>
        <w:rPr>
          <w:b/>
        </w:rPr>
      </w:pPr>
      <w:r w:rsidRPr="008B47C9">
        <w:t>“</w:t>
      </w:r>
      <w:r w:rsidRPr="00DC2939">
        <w:rPr>
          <w:b/>
        </w:rPr>
        <w:t xml:space="preserve">6.1.1.- Lineamientos Generales para la compartición de Postes de </w:t>
      </w:r>
      <w:r>
        <w:rPr>
          <w:b/>
        </w:rPr>
        <w:t>TELNOR</w:t>
      </w:r>
      <w:r w:rsidRPr="00DC2939">
        <w:rPr>
          <w:b/>
        </w:rPr>
        <w:t>.</w:t>
      </w:r>
    </w:p>
    <w:p w:rsidR="007C4016" w:rsidRPr="00BF4F4A" w:rsidRDefault="007C4016" w:rsidP="007C4016">
      <w:pPr>
        <w:pStyle w:val="Citaift0"/>
        <w:numPr>
          <w:ilvl w:val="0"/>
          <w:numId w:val="23"/>
        </w:numPr>
        <w:spacing w:before="240" w:after="0"/>
      </w:pPr>
      <w:r>
        <w:t>(…)</w:t>
      </w:r>
    </w:p>
    <w:p w:rsidR="007C4016" w:rsidRPr="00BF4F4A" w:rsidRDefault="007C4016" w:rsidP="007C4016">
      <w:pPr>
        <w:pStyle w:val="Citaift0"/>
        <w:numPr>
          <w:ilvl w:val="0"/>
          <w:numId w:val="23"/>
        </w:numPr>
        <w:spacing w:before="240" w:after="0"/>
      </w:pPr>
      <w:r w:rsidRPr="00BF4F4A">
        <w:lastRenderedPageBreak/>
        <w:t xml:space="preserve">El uso de postes de </w:t>
      </w:r>
      <w:r>
        <w:t>TELNOR</w:t>
      </w:r>
      <w:r w:rsidRPr="00BF4F4A">
        <w:t xml:space="preserve"> por otros Concesionarios solicitantes, deberá estar sujeto y respetar los programas de expansión de Red de </w:t>
      </w:r>
      <w:r>
        <w:t>TELNOR</w:t>
      </w:r>
      <w:r w:rsidRPr="00BF4F4A">
        <w:t xml:space="preserve">, y los planes que los Concesionarios solicitantes hayan entregado y programado con </w:t>
      </w:r>
      <w:r>
        <w:t>TELNOR</w:t>
      </w:r>
      <w:r w:rsidRPr="00BF4F4A">
        <w:t>, de lo contrario se atenderán en función a la disponibilidad de recursos.</w:t>
      </w:r>
    </w:p>
    <w:p w:rsidR="007C4016" w:rsidRPr="00BF4F4A" w:rsidRDefault="007C4016" w:rsidP="007C4016">
      <w:pPr>
        <w:pStyle w:val="Citaift0"/>
        <w:numPr>
          <w:ilvl w:val="0"/>
          <w:numId w:val="23"/>
        </w:numPr>
        <w:spacing w:before="240" w:after="0"/>
      </w:pPr>
      <w:r w:rsidRPr="00BF4F4A">
        <w:t xml:space="preserve">Todo permiso para construir, requerido por las autoridades municipales, estatales, federales o concesionarios de derechos de vía, es responsabilidad del Concesionario Solicitante que pretenda ocupar la infraestructura de postes de </w:t>
      </w:r>
      <w:r>
        <w:t>TELNOR</w:t>
      </w:r>
      <w:r w:rsidRPr="00BF4F4A">
        <w:t>. Tanto de trámite como los derechos que devengan.</w:t>
      </w:r>
    </w:p>
    <w:p w:rsidR="007C4016" w:rsidRDefault="007C4016" w:rsidP="007C4016">
      <w:pPr>
        <w:pStyle w:val="Citaift0"/>
        <w:numPr>
          <w:ilvl w:val="0"/>
          <w:numId w:val="23"/>
        </w:numPr>
        <w:spacing w:before="240" w:after="0"/>
      </w:pPr>
      <w:r>
        <w:t>(…)</w:t>
      </w:r>
    </w:p>
    <w:p w:rsidR="007C4016" w:rsidRDefault="007C4016" w:rsidP="007C4016">
      <w:pPr>
        <w:pStyle w:val="Citaift0"/>
        <w:numPr>
          <w:ilvl w:val="0"/>
          <w:numId w:val="23"/>
        </w:numPr>
        <w:spacing w:before="240" w:after="0"/>
      </w:pPr>
      <w:r>
        <w:t>Se excluye de Uso Compartido en el poste, la Disponibilidad planeada por TELNOR para la fase de saturación de Zonas que atiende, solamente se considera como Disponibilidad vacante.</w:t>
      </w:r>
    </w:p>
    <w:p w:rsidR="007C4016" w:rsidRDefault="007C4016" w:rsidP="007C4016">
      <w:pPr>
        <w:pStyle w:val="Citaift0"/>
        <w:numPr>
          <w:ilvl w:val="0"/>
          <w:numId w:val="23"/>
        </w:numPr>
        <w:spacing w:before="240" w:after="0"/>
      </w:pPr>
      <w:r>
        <w:t>(…)</w:t>
      </w:r>
    </w:p>
    <w:p w:rsidR="007C4016" w:rsidRPr="0030436D" w:rsidRDefault="007C4016" w:rsidP="007C4016">
      <w:pPr>
        <w:pStyle w:val="Citaift0"/>
        <w:spacing w:before="240" w:after="0"/>
      </w:pPr>
      <w:r w:rsidRPr="0030436D">
        <w:rPr>
          <w:b/>
        </w:rPr>
        <w:t xml:space="preserve">6.1.2.- Ingeniería y construcción de compartición de Postes de </w:t>
      </w:r>
      <w:r>
        <w:rPr>
          <w:b/>
        </w:rPr>
        <w:t>TELNOR</w:t>
      </w:r>
      <w:r w:rsidRPr="0030436D">
        <w:rPr>
          <w:b/>
        </w:rPr>
        <w:t>.</w:t>
      </w:r>
    </w:p>
    <w:p w:rsidR="007C4016" w:rsidRDefault="007C4016" w:rsidP="007C4016">
      <w:pPr>
        <w:pStyle w:val="Citaift0"/>
        <w:spacing w:before="240" w:after="0"/>
        <w:ind w:left="1571"/>
      </w:pPr>
      <w:r>
        <w:t>(…)</w:t>
      </w:r>
    </w:p>
    <w:p w:rsidR="007C4016" w:rsidRDefault="007C4016" w:rsidP="007C4016">
      <w:pPr>
        <w:pStyle w:val="Citaift0"/>
        <w:numPr>
          <w:ilvl w:val="0"/>
          <w:numId w:val="27"/>
        </w:numPr>
        <w:spacing w:before="240" w:after="0"/>
      </w:pPr>
      <w:r>
        <w:t>TELNOR realizará el acondicionamiento de la Infraestructura con previa autorización y pago del Concesionario solicitante:</w:t>
      </w:r>
    </w:p>
    <w:p w:rsidR="007C4016" w:rsidRDefault="007C4016" w:rsidP="007C4016">
      <w:pPr>
        <w:pStyle w:val="Citaift0"/>
        <w:numPr>
          <w:ilvl w:val="0"/>
          <w:numId w:val="28"/>
        </w:numPr>
        <w:spacing w:before="240" w:after="0"/>
        <w:ind w:left="1985"/>
      </w:pPr>
      <w:r>
        <w:t>En caso de postes en mal estado, no debe instalarse en el poste más cables que pongan en riesgo la Red existente de TELNOR.</w:t>
      </w:r>
    </w:p>
    <w:p w:rsidR="007C4016" w:rsidRDefault="007C4016" w:rsidP="007C4016">
      <w:pPr>
        <w:pStyle w:val="Citaift0"/>
        <w:numPr>
          <w:ilvl w:val="0"/>
          <w:numId w:val="28"/>
        </w:numPr>
        <w:spacing w:after="0"/>
        <w:ind w:left="1985"/>
      </w:pPr>
      <w:r>
        <w:t>Movimiento o reacomodo de accesorios existentes del poste, para poder instalar el punto de apoyo del Concesionario solicitante.</w:t>
      </w:r>
    </w:p>
    <w:p w:rsidR="007C4016" w:rsidRDefault="007C4016" w:rsidP="007C4016">
      <w:pPr>
        <w:pStyle w:val="Citaift0"/>
        <w:numPr>
          <w:ilvl w:val="0"/>
          <w:numId w:val="28"/>
        </w:numPr>
        <w:spacing w:after="0"/>
        <w:ind w:left="1985"/>
      </w:pPr>
      <w:r>
        <w:t>La colocación de retenidas en cambios de dirección y/o para mantener en equilibrio de las tensiones que se ejercen sobre los postes, debido a la instalación de cables y/o gazas del Concesionario.</w:t>
      </w:r>
    </w:p>
    <w:p w:rsidR="007C4016" w:rsidRDefault="007C4016" w:rsidP="007C4016">
      <w:pPr>
        <w:pStyle w:val="Citaift0"/>
        <w:numPr>
          <w:ilvl w:val="0"/>
          <w:numId w:val="28"/>
        </w:numPr>
        <w:spacing w:after="0"/>
        <w:ind w:left="1985"/>
      </w:pPr>
      <w:r>
        <w:t>Si los trabajos requieren permisos ante las autoridades correspondientes, el Concesionario solicitante debe tramitar y cubrir los derechos correspondientes. </w:t>
      </w:r>
    </w:p>
    <w:p w:rsidR="007C4016" w:rsidRDefault="007C4016" w:rsidP="007C4016">
      <w:pPr>
        <w:pStyle w:val="Citaift0"/>
        <w:numPr>
          <w:ilvl w:val="0"/>
          <w:numId w:val="29"/>
        </w:numPr>
        <w:spacing w:before="240" w:after="0"/>
      </w:pPr>
      <w:r>
        <w:t>El Concesionario debe poner los postes necesarios para completar las trayectorias aéreas de cable donde no existan postes de TELNOR.</w:t>
      </w:r>
    </w:p>
    <w:p w:rsidR="007C4016" w:rsidRDefault="007C4016" w:rsidP="007C4016">
      <w:pPr>
        <w:pStyle w:val="Citaift0"/>
        <w:numPr>
          <w:ilvl w:val="0"/>
          <w:numId w:val="23"/>
        </w:numPr>
        <w:spacing w:before="240" w:after="0"/>
      </w:pPr>
      <w:r>
        <w:t>Si los trabajos requieren permisos ante las autoridades correspondientes, el Concesionario solicitante debe tramitar y cubrir los derechos correspondientes.</w:t>
      </w:r>
    </w:p>
    <w:p w:rsidR="007C4016" w:rsidRPr="00BF4F4A" w:rsidRDefault="007C4016" w:rsidP="007C4016">
      <w:pPr>
        <w:pStyle w:val="Citaift0"/>
        <w:spacing w:before="240" w:after="0"/>
        <w:ind w:left="1211"/>
      </w:pPr>
      <w:r>
        <w:t>“</w:t>
      </w:r>
    </w:p>
    <w:p w:rsidR="007C4016" w:rsidRDefault="007C4016" w:rsidP="007C4016">
      <w:pPr>
        <w:pStyle w:val="IFTnormal"/>
        <w:spacing w:before="240" w:after="0"/>
      </w:pPr>
      <w:r>
        <w:lastRenderedPageBreak/>
        <w:t>El Instituto considera que estos aspectos deberán eliminarse de la Oferta de Referencia, conforme a lo analizado en las consideraciones del Instituto en la sección “</w:t>
      </w:r>
      <w:r w:rsidRPr="00BE57F4">
        <w:rPr>
          <w:i/>
        </w:rPr>
        <w:t xml:space="preserve">NORMA 1: COMPARTICIÓN DE CANALIZACIÓN DE </w:t>
      </w:r>
      <w:r>
        <w:rPr>
          <w:i/>
        </w:rPr>
        <w:t>TELNOR</w:t>
      </w:r>
      <w:r w:rsidRPr="00BE57F4">
        <w:rPr>
          <w:i/>
        </w:rPr>
        <w:t xml:space="preserve"> PARA NUEVOS CONCESIONARIOS.”</w:t>
      </w:r>
      <w:r>
        <w:t xml:space="preserve"> del presente documento.</w:t>
      </w:r>
    </w:p>
    <w:p w:rsidR="007C4016" w:rsidRDefault="007C4016" w:rsidP="007C4016">
      <w:pPr>
        <w:pStyle w:val="IFTnormal"/>
        <w:spacing w:before="240" w:after="0"/>
      </w:pPr>
      <w:r>
        <w:t xml:space="preserve">Por otro lado, de los aspectos antes citados el AEP establece condiciones para la compartición basada en la cantidad de cables, los cuales se citan a continuación: </w:t>
      </w:r>
    </w:p>
    <w:p w:rsidR="007C4016" w:rsidRPr="00DC2939" w:rsidRDefault="007C4016" w:rsidP="007C4016">
      <w:pPr>
        <w:pStyle w:val="Citaift0"/>
        <w:spacing w:before="240" w:after="0"/>
        <w:rPr>
          <w:b/>
        </w:rPr>
      </w:pPr>
      <w:r>
        <w:rPr>
          <w:b/>
        </w:rPr>
        <w:t>“</w:t>
      </w:r>
      <w:r w:rsidRPr="00DC2939">
        <w:rPr>
          <w:b/>
        </w:rPr>
        <w:t xml:space="preserve">6.1.2.- Ingeniería y construcción de compartición de Postes de </w:t>
      </w:r>
      <w:r>
        <w:rPr>
          <w:b/>
        </w:rPr>
        <w:t>TELNOR</w:t>
      </w:r>
      <w:r w:rsidRPr="00DC2939">
        <w:rPr>
          <w:b/>
        </w:rPr>
        <w:t>.</w:t>
      </w:r>
    </w:p>
    <w:p w:rsidR="007C4016" w:rsidRDefault="007C4016" w:rsidP="007C4016">
      <w:pPr>
        <w:pStyle w:val="Citaift0"/>
        <w:numPr>
          <w:ilvl w:val="0"/>
          <w:numId w:val="26"/>
        </w:numPr>
        <w:spacing w:before="240" w:after="0"/>
      </w:pPr>
      <w:r>
        <w:t>(…)</w:t>
      </w:r>
    </w:p>
    <w:p w:rsidR="007C4016" w:rsidRDefault="007C4016" w:rsidP="007C4016">
      <w:pPr>
        <w:pStyle w:val="Citaift0"/>
        <w:numPr>
          <w:ilvl w:val="0"/>
          <w:numId w:val="26"/>
        </w:numPr>
        <w:spacing w:after="0"/>
      </w:pPr>
      <w:r>
        <w:t>La Factibilidad total de compartición de postes es para aquellos postes que tengan menos de 5 cables instalados o la Tensión Máxima de Operación (To) permitida en el poste, la que suceda primero.</w:t>
      </w:r>
    </w:p>
    <w:p w:rsidR="007C4016" w:rsidRDefault="007C4016" w:rsidP="007C4016">
      <w:pPr>
        <w:pStyle w:val="Citaift0"/>
        <w:numPr>
          <w:ilvl w:val="0"/>
          <w:numId w:val="26"/>
        </w:numPr>
        <w:spacing w:after="0"/>
      </w:pPr>
      <w:r>
        <w:t>La definición de hasta 5 cables se basa en la cantidad máxima que no genere contaminación visual en la vía pública.</w:t>
      </w:r>
    </w:p>
    <w:p w:rsidR="007C4016" w:rsidRDefault="007C4016" w:rsidP="007C4016">
      <w:pPr>
        <w:pStyle w:val="Citaift0"/>
        <w:numPr>
          <w:ilvl w:val="0"/>
          <w:numId w:val="26"/>
        </w:numPr>
        <w:spacing w:after="0"/>
      </w:pPr>
      <w:r>
        <w:t>La cantidad máxima de 5 cables puede disminuir si las autoridades locales así lo establezcan vía documento oficial.</w:t>
      </w:r>
    </w:p>
    <w:p w:rsidR="007C4016" w:rsidRPr="002D33D1" w:rsidRDefault="007C4016" w:rsidP="007C4016">
      <w:pPr>
        <w:pStyle w:val="IFTcita"/>
        <w:spacing w:before="240" w:after="0"/>
        <w:rPr>
          <w:b w:val="0"/>
        </w:rPr>
      </w:pPr>
      <w:r w:rsidRPr="002D33D1">
        <w:rPr>
          <w:b w:val="0"/>
        </w:rPr>
        <w:t>(…)</w:t>
      </w:r>
      <w:r>
        <w:rPr>
          <w:b w:val="0"/>
        </w:rPr>
        <w:t>”</w:t>
      </w:r>
    </w:p>
    <w:p w:rsidR="007C4016" w:rsidRDefault="007C4016" w:rsidP="007C4016">
      <w:pPr>
        <w:pStyle w:val="IFTnormal"/>
        <w:spacing w:before="240" w:after="0"/>
      </w:pPr>
      <w:r>
        <w:t xml:space="preserve">En este sentido, se destaca que el AEP en </w:t>
      </w:r>
      <w:r w:rsidRPr="00563111">
        <w:t>Respuesta al Oficio de Requerimiento</w:t>
      </w:r>
      <w:r>
        <w:t>, en la pregunta trece (13), describe los criterios para determinar para su propia operación el número máximo de cables que pueden instalarse en un poste. La respuesta del AEP se cita a continuación:</w:t>
      </w:r>
    </w:p>
    <w:p w:rsidR="007C4016" w:rsidRDefault="007C4016" w:rsidP="007C4016">
      <w:pPr>
        <w:pStyle w:val="CitaIFT"/>
        <w:spacing w:before="240" w:after="0"/>
      </w:pPr>
      <w:r>
        <w:t>“Respuesta:</w:t>
      </w:r>
    </w:p>
    <w:p w:rsidR="007C4016" w:rsidRDefault="007C4016" w:rsidP="007C4016">
      <w:pPr>
        <w:pStyle w:val="CitaIFT"/>
        <w:spacing w:before="240" w:after="0"/>
      </w:pPr>
      <w:r>
        <w:t>El área de ingeniería Corporativa realiza,</w:t>
      </w:r>
    </w:p>
    <w:p w:rsidR="007C4016" w:rsidRDefault="007C4016" w:rsidP="007C4016">
      <w:pPr>
        <w:pStyle w:val="CitaIFT"/>
        <w:numPr>
          <w:ilvl w:val="0"/>
          <w:numId w:val="194"/>
        </w:numPr>
        <w:spacing w:before="240" w:after="0"/>
      </w:pPr>
      <w:r>
        <w:t>Modelar los criterios preliminares</w:t>
      </w:r>
    </w:p>
    <w:p w:rsidR="007C4016" w:rsidRDefault="007C4016" w:rsidP="007C4016">
      <w:pPr>
        <w:pStyle w:val="CitaIFT"/>
        <w:numPr>
          <w:ilvl w:val="0"/>
          <w:numId w:val="194"/>
        </w:numPr>
        <w:spacing w:before="240" w:after="0"/>
      </w:pPr>
      <w:r>
        <w:t>Recopilar información de normas o recomendaciones nacionales e internacionales</w:t>
      </w:r>
    </w:p>
    <w:p w:rsidR="007C4016" w:rsidRDefault="007C4016" w:rsidP="007C4016">
      <w:pPr>
        <w:pStyle w:val="CitaIFT"/>
        <w:numPr>
          <w:ilvl w:val="0"/>
          <w:numId w:val="194"/>
        </w:numPr>
        <w:spacing w:before="240" w:after="0"/>
      </w:pPr>
      <w:r>
        <w:t>Recopilar especificaciones técnicas del poste que se pretende utilizar (madera, concreto, plásticos, acero, etc.)</w:t>
      </w:r>
    </w:p>
    <w:p w:rsidR="007C4016" w:rsidRDefault="007C4016" w:rsidP="007C4016">
      <w:pPr>
        <w:pStyle w:val="CitaIFT"/>
        <w:numPr>
          <w:ilvl w:val="0"/>
          <w:numId w:val="194"/>
        </w:numPr>
        <w:spacing w:before="240" w:after="0"/>
      </w:pPr>
      <w:r>
        <w:t>Recopilar variables climatologías que afecten la operación (Viento, corrosión, nieve, hielo, etc.)</w:t>
      </w:r>
    </w:p>
    <w:p w:rsidR="007C4016" w:rsidRDefault="007C4016" w:rsidP="007C4016">
      <w:pPr>
        <w:pStyle w:val="CitaIFT"/>
        <w:numPr>
          <w:ilvl w:val="0"/>
          <w:numId w:val="195"/>
        </w:numPr>
        <w:spacing w:before="240" w:after="0"/>
      </w:pPr>
      <w:r>
        <w:t>Verificar la tensión de falla del poste de acuerdo a las variables de empotramiento, altura de sujeción de cables y tamaño de poste</w:t>
      </w:r>
    </w:p>
    <w:p w:rsidR="007C4016" w:rsidRDefault="007C4016" w:rsidP="007C4016">
      <w:pPr>
        <w:pStyle w:val="CitaIFT"/>
        <w:numPr>
          <w:ilvl w:val="0"/>
          <w:numId w:val="195"/>
        </w:numPr>
        <w:spacing w:before="240" w:after="0"/>
      </w:pPr>
      <w:r>
        <w:t>Recopilar tiempos de reparación por capacidad de los cables en caso de falla</w:t>
      </w:r>
    </w:p>
    <w:p w:rsidR="007C4016" w:rsidRDefault="007C4016" w:rsidP="007C4016">
      <w:pPr>
        <w:pStyle w:val="CitaIFT"/>
        <w:numPr>
          <w:ilvl w:val="0"/>
          <w:numId w:val="195"/>
        </w:numPr>
        <w:spacing w:before="240" w:after="0"/>
      </w:pPr>
      <w:r>
        <w:t>Análisis de información y determinación del número máximo de cables que asegure la correcta operación del poste y servicios:</w:t>
      </w:r>
    </w:p>
    <w:p w:rsidR="007C4016" w:rsidRDefault="007C4016" w:rsidP="007C4016">
      <w:pPr>
        <w:pStyle w:val="CitaIFT"/>
        <w:numPr>
          <w:ilvl w:val="1"/>
          <w:numId w:val="195"/>
        </w:numPr>
        <w:spacing w:before="240" w:after="0"/>
        <w:ind w:left="1843"/>
      </w:pPr>
      <w:r>
        <w:t xml:space="preserve"> No exponga a las personas y daños a terceros, en caso de falla</w:t>
      </w:r>
    </w:p>
    <w:p w:rsidR="007C4016" w:rsidRDefault="007C4016" w:rsidP="007C4016">
      <w:pPr>
        <w:pStyle w:val="CitaIFT"/>
        <w:numPr>
          <w:ilvl w:val="0"/>
          <w:numId w:val="196"/>
        </w:numPr>
        <w:spacing w:before="240" w:after="0"/>
        <w:ind w:left="1843"/>
      </w:pPr>
      <w:r>
        <w:t>Que no exponga una alta cantidad de servicios</w:t>
      </w:r>
    </w:p>
    <w:p w:rsidR="007C4016" w:rsidRDefault="007C4016" w:rsidP="007C4016">
      <w:pPr>
        <w:pStyle w:val="CitaIFT"/>
        <w:numPr>
          <w:ilvl w:val="0"/>
          <w:numId w:val="196"/>
        </w:numPr>
        <w:spacing w:before="240" w:after="0"/>
        <w:ind w:left="1843"/>
      </w:pPr>
      <w:r>
        <w:lastRenderedPageBreak/>
        <w:t>En caso de falla del poste, los servicios deberá poder recuperarse en tiempos de acuerdo a normas o recomendaciones nacionales e internacionales</w:t>
      </w:r>
    </w:p>
    <w:p w:rsidR="007C4016" w:rsidRDefault="007C4016" w:rsidP="007C4016">
      <w:pPr>
        <w:pStyle w:val="CitaIFT"/>
        <w:numPr>
          <w:ilvl w:val="0"/>
          <w:numId w:val="196"/>
        </w:numPr>
        <w:spacing w:before="240" w:after="0"/>
        <w:ind w:left="1843"/>
      </w:pPr>
      <w:r>
        <w:t>Establecer un factor de seguridad aplicado a la resistencia de falla medida en el poste, para definir la resistencia de operación</w:t>
      </w:r>
    </w:p>
    <w:p w:rsidR="007C4016" w:rsidRDefault="007C4016" w:rsidP="007C4016">
      <w:pPr>
        <w:pStyle w:val="CitaIFT"/>
        <w:numPr>
          <w:ilvl w:val="0"/>
          <w:numId w:val="196"/>
        </w:numPr>
        <w:spacing w:before="240" w:after="0"/>
        <w:ind w:left="1843"/>
      </w:pPr>
      <w:r>
        <w:t>Emisión a las áreas operativas del número máximo de cables aéreos, y se determina que existe capacidad disponible si la cantidad de cables existentes más los proyectados es menor al número máximo de cables</w:t>
      </w:r>
    </w:p>
    <w:p w:rsidR="007C4016" w:rsidRDefault="007C4016" w:rsidP="007C4016">
      <w:pPr>
        <w:pStyle w:val="CitaIFT"/>
        <w:numPr>
          <w:ilvl w:val="0"/>
          <w:numId w:val="197"/>
        </w:numPr>
        <w:spacing w:before="240" w:after="0"/>
      </w:pPr>
      <w:r>
        <w:t>Las áreas de proyecto operativas de Telnor aplican el criterio de número máximo, y en casos de excepción revisa la capacidad del poste con la formula indicada en la Norma 2 del Anexo 5 de la ORCI cuando:</w:t>
      </w:r>
    </w:p>
    <w:p w:rsidR="007C4016" w:rsidRDefault="007C4016" w:rsidP="007C4016">
      <w:pPr>
        <w:pStyle w:val="CitaIFT"/>
        <w:numPr>
          <w:ilvl w:val="0"/>
          <w:numId w:val="198"/>
        </w:numPr>
        <w:spacing w:before="240" w:after="0"/>
        <w:ind w:left="1843"/>
      </w:pPr>
      <w:r>
        <w:t>Se pretende instalar un cable más al número máximo</w:t>
      </w:r>
    </w:p>
    <w:p w:rsidR="007C4016" w:rsidRDefault="007C4016" w:rsidP="007C4016">
      <w:pPr>
        <w:pStyle w:val="CitaIFT"/>
        <w:numPr>
          <w:ilvl w:val="0"/>
          <w:numId w:val="198"/>
        </w:numPr>
        <w:spacing w:before="240" w:after="0"/>
        <w:ind w:left="1843"/>
      </w:pPr>
      <w:r>
        <w:t>No fue posible realizar ductos para bajar la red”</w:t>
      </w:r>
    </w:p>
    <w:p w:rsidR="007C4016" w:rsidRDefault="007C4016" w:rsidP="007C4016">
      <w:pPr>
        <w:pStyle w:val="IFTnormal"/>
        <w:spacing w:before="240" w:after="0"/>
      </w:pPr>
      <w:r>
        <w:t xml:space="preserve">De lo anterior se puede interpretar que el AEP no se basa en un número de cables instalados, sino que se basa en el número máximo de cables </w:t>
      </w:r>
      <w:r w:rsidRPr="00DD46D1">
        <w:t>que asegure la correcta operación del poste y servicios</w:t>
      </w:r>
      <w:r>
        <w:t>. Por lo anterior y con el fin evitar el establecimiento de condiciones que inhiban la competencia en la prestación de los servicios objeto de la Oferta de Referencia o requisitos que no sean necesarios para la eficiente prestación de los mismos, conforme lo indicado en la Medida CUADRAGÉSIMA PRIMERA de las Medidas Fijas, este instituto considera conveniente eliminar los aspectos antes citados de la Oferta de Referencia.</w:t>
      </w:r>
    </w:p>
    <w:p w:rsidR="007C4016" w:rsidRDefault="007C4016" w:rsidP="007C4016">
      <w:pPr>
        <w:pStyle w:val="IFTnormal"/>
        <w:spacing w:before="240" w:after="0"/>
      </w:pPr>
      <w:r>
        <w:t>Continuando con el análisis el AEP establece lo siguiente en su Propuesta de Oferta de Referencia:</w:t>
      </w:r>
    </w:p>
    <w:p w:rsidR="007C4016" w:rsidRPr="00B6389A" w:rsidRDefault="007C4016" w:rsidP="007C4016">
      <w:pPr>
        <w:pStyle w:val="Citaift0"/>
        <w:spacing w:before="240" w:after="0"/>
        <w:rPr>
          <w:b/>
        </w:rPr>
      </w:pPr>
      <w:r>
        <w:rPr>
          <w:b/>
        </w:rPr>
        <w:t>“</w:t>
      </w:r>
      <w:r w:rsidRPr="00B6389A">
        <w:rPr>
          <w:b/>
        </w:rPr>
        <w:t xml:space="preserve">6.1.2.- Ingeniería y construcción de compartición de Postes de </w:t>
      </w:r>
      <w:r>
        <w:rPr>
          <w:b/>
        </w:rPr>
        <w:t>TELNOR</w:t>
      </w:r>
      <w:r w:rsidRPr="00B6389A">
        <w:rPr>
          <w:b/>
        </w:rPr>
        <w:t>.</w:t>
      </w:r>
    </w:p>
    <w:p w:rsidR="007C4016" w:rsidRDefault="007C4016" w:rsidP="007C4016">
      <w:pPr>
        <w:pStyle w:val="Citaift0"/>
        <w:spacing w:before="240" w:after="0"/>
      </w:pPr>
      <w:r>
        <w:t>(…)</w:t>
      </w:r>
    </w:p>
    <w:p w:rsidR="007C4016" w:rsidRDefault="007C4016" w:rsidP="007C4016">
      <w:pPr>
        <w:pStyle w:val="Citaift0"/>
        <w:spacing w:before="240" w:after="0"/>
      </w:pPr>
      <w:r w:rsidRPr="00B6389A">
        <w:t xml:space="preserve">Para el cálculo de la Tensión Total (FT) de cada uno de los cables, se deben respetar las zonas de viento dominantes de acuerdo a cada ciudad definido en el </w:t>
      </w:r>
      <w:r w:rsidRPr="00B6389A">
        <w:rPr>
          <w:b/>
          <w:u w:val="single"/>
        </w:rPr>
        <w:t>Atlas eólico de la República Mexicana</w:t>
      </w:r>
      <w:r w:rsidRPr="00B6389A">
        <w:t xml:space="preserve"> y aplicando la siguiente fórmula:</w:t>
      </w:r>
    </w:p>
    <w:p w:rsidR="007C4016" w:rsidRDefault="007C4016" w:rsidP="007C4016">
      <w:pPr>
        <w:pStyle w:val="Citaift0"/>
        <w:spacing w:before="240" w:after="0"/>
      </w:pPr>
      <w:r>
        <w:t>(…)</w:t>
      </w:r>
    </w:p>
    <w:p w:rsidR="007C4016" w:rsidRPr="00B6389A" w:rsidRDefault="007C4016" w:rsidP="007C4016">
      <w:pPr>
        <w:pStyle w:val="Citaift0"/>
        <w:spacing w:before="240" w:after="0"/>
        <w:jc w:val="right"/>
      </w:pPr>
      <w:r>
        <w:t>(Énfasis añadido)</w:t>
      </w:r>
    </w:p>
    <w:p w:rsidR="007C4016" w:rsidRDefault="007C4016" w:rsidP="007C4016">
      <w:pPr>
        <w:pStyle w:val="IFTnormal"/>
        <w:spacing w:before="240" w:after="0"/>
      </w:pPr>
      <w:r>
        <w:t xml:space="preserve">En seguimiento a lo anterior, el AEP en </w:t>
      </w:r>
      <w:r w:rsidRPr="00563111">
        <w:t>Respuesta al Oficio de Requerimiento</w:t>
      </w:r>
      <w:r>
        <w:t xml:space="preserve"> en la pregunta trece (13) </w:t>
      </w:r>
      <w:r w:rsidRPr="00C14FC3">
        <w:t>“</w:t>
      </w:r>
      <w:r w:rsidRPr="00C14FC3">
        <w:rPr>
          <w:i/>
        </w:rPr>
        <w:t>Proporcionar el documento y la Bibliografía del</w:t>
      </w:r>
      <w:r>
        <w:rPr>
          <w:i/>
        </w:rPr>
        <w:t xml:space="preserve"> </w:t>
      </w:r>
      <w:r w:rsidRPr="00C14FC3">
        <w:rPr>
          <w:i/>
        </w:rPr>
        <w:t>Atlas eólico de la República Mexicana</w:t>
      </w:r>
      <w:r>
        <w:t xml:space="preserve">”, indica que no utiliza un </w:t>
      </w:r>
      <w:r w:rsidRPr="00B6389A">
        <w:t xml:space="preserve">Atlas eólico de la República Mexicana </w:t>
      </w:r>
      <w:r>
        <w:t xml:space="preserve">como tal, y que emplea la NOM-001-SEDE-2012 o aquella que esté vigente. Por lo tanto el Instituto considera modificar la redacción propuesta por el AEP y considerar, como lo indica la </w:t>
      </w:r>
      <w:r w:rsidRPr="00B6389A">
        <w:t>Medida CUADRAGÉSIMA PRIMERA</w:t>
      </w:r>
      <w:r>
        <w:t xml:space="preserve"> de las </w:t>
      </w:r>
      <w:r>
        <w:lastRenderedPageBreak/>
        <w:t>Medidas Fijas, que el AEP debe aplicar los términos ni condiciones que a su propia operación.</w:t>
      </w:r>
    </w:p>
    <w:p w:rsidR="007C4016" w:rsidRDefault="007C4016" w:rsidP="007C4016">
      <w:pPr>
        <w:pStyle w:val="IFTnormal"/>
        <w:spacing w:before="240" w:after="0"/>
        <w:rPr>
          <w:lang w:val="es-ES_tradnl"/>
        </w:rPr>
      </w:pPr>
      <w:r>
        <w:t>Finalmente, en su análisis de este Instituto no es omiso al señalar que el AEP no podrá establecer condiciones que inhiban la competencia ni requisitos que no sean necesarios para la eficiente prestación de los servicio. Lo anterior considerando no aplicar términos y condiciones distintos a sus propias operaciones.</w:t>
      </w:r>
    </w:p>
    <w:p w:rsidR="007C4016" w:rsidRDefault="007C4016" w:rsidP="007C4016">
      <w:pPr>
        <w:pStyle w:val="IFTnormal"/>
        <w:spacing w:before="240" w:after="0"/>
        <w:rPr>
          <w:b/>
        </w:rPr>
      </w:pPr>
      <w:r>
        <w:rPr>
          <w:b/>
        </w:rPr>
        <w:t>Redacción Definitiva</w:t>
      </w:r>
    </w:p>
    <w:p w:rsidR="007C4016" w:rsidRPr="00D841C7" w:rsidRDefault="007C4016" w:rsidP="007C4016">
      <w:pPr>
        <w:suppressAutoHyphens w:val="0"/>
        <w:spacing w:before="240" w:after="0" w:line="276" w:lineRule="auto"/>
        <w:ind w:right="567"/>
        <w:contextualSpacing w:val="0"/>
        <w:rPr>
          <w:rFonts w:ascii="ITC Avant Garde" w:eastAsia="Calibri" w:hAnsi="ITC Avant Garde"/>
          <w:b/>
          <w:i/>
          <w:sz w:val="18"/>
          <w:szCs w:val="22"/>
          <w:lang w:val="es-ES" w:eastAsia="en-US"/>
        </w:rPr>
      </w:pPr>
      <w:r w:rsidRPr="000B50E0">
        <w:rPr>
          <w:rFonts w:ascii="ITC Avant Garde" w:eastAsia="MS Mincho" w:hAnsi="ITC Avant Garde" w:cs="Calibri"/>
          <w:bCs/>
          <w:sz w:val="22"/>
          <w:szCs w:val="22"/>
          <w:lang w:val="es-ES" w:eastAsia="en-US"/>
        </w:rPr>
        <w:t>Derivado del análisis previo, el Instituto resue</w:t>
      </w:r>
      <w:r>
        <w:rPr>
          <w:rFonts w:ascii="ITC Avant Garde" w:eastAsia="MS Mincho" w:hAnsi="ITC Avant Garde" w:cs="Calibri"/>
          <w:bCs/>
          <w:sz w:val="22"/>
          <w:szCs w:val="22"/>
          <w:lang w:val="es-ES" w:eastAsia="en-US"/>
        </w:rPr>
        <w:t xml:space="preserve">lve modificar la </w:t>
      </w:r>
      <w:r w:rsidRPr="00B83345">
        <w:rPr>
          <w:rFonts w:ascii="ITC Avant Garde" w:eastAsia="MS Mincho" w:hAnsi="ITC Avant Garde" w:cs="Calibri"/>
          <w:sz w:val="22"/>
          <w:szCs w:val="22"/>
          <w:lang w:val="es-ES" w:eastAsia="en-US"/>
        </w:rPr>
        <w:t>Propuesta de Oferta de Referencia</w:t>
      </w:r>
      <w:r w:rsidRPr="000B50E0">
        <w:rPr>
          <w:rFonts w:ascii="ITC Avant Garde" w:eastAsia="MS Mincho" w:hAnsi="ITC Avant Garde" w:cs="Calibri"/>
          <w:bCs/>
          <w:sz w:val="22"/>
          <w:szCs w:val="22"/>
          <w:lang w:val="es-ES" w:eastAsia="en-US"/>
        </w:rPr>
        <w:t xml:space="preserve"> para que en </w:t>
      </w:r>
      <w:r>
        <w:rPr>
          <w:rFonts w:ascii="ITC Avant Garde" w:eastAsia="MS Mincho" w:hAnsi="ITC Avant Garde" w:cs="Calibri"/>
          <w:bCs/>
          <w:sz w:val="22"/>
          <w:szCs w:val="22"/>
          <w:lang w:val="es-ES" w:eastAsia="en-US"/>
        </w:rPr>
        <w:t>la NORMA 2 “</w:t>
      </w:r>
      <w:r w:rsidRPr="00873D88">
        <w:rPr>
          <w:rFonts w:ascii="ITC Avant Garde" w:eastAsia="MS Mincho" w:hAnsi="ITC Avant Garde" w:cs="Calibri"/>
          <w:bCs/>
          <w:i/>
          <w:sz w:val="22"/>
          <w:szCs w:val="22"/>
          <w:lang w:val="es-ES" w:eastAsia="en-US"/>
        </w:rPr>
        <w:t xml:space="preserve">COMPARTICIÓN DE POSTES DE </w:t>
      </w:r>
      <w:r>
        <w:rPr>
          <w:rFonts w:ascii="ITC Avant Garde" w:eastAsia="MS Mincho" w:hAnsi="ITC Avant Garde" w:cs="Calibri"/>
          <w:bCs/>
          <w:i/>
          <w:sz w:val="22"/>
          <w:szCs w:val="22"/>
          <w:lang w:val="es-ES" w:eastAsia="en-US"/>
        </w:rPr>
        <w:t>TELNOR</w:t>
      </w:r>
      <w:r w:rsidRPr="00873D88">
        <w:rPr>
          <w:rFonts w:ascii="ITC Avant Garde" w:eastAsia="MS Mincho" w:hAnsi="ITC Avant Garde" w:cs="Calibri"/>
          <w:bCs/>
          <w:i/>
          <w:sz w:val="22"/>
          <w:szCs w:val="22"/>
          <w:lang w:val="es-ES" w:eastAsia="en-US"/>
        </w:rPr>
        <w:t xml:space="preserve"> PARA NUEVOS CONCESIONARIOS.</w:t>
      </w:r>
      <w:r>
        <w:rPr>
          <w:rFonts w:ascii="ITC Avant Garde" w:eastAsia="MS Mincho" w:hAnsi="ITC Avant Garde" w:cs="Calibri"/>
          <w:bCs/>
          <w:sz w:val="22"/>
          <w:szCs w:val="22"/>
          <w:lang w:val="es-ES" w:eastAsia="en-US"/>
        </w:rPr>
        <w:t xml:space="preserve">” del ANEXO </w:t>
      </w:r>
      <w:r>
        <w:rPr>
          <w:rFonts w:ascii="ITC Avant Garde" w:eastAsia="MS Mincho" w:hAnsi="ITC Avant Garde" w:cs="Calibri"/>
          <w:sz w:val="22"/>
          <w:szCs w:val="22"/>
          <w:lang w:val="es-ES" w:eastAsia="en-US"/>
        </w:rPr>
        <w:t>2</w:t>
      </w:r>
      <w:r>
        <w:rPr>
          <w:rFonts w:ascii="ITC Avant Garde" w:eastAsia="MS Mincho" w:hAnsi="ITC Avant Garde" w:cs="Calibri"/>
          <w:bCs/>
          <w:sz w:val="22"/>
          <w:szCs w:val="22"/>
          <w:lang w:val="es-ES" w:eastAsia="en-US"/>
        </w:rPr>
        <w:t xml:space="preserve"> “</w:t>
      </w:r>
      <w:r w:rsidRPr="00873D88">
        <w:rPr>
          <w:rFonts w:ascii="ITC Avant Garde" w:eastAsia="MS Mincho" w:hAnsi="ITC Avant Garde" w:cs="Calibri"/>
          <w:bCs/>
          <w:i/>
          <w:sz w:val="22"/>
          <w:szCs w:val="22"/>
          <w:lang w:val="es-ES" w:eastAsia="en-US"/>
        </w:rPr>
        <w:t>NORMATIVA TÉCNICA</w:t>
      </w:r>
      <w:r>
        <w:rPr>
          <w:rFonts w:ascii="ITC Avant Garde" w:eastAsia="MS Mincho" w:hAnsi="ITC Avant Garde" w:cs="Calibri"/>
          <w:bCs/>
          <w:sz w:val="22"/>
          <w:szCs w:val="22"/>
          <w:lang w:val="es-ES" w:eastAsia="en-US"/>
        </w:rPr>
        <w:t>” quedando</w:t>
      </w:r>
      <w:r>
        <w:rPr>
          <w:rFonts w:ascii="ITC Avant Garde" w:eastAsia="MS Mincho" w:hAnsi="ITC Avant Garde" w:cs="Calibri"/>
          <w:sz w:val="22"/>
          <w:szCs w:val="22"/>
          <w:lang w:val="es-ES" w:eastAsia="en-US"/>
        </w:rPr>
        <w:t xml:space="preserve"> de </w:t>
      </w:r>
      <w:r>
        <w:rPr>
          <w:rFonts w:ascii="ITC Avant Garde" w:eastAsia="MS Mincho" w:hAnsi="ITC Avant Garde" w:cs="Calibri"/>
          <w:bCs/>
          <w:sz w:val="22"/>
          <w:szCs w:val="22"/>
          <w:lang w:val="es-ES" w:eastAsia="en-US"/>
        </w:rPr>
        <w:t>la manera</w:t>
      </w:r>
      <w:r w:rsidRPr="000B50E0">
        <w:rPr>
          <w:rFonts w:ascii="ITC Avant Garde" w:eastAsia="MS Mincho" w:hAnsi="ITC Avant Garde" w:cs="Calibri"/>
          <w:bCs/>
          <w:sz w:val="22"/>
          <w:szCs w:val="22"/>
          <w:lang w:val="es-ES" w:eastAsia="en-US"/>
        </w:rPr>
        <w:t xml:space="preserve"> siguiente:</w:t>
      </w:r>
      <w:r>
        <w:rPr>
          <w:rFonts w:ascii="ITC Avant Garde" w:eastAsia="MS Mincho" w:hAnsi="ITC Avant Garde" w:cs="Calibri"/>
          <w:bCs/>
          <w:sz w:val="22"/>
          <w:szCs w:val="22"/>
          <w:lang w:val="es-ES" w:eastAsia="en-US"/>
        </w:rPr>
        <w:t xml:space="preserve"> </w:t>
      </w:r>
    </w:p>
    <w:p w:rsidR="007C4016" w:rsidRPr="00AD2CEA" w:rsidRDefault="007C4016" w:rsidP="007C4016">
      <w:pPr>
        <w:pStyle w:val="IFTnormal"/>
        <w:spacing w:before="240" w:after="0"/>
        <w:ind w:left="851" w:right="760"/>
        <w:rPr>
          <w:b/>
        </w:rPr>
      </w:pPr>
      <w:r w:rsidRPr="00AD2CEA">
        <w:rPr>
          <w:b/>
        </w:rPr>
        <w:t>NORMA</w:t>
      </w:r>
      <w:r>
        <w:rPr>
          <w:b/>
        </w:rPr>
        <w:t xml:space="preserve"> 2</w:t>
      </w:r>
      <w:r w:rsidRPr="00AD2CEA">
        <w:rPr>
          <w:b/>
        </w:rPr>
        <w:t xml:space="preserve">: COMPARTICIÓN DE </w:t>
      </w:r>
      <w:r w:rsidRPr="0034499F">
        <w:rPr>
          <w:b/>
        </w:rPr>
        <w:t>POSTES</w:t>
      </w:r>
      <w:r w:rsidRPr="00AD2CEA">
        <w:rPr>
          <w:b/>
        </w:rPr>
        <w:t xml:space="preserve"> DE </w:t>
      </w:r>
      <w:r>
        <w:rPr>
          <w:b/>
        </w:rPr>
        <w:t>TELNOR</w:t>
      </w:r>
      <w:r w:rsidRPr="00AD2CEA">
        <w:rPr>
          <w:b/>
        </w:rPr>
        <w:t xml:space="preserve"> PARA NUEVOS CONCESIONARIOS.</w:t>
      </w:r>
    </w:p>
    <w:p w:rsidR="007C4016" w:rsidRPr="0034499F" w:rsidRDefault="007C4016" w:rsidP="007C4016">
      <w:pPr>
        <w:pStyle w:val="IFTnormal"/>
        <w:spacing w:before="240" w:after="0"/>
        <w:ind w:left="709" w:right="760"/>
      </w:pPr>
      <w:r w:rsidRPr="0034499F">
        <w:t>CONTENIDO</w:t>
      </w:r>
    </w:p>
    <w:p w:rsidR="007C4016" w:rsidRDefault="007C4016" w:rsidP="007C4016">
      <w:pPr>
        <w:pStyle w:val="IFTnormal"/>
        <w:spacing w:before="240" w:after="0"/>
        <w:ind w:left="709" w:right="760"/>
        <w:jc w:val="right"/>
      </w:pPr>
      <w:r>
        <w:tab/>
        <w:t>Página Nº</w:t>
      </w:r>
    </w:p>
    <w:p w:rsidR="007C4016" w:rsidRDefault="007C4016" w:rsidP="007C4016">
      <w:pPr>
        <w:pStyle w:val="IFTnormal"/>
        <w:spacing w:before="240" w:after="0"/>
        <w:ind w:left="709" w:right="760"/>
      </w:pPr>
      <w:r>
        <w:tab/>
      </w:r>
      <w:r>
        <w:tab/>
        <w:t>1.-</w:t>
      </w:r>
      <w:r>
        <w:tab/>
        <w:t>Histórico de modificaciones.</w:t>
      </w:r>
    </w:p>
    <w:p w:rsidR="007C4016" w:rsidRDefault="007C4016" w:rsidP="007C4016">
      <w:pPr>
        <w:pStyle w:val="IFTnormal"/>
        <w:spacing w:after="0"/>
        <w:ind w:left="709" w:right="760"/>
      </w:pPr>
      <w:r>
        <w:t>2.-</w:t>
      </w:r>
      <w:r>
        <w:tab/>
        <w:t>Objetivo.</w:t>
      </w:r>
    </w:p>
    <w:p w:rsidR="007C4016" w:rsidRDefault="007C4016" w:rsidP="007C4016">
      <w:pPr>
        <w:pStyle w:val="IFTnormal"/>
        <w:spacing w:after="0"/>
        <w:ind w:left="709" w:right="760"/>
      </w:pPr>
      <w:r>
        <w:tab/>
      </w:r>
      <w:r>
        <w:tab/>
        <w:t>3.-</w:t>
      </w:r>
      <w:r>
        <w:tab/>
        <w:t>Alcance.</w:t>
      </w:r>
    </w:p>
    <w:p w:rsidR="007C4016" w:rsidRDefault="007C4016" w:rsidP="007C4016">
      <w:pPr>
        <w:pStyle w:val="IFTnormal"/>
        <w:spacing w:after="0"/>
        <w:ind w:left="709" w:right="760"/>
      </w:pPr>
      <w:r>
        <w:t>4.-</w:t>
      </w:r>
      <w:r>
        <w:tab/>
        <w:t>Definiciones.</w:t>
      </w:r>
    </w:p>
    <w:p w:rsidR="007C4016" w:rsidRDefault="007C4016" w:rsidP="007C4016">
      <w:pPr>
        <w:pStyle w:val="IFTnormal"/>
        <w:spacing w:after="0"/>
        <w:ind w:left="709" w:right="760"/>
      </w:pPr>
      <w:r>
        <w:t>5.-</w:t>
      </w:r>
      <w:r>
        <w:tab/>
        <w:t>Documentos de Referencia.</w:t>
      </w:r>
    </w:p>
    <w:p w:rsidR="007C4016" w:rsidRDefault="007C4016" w:rsidP="007C4016">
      <w:pPr>
        <w:pStyle w:val="IFTnormal"/>
        <w:spacing w:after="0"/>
        <w:ind w:left="709" w:right="760"/>
      </w:pPr>
      <w:r>
        <w:tab/>
      </w:r>
      <w:r>
        <w:tab/>
        <w:t>6.-</w:t>
      </w:r>
      <w:r>
        <w:tab/>
        <w:t>Desarrollo.</w:t>
      </w:r>
    </w:p>
    <w:p w:rsidR="007C4016" w:rsidRDefault="007C4016" w:rsidP="007C4016">
      <w:pPr>
        <w:pStyle w:val="IFTnormal"/>
        <w:spacing w:after="0"/>
        <w:ind w:left="709" w:right="760"/>
      </w:pPr>
      <w:r>
        <w:t>6.1.-</w:t>
      </w:r>
      <w:r>
        <w:tab/>
        <w:t>Lineamientos Técnicos.</w:t>
      </w:r>
      <w:r>
        <w:tab/>
      </w:r>
    </w:p>
    <w:p w:rsidR="007C4016" w:rsidRDefault="007C4016" w:rsidP="007C4016">
      <w:pPr>
        <w:pStyle w:val="IFTnormal"/>
        <w:spacing w:after="0"/>
        <w:ind w:left="709" w:right="760"/>
      </w:pPr>
      <w:r>
        <w:t>6.2.-</w:t>
      </w:r>
      <w:r>
        <w:tab/>
        <w:t>Reglas de Seguridad para Realizar Trabajos de Construcción en Postes de Telnor.</w:t>
      </w:r>
      <w:r>
        <w:tab/>
      </w:r>
      <w:r>
        <w:tab/>
      </w:r>
    </w:p>
    <w:p w:rsidR="007C4016" w:rsidRDefault="007C4016" w:rsidP="007C4016">
      <w:pPr>
        <w:pStyle w:val="IFTnormal"/>
        <w:spacing w:after="0"/>
        <w:ind w:left="709" w:right="760"/>
      </w:pPr>
      <w:r>
        <w:t>7.-</w:t>
      </w:r>
      <w:r>
        <w:tab/>
        <w:t>Anexos.</w:t>
      </w:r>
    </w:p>
    <w:p w:rsidR="007C4016" w:rsidRPr="002A7F95" w:rsidRDefault="007C4016" w:rsidP="007C4016">
      <w:pPr>
        <w:pStyle w:val="IFTnormal"/>
        <w:spacing w:after="0"/>
        <w:ind w:left="709" w:right="760"/>
        <w:rPr>
          <w:b/>
        </w:rPr>
      </w:pPr>
      <w:r>
        <w:t>8.-</w:t>
      </w:r>
      <w:r>
        <w:tab/>
        <w:t>Bibliografía.</w:t>
      </w:r>
    </w:p>
    <w:p w:rsidR="007C4016" w:rsidRPr="002A7F95" w:rsidRDefault="007C4016" w:rsidP="007C4016">
      <w:pPr>
        <w:pStyle w:val="IFTnormal"/>
        <w:spacing w:before="240" w:after="0"/>
        <w:ind w:left="851" w:right="760"/>
        <w:rPr>
          <w:b/>
        </w:rPr>
      </w:pPr>
      <w:r w:rsidRPr="002A7F95">
        <w:rPr>
          <w:b/>
        </w:rPr>
        <w:t>1.- HISTÓRICO DE MODIFICACIONES.</w:t>
      </w:r>
    </w:p>
    <w:p w:rsidR="007C4016" w:rsidRDefault="007C4016" w:rsidP="007C4016">
      <w:pPr>
        <w:pStyle w:val="IFTnormal"/>
        <w:spacing w:before="240" w:after="0"/>
        <w:ind w:left="851" w:right="760"/>
      </w:pPr>
      <w:r>
        <w:t>Fecha</w:t>
      </w:r>
      <w:r>
        <w:tab/>
        <w:t>Revisión</w:t>
      </w:r>
      <w:r>
        <w:tab/>
        <w:t>Modificaciones</w:t>
      </w:r>
    </w:p>
    <w:p w:rsidR="007C4016" w:rsidRDefault="007C4016" w:rsidP="007C4016">
      <w:pPr>
        <w:pStyle w:val="IFTnormal"/>
        <w:spacing w:before="240" w:after="0"/>
        <w:ind w:left="851" w:right="760"/>
      </w:pPr>
      <w:r>
        <w:tab/>
      </w:r>
      <w:r>
        <w:tab/>
        <w:t>04/06/2014</w:t>
      </w:r>
      <w:r>
        <w:tab/>
        <w:t>01</w:t>
      </w:r>
      <w:r>
        <w:tab/>
        <w:t>Primera Edición.</w:t>
      </w:r>
    </w:p>
    <w:p w:rsidR="007C4016" w:rsidRDefault="007C4016" w:rsidP="007C4016">
      <w:pPr>
        <w:pStyle w:val="IFTnormal"/>
        <w:spacing w:before="240" w:after="0"/>
        <w:ind w:left="851" w:right="760"/>
      </w:pPr>
      <w:r>
        <w:lastRenderedPageBreak/>
        <w:t>30/06/2015</w:t>
      </w:r>
      <w:r>
        <w:tab/>
        <w:t>02</w:t>
      </w:r>
      <w:r>
        <w:tab/>
        <w:t xml:space="preserve">En punto 6.1.1 se precisa la compartición para los títulos legales de propiedad de los postes, bases no discriminatorias y no exclusividad. </w:t>
      </w:r>
    </w:p>
    <w:p w:rsidR="007C4016" w:rsidRDefault="007C4016" w:rsidP="007C4016">
      <w:pPr>
        <w:pStyle w:val="IFTnormal"/>
        <w:spacing w:before="240" w:after="0"/>
        <w:ind w:left="851" w:right="760"/>
      </w:pPr>
      <w:r>
        <w:t>30/10/2015</w:t>
      </w:r>
      <w:r>
        <w:tab/>
        <w:t>03</w:t>
      </w:r>
      <w:r>
        <w:tab/>
        <w:t>Se elimina: del Punto 6.1.1. los lineamientos Generales que están incluidos en la Oferta, definiciones Recuperación de Espacio, Visita Técnica. Del punto 6.1.2. El Concesionario Solicitante debe presentar el anteproyecto de red, y TELNOR realiza el Análisis de Factibilidad de Uso Compartido. Y etapas de atención de los servicios que están incluidos en la Oferta. Todo el punto 6.3. Trámites y Requisitos…, 6.4. Actividades para…</w:t>
      </w:r>
    </w:p>
    <w:p w:rsidR="007C4016" w:rsidRPr="002A7F95" w:rsidRDefault="007C4016" w:rsidP="007C4016">
      <w:pPr>
        <w:pStyle w:val="IFTnormal"/>
        <w:spacing w:before="240" w:after="0"/>
        <w:ind w:left="851" w:right="760"/>
        <w:rPr>
          <w:b/>
        </w:rPr>
      </w:pPr>
      <w:r w:rsidRPr="000A3B2C">
        <w:rPr>
          <w:b/>
        </w:rPr>
        <w:tab/>
      </w:r>
      <w:r w:rsidRPr="000A3B2C">
        <w:rPr>
          <w:b/>
        </w:rPr>
        <w:tab/>
      </w:r>
      <w:r w:rsidRPr="002A7F95">
        <w:rPr>
          <w:b/>
        </w:rPr>
        <w:t>2.- OBJETIVO.</w:t>
      </w:r>
    </w:p>
    <w:p w:rsidR="007C4016" w:rsidRDefault="007C4016" w:rsidP="007C4016">
      <w:pPr>
        <w:pStyle w:val="IFTnormal"/>
        <w:spacing w:before="240" w:after="0"/>
        <w:ind w:left="851" w:right="760"/>
      </w:pPr>
      <w:r>
        <w:t>El presente documento contiene la normativa técnica que se deberá seguir para la utilización y acceso a la infraestructura pasiva de Telnor, así como para la instalación de cables y de otros elementos de red que sean necesarios para la eficiente prestación de los servicios de telecomunicaciones.</w:t>
      </w:r>
    </w:p>
    <w:p w:rsidR="007C4016" w:rsidRPr="002A7F95" w:rsidRDefault="007C4016" w:rsidP="007C4016">
      <w:pPr>
        <w:pStyle w:val="IFTnormal"/>
        <w:spacing w:before="240" w:after="0"/>
        <w:ind w:left="851" w:right="760"/>
        <w:rPr>
          <w:b/>
        </w:rPr>
      </w:pPr>
      <w:r w:rsidRPr="002A7F95">
        <w:rPr>
          <w:b/>
        </w:rPr>
        <w:t>3.- ALCANCE.</w:t>
      </w:r>
    </w:p>
    <w:p w:rsidR="007C4016" w:rsidRDefault="007C4016" w:rsidP="007C4016">
      <w:pPr>
        <w:pStyle w:val="IFTnormal"/>
        <w:spacing w:before="240" w:after="0"/>
        <w:ind w:left="851" w:right="760"/>
      </w:pPr>
      <w:r>
        <w:t>Este documento debe ser aplicado por Telnor y los Concesionarios Solicitantes que deseen la compartición de la Infraestructura pasiva.</w:t>
      </w:r>
    </w:p>
    <w:p w:rsidR="007C4016" w:rsidRPr="002A7F95" w:rsidRDefault="007C4016" w:rsidP="007C4016">
      <w:pPr>
        <w:pStyle w:val="IFTnormal"/>
        <w:spacing w:before="240" w:after="0"/>
        <w:ind w:left="851" w:right="760"/>
        <w:rPr>
          <w:b/>
        </w:rPr>
      </w:pPr>
      <w:r w:rsidRPr="002A7F95">
        <w:rPr>
          <w:b/>
        </w:rPr>
        <w:t>4.- DEFINICIONES.</w:t>
      </w:r>
    </w:p>
    <w:p w:rsidR="007C4016" w:rsidRDefault="007C4016" w:rsidP="007C4016">
      <w:pPr>
        <w:pStyle w:val="IFTnormal"/>
        <w:spacing w:before="240" w:after="0"/>
        <w:ind w:left="851" w:right="760"/>
      </w:pPr>
      <w:r>
        <w:t>Distancia Interpostal (L). Distancia existente entre dos postes adyacentes uno del otro; es también conocida como claro.</w:t>
      </w:r>
    </w:p>
    <w:p w:rsidR="007C4016" w:rsidRDefault="007C4016" w:rsidP="007C4016">
      <w:pPr>
        <w:pStyle w:val="IFTnormal"/>
        <w:spacing w:before="240" w:after="0"/>
        <w:ind w:left="851" w:right="760"/>
      </w:pPr>
      <w:r>
        <w:t>Distancia de libramiento (DL). Distancia entre un cable de la infraestructura de la Red de Telecomunicaciones y el nivel de piso.</w:t>
      </w:r>
    </w:p>
    <w:p w:rsidR="007C4016" w:rsidRDefault="007C4016" w:rsidP="007C4016">
      <w:pPr>
        <w:pStyle w:val="IFTnormal"/>
        <w:spacing w:before="240" w:after="0"/>
        <w:ind w:left="851" w:right="760"/>
      </w:pPr>
      <w:r>
        <w:t>Distancia mínima de libramiento. Distancia mínima entre un cable de la infraestructura de la Red de Telecomunicaciones y el nivel de piso.</w:t>
      </w:r>
    </w:p>
    <w:p w:rsidR="007C4016" w:rsidRDefault="007C4016" w:rsidP="007C4016">
      <w:pPr>
        <w:pStyle w:val="IFTnormal"/>
        <w:spacing w:before="240" w:after="0"/>
        <w:ind w:left="851" w:right="760"/>
      </w:pPr>
      <w:r>
        <w:t>Flecha (f). Distancia medida verticalmente desde el cable hasta una línea recta imaginaria que une sus dos puntos de soporte, la flecha siempre se medirá en el punto medio del claro.</w:t>
      </w:r>
    </w:p>
    <w:p w:rsidR="007C4016" w:rsidRDefault="007C4016" w:rsidP="007C4016">
      <w:pPr>
        <w:pStyle w:val="IFTnormal"/>
        <w:spacing w:before="240" w:after="0"/>
        <w:ind w:left="851" w:right="760"/>
      </w:pPr>
      <w:r>
        <w:lastRenderedPageBreak/>
        <w:t>Flecha Mínima de instalación. Flecha a la que puede instalarse un cable de cobre o fibra sin que sufran daños los elementos de sujeción o el mismo cable.</w:t>
      </w:r>
    </w:p>
    <w:p w:rsidR="007C4016" w:rsidRDefault="007C4016" w:rsidP="007C4016">
      <w:pPr>
        <w:pStyle w:val="IFTnormal"/>
        <w:spacing w:before="240" w:after="0"/>
        <w:ind w:left="851" w:right="760"/>
      </w:pPr>
      <w:r>
        <w:t>Postes. Son los elementos de apoyo y distribución de los cables de las redes aéreas.</w:t>
      </w:r>
    </w:p>
    <w:p w:rsidR="007C4016" w:rsidRDefault="007C4016" w:rsidP="007C4016">
      <w:pPr>
        <w:pStyle w:val="IFTnormal"/>
        <w:spacing w:before="240" w:after="0"/>
        <w:ind w:left="851" w:right="760"/>
      </w:pPr>
      <w:r>
        <w:t>Red Aérea de TELNOR. Es aquella en la que los cables de Fibra Óptica o Cobre se encuentran instalados en postes.</w:t>
      </w:r>
    </w:p>
    <w:p w:rsidR="007C4016" w:rsidRDefault="007C4016" w:rsidP="007C4016">
      <w:pPr>
        <w:pStyle w:val="IFTnormal"/>
        <w:spacing w:before="240" w:after="0"/>
        <w:ind w:left="851" w:right="760"/>
      </w:pPr>
      <w:r>
        <w:t>Tensión de instalación. Tensión ejercida por un cable suspendido sobre un punto de fijación de una estructura, debido al peso del cable.</w:t>
      </w:r>
    </w:p>
    <w:p w:rsidR="007C4016" w:rsidRDefault="007C4016" w:rsidP="007C4016">
      <w:pPr>
        <w:pStyle w:val="IFTnormal"/>
        <w:spacing w:before="240" w:after="0"/>
        <w:ind w:left="851" w:right="760"/>
      </w:pPr>
      <w:r>
        <w:t>Red de acceso al cliente. Es el enlace entre el punto de dispersión y el equipo terminal del cliente (teléfono, fax, módem, etc.); se divide en dos segmentos: la instalación exterior que contempla el bajante o acometida hasta el Dispositivo de Interconexión Terminal (DIT); la instalación interior o cableado interior, el cual se encuentra dentro del domicilio del cliente y que opcionalmente se instala.</w:t>
      </w:r>
    </w:p>
    <w:p w:rsidR="007C4016" w:rsidRPr="002A7F95" w:rsidRDefault="007C4016" w:rsidP="007C4016">
      <w:pPr>
        <w:pStyle w:val="IFTnormal"/>
        <w:spacing w:before="240" w:after="0"/>
        <w:ind w:left="851" w:right="760"/>
        <w:rPr>
          <w:b/>
        </w:rPr>
      </w:pPr>
      <w:r w:rsidRPr="002A7F95">
        <w:rPr>
          <w:b/>
        </w:rPr>
        <w:t>5.- DOCUMENTOS DE REFERENCIA.</w:t>
      </w:r>
    </w:p>
    <w:p w:rsidR="007C4016" w:rsidRDefault="007C4016" w:rsidP="007C4016">
      <w:pPr>
        <w:pStyle w:val="IFTnormal"/>
        <w:spacing w:before="240" w:after="0"/>
        <w:ind w:left="851" w:right="760"/>
      </w:pPr>
      <w:r>
        <w:t>No aplica.</w:t>
      </w:r>
    </w:p>
    <w:p w:rsidR="007C4016" w:rsidRPr="002A7F95" w:rsidRDefault="007C4016" w:rsidP="007C4016">
      <w:pPr>
        <w:pStyle w:val="IFTnormal"/>
        <w:spacing w:before="240" w:after="0"/>
        <w:ind w:left="851" w:right="760"/>
        <w:rPr>
          <w:b/>
        </w:rPr>
      </w:pPr>
      <w:r w:rsidRPr="002A7F95">
        <w:rPr>
          <w:b/>
        </w:rPr>
        <w:t>6.- DESARROLLO.</w:t>
      </w:r>
    </w:p>
    <w:p w:rsidR="007C4016" w:rsidRPr="002A7F95" w:rsidRDefault="007C4016" w:rsidP="007C4016">
      <w:pPr>
        <w:pStyle w:val="IFTnormal"/>
        <w:spacing w:before="240" w:after="0"/>
        <w:ind w:left="851" w:right="760"/>
        <w:rPr>
          <w:b/>
        </w:rPr>
      </w:pPr>
      <w:r w:rsidRPr="002A7F95">
        <w:rPr>
          <w:b/>
        </w:rPr>
        <w:t>6.1.- LINEAMIENTOS TÉCNICOS.</w:t>
      </w:r>
    </w:p>
    <w:p w:rsidR="007C4016" w:rsidRDefault="007C4016" w:rsidP="007C4016">
      <w:pPr>
        <w:pStyle w:val="IFTnormal"/>
        <w:spacing w:before="240" w:after="0"/>
        <w:ind w:left="851" w:right="760"/>
      </w:pPr>
      <w:r w:rsidRPr="002A7F95">
        <w:rPr>
          <w:b/>
        </w:rPr>
        <w:t xml:space="preserve">6.1.1.- Lineamientos Generales para la compartición de Postes de </w:t>
      </w:r>
      <w:r>
        <w:rPr>
          <w:b/>
        </w:rPr>
        <w:t>TELNOR</w:t>
      </w:r>
      <w:r w:rsidRPr="002A7F95">
        <w:rPr>
          <w:b/>
        </w:rPr>
        <w:t>.</w:t>
      </w:r>
    </w:p>
    <w:p w:rsidR="007C4016" w:rsidRDefault="007C4016" w:rsidP="007C4016">
      <w:pPr>
        <w:pStyle w:val="IFTnormal"/>
        <w:numPr>
          <w:ilvl w:val="0"/>
          <w:numId w:val="121"/>
        </w:numPr>
        <w:spacing w:before="240" w:after="0"/>
        <w:ind w:left="1560" w:right="760"/>
      </w:pPr>
      <w:r>
        <w:t>Está prohibido el apoyo de escaleras sobre los cables instalados.</w:t>
      </w:r>
    </w:p>
    <w:p w:rsidR="007C4016" w:rsidRDefault="007C4016" w:rsidP="007C4016">
      <w:pPr>
        <w:pStyle w:val="IFTnormal"/>
        <w:numPr>
          <w:ilvl w:val="0"/>
          <w:numId w:val="121"/>
        </w:numPr>
        <w:spacing w:after="0"/>
        <w:ind w:left="1560" w:right="760"/>
      </w:pPr>
      <w:r>
        <w:t>En el fleje para apoyo de remate de cables de un Concesionario, solamente se rematarán cables de dicho Concesionario.</w:t>
      </w:r>
    </w:p>
    <w:p w:rsidR="007C4016" w:rsidRDefault="007C4016" w:rsidP="007C4016">
      <w:pPr>
        <w:pStyle w:val="IFTnormal"/>
        <w:numPr>
          <w:ilvl w:val="0"/>
          <w:numId w:val="121"/>
        </w:numPr>
        <w:spacing w:after="0"/>
        <w:ind w:left="1560" w:right="760"/>
      </w:pPr>
      <w:r>
        <w:t>Para rematar los cables, el Concesionario Solicitante debe utilizar materiales que no pongan en riesgo la red existente de TELNOR por mala calidad.</w:t>
      </w:r>
    </w:p>
    <w:p w:rsidR="007C4016" w:rsidRPr="002A7F95" w:rsidRDefault="007C4016" w:rsidP="007C4016">
      <w:pPr>
        <w:pStyle w:val="IFTnormal"/>
        <w:spacing w:before="240" w:after="0"/>
        <w:ind w:left="851" w:right="760"/>
        <w:rPr>
          <w:b/>
        </w:rPr>
      </w:pPr>
      <w:r w:rsidRPr="002A7F95">
        <w:rPr>
          <w:b/>
        </w:rPr>
        <w:lastRenderedPageBreak/>
        <w:t xml:space="preserve">6.1.2.- Ingeniería y construcción de compartición de Postes de </w:t>
      </w:r>
      <w:r>
        <w:rPr>
          <w:b/>
        </w:rPr>
        <w:t>TELNOR</w:t>
      </w:r>
      <w:r w:rsidRPr="002A7F95">
        <w:rPr>
          <w:b/>
        </w:rPr>
        <w:t>.</w:t>
      </w:r>
    </w:p>
    <w:p w:rsidR="007C4016" w:rsidRDefault="007C4016" w:rsidP="007C4016">
      <w:pPr>
        <w:pStyle w:val="IFTnormal"/>
        <w:numPr>
          <w:ilvl w:val="0"/>
          <w:numId w:val="122"/>
        </w:numPr>
        <w:spacing w:before="240" w:after="0"/>
        <w:ind w:left="1560" w:right="760"/>
      </w:pPr>
      <w:r>
        <w:t>Para verificar la Factibilidad de instalación por altura, el concesionario debe utilizar la pértiga telescópica.</w:t>
      </w:r>
    </w:p>
    <w:p w:rsidR="007C4016" w:rsidRDefault="007C4016" w:rsidP="007C4016">
      <w:pPr>
        <w:pStyle w:val="IFTnormal"/>
        <w:numPr>
          <w:ilvl w:val="0"/>
          <w:numId w:val="123"/>
        </w:numPr>
        <w:spacing w:after="0"/>
        <w:ind w:left="1560" w:right="760"/>
      </w:pPr>
      <w:r>
        <w:t>Para el cálculo de la Tensión Total (</w:t>
      </w:r>
      <w:r w:rsidRPr="00891427">
        <w:rPr>
          <w:b/>
        </w:rPr>
        <w:t>F</w:t>
      </w:r>
      <w:r w:rsidRPr="00891427">
        <w:rPr>
          <w:b/>
          <w:vertAlign w:val="subscript"/>
        </w:rPr>
        <w:t>T</w:t>
      </w:r>
      <w:r>
        <w:t>) que cada uno de los cables ejerce en el poste, se deben respetar las zonas de viento dominantes de acuerdo a cada ciudad tal como se define en la NOM-001-SEDE-2012 y aplicando la siguiente fórmula:</w:t>
      </w:r>
    </w:p>
    <w:p w:rsidR="007C4016" w:rsidRPr="00891427" w:rsidRDefault="007C4016" w:rsidP="007C4016">
      <w:pPr>
        <w:pStyle w:val="Texto1"/>
        <w:spacing w:before="240" w:after="0"/>
        <w:ind w:left="1560"/>
        <w:jc w:val="center"/>
        <w:rPr>
          <w:rFonts w:ascii="ITC Avant Garde" w:hAnsi="ITC Avant Garde"/>
        </w:rPr>
      </w:pPr>
      <w:r w:rsidRPr="00891427">
        <w:rPr>
          <w:rFonts w:ascii="ITC Avant Garde" w:hAnsi="ITC Avant Garde"/>
          <w:b/>
        </w:rPr>
        <w:t>F</w:t>
      </w:r>
      <w:r w:rsidRPr="00891427">
        <w:rPr>
          <w:rFonts w:ascii="ITC Avant Garde" w:hAnsi="ITC Avant Garde"/>
          <w:b/>
          <w:vertAlign w:val="subscript"/>
        </w:rPr>
        <w:t>T</w:t>
      </w:r>
      <w:r w:rsidRPr="00891427">
        <w:rPr>
          <w:rFonts w:ascii="ITC Avant Garde" w:hAnsi="ITC Avant Garde"/>
        </w:rPr>
        <w:t xml:space="preserve"> = </w:t>
      </w:r>
      <w:r w:rsidRPr="00891427">
        <w:rPr>
          <w:rFonts w:ascii="ITC Avant Garde" w:hAnsi="ITC Avant Garde"/>
          <w:b/>
        </w:rPr>
        <w:t>L</w:t>
      </w:r>
      <w:r w:rsidRPr="00891427">
        <w:rPr>
          <w:rFonts w:ascii="ITC Avant Garde" w:hAnsi="ITC Avant Garde"/>
        </w:rPr>
        <w:t xml:space="preserve"> (</w:t>
      </w:r>
      <w:r w:rsidRPr="00891427">
        <w:rPr>
          <w:rFonts w:ascii="ITC Avant Garde" w:hAnsi="ITC Avant Garde"/>
          <w:b/>
        </w:rPr>
        <w:t>w</w:t>
      </w:r>
      <w:r w:rsidRPr="00891427">
        <w:rPr>
          <w:rFonts w:ascii="ITC Avant Garde" w:hAnsi="ITC Avant Garde"/>
        </w:rPr>
        <w:t xml:space="preserve"> </w:t>
      </w:r>
      <w:r w:rsidRPr="00891427">
        <w:rPr>
          <w:rFonts w:ascii="ITC Avant Garde" w:hAnsi="ITC Avant Garde"/>
          <w:vertAlign w:val="superscript"/>
        </w:rPr>
        <w:t>2</w:t>
      </w:r>
      <w:r w:rsidRPr="00891427">
        <w:rPr>
          <w:rFonts w:ascii="ITC Avant Garde" w:hAnsi="ITC Avant Garde"/>
        </w:rPr>
        <w:t xml:space="preserve"> + </w:t>
      </w:r>
      <w:r w:rsidRPr="00891427">
        <w:rPr>
          <w:rFonts w:ascii="ITC Avant Garde" w:hAnsi="ITC Avant Garde"/>
          <w:b/>
        </w:rPr>
        <w:t>F</w:t>
      </w:r>
      <w:r w:rsidRPr="00891427">
        <w:rPr>
          <w:rFonts w:ascii="ITC Avant Garde" w:hAnsi="ITC Avant Garde"/>
          <w:b/>
          <w:vertAlign w:val="subscript"/>
        </w:rPr>
        <w:t>V</w:t>
      </w:r>
      <w:r w:rsidRPr="00891427">
        <w:rPr>
          <w:rFonts w:ascii="ITC Avant Garde" w:hAnsi="ITC Avant Garde"/>
        </w:rPr>
        <w:t xml:space="preserve"> </w:t>
      </w:r>
      <w:r w:rsidRPr="00891427">
        <w:rPr>
          <w:rFonts w:ascii="ITC Avant Garde" w:hAnsi="ITC Avant Garde"/>
          <w:vertAlign w:val="superscript"/>
        </w:rPr>
        <w:t>2</w:t>
      </w:r>
      <w:r w:rsidRPr="00891427">
        <w:rPr>
          <w:rFonts w:ascii="ITC Avant Garde" w:hAnsi="ITC Avant Garde"/>
        </w:rPr>
        <w:t>)½</w:t>
      </w:r>
    </w:p>
    <w:p w:rsidR="007C4016" w:rsidRDefault="007C4016" w:rsidP="007C4016">
      <w:pPr>
        <w:pStyle w:val="IFTnormal"/>
        <w:spacing w:before="240" w:after="0"/>
        <w:ind w:left="1560" w:right="760"/>
      </w:pPr>
      <w:r>
        <w:t>Donde:</w:t>
      </w:r>
    </w:p>
    <w:p w:rsidR="007C4016" w:rsidRDefault="007C4016" w:rsidP="007C4016">
      <w:pPr>
        <w:pStyle w:val="IFTnormal"/>
        <w:numPr>
          <w:ilvl w:val="0"/>
          <w:numId w:val="123"/>
        </w:numPr>
        <w:spacing w:before="240" w:after="0"/>
        <w:ind w:left="1985" w:right="760" w:hanging="284"/>
      </w:pPr>
      <w:r w:rsidRPr="00891427">
        <w:rPr>
          <w:b/>
        </w:rPr>
        <w:t>F</w:t>
      </w:r>
      <w:r w:rsidRPr="00891427">
        <w:rPr>
          <w:b/>
          <w:vertAlign w:val="subscript"/>
        </w:rPr>
        <w:t>T</w:t>
      </w:r>
      <w:r>
        <w:t xml:space="preserve"> = Fuerza Total (Kg).</w:t>
      </w:r>
    </w:p>
    <w:p w:rsidR="007C4016" w:rsidRDefault="007C4016" w:rsidP="007C4016">
      <w:pPr>
        <w:pStyle w:val="IFTnormal"/>
        <w:numPr>
          <w:ilvl w:val="0"/>
          <w:numId w:val="123"/>
        </w:numPr>
        <w:spacing w:after="0"/>
        <w:ind w:left="1985" w:right="760" w:hanging="284"/>
      </w:pPr>
      <w:r w:rsidRPr="00891427">
        <w:rPr>
          <w:b/>
        </w:rPr>
        <w:t>w</w:t>
      </w:r>
      <w:r>
        <w:t xml:space="preserve"> = Peso del cable (Kg/m).</w:t>
      </w:r>
    </w:p>
    <w:p w:rsidR="007C4016" w:rsidRDefault="007C4016" w:rsidP="007C4016">
      <w:pPr>
        <w:pStyle w:val="IFTnormal"/>
        <w:numPr>
          <w:ilvl w:val="0"/>
          <w:numId w:val="123"/>
        </w:numPr>
        <w:spacing w:after="0"/>
        <w:ind w:left="1985" w:right="760" w:hanging="284"/>
      </w:pPr>
      <w:r w:rsidRPr="00891427">
        <w:rPr>
          <w:b/>
        </w:rPr>
        <w:t>F</w:t>
      </w:r>
      <w:r w:rsidRPr="00891427">
        <w:rPr>
          <w:b/>
          <w:vertAlign w:val="subscript"/>
        </w:rPr>
        <w:t>V</w:t>
      </w:r>
      <w:r>
        <w:t xml:space="preserve"> = Fuerza del viento (Kg/m).</w:t>
      </w:r>
    </w:p>
    <w:p w:rsidR="007C4016" w:rsidRDefault="007C4016" w:rsidP="007C4016">
      <w:pPr>
        <w:pStyle w:val="IFTnormal"/>
        <w:numPr>
          <w:ilvl w:val="0"/>
          <w:numId w:val="123"/>
        </w:numPr>
        <w:spacing w:after="0"/>
        <w:ind w:left="1985" w:right="760" w:hanging="284"/>
      </w:pPr>
      <w:r>
        <w:tab/>
        <w:t>L = Distancia Interpostal (m)</w:t>
      </w:r>
      <w:r w:rsidRPr="00891427">
        <w:t xml:space="preserve">, </w:t>
      </w:r>
      <w:r>
        <w:t>cuyo valor se fijará en 50 m.</w:t>
      </w:r>
    </w:p>
    <w:p w:rsidR="007C4016" w:rsidRPr="00F92443" w:rsidRDefault="007C4016" w:rsidP="007C4016">
      <w:pPr>
        <w:pStyle w:val="IFTnormal"/>
        <w:spacing w:before="240" w:after="0"/>
        <w:ind w:left="851"/>
      </w:pPr>
      <w:r w:rsidRPr="00F92443">
        <w:t>Por otra parte, la fuerza del viento</w:t>
      </w:r>
      <w:r w:rsidRPr="00F92443">
        <w:footnoteReference w:id="6"/>
      </w:r>
      <w:r>
        <w:t xml:space="preserve"> </w:t>
      </w:r>
      <w:r w:rsidRPr="00F92443">
        <w:t>se debe determinar empleado la siguiente fórmula:</w:t>
      </w:r>
    </w:p>
    <w:p w:rsidR="007C4016" w:rsidRPr="00F92443" w:rsidRDefault="002C04D7" w:rsidP="007C4016">
      <w:pPr>
        <w:pStyle w:val="IFTnormal"/>
        <w:spacing w:before="240" w:after="0"/>
        <w:ind w:left="709"/>
      </w:pPr>
      <m:oMathPara>
        <m:oMath>
          <m:sSub>
            <m:sSubPr>
              <m:ctrlPr>
                <w:rPr>
                  <w:rFonts w:ascii="Cambria Math" w:hAnsi="Cambria Math"/>
                  <w:b/>
                </w:rPr>
              </m:ctrlPr>
            </m:sSubPr>
            <m:e>
              <m:r>
                <m:rPr>
                  <m:nor/>
                </m:rPr>
                <w:rPr>
                  <w:b/>
                </w:rPr>
                <m:t>F</m:t>
              </m:r>
            </m:e>
            <m:sub>
              <m:r>
                <m:rPr>
                  <m:nor/>
                </m:rPr>
                <w:rPr>
                  <w:b/>
                </w:rPr>
                <m:t>V</m:t>
              </m:r>
            </m:sub>
          </m:sSub>
          <m:r>
            <m:rPr>
              <m:nor/>
            </m:rPr>
            <m:t xml:space="preserve"> = 0.00482 ×</m:t>
          </m:r>
          <m:r>
            <m:rPr>
              <m:sty m:val="p"/>
            </m:rPr>
            <w:rPr>
              <w:rFonts w:ascii="Cambria Math" w:hAnsi="Cambria Math"/>
            </w:rPr>
            <m:t xml:space="preserve"> </m:t>
          </m:r>
          <m:sSup>
            <m:sSupPr>
              <m:ctrlPr>
                <w:rPr>
                  <w:rFonts w:ascii="Cambria Math" w:hAnsi="Cambria Math"/>
                </w:rPr>
              </m:ctrlPr>
            </m:sSupPr>
            <m:e>
              <m:r>
                <m:rPr>
                  <m:nor/>
                </m:rPr>
                <m:t>v</m:t>
              </m:r>
            </m:e>
            <m:sup>
              <m:r>
                <m:rPr>
                  <m:nor/>
                </m:rPr>
                <m:t>2</m:t>
              </m:r>
            </m:sup>
          </m:sSup>
          <m:r>
            <m:rPr>
              <m:nor/>
            </m:rPr>
            <m:t xml:space="preserve"> ×</m:t>
          </m:r>
          <m:sSub>
            <m:sSubPr>
              <m:ctrlPr>
                <w:rPr>
                  <w:rFonts w:ascii="Cambria Math" w:hAnsi="Cambria Math"/>
                </w:rPr>
              </m:ctrlPr>
            </m:sSubPr>
            <m:e>
              <m:r>
                <m:rPr>
                  <m:nor/>
                </m:rPr>
                <w:rPr>
                  <w:rFonts w:ascii="Cambria Math"/>
                </w:rPr>
                <m:t xml:space="preserve"> </m:t>
              </m:r>
              <m:r>
                <m:rPr>
                  <m:nor/>
                </m:rPr>
                <m:t>D</m:t>
              </m:r>
            </m:e>
            <m:sub>
              <m:r>
                <m:rPr>
                  <m:nor/>
                </m:rPr>
                <m:t>C</m:t>
              </m:r>
            </m:sub>
          </m:sSub>
          <m:r>
            <m:rPr>
              <m:nor/>
            </m:rPr>
            <m:t xml:space="preserve"> </m:t>
          </m:r>
        </m:oMath>
      </m:oMathPara>
    </w:p>
    <w:p w:rsidR="007C4016" w:rsidRPr="00F92443" w:rsidRDefault="007C4016" w:rsidP="007C4016">
      <w:pPr>
        <w:pStyle w:val="IFTnormal"/>
        <w:spacing w:before="240" w:after="0"/>
        <w:ind w:left="851"/>
      </w:pPr>
      <w:r w:rsidRPr="00F92443">
        <w:t xml:space="preserve">En donde las variables involucradas denotan: </w:t>
      </w:r>
    </w:p>
    <w:p w:rsidR="007C4016" w:rsidRDefault="002C04D7" w:rsidP="007C4016">
      <w:pPr>
        <w:pStyle w:val="IFTnormal"/>
        <w:numPr>
          <w:ilvl w:val="0"/>
          <w:numId w:val="227"/>
        </w:numPr>
        <w:spacing w:before="240" w:after="0"/>
        <w:ind w:left="1276"/>
      </w:pPr>
      <m:oMath>
        <m:sSub>
          <m:sSubPr>
            <m:ctrlPr>
              <w:rPr>
                <w:rFonts w:ascii="Cambria Math" w:hAnsi="Cambria Math"/>
                <w:b/>
              </w:rPr>
            </m:ctrlPr>
          </m:sSubPr>
          <m:e>
            <m:r>
              <m:rPr>
                <m:nor/>
              </m:rPr>
              <w:rPr>
                <w:b/>
              </w:rPr>
              <m:t>F</m:t>
            </m:r>
          </m:e>
          <m:sub>
            <m:r>
              <m:rPr>
                <m:nor/>
              </m:rPr>
              <w:rPr>
                <w:b/>
              </w:rPr>
              <m:t>v</m:t>
            </m:r>
          </m:sub>
        </m:sSub>
      </m:oMath>
      <w:r w:rsidR="007C4016">
        <w:t xml:space="preserve">: </w:t>
      </w:r>
      <w:r w:rsidR="007C4016" w:rsidRPr="00F92443">
        <w:t>Fuerza del viento (Kg/m).</w:t>
      </w:r>
    </w:p>
    <w:p w:rsidR="007C4016" w:rsidRDefault="007C4016" w:rsidP="007C4016">
      <w:pPr>
        <w:pStyle w:val="IFTnormal"/>
        <w:numPr>
          <w:ilvl w:val="0"/>
          <w:numId w:val="227"/>
        </w:numPr>
        <w:spacing w:after="0"/>
        <w:ind w:left="1276"/>
      </w:pPr>
      <m:oMath>
        <m:r>
          <m:rPr>
            <m:nor/>
          </m:rPr>
          <m:t>v:</m:t>
        </m:r>
      </m:oMath>
      <w:r>
        <w:t xml:space="preserve"> </w:t>
      </w:r>
      <w:r w:rsidRPr="00F92443">
        <w:t>velocidad de viento de diseño</w:t>
      </w:r>
      <w:r w:rsidRPr="00F92443">
        <w:rPr>
          <w:vertAlign w:val="superscript"/>
        </w:rPr>
        <w:footnoteReference w:id="7"/>
      </w:r>
      <w:r>
        <w:t xml:space="preserve"> </w:t>
      </w:r>
      <w:r w:rsidRPr="00F92443">
        <w:t>(véase Tabla 1).</w:t>
      </w:r>
    </w:p>
    <w:p w:rsidR="007C4016" w:rsidRDefault="002C04D7" w:rsidP="007C4016">
      <w:pPr>
        <w:pStyle w:val="IFTnormal"/>
        <w:numPr>
          <w:ilvl w:val="0"/>
          <w:numId w:val="227"/>
        </w:numPr>
        <w:spacing w:after="0"/>
        <w:ind w:left="1276"/>
      </w:pPr>
      <m:oMath>
        <m:sSub>
          <m:sSubPr>
            <m:ctrlPr>
              <w:rPr>
                <w:rFonts w:ascii="Cambria Math" w:hAnsi="Cambria Math"/>
              </w:rPr>
            </m:ctrlPr>
          </m:sSubPr>
          <m:e>
            <m:r>
              <m:rPr>
                <m:nor/>
              </m:rPr>
              <m:t>D</m:t>
            </m:r>
          </m:e>
          <m:sub>
            <m:r>
              <m:rPr>
                <m:nor/>
              </m:rPr>
              <m:t>C</m:t>
            </m:r>
          </m:sub>
        </m:sSub>
      </m:oMath>
      <w:r w:rsidR="007C4016">
        <w:t xml:space="preserve">: </w:t>
      </w:r>
      <w:r w:rsidR="007C4016" w:rsidRPr="00F92443">
        <w:t>Diámetro del cable</w:t>
      </w:r>
      <w:r w:rsidR="007C4016" w:rsidRPr="00456475">
        <w:rPr>
          <w:vertAlign w:val="superscript"/>
        </w:rPr>
        <w:footnoteReference w:id="8"/>
      </w:r>
      <w:r w:rsidR="007C4016">
        <w:t xml:space="preserve"> (m).</w:t>
      </w:r>
    </w:p>
    <w:p w:rsidR="007C4016" w:rsidRDefault="007C4016" w:rsidP="007C4016">
      <w:pPr>
        <w:pStyle w:val="IFTnormal"/>
        <w:spacing w:before="240" w:after="0"/>
        <w:ind w:left="851" w:right="760"/>
        <w:jc w:val="center"/>
      </w:pPr>
    </w:p>
    <w:tbl>
      <w:tblPr>
        <w:tblStyle w:val="Tablaconcuadrcula"/>
        <w:tblW w:w="7902" w:type="dxa"/>
        <w:jc w:val="center"/>
        <w:tblLook w:val="04A0" w:firstRow="1" w:lastRow="0" w:firstColumn="1" w:lastColumn="0" w:noHBand="0" w:noVBand="1"/>
        <w:tblCaption w:val="Tabla"/>
        <w:tblDescription w:val="Tabla 1. Zonas de cargas mecánicas."/>
      </w:tblPr>
      <w:tblGrid>
        <w:gridCol w:w="682"/>
        <w:gridCol w:w="1330"/>
        <w:gridCol w:w="4856"/>
        <w:gridCol w:w="1034"/>
      </w:tblGrid>
      <w:tr w:rsidR="007C4016" w:rsidRPr="000D3955" w:rsidTr="005C782A">
        <w:trPr>
          <w:trHeight w:val="561"/>
          <w:tblHeader/>
          <w:jc w:val="center"/>
        </w:trPr>
        <w:tc>
          <w:tcPr>
            <w:tcW w:w="682" w:type="dxa"/>
            <w:tcBorders>
              <w:right w:val="nil"/>
            </w:tcBorders>
            <w:shd w:val="clear" w:color="auto" w:fill="D9D9D9" w:themeFill="background1" w:themeFillShade="D9"/>
            <w:vAlign w:val="center"/>
          </w:tcPr>
          <w:p w:rsidR="007C4016" w:rsidRPr="006F2ED3" w:rsidRDefault="007C4016" w:rsidP="005C782A">
            <w:pPr>
              <w:pStyle w:val="TxtListado"/>
              <w:spacing w:after="0"/>
              <w:jc w:val="center"/>
              <w:rPr>
                <w:rFonts w:eastAsia="Times New Roman" w:cs="Arial"/>
                <w:b/>
                <w:sz w:val="16"/>
                <w:szCs w:val="24"/>
              </w:rPr>
            </w:pPr>
          </w:p>
        </w:tc>
        <w:tc>
          <w:tcPr>
            <w:tcW w:w="1330" w:type="dxa"/>
            <w:tcBorders>
              <w:left w:val="nil"/>
              <w:right w:val="nil"/>
            </w:tcBorders>
            <w:shd w:val="clear" w:color="auto" w:fill="D9D9D9" w:themeFill="background1" w:themeFillShade="D9"/>
            <w:vAlign w:val="center"/>
          </w:tcPr>
          <w:p w:rsidR="007C4016" w:rsidRPr="006F2ED3" w:rsidRDefault="007C4016" w:rsidP="005C782A">
            <w:pPr>
              <w:pStyle w:val="TxtListado"/>
              <w:spacing w:after="0"/>
              <w:jc w:val="center"/>
              <w:rPr>
                <w:rFonts w:eastAsia="Times New Roman" w:cs="Arial"/>
                <w:b/>
                <w:sz w:val="16"/>
                <w:szCs w:val="24"/>
              </w:rPr>
            </w:pPr>
          </w:p>
        </w:tc>
        <w:tc>
          <w:tcPr>
            <w:tcW w:w="4856" w:type="dxa"/>
            <w:tcBorders>
              <w:left w:val="nil"/>
            </w:tcBorders>
            <w:shd w:val="clear" w:color="auto" w:fill="D9D9D9" w:themeFill="background1" w:themeFillShade="D9"/>
            <w:vAlign w:val="center"/>
          </w:tcPr>
          <w:p w:rsidR="007C4016" w:rsidRPr="006F2ED3" w:rsidRDefault="007C4016" w:rsidP="005C782A">
            <w:pPr>
              <w:pStyle w:val="TxtListado"/>
              <w:spacing w:after="0"/>
              <w:jc w:val="center"/>
              <w:rPr>
                <w:rFonts w:eastAsia="Times New Roman" w:cs="Arial"/>
                <w:b/>
                <w:sz w:val="16"/>
                <w:szCs w:val="24"/>
              </w:rPr>
            </w:pPr>
            <w:r w:rsidRPr="006F2ED3">
              <w:rPr>
                <w:rFonts w:eastAsia="Times New Roman" w:cs="Arial"/>
                <w:b/>
                <w:sz w:val="16"/>
                <w:szCs w:val="24"/>
              </w:rPr>
              <w:t>Zonas de cargas mecánicas</w:t>
            </w:r>
          </w:p>
        </w:tc>
        <w:tc>
          <w:tcPr>
            <w:tcW w:w="1034" w:type="dxa"/>
            <w:shd w:val="clear" w:color="auto" w:fill="D9D9D9" w:themeFill="background1" w:themeFillShade="D9"/>
            <w:vAlign w:val="center"/>
          </w:tcPr>
          <w:p w:rsidR="007C4016" w:rsidRPr="006F2ED3" w:rsidRDefault="007C4016" w:rsidP="005C782A">
            <w:pPr>
              <w:pStyle w:val="TxtListado"/>
              <w:spacing w:after="0"/>
              <w:jc w:val="center"/>
              <w:rPr>
                <w:rFonts w:eastAsia="Times New Roman" w:cs="Arial"/>
                <w:b/>
                <w:sz w:val="16"/>
                <w:szCs w:val="24"/>
              </w:rPr>
            </w:pPr>
            <w:r w:rsidRPr="006F2ED3">
              <w:rPr>
                <w:rFonts w:eastAsia="Times New Roman" w:cs="Arial"/>
                <w:b/>
                <w:sz w:val="16"/>
                <w:szCs w:val="24"/>
              </w:rPr>
              <w:t>Velocidad (km/h)</w:t>
            </w:r>
          </w:p>
        </w:tc>
      </w:tr>
      <w:tr w:rsidR="007C4016" w:rsidRPr="000D3955" w:rsidTr="005C782A">
        <w:trPr>
          <w:trHeight w:val="709"/>
          <w:jc w:val="center"/>
        </w:trPr>
        <w:tc>
          <w:tcPr>
            <w:tcW w:w="682" w:type="dxa"/>
            <w:vAlign w:val="center"/>
          </w:tcPr>
          <w:p w:rsidR="007C4016" w:rsidRPr="000D3955" w:rsidRDefault="007C4016" w:rsidP="005C782A">
            <w:pPr>
              <w:pStyle w:val="IFTnormal"/>
              <w:spacing w:after="0"/>
              <w:jc w:val="left"/>
              <w:rPr>
                <w:sz w:val="16"/>
              </w:rPr>
            </w:pPr>
            <w:r w:rsidRPr="000D3955">
              <w:rPr>
                <w:b/>
                <w:sz w:val="16"/>
                <w:szCs w:val="18"/>
              </w:rPr>
              <w:t>Zona I</w:t>
            </w:r>
          </w:p>
        </w:tc>
        <w:tc>
          <w:tcPr>
            <w:tcW w:w="1330" w:type="dxa"/>
            <w:vAlign w:val="center"/>
          </w:tcPr>
          <w:p w:rsidR="007C4016" w:rsidRPr="000D3955" w:rsidRDefault="007C4016" w:rsidP="005C782A">
            <w:pPr>
              <w:pStyle w:val="IFTnormal"/>
              <w:spacing w:after="0"/>
              <w:jc w:val="left"/>
              <w:rPr>
                <w:sz w:val="16"/>
              </w:rPr>
            </w:pPr>
            <w:r w:rsidRPr="000D3955">
              <w:rPr>
                <w:sz w:val="16"/>
                <w:szCs w:val="18"/>
              </w:rPr>
              <w:t>Región Norte</w:t>
            </w:r>
          </w:p>
        </w:tc>
        <w:tc>
          <w:tcPr>
            <w:tcW w:w="4856" w:type="dxa"/>
            <w:vAlign w:val="center"/>
          </w:tcPr>
          <w:p w:rsidR="007C4016" w:rsidRPr="000D3955" w:rsidRDefault="007C4016" w:rsidP="005C782A">
            <w:pPr>
              <w:pStyle w:val="IFTnormal"/>
              <w:spacing w:after="0"/>
              <w:rPr>
                <w:sz w:val="16"/>
              </w:rPr>
            </w:pPr>
            <w:r w:rsidRPr="000D3955">
              <w:rPr>
                <w:sz w:val="16"/>
                <w:szCs w:val="18"/>
              </w:rPr>
              <w:t>Baja California, Chihuahua, Coahuila, Nuevo León y parte de Sonora y Durango.</w:t>
            </w:r>
          </w:p>
        </w:tc>
        <w:tc>
          <w:tcPr>
            <w:tcW w:w="1034" w:type="dxa"/>
            <w:vAlign w:val="center"/>
          </w:tcPr>
          <w:p w:rsidR="007C4016" w:rsidRPr="000D3955" w:rsidRDefault="007C4016" w:rsidP="005C782A">
            <w:pPr>
              <w:pStyle w:val="IFTnormal"/>
              <w:spacing w:after="0"/>
              <w:jc w:val="left"/>
              <w:rPr>
                <w:sz w:val="16"/>
              </w:rPr>
            </w:pPr>
            <w:r w:rsidRPr="000D3955">
              <w:rPr>
                <w:sz w:val="16"/>
              </w:rPr>
              <w:t>90</w:t>
            </w:r>
          </w:p>
        </w:tc>
      </w:tr>
      <w:tr w:rsidR="007C4016" w:rsidRPr="000D3955" w:rsidTr="005C782A">
        <w:trPr>
          <w:trHeight w:val="693"/>
          <w:jc w:val="center"/>
        </w:trPr>
        <w:tc>
          <w:tcPr>
            <w:tcW w:w="682" w:type="dxa"/>
            <w:vAlign w:val="center"/>
          </w:tcPr>
          <w:p w:rsidR="007C4016" w:rsidRPr="000D3955" w:rsidRDefault="007C4016" w:rsidP="005C782A">
            <w:pPr>
              <w:pStyle w:val="IFTnormal"/>
              <w:spacing w:after="0"/>
              <w:jc w:val="left"/>
              <w:rPr>
                <w:sz w:val="16"/>
              </w:rPr>
            </w:pPr>
            <w:r w:rsidRPr="000D3955">
              <w:rPr>
                <w:b/>
                <w:sz w:val="16"/>
                <w:szCs w:val="18"/>
              </w:rPr>
              <w:t>Zona II</w:t>
            </w:r>
          </w:p>
        </w:tc>
        <w:tc>
          <w:tcPr>
            <w:tcW w:w="1330" w:type="dxa"/>
            <w:vAlign w:val="center"/>
          </w:tcPr>
          <w:p w:rsidR="007C4016" w:rsidRPr="000D3955" w:rsidRDefault="007C4016" w:rsidP="005C782A">
            <w:pPr>
              <w:pStyle w:val="IFTnormal"/>
              <w:spacing w:after="0"/>
              <w:jc w:val="left"/>
              <w:rPr>
                <w:sz w:val="16"/>
              </w:rPr>
            </w:pPr>
            <w:r w:rsidRPr="000D3955">
              <w:rPr>
                <w:sz w:val="16"/>
                <w:szCs w:val="18"/>
              </w:rPr>
              <w:t>Región Centro Norte</w:t>
            </w:r>
          </w:p>
        </w:tc>
        <w:tc>
          <w:tcPr>
            <w:tcW w:w="4856" w:type="dxa"/>
            <w:vAlign w:val="center"/>
          </w:tcPr>
          <w:p w:rsidR="007C4016" w:rsidRPr="000D3955" w:rsidRDefault="007C4016" w:rsidP="005C782A">
            <w:pPr>
              <w:pStyle w:val="IFTnormal"/>
              <w:spacing w:after="0"/>
              <w:rPr>
                <w:sz w:val="16"/>
              </w:rPr>
            </w:pPr>
            <w:r w:rsidRPr="000D3955">
              <w:rPr>
                <w:sz w:val="16"/>
                <w:szCs w:val="18"/>
              </w:rPr>
              <w:t>Aguascalientes y parte de Zacatecas, Durango y San Luis Potosí.</w:t>
            </w:r>
          </w:p>
        </w:tc>
        <w:tc>
          <w:tcPr>
            <w:tcW w:w="1034" w:type="dxa"/>
            <w:vAlign w:val="center"/>
          </w:tcPr>
          <w:p w:rsidR="007C4016" w:rsidRPr="000D3955" w:rsidRDefault="007C4016" w:rsidP="005C782A">
            <w:pPr>
              <w:pStyle w:val="IFTnormal"/>
              <w:spacing w:after="0"/>
              <w:jc w:val="left"/>
              <w:rPr>
                <w:sz w:val="16"/>
              </w:rPr>
            </w:pPr>
            <w:r w:rsidRPr="000D3955">
              <w:rPr>
                <w:sz w:val="16"/>
              </w:rPr>
              <w:t>90</w:t>
            </w:r>
          </w:p>
        </w:tc>
      </w:tr>
      <w:tr w:rsidR="007C4016" w:rsidRPr="000D3955" w:rsidTr="005C782A">
        <w:trPr>
          <w:trHeight w:val="467"/>
          <w:jc w:val="center"/>
        </w:trPr>
        <w:tc>
          <w:tcPr>
            <w:tcW w:w="682" w:type="dxa"/>
            <w:vAlign w:val="center"/>
          </w:tcPr>
          <w:p w:rsidR="007C4016" w:rsidRPr="000D3955" w:rsidRDefault="007C4016" w:rsidP="005C782A">
            <w:pPr>
              <w:pStyle w:val="IFTnormal"/>
              <w:spacing w:after="0"/>
              <w:jc w:val="left"/>
              <w:rPr>
                <w:sz w:val="16"/>
              </w:rPr>
            </w:pPr>
            <w:r w:rsidRPr="000D3955">
              <w:rPr>
                <w:b/>
                <w:sz w:val="16"/>
                <w:szCs w:val="18"/>
              </w:rPr>
              <w:t>Zona III</w:t>
            </w:r>
          </w:p>
        </w:tc>
        <w:tc>
          <w:tcPr>
            <w:tcW w:w="1330" w:type="dxa"/>
            <w:vAlign w:val="center"/>
          </w:tcPr>
          <w:p w:rsidR="007C4016" w:rsidRPr="000D3955" w:rsidRDefault="007C4016" w:rsidP="005C782A">
            <w:pPr>
              <w:pStyle w:val="IFTnormal"/>
              <w:spacing w:after="0"/>
              <w:jc w:val="left"/>
              <w:rPr>
                <w:sz w:val="16"/>
              </w:rPr>
            </w:pPr>
            <w:r w:rsidRPr="000D3955">
              <w:rPr>
                <w:sz w:val="16"/>
                <w:szCs w:val="18"/>
              </w:rPr>
              <w:t>Región Centro Sur</w:t>
            </w:r>
          </w:p>
        </w:tc>
        <w:tc>
          <w:tcPr>
            <w:tcW w:w="4856" w:type="dxa"/>
            <w:vAlign w:val="center"/>
          </w:tcPr>
          <w:p w:rsidR="007C4016" w:rsidRPr="000D3955" w:rsidRDefault="007C4016" w:rsidP="005C782A">
            <w:pPr>
              <w:pStyle w:val="IFTnormal"/>
              <w:spacing w:after="0"/>
              <w:rPr>
                <w:sz w:val="16"/>
              </w:rPr>
            </w:pPr>
            <w:r w:rsidRPr="000D3955">
              <w:rPr>
                <w:sz w:val="16"/>
                <w:szCs w:val="18"/>
              </w:rPr>
              <w:t>Parte de Oaxaca y Chiapas.</w:t>
            </w:r>
          </w:p>
        </w:tc>
        <w:tc>
          <w:tcPr>
            <w:tcW w:w="1034" w:type="dxa"/>
            <w:vAlign w:val="center"/>
          </w:tcPr>
          <w:p w:rsidR="007C4016" w:rsidRPr="000D3955" w:rsidRDefault="007C4016" w:rsidP="005C782A">
            <w:pPr>
              <w:pStyle w:val="IFTnormal"/>
              <w:spacing w:after="0"/>
              <w:jc w:val="left"/>
              <w:rPr>
                <w:sz w:val="16"/>
              </w:rPr>
            </w:pPr>
            <w:r w:rsidRPr="000D3955">
              <w:rPr>
                <w:sz w:val="16"/>
              </w:rPr>
              <w:t>90</w:t>
            </w:r>
          </w:p>
        </w:tc>
      </w:tr>
      <w:tr w:rsidR="007C4016" w:rsidRPr="000D3955" w:rsidTr="005C782A">
        <w:trPr>
          <w:trHeight w:val="951"/>
          <w:jc w:val="center"/>
        </w:trPr>
        <w:tc>
          <w:tcPr>
            <w:tcW w:w="682" w:type="dxa"/>
            <w:vAlign w:val="center"/>
          </w:tcPr>
          <w:p w:rsidR="007C4016" w:rsidRPr="000D3955" w:rsidRDefault="007C4016" w:rsidP="005C782A">
            <w:pPr>
              <w:pStyle w:val="IFTnormal"/>
              <w:spacing w:after="0"/>
              <w:jc w:val="left"/>
              <w:rPr>
                <w:sz w:val="16"/>
              </w:rPr>
            </w:pPr>
            <w:r w:rsidRPr="000D3955">
              <w:rPr>
                <w:b/>
                <w:sz w:val="16"/>
                <w:szCs w:val="18"/>
              </w:rPr>
              <w:t>Zona IV</w:t>
            </w:r>
          </w:p>
        </w:tc>
        <w:tc>
          <w:tcPr>
            <w:tcW w:w="1330" w:type="dxa"/>
            <w:vAlign w:val="center"/>
          </w:tcPr>
          <w:p w:rsidR="007C4016" w:rsidRPr="000D3955" w:rsidRDefault="007C4016" w:rsidP="005C782A">
            <w:pPr>
              <w:pStyle w:val="IFTnormal"/>
              <w:spacing w:after="0"/>
              <w:jc w:val="left"/>
              <w:rPr>
                <w:sz w:val="16"/>
              </w:rPr>
            </w:pPr>
            <w:r w:rsidRPr="000D3955">
              <w:rPr>
                <w:sz w:val="16"/>
                <w:szCs w:val="18"/>
              </w:rPr>
              <w:t>Región Central</w:t>
            </w:r>
          </w:p>
        </w:tc>
        <w:tc>
          <w:tcPr>
            <w:tcW w:w="4856" w:type="dxa"/>
            <w:vAlign w:val="center"/>
          </w:tcPr>
          <w:p w:rsidR="007C4016" w:rsidRPr="000D3955" w:rsidRDefault="007C4016" w:rsidP="005C782A">
            <w:pPr>
              <w:pStyle w:val="IFTnormal"/>
              <w:spacing w:after="0"/>
              <w:rPr>
                <w:sz w:val="16"/>
              </w:rPr>
            </w:pPr>
            <w:r w:rsidRPr="000D3955">
              <w:rPr>
                <w:sz w:val="16"/>
                <w:szCs w:val="18"/>
              </w:rPr>
              <w:t xml:space="preserve">Guanajuato, Querétaro, Estado de México, </w:t>
            </w:r>
            <w:r>
              <w:rPr>
                <w:sz w:val="16"/>
                <w:szCs w:val="18"/>
              </w:rPr>
              <w:t>Ciudad de México</w:t>
            </w:r>
            <w:r w:rsidRPr="000D3955">
              <w:rPr>
                <w:sz w:val="16"/>
                <w:szCs w:val="18"/>
              </w:rPr>
              <w:t>, Tlaxcala, Morelos y parte de Zacatecas, San Luis Potosí, Jalisco, Michoacán, Hidalgo, Puebla, Veracruz y Guerrero.</w:t>
            </w:r>
          </w:p>
        </w:tc>
        <w:tc>
          <w:tcPr>
            <w:tcW w:w="1034" w:type="dxa"/>
            <w:vAlign w:val="center"/>
          </w:tcPr>
          <w:p w:rsidR="007C4016" w:rsidRPr="000D3955" w:rsidRDefault="007C4016" w:rsidP="005C782A">
            <w:pPr>
              <w:pStyle w:val="IFTnormal"/>
              <w:spacing w:after="0"/>
              <w:jc w:val="left"/>
              <w:rPr>
                <w:sz w:val="16"/>
              </w:rPr>
            </w:pPr>
            <w:r w:rsidRPr="000D3955">
              <w:rPr>
                <w:sz w:val="16"/>
              </w:rPr>
              <w:t>70</w:t>
            </w:r>
          </w:p>
        </w:tc>
      </w:tr>
      <w:tr w:rsidR="007C4016" w:rsidRPr="000D3955" w:rsidTr="005C782A">
        <w:trPr>
          <w:trHeight w:val="935"/>
          <w:jc w:val="center"/>
        </w:trPr>
        <w:tc>
          <w:tcPr>
            <w:tcW w:w="682" w:type="dxa"/>
            <w:vAlign w:val="center"/>
          </w:tcPr>
          <w:p w:rsidR="007C4016" w:rsidRPr="000D3955" w:rsidRDefault="007C4016" w:rsidP="005C782A">
            <w:pPr>
              <w:pStyle w:val="IFTnormal"/>
              <w:spacing w:after="0"/>
              <w:jc w:val="left"/>
              <w:rPr>
                <w:sz w:val="16"/>
              </w:rPr>
            </w:pPr>
            <w:r w:rsidRPr="000D3955">
              <w:rPr>
                <w:b/>
                <w:sz w:val="16"/>
                <w:szCs w:val="18"/>
              </w:rPr>
              <w:t>Zona V</w:t>
            </w:r>
          </w:p>
        </w:tc>
        <w:tc>
          <w:tcPr>
            <w:tcW w:w="1330" w:type="dxa"/>
            <w:vAlign w:val="center"/>
          </w:tcPr>
          <w:p w:rsidR="007C4016" w:rsidRPr="000D3955" w:rsidRDefault="007C4016" w:rsidP="005C782A">
            <w:pPr>
              <w:pStyle w:val="IFTnormal"/>
              <w:spacing w:after="0"/>
              <w:jc w:val="left"/>
              <w:rPr>
                <w:sz w:val="16"/>
              </w:rPr>
            </w:pPr>
            <w:r w:rsidRPr="000D3955">
              <w:rPr>
                <w:sz w:val="16"/>
                <w:szCs w:val="18"/>
              </w:rPr>
              <w:t>Región Costera</w:t>
            </w:r>
          </w:p>
        </w:tc>
        <w:tc>
          <w:tcPr>
            <w:tcW w:w="4856" w:type="dxa"/>
            <w:vAlign w:val="center"/>
          </w:tcPr>
          <w:p w:rsidR="007C4016" w:rsidRPr="000D3955" w:rsidRDefault="007C4016" w:rsidP="005C782A">
            <w:pPr>
              <w:pStyle w:val="IFTnormal"/>
              <w:spacing w:after="0"/>
              <w:rPr>
                <w:sz w:val="16"/>
              </w:rPr>
            </w:pPr>
            <w:r w:rsidRPr="000D3955">
              <w:rPr>
                <w:sz w:val="16"/>
                <w:szCs w:val="18"/>
              </w:rPr>
              <w:t>Baja California Sur, Sinaloa, Nayarit, Colima, Tamaulipas, Tabasco, Campeche, Yucatán y parte de Quintana Roo, Sonora, Jalisco, Michoacán, Guerrero, Oaxaca, Chiapas y Veracruz.</w:t>
            </w:r>
          </w:p>
        </w:tc>
        <w:tc>
          <w:tcPr>
            <w:tcW w:w="1034" w:type="dxa"/>
            <w:vAlign w:val="center"/>
          </w:tcPr>
          <w:p w:rsidR="007C4016" w:rsidRPr="000D3955" w:rsidRDefault="007C4016" w:rsidP="005C782A">
            <w:pPr>
              <w:pStyle w:val="IFTnormal"/>
              <w:spacing w:after="0"/>
              <w:jc w:val="left"/>
              <w:rPr>
                <w:sz w:val="16"/>
              </w:rPr>
            </w:pPr>
            <w:r w:rsidRPr="000D3955">
              <w:rPr>
                <w:sz w:val="16"/>
              </w:rPr>
              <w:t>100</w:t>
            </w:r>
          </w:p>
        </w:tc>
      </w:tr>
      <w:tr w:rsidR="007C4016" w:rsidRPr="000D3955" w:rsidTr="005C782A">
        <w:trPr>
          <w:trHeight w:val="674"/>
          <w:jc w:val="center"/>
        </w:trPr>
        <w:tc>
          <w:tcPr>
            <w:tcW w:w="682" w:type="dxa"/>
            <w:vAlign w:val="center"/>
          </w:tcPr>
          <w:p w:rsidR="007C4016" w:rsidRPr="000D3955" w:rsidRDefault="007C4016" w:rsidP="005C782A">
            <w:pPr>
              <w:pStyle w:val="IFTnormal"/>
              <w:spacing w:after="0"/>
              <w:jc w:val="left"/>
              <w:rPr>
                <w:b/>
                <w:sz w:val="16"/>
                <w:szCs w:val="18"/>
              </w:rPr>
            </w:pPr>
            <w:r w:rsidRPr="000D3955">
              <w:rPr>
                <w:b/>
                <w:sz w:val="16"/>
                <w:szCs w:val="18"/>
              </w:rPr>
              <w:t>Zona VI</w:t>
            </w:r>
          </w:p>
        </w:tc>
        <w:tc>
          <w:tcPr>
            <w:tcW w:w="1330" w:type="dxa"/>
            <w:vAlign w:val="center"/>
          </w:tcPr>
          <w:p w:rsidR="007C4016" w:rsidRPr="000D3955" w:rsidRDefault="007C4016" w:rsidP="005C782A">
            <w:pPr>
              <w:pStyle w:val="IFTnormal"/>
              <w:spacing w:after="0"/>
              <w:jc w:val="left"/>
              <w:rPr>
                <w:sz w:val="16"/>
              </w:rPr>
            </w:pPr>
            <w:r w:rsidRPr="000D3955">
              <w:rPr>
                <w:sz w:val="16"/>
                <w:szCs w:val="18"/>
              </w:rPr>
              <w:t>Región Especial</w:t>
            </w:r>
          </w:p>
        </w:tc>
        <w:tc>
          <w:tcPr>
            <w:tcW w:w="4856" w:type="dxa"/>
            <w:vAlign w:val="center"/>
          </w:tcPr>
          <w:p w:rsidR="007C4016" w:rsidRPr="000D3955" w:rsidRDefault="007C4016" w:rsidP="005C782A">
            <w:pPr>
              <w:pStyle w:val="IFTnormal"/>
              <w:spacing w:after="0"/>
              <w:rPr>
                <w:sz w:val="16"/>
              </w:rPr>
            </w:pPr>
            <w:r w:rsidRPr="000D3955">
              <w:rPr>
                <w:sz w:val="16"/>
                <w:szCs w:val="18"/>
              </w:rPr>
              <w:t>parte de Oaxaca, Tamaulipas, Veracruz y Quintana Roo.</w:t>
            </w:r>
          </w:p>
        </w:tc>
        <w:tc>
          <w:tcPr>
            <w:tcW w:w="1034" w:type="dxa"/>
            <w:vAlign w:val="center"/>
          </w:tcPr>
          <w:p w:rsidR="007C4016" w:rsidRPr="000D3955" w:rsidRDefault="007C4016" w:rsidP="005C782A">
            <w:pPr>
              <w:pStyle w:val="IFTnormal"/>
              <w:spacing w:after="0"/>
              <w:jc w:val="left"/>
              <w:rPr>
                <w:sz w:val="16"/>
              </w:rPr>
            </w:pPr>
            <w:r w:rsidRPr="000D3955">
              <w:rPr>
                <w:sz w:val="16"/>
              </w:rPr>
              <w:t>105</w:t>
            </w:r>
          </w:p>
        </w:tc>
      </w:tr>
    </w:tbl>
    <w:p w:rsidR="007C4016" w:rsidRDefault="007C4016" w:rsidP="007C4016">
      <w:pPr>
        <w:pStyle w:val="IFTnormal"/>
        <w:spacing w:before="240" w:after="0"/>
        <w:ind w:right="760"/>
        <w:jc w:val="center"/>
      </w:pPr>
      <w:r w:rsidRPr="009C14C4">
        <w:t xml:space="preserve">Tabla 1. </w:t>
      </w:r>
      <w:r w:rsidRPr="00F92443">
        <w:t>Zonas de cargas mecánicas</w:t>
      </w:r>
      <w:r>
        <w:t>.</w:t>
      </w:r>
    </w:p>
    <w:p w:rsidR="007C4016" w:rsidRDefault="007C4016" w:rsidP="007C4016">
      <w:pPr>
        <w:pStyle w:val="IFTnormal"/>
        <w:numPr>
          <w:ilvl w:val="0"/>
          <w:numId w:val="240"/>
        </w:numPr>
        <w:spacing w:before="240" w:after="0"/>
        <w:ind w:right="760"/>
      </w:pPr>
      <w:r>
        <w:t>La Tabla 2 indica los Tamaños y la resistencia máxima de los postes de TELNOR, la resistencia máxima debe ser mayor o igual a la Tensión Total (FT) calculada.</w:t>
      </w:r>
    </w:p>
    <w:p w:rsidR="007C4016" w:rsidRDefault="007C4016" w:rsidP="007C4016">
      <w:pPr>
        <w:pStyle w:val="IFTnormal"/>
        <w:spacing w:before="240" w:after="0"/>
        <w:ind w:left="851"/>
      </w:pPr>
      <w:r>
        <w:t>Tabla 2. Características de Postes de Madera de TELNOR.</w:t>
      </w:r>
    </w:p>
    <w:p w:rsidR="007C4016" w:rsidRDefault="007C4016" w:rsidP="007C4016">
      <w:pPr>
        <w:pStyle w:val="IFTnormal"/>
        <w:spacing w:before="240" w:after="0"/>
        <w:ind w:left="851" w:right="760"/>
        <w:jc w:val="center"/>
      </w:pPr>
      <w:r>
        <w:lastRenderedPageBreak/>
        <w:t xml:space="preserve"> </w:t>
      </w:r>
      <w:r w:rsidRPr="00FF38A6">
        <w:rPr>
          <w:rFonts w:asciiTheme="minorHAnsi" w:hAnsiTheme="minorHAnsi"/>
          <w:noProof/>
          <w:sz w:val="24"/>
          <w:szCs w:val="24"/>
          <w:lang w:eastAsia="es-MX"/>
        </w:rPr>
        <w:drawing>
          <wp:inline distT="0" distB="0" distL="0" distR="0" wp14:anchorId="19D3E9BA" wp14:editId="71BA4A67">
            <wp:extent cx="3372665" cy="1227918"/>
            <wp:effectExtent l="0" t="0" r="0" b="0"/>
            <wp:docPr id="53" name="Imagen 53" descr="Tabla 2. Características de Postes de Madera de TELN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srcRect/>
                    <a:stretch>
                      <a:fillRect/>
                    </a:stretch>
                  </pic:blipFill>
                  <pic:spPr bwMode="auto">
                    <a:xfrm>
                      <a:off x="0" y="0"/>
                      <a:ext cx="3376655" cy="1229371"/>
                    </a:xfrm>
                    <a:prstGeom prst="rect">
                      <a:avLst/>
                    </a:prstGeom>
                    <a:noFill/>
                    <a:ln w="9525">
                      <a:noFill/>
                      <a:miter lim="800000"/>
                      <a:headEnd/>
                      <a:tailEnd/>
                    </a:ln>
                  </pic:spPr>
                </pic:pic>
              </a:graphicData>
            </a:graphic>
          </wp:inline>
        </w:drawing>
      </w:r>
    </w:p>
    <w:p w:rsidR="007C4016" w:rsidRDefault="007C4016" w:rsidP="007C4016">
      <w:pPr>
        <w:pStyle w:val="IFTnormal"/>
        <w:spacing w:before="240" w:after="0"/>
        <w:ind w:left="851" w:right="760"/>
      </w:pPr>
      <w:r>
        <w:t>Nota. En la Red Aérea de TELNOR, los postes comúnmente más utilizados son:</w:t>
      </w:r>
    </w:p>
    <w:p w:rsidR="007C4016" w:rsidRDefault="007C4016" w:rsidP="007C4016">
      <w:pPr>
        <w:pStyle w:val="IFTnormal"/>
        <w:numPr>
          <w:ilvl w:val="0"/>
          <w:numId w:val="125"/>
        </w:numPr>
        <w:spacing w:before="240" w:after="0"/>
        <w:ind w:right="760"/>
      </w:pPr>
      <w:r>
        <w:t>7.6 m (25’).</w:t>
      </w:r>
    </w:p>
    <w:p w:rsidR="007C4016" w:rsidRDefault="007C4016" w:rsidP="007C4016">
      <w:pPr>
        <w:pStyle w:val="IFTnormal"/>
        <w:numPr>
          <w:ilvl w:val="0"/>
          <w:numId w:val="125"/>
        </w:numPr>
        <w:spacing w:after="0"/>
        <w:ind w:right="760"/>
      </w:pPr>
      <w:r>
        <w:t>9.2 m (30’).</w:t>
      </w:r>
    </w:p>
    <w:p w:rsidR="007C4016" w:rsidRDefault="007C4016" w:rsidP="007C4016">
      <w:pPr>
        <w:pStyle w:val="IFTnormal"/>
        <w:numPr>
          <w:ilvl w:val="0"/>
          <w:numId w:val="126"/>
        </w:numPr>
        <w:spacing w:before="240" w:after="0"/>
        <w:ind w:left="1560" w:right="760"/>
      </w:pPr>
      <w:r>
        <w:t>Sin importar el tamaño de los postes de TELNOR, los cables de los Concesionarios solicitantes, deben colocarse, el primero a 30 cm abajo del apoyo de los cables de TELNOR, el segundo Concesionario solicitante a 15 cm abajo del primer Concesionario, el tercer Concesionario solicitante a 15 cm abajo del segundo Concesionario; hasta alcanzar la cantidad de cables o la tensión máxima permitidas en el poste.</w:t>
      </w:r>
    </w:p>
    <w:p w:rsidR="007C4016" w:rsidRDefault="007C4016" w:rsidP="007C4016">
      <w:pPr>
        <w:pStyle w:val="IFTnormal"/>
        <w:numPr>
          <w:ilvl w:val="0"/>
          <w:numId w:val="127"/>
        </w:numPr>
        <w:spacing w:after="0"/>
        <w:ind w:left="1560" w:right="760"/>
      </w:pPr>
      <w:r>
        <w:t>Cuando los cables del Concesionario solicitante, por las condiciones topológicas del terreno, no guardan la distancia de separación al cruzar con otros cables a largo de la trayectoria, el Concesionario deberá colocar un protector de neopreno para evitar los rozamientos.</w:t>
      </w:r>
    </w:p>
    <w:p w:rsidR="007C4016" w:rsidRDefault="007C4016" w:rsidP="007C4016">
      <w:pPr>
        <w:pStyle w:val="IFTnormal"/>
        <w:numPr>
          <w:ilvl w:val="0"/>
          <w:numId w:val="127"/>
        </w:numPr>
        <w:spacing w:after="0"/>
        <w:ind w:left="1560" w:right="760"/>
      </w:pPr>
      <w:r>
        <w:t>Se debe indicar en el documento de compartición de postes, el área de trabajo de TELNOR en el poste, en la cual, ningún concesionario deberá instalar dispositivos de empalme, distribución o gazas véanse figuras 1 y 2.</w:t>
      </w:r>
    </w:p>
    <w:p w:rsidR="007C4016" w:rsidRDefault="007C4016" w:rsidP="007C4016">
      <w:pPr>
        <w:spacing w:before="240" w:after="0"/>
        <w:ind w:left="851" w:right="760"/>
        <w:jc w:val="center"/>
      </w:pPr>
      <w:r>
        <w:t xml:space="preserve"> </w:t>
      </w:r>
      <w:r w:rsidRPr="00FF38A6">
        <w:rPr>
          <w:noProof/>
          <w:lang w:eastAsia="es-MX"/>
        </w:rPr>
        <w:drawing>
          <wp:inline distT="0" distB="0" distL="0" distR="0" wp14:anchorId="12C53659" wp14:editId="32C2C196">
            <wp:extent cx="4278702" cy="1172922"/>
            <wp:effectExtent l="0" t="0" r="7620" b="8255"/>
            <wp:docPr id="54" name="Imagen 54" descr="Figura 1. Elementos que se instalan en Postes Intermedios o de Pas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8" cstate="print"/>
                    <a:srcRect/>
                    <a:stretch>
                      <a:fillRect/>
                    </a:stretch>
                  </pic:blipFill>
                  <pic:spPr bwMode="auto">
                    <a:xfrm>
                      <a:off x="0" y="0"/>
                      <a:ext cx="4287428" cy="1175314"/>
                    </a:xfrm>
                    <a:prstGeom prst="rect">
                      <a:avLst/>
                    </a:prstGeom>
                    <a:noFill/>
                    <a:ln w="9525">
                      <a:noFill/>
                      <a:miter lim="800000"/>
                      <a:headEnd/>
                      <a:tailEnd/>
                    </a:ln>
                  </pic:spPr>
                </pic:pic>
              </a:graphicData>
            </a:graphic>
          </wp:inline>
        </w:drawing>
      </w:r>
    </w:p>
    <w:p w:rsidR="007C4016" w:rsidRDefault="007C4016" w:rsidP="007C4016">
      <w:pPr>
        <w:pStyle w:val="IFTnormal"/>
        <w:spacing w:before="240" w:after="0"/>
        <w:ind w:left="851" w:right="760"/>
      </w:pPr>
      <w:r>
        <w:lastRenderedPageBreak/>
        <w:t>Figura 1. Elementos que se instalan en Postes Intermedios o de Paso.</w:t>
      </w:r>
    </w:p>
    <w:p w:rsidR="007C4016" w:rsidRDefault="007C4016" w:rsidP="007C4016">
      <w:pPr>
        <w:pStyle w:val="IFTnormal"/>
        <w:numPr>
          <w:ilvl w:val="0"/>
          <w:numId w:val="128"/>
        </w:numPr>
        <w:spacing w:before="240" w:after="0"/>
        <w:ind w:right="760"/>
      </w:pPr>
      <w:r>
        <w:t>Siempre se debe instalar el cable de los concesionarios del lado arroyo y del lado contrario a los puntos de dispersión en los postes, en el análisis de Factibilidad se indica por poste la existencia de punto de dispersión y cantidad. Ejemplo poste con 1 punto de dispersión ver figura 2.</w:t>
      </w:r>
    </w:p>
    <w:p w:rsidR="007C4016" w:rsidRDefault="007C4016" w:rsidP="007C4016">
      <w:pPr>
        <w:pStyle w:val="IFTnormal"/>
        <w:spacing w:before="240" w:after="0"/>
        <w:ind w:left="851" w:right="760"/>
        <w:jc w:val="center"/>
      </w:pPr>
      <w:r>
        <w:t xml:space="preserve"> </w:t>
      </w:r>
      <w:r w:rsidRPr="00FF38A6">
        <w:rPr>
          <w:rFonts w:asciiTheme="minorHAnsi" w:hAnsiTheme="minorHAnsi"/>
          <w:noProof/>
          <w:sz w:val="24"/>
          <w:szCs w:val="24"/>
          <w:lang w:eastAsia="es-MX"/>
        </w:rPr>
        <w:drawing>
          <wp:inline distT="0" distB="0" distL="0" distR="0" wp14:anchorId="74895561" wp14:editId="539D6BCA">
            <wp:extent cx="3295290" cy="1611992"/>
            <wp:effectExtent l="0" t="0" r="0" b="0"/>
            <wp:docPr id="55" name="Imagen 55" descr="Figura 2. Elementos que se instalan en Postes con Termi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9" cstate="print"/>
                    <a:srcRect/>
                    <a:stretch>
                      <a:fillRect/>
                    </a:stretch>
                  </pic:blipFill>
                  <pic:spPr bwMode="auto">
                    <a:xfrm>
                      <a:off x="0" y="0"/>
                      <a:ext cx="3297688" cy="1613165"/>
                    </a:xfrm>
                    <a:prstGeom prst="rect">
                      <a:avLst/>
                    </a:prstGeom>
                    <a:noFill/>
                    <a:ln w="9525">
                      <a:noFill/>
                      <a:miter lim="800000"/>
                      <a:headEnd/>
                      <a:tailEnd/>
                    </a:ln>
                  </pic:spPr>
                </pic:pic>
              </a:graphicData>
            </a:graphic>
          </wp:inline>
        </w:drawing>
      </w:r>
    </w:p>
    <w:p w:rsidR="007C4016" w:rsidRDefault="007C4016" w:rsidP="007C4016">
      <w:pPr>
        <w:pStyle w:val="IFTnormal"/>
        <w:spacing w:before="240" w:after="0"/>
        <w:ind w:left="851" w:right="760"/>
      </w:pPr>
      <w:r>
        <w:t>Figura 2. Elementos que se instalan en Postes con Terminal.</w:t>
      </w:r>
    </w:p>
    <w:p w:rsidR="007C4016" w:rsidRDefault="007C4016" w:rsidP="007C4016">
      <w:pPr>
        <w:pStyle w:val="IFTnormal"/>
        <w:numPr>
          <w:ilvl w:val="0"/>
          <w:numId w:val="129"/>
        </w:numPr>
        <w:spacing w:before="240" w:after="0"/>
        <w:ind w:right="760"/>
      </w:pPr>
      <w:r>
        <w:t>Los Concesionarios solicitantes deben hacer gazas máximas de 7 metros, y sujetarse con cinturones metálicos, el diámetro interior de las gazas debe ser de 40 a 50 cm, y no deben sujetarse a la gaza de TELNOR.</w:t>
      </w:r>
    </w:p>
    <w:p w:rsidR="007C4016" w:rsidRDefault="007C4016" w:rsidP="007C4016">
      <w:pPr>
        <w:pStyle w:val="IFTnormal"/>
        <w:numPr>
          <w:ilvl w:val="0"/>
          <w:numId w:val="129"/>
        </w:numPr>
        <w:spacing w:after="0"/>
        <w:ind w:right="760"/>
      </w:pPr>
      <w:r>
        <w:t>Para el caso de subida a poste, solo se debe realizar una gaza del lado que continúa el cable hacia la siguiente Terminal. Y no se debe dejar una longitud adicional de cable en el interior del pozo, la longitud de cable que se engrapa al poste y la longitud de la gaza nos permite bajar la Terminal al nivel del piso para realizar cualquier otro trabajo.</w:t>
      </w:r>
    </w:p>
    <w:p w:rsidR="007C4016" w:rsidRDefault="007C4016" w:rsidP="007C4016">
      <w:pPr>
        <w:pStyle w:val="IFTnormal"/>
        <w:numPr>
          <w:ilvl w:val="0"/>
          <w:numId w:val="129"/>
        </w:numPr>
        <w:spacing w:after="0"/>
        <w:ind w:right="760"/>
      </w:pPr>
      <w:r>
        <w:t>El método de fijación de los cables en postes para los concesionarios solicitantes, debe ser por medio de flejes de acero inoxidable. Por ningún motivo se permite una perforación adicional a la existente.</w:t>
      </w:r>
    </w:p>
    <w:p w:rsidR="007C4016" w:rsidRDefault="007C4016" w:rsidP="007C4016">
      <w:pPr>
        <w:pStyle w:val="IFTnormal"/>
        <w:numPr>
          <w:ilvl w:val="0"/>
          <w:numId w:val="129"/>
        </w:numPr>
        <w:spacing w:after="0"/>
        <w:ind w:right="760"/>
      </w:pPr>
      <w:r>
        <w:t>Los cables de los concesionarios solicitantes deberán estar plenamente identificados con etiquetas y/o placas. La identificación de los cables, debe ser tal que sea observable desde el nivel del piso. Véase figura 3.</w:t>
      </w:r>
    </w:p>
    <w:p w:rsidR="007C4016" w:rsidRDefault="007C4016" w:rsidP="007C4016">
      <w:pPr>
        <w:spacing w:before="240" w:after="0"/>
        <w:ind w:left="851" w:right="760"/>
        <w:jc w:val="center"/>
      </w:pPr>
      <w:r>
        <w:lastRenderedPageBreak/>
        <w:t xml:space="preserve"> </w:t>
      </w:r>
      <w:r w:rsidRPr="00FF38A6">
        <w:rPr>
          <w:noProof/>
          <w:lang w:eastAsia="es-MX"/>
        </w:rPr>
        <w:drawing>
          <wp:inline distT="0" distB="0" distL="0" distR="0" wp14:anchorId="593D0078" wp14:editId="1447DE81">
            <wp:extent cx="3894698" cy="1164567"/>
            <wp:effectExtent l="0" t="0" r="0" b="0"/>
            <wp:docPr id="56" name="Imagen 3" descr="Figura 3. Cables de TELNOR y Concesionario solicitante en postes de TELN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0" cstate="print"/>
                    <a:srcRect/>
                    <a:stretch>
                      <a:fillRect/>
                    </a:stretch>
                  </pic:blipFill>
                  <pic:spPr bwMode="auto">
                    <a:xfrm>
                      <a:off x="0" y="0"/>
                      <a:ext cx="3905004" cy="1167649"/>
                    </a:xfrm>
                    <a:prstGeom prst="rect">
                      <a:avLst/>
                    </a:prstGeom>
                    <a:noFill/>
                    <a:ln w="9525">
                      <a:noFill/>
                      <a:miter lim="800000"/>
                      <a:headEnd/>
                      <a:tailEnd/>
                    </a:ln>
                  </pic:spPr>
                </pic:pic>
              </a:graphicData>
            </a:graphic>
          </wp:inline>
        </w:drawing>
      </w:r>
    </w:p>
    <w:p w:rsidR="007C4016" w:rsidRDefault="007C4016" w:rsidP="007C4016">
      <w:pPr>
        <w:pStyle w:val="IFTnormal"/>
        <w:spacing w:before="240" w:after="0"/>
        <w:ind w:left="851" w:right="760"/>
      </w:pPr>
      <w:r>
        <w:t>Figura 3. Cables de TELNOR y Concesionario solicitante en postes de TELNOR.</w:t>
      </w:r>
    </w:p>
    <w:p w:rsidR="007C4016" w:rsidRDefault="007C4016" w:rsidP="007C4016">
      <w:pPr>
        <w:pStyle w:val="IFTnormal"/>
        <w:numPr>
          <w:ilvl w:val="0"/>
          <w:numId w:val="130"/>
        </w:numPr>
        <w:spacing w:before="240" w:after="0"/>
        <w:ind w:right="760"/>
      </w:pPr>
      <w:r>
        <w:t>Los cables de los concesionarios solicitantes deberán estar plenamente identificados con la leyenda “CABLE PROPIEDAD DE NOMBRE DEL CONCESIONARIO SOLICITANTE”.</w:t>
      </w:r>
    </w:p>
    <w:p w:rsidR="007C4016" w:rsidRDefault="007C4016" w:rsidP="007C4016">
      <w:pPr>
        <w:pStyle w:val="IFTnormal"/>
        <w:numPr>
          <w:ilvl w:val="0"/>
          <w:numId w:val="130"/>
        </w:numPr>
        <w:spacing w:after="0"/>
        <w:ind w:right="760"/>
      </w:pPr>
      <w:r>
        <w:t>En postes de TELNOR los elementos de conexiones a tierra deben cumplir la protección con tubería hasta 2.5 m del piso.</w:t>
      </w:r>
    </w:p>
    <w:p w:rsidR="007C4016" w:rsidRPr="007A304A" w:rsidRDefault="007C4016" w:rsidP="007C4016">
      <w:pPr>
        <w:pStyle w:val="IFTnormal"/>
        <w:spacing w:before="240" w:after="0"/>
        <w:ind w:left="851" w:right="760"/>
        <w:rPr>
          <w:b/>
        </w:rPr>
      </w:pPr>
      <w:r w:rsidRPr="007A304A">
        <w:rPr>
          <w:b/>
        </w:rPr>
        <w:t xml:space="preserve">6.2.- REGLAS DE SEGURIDAD PARA REALIZAR TRABAJOS DE CONSTRUCCIÓN EN POSTES DE </w:t>
      </w:r>
      <w:r>
        <w:rPr>
          <w:b/>
        </w:rPr>
        <w:t>TELNOR</w:t>
      </w:r>
      <w:r w:rsidRPr="007A304A">
        <w:rPr>
          <w:b/>
        </w:rPr>
        <w:t>.</w:t>
      </w:r>
    </w:p>
    <w:p w:rsidR="007C4016" w:rsidRDefault="007C4016" w:rsidP="007C4016">
      <w:pPr>
        <w:pStyle w:val="IFTnormal"/>
        <w:spacing w:before="240" w:after="0"/>
        <w:ind w:left="851" w:right="760"/>
      </w:pPr>
      <w:r>
        <w:t>Todo constructor del Concesionario debe contar con los recursos humanos, herramientas, equipos y materiales para realizar la construcción de cable en postes de TELNOR, en las zonas donde el Concesionario Solicitante cuente con los trabajos a construir validados por TELNOR.</w:t>
      </w:r>
    </w:p>
    <w:p w:rsidR="007C4016" w:rsidRDefault="007C4016" w:rsidP="007C4016">
      <w:pPr>
        <w:pStyle w:val="IFTnormal"/>
        <w:spacing w:before="240" w:after="0"/>
        <w:ind w:left="851" w:right="760"/>
      </w:pPr>
      <w:r>
        <w:t>Todo trabajador deberá cumplir con el equipo de seguridad:</w:t>
      </w:r>
    </w:p>
    <w:p w:rsidR="007C4016" w:rsidRDefault="007C4016" w:rsidP="007C4016">
      <w:pPr>
        <w:pStyle w:val="IFTnormal"/>
        <w:numPr>
          <w:ilvl w:val="0"/>
          <w:numId w:val="131"/>
        </w:numPr>
        <w:spacing w:before="240" w:after="0"/>
        <w:ind w:right="760"/>
      </w:pPr>
      <w:r>
        <w:t>Uniforme que indique el nombre del Concesionario Solicitante.</w:t>
      </w:r>
    </w:p>
    <w:p w:rsidR="007C4016" w:rsidRDefault="007C4016" w:rsidP="007C4016">
      <w:pPr>
        <w:pStyle w:val="IFTnormal"/>
        <w:numPr>
          <w:ilvl w:val="0"/>
          <w:numId w:val="131"/>
        </w:numPr>
        <w:spacing w:after="0"/>
        <w:ind w:right="760"/>
      </w:pPr>
      <w:r>
        <w:t>Guantes.</w:t>
      </w:r>
    </w:p>
    <w:p w:rsidR="007C4016" w:rsidRDefault="007C4016" w:rsidP="007C4016">
      <w:pPr>
        <w:pStyle w:val="IFTnormal"/>
        <w:numPr>
          <w:ilvl w:val="0"/>
          <w:numId w:val="131"/>
        </w:numPr>
        <w:spacing w:after="0"/>
        <w:ind w:right="760"/>
      </w:pPr>
      <w:r>
        <w:t>Casco dieléctrico.</w:t>
      </w:r>
    </w:p>
    <w:p w:rsidR="007C4016" w:rsidRDefault="007C4016" w:rsidP="007C4016">
      <w:pPr>
        <w:pStyle w:val="IFTnormal"/>
        <w:numPr>
          <w:ilvl w:val="0"/>
          <w:numId w:val="131"/>
        </w:numPr>
        <w:spacing w:after="0"/>
        <w:ind w:right="760"/>
      </w:pPr>
      <w:r>
        <w:t>Zapatos de seguridad.</w:t>
      </w:r>
    </w:p>
    <w:p w:rsidR="007C4016" w:rsidRDefault="007C4016" w:rsidP="007C4016">
      <w:pPr>
        <w:pStyle w:val="IFTnormal"/>
        <w:numPr>
          <w:ilvl w:val="0"/>
          <w:numId w:val="131"/>
        </w:numPr>
        <w:spacing w:after="0"/>
        <w:ind w:right="760"/>
      </w:pPr>
      <w:r>
        <w:t>Gafas de seguridad.</w:t>
      </w:r>
    </w:p>
    <w:p w:rsidR="007C4016" w:rsidRDefault="007C4016" w:rsidP="007C4016">
      <w:pPr>
        <w:pStyle w:val="IFTnormal"/>
        <w:numPr>
          <w:ilvl w:val="0"/>
          <w:numId w:val="131"/>
        </w:numPr>
        <w:spacing w:after="0"/>
        <w:ind w:right="760"/>
      </w:pPr>
      <w:r>
        <w:t>Protector lumbar.</w:t>
      </w:r>
    </w:p>
    <w:p w:rsidR="007C4016" w:rsidRDefault="007C4016" w:rsidP="007C4016">
      <w:pPr>
        <w:pStyle w:val="IFTnormal"/>
        <w:numPr>
          <w:ilvl w:val="0"/>
          <w:numId w:val="131"/>
        </w:numPr>
        <w:spacing w:after="0"/>
        <w:ind w:right="760"/>
      </w:pPr>
      <w:r>
        <w:t>Bandola.</w:t>
      </w:r>
    </w:p>
    <w:p w:rsidR="007C4016" w:rsidRDefault="007C4016" w:rsidP="007C4016">
      <w:pPr>
        <w:pStyle w:val="IFTnormal"/>
        <w:numPr>
          <w:ilvl w:val="0"/>
          <w:numId w:val="131"/>
        </w:numPr>
        <w:spacing w:after="0"/>
        <w:ind w:right="760"/>
      </w:pPr>
      <w:r>
        <w:t>Bolsas portaherramientas, etc.</w:t>
      </w:r>
    </w:p>
    <w:p w:rsidR="007C4016" w:rsidRDefault="007C4016" w:rsidP="007C4016">
      <w:pPr>
        <w:pStyle w:val="IFTnormal"/>
        <w:spacing w:before="240" w:after="0"/>
        <w:ind w:left="851" w:right="760"/>
      </w:pPr>
      <w:r>
        <w:t>La obra:</w:t>
      </w:r>
    </w:p>
    <w:p w:rsidR="007C4016" w:rsidRDefault="007C4016" w:rsidP="007C4016">
      <w:pPr>
        <w:pStyle w:val="IFTnormal"/>
        <w:numPr>
          <w:ilvl w:val="0"/>
          <w:numId w:val="132"/>
        </w:numPr>
        <w:spacing w:before="240" w:after="0"/>
        <w:ind w:right="760"/>
      </w:pPr>
      <w:r>
        <w:t>Escalera.</w:t>
      </w:r>
    </w:p>
    <w:p w:rsidR="007C4016" w:rsidRDefault="007C4016" w:rsidP="007C4016">
      <w:pPr>
        <w:pStyle w:val="IFTnormal"/>
        <w:numPr>
          <w:ilvl w:val="0"/>
          <w:numId w:val="132"/>
        </w:numPr>
        <w:spacing w:after="0"/>
        <w:ind w:right="760"/>
      </w:pPr>
      <w:r>
        <w:lastRenderedPageBreak/>
        <w:t>Conos de señalamiento.</w:t>
      </w:r>
    </w:p>
    <w:p w:rsidR="007C4016" w:rsidRDefault="007C4016" w:rsidP="007C4016">
      <w:pPr>
        <w:pStyle w:val="IFTnormal"/>
        <w:numPr>
          <w:ilvl w:val="0"/>
          <w:numId w:val="132"/>
        </w:numPr>
        <w:spacing w:after="0"/>
        <w:ind w:right="760"/>
      </w:pPr>
      <w:r>
        <w:t>Cintas de señalización.</w:t>
      </w:r>
    </w:p>
    <w:p w:rsidR="007C4016" w:rsidRDefault="007C4016" w:rsidP="007C4016">
      <w:pPr>
        <w:pStyle w:val="IFTnormal"/>
        <w:numPr>
          <w:ilvl w:val="0"/>
          <w:numId w:val="132"/>
        </w:numPr>
        <w:spacing w:after="0"/>
        <w:ind w:right="760"/>
      </w:pPr>
      <w:r>
        <w:t>Herramienta para instalar cable aéreo (porta bobina, pértiga, poleas, winch, etc.).</w:t>
      </w:r>
    </w:p>
    <w:p w:rsidR="007C4016" w:rsidRDefault="007C4016" w:rsidP="007C4016">
      <w:pPr>
        <w:pStyle w:val="IFTnormal"/>
        <w:numPr>
          <w:ilvl w:val="0"/>
          <w:numId w:val="132"/>
        </w:numPr>
        <w:spacing w:after="0"/>
        <w:ind w:right="760"/>
      </w:pPr>
      <w:r>
        <w:t>Manta indicando, el nombre del Concesionario Solicitante que está construyendo, tiempo de duración de la Obra, Número telefónico del responsable de la obra, obra que se está realizando, identificador de la obra, etc.</w:t>
      </w:r>
    </w:p>
    <w:p w:rsidR="007C4016" w:rsidRDefault="007C4016" w:rsidP="007C4016">
      <w:pPr>
        <w:pStyle w:val="IFTnormal"/>
        <w:spacing w:before="240" w:after="0"/>
        <w:ind w:left="851" w:right="760"/>
      </w:pPr>
      <w:r>
        <w:t>Vehículos:</w:t>
      </w:r>
    </w:p>
    <w:p w:rsidR="007C4016" w:rsidRDefault="007C4016" w:rsidP="007C4016">
      <w:pPr>
        <w:pStyle w:val="IFTnormal"/>
        <w:numPr>
          <w:ilvl w:val="0"/>
          <w:numId w:val="133"/>
        </w:numPr>
        <w:spacing w:before="240" w:after="0"/>
        <w:ind w:right="760"/>
      </w:pPr>
      <w:r>
        <w:t>Identificación con el nombre del Concesionario Solicitante responsable de la obra.</w:t>
      </w:r>
    </w:p>
    <w:p w:rsidR="007C4016" w:rsidRDefault="007C4016" w:rsidP="007C4016">
      <w:pPr>
        <w:pStyle w:val="IFTnormal"/>
        <w:numPr>
          <w:ilvl w:val="0"/>
          <w:numId w:val="133"/>
        </w:numPr>
        <w:spacing w:after="0"/>
        <w:ind w:right="760"/>
      </w:pPr>
      <w:r>
        <w:t>Teléfono para quejas, etc.</w:t>
      </w:r>
    </w:p>
    <w:p w:rsidR="007C4016" w:rsidRPr="000A3B2C" w:rsidRDefault="007C4016" w:rsidP="007C4016">
      <w:pPr>
        <w:spacing w:before="240" w:after="0"/>
        <w:ind w:left="851" w:right="760"/>
        <w:rPr>
          <w:rFonts w:ascii="ITC Avant Garde" w:hAnsi="ITC Avant Garde"/>
          <w:b/>
          <w:sz w:val="22"/>
          <w:szCs w:val="22"/>
        </w:rPr>
      </w:pPr>
      <w:r w:rsidRPr="000A3B2C">
        <w:rPr>
          <w:rFonts w:ascii="ITC Avant Garde" w:hAnsi="ITC Avant Garde"/>
          <w:b/>
          <w:sz w:val="22"/>
          <w:szCs w:val="22"/>
        </w:rPr>
        <w:t>7.- ANEXOS.</w:t>
      </w:r>
    </w:p>
    <w:p w:rsidR="007C4016" w:rsidRPr="000A3B2C" w:rsidRDefault="007C4016" w:rsidP="007C4016">
      <w:pPr>
        <w:spacing w:before="240" w:after="0"/>
        <w:ind w:left="851" w:right="760"/>
        <w:rPr>
          <w:rFonts w:ascii="ITC Avant Garde" w:hAnsi="ITC Avant Garde"/>
          <w:sz w:val="22"/>
          <w:szCs w:val="22"/>
        </w:rPr>
      </w:pPr>
      <w:r w:rsidRPr="000A3B2C">
        <w:rPr>
          <w:rFonts w:ascii="ITC Avant Garde" w:hAnsi="ITC Avant Garde"/>
          <w:sz w:val="22"/>
          <w:szCs w:val="22"/>
        </w:rPr>
        <w:t>No aplica.</w:t>
      </w:r>
    </w:p>
    <w:p w:rsidR="007C4016" w:rsidRPr="000A3B2C" w:rsidRDefault="007C4016" w:rsidP="007C4016">
      <w:pPr>
        <w:spacing w:before="240" w:after="0"/>
        <w:ind w:left="851" w:right="760"/>
        <w:rPr>
          <w:rFonts w:ascii="ITC Avant Garde" w:hAnsi="ITC Avant Garde"/>
          <w:b/>
          <w:sz w:val="22"/>
          <w:szCs w:val="22"/>
        </w:rPr>
      </w:pPr>
      <w:r w:rsidRPr="000A3B2C">
        <w:rPr>
          <w:rFonts w:ascii="ITC Avant Garde" w:hAnsi="ITC Avant Garde"/>
          <w:b/>
          <w:sz w:val="22"/>
          <w:szCs w:val="22"/>
        </w:rPr>
        <w:t>8.- BIBLIOGRAFÍA.</w:t>
      </w:r>
    </w:p>
    <w:p w:rsidR="007C4016" w:rsidRPr="000A3B2C" w:rsidRDefault="007C4016" w:rsidP="007C4016">
      <w:pPr>
        <w:spacing w:before="240" w:after="0"/>
        <w:ind w:left="851" w:right="760"/>
        <w:rPr>
          <w:rFonts w:ascii="ITC Avant Garde" w:hAnsi="ITC Avant Garde"/>
          <w:sz w:val="22"/>
          <w:szCs w:val="22"/>
        </w:rPr>
      </w:pPr>
      <w:r w:rsidRPr="000A3B2C">
        <w:rPr>
          <w:rFonts w:ascii="ITC Avant Garde" w:hAnsi="ITC Avant Garde"/>
          <w:sz w:val="22"/>
          <w:szCs w:val="22"/>
        </w:rPr>
        <w:t>NOM-001-SEDE-2012</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NORMA 3: COMPARTICION DE INFRAESTRUCTURA PASIVA EN TORRES</w:t>
      </w:r>
    </w:p>
    <w:p w:rsidR="007C4016" w:rsidRPr="00460CA7" w:rsidRDefault="007C4016" w:rsidP="007C4016">
      <w:pPr>
        <w:pStyle w:val="IFTnormal"/>
        <w:spacing w:before="240" w:after="0"/>
        <w:rPr>
          <w:b/>
        </w:rPr>
      </w:pPr>
      <w:r w:rsidRPr="00460CA7">
        <w:rPr>
          <w:b/>
        </w:rPr>
        <w:t>Consideraciones del Instituto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Pr="005A5046" w:rsidRDefault="007C4016" w:rsidP="007C4016">
      <w:pPr>
        <w:pStyle w:val="IFTnormal"/>
        <w:spacing w:before="240" w:after="0"/>
        <w:rPr>
          <w:lang w:val="es-ES"/>
        </w:rPr>
      </w:pPr>
      <w:r>
        <w:rPr>
          <w:lang w:val="es-ES"/>
        </w:rPr>
        <w:t>El Instituto considera que lo presentado por el AEP en la</w:t>
      </w:r>
      <w:r w:rsidRPr="00E268E3">
        <w:rPr>
          <w:lang w:val="es-ES"/>
        </w:rPr>
        <w:t xml:space="preserve"> “</w:t>
      </w:r>
      <w:r w:rsidRPr="00D835E1">
        <w:rPr>
          <w:i/>
          <w:lang w:val="es-ES"/>
        </w:rPr>
        <w:t>NORMA PARA LA COMPARTICION DE INFRAESTRUCTURA PASIVA EN TORRES</w:t>
      </w:r>
      <w:r w:rsidRPr="00E268E3">
        <w:rPr>
          <w:lang w:val="es-ES"/>
        </w:rPr>
        <w:t>”</w:t>
      </w:r>
      <w:r>
        <w:rPr>
          <w:lang w:val="es-ES"/>
        </w:rPr>
        <w:t xml:space="preserve"> no se apega a las Medidas </w:t>
      </w:r>
      <w:r w:rsidRPr="00ED2A51">
        <w:rPr>
          <w:lang w:val="es-ES"/>
        </w:rPr>
        <w:t>Fija</w:t>
      </w:r>
      <w:r>
        <w:rPr>
          <w:lang w:val="es-ES"/>
        </w:rPr>
        <w:t>s, ya que establece</w:t>
      </w:r>
      <w:r w:rsidRPr="00F41C53">
        <w:rPr>
          <w:lang w:val="es-ES"/>
        </w:rPr>
        <w:t xml:space="preserve"> cuestiones que obedecen al alcance, procedimiento, términos y condiciones para la prestación de los servicios</w:t>
      </w:r>
      <w:r>
        <w:rPr>
          <w:lang w:val="es-ES"/>
        </w:rPr>
        <w:t xml:space="preserve">. La Medida </w:t>
      </w:r>
      <w:r w:rsidRPr="005A5046">
        <w:rPr>
          <w:lang w:val="es-ES"/>
        </w:rPr>
        <w:t>VIGÉSIMA SÉPTIMA</w:t>
      </w:r>
      <w:r>
        <w:rPr>
          <w:lang w:val="es-ES"/>
        </w:rPr>
        <w:t xml:space="preserve"> establece </w:t>
      </w:r>
      <w:r w:rsidRPr="00F41C53">
        <w:rPr>
          <w:lang w:val="es-ES"/>
        </w:rPr>
        <w:t>que el AEP deberá proporcionar la normativa técnica que contenga criterios técnicos para la utilización y acceso a la infraestructura, así como la instalación de cables, y de otros elementos necesarios para la eficiente prestación de los servicios de telecomuni</w:t>
      </w:r>
      <w:r>
        <w:rPr>
          <w:lang w:val="es-ES"/>
        </w:rPr>
        <w:t>caciones, como se observa a continuación:</w:t>
      </w:r>
    </w:p>
    <w:p w:rsidR="007C4016" w:rsidRPr="007D3721" w:rsidRDefault="007C4016" w:rsidP="007C4016">
      <w:pPr>
        <w:pStyle w:val="Citaift0"/>
        <w:spacing w:before="240" w:after="0"/>
        <w:rPr>
          <w:lang w:val="es-ES_tradnl"/>
        </w:rPr>
      </w:pPr>
      <w:r w:rsidRPr="007D3721">
        <w:rPr>
          <w:b/>
          <w:lang w:val="es-ES_tradnl"/>
        </w:rPr>
        <w:t xml:space="preserve">“VIGÉSIMA SÉPTIMA. </w:t>
      </w:r>
      <w:r w:rsidRPr="007D3721">
        <w:rPr>
          <w:lang w:val="es-ES_tradnl"/>
        </w:rPr>
        <w:t xml:space="preserve">El Agente Económico Preponderante deberá proporcionar al Instituto, y a los Concesionarios Solicitantes, a través del Sistema Electrónico de Gestión, la normativa técnica, aprobada por el Instituto mediante el procedimiento </w:t>
      </w:r>
      <w:r w:rsidRPr="007D3721">
        <w:rPr>
          <w:lang w:val="es-ES_tradnl"/>
        </w:rPr>
        <w:lastRenderedPageBreak/>
        <w:t xml:space="preserve">previsto en la Medida Cuadragésima Primera, </w:t>
      </w:r>
      <w:r w:rsidRPr="00D013AF">
        <w:rPr>
          <w:b/>
          <w:u w:val="single"/>
          <w:lang w:val="es-ES_tradnl"/>
        </w:rPr>
        <w:t>que contenga los criterios técnicos para la utilización y acceso a la infraestructura que se pone a disposición de otros concesionarios,</w:t>
      </w:r>
      <w:r w:rsidRPr="007D3721">
        <w:rPr>
          <w:lang w:val="es-ES_tradnl"/>
        </w:rPr>
        <w:t xml:space="preserve"> así como para la instalación de cables y de otros elementos de red que sean necesarios para la eficiente prestación de los servicios de telecomunicaciones, y todas las demás que sean relevantes.  </w:t>
      </w:r>
    </w:p>
    <w:p w:rsidR="007C4016" w:rsidRDefault="007C4016" w:rsidP="007C4016">
      <w:pPr>
        <w:pStyle w:val="Citaift0"/>
        <w:spacing w:before="240" w:after="0"/>
        <w:rPr>
          <w:b/>
          <w:u w:val="single"/>
          <w:lang w:val="es-ES_tradnl"/>
        </w:rPr>
      </w:pPr>
      <w:r w:rsidRPr="00D013AF">
        <w:rPr>
          <w:b/>
          <w:u w:val="single"/>
          <w:lang w:val="es-ES_tradnl"/>
        </w:rPr>
        <w:t>Los Concesionarios Solicitantes deberán observar la normativa técnica cuando hagan uso del servicio de Acceso y Uso Compartido de Infraestructura Pasiva, prevista en la Oferta Pública de Referencia.”</w:t>
      </w:r>
    </w:p>
    <w:p w:rsidR="007C4016" w:rsidRPr="00D013AF" w:rsidRDefault="007C4016" w:rsidP="007C4016">
      <w:pPr>
        <w:pStyle w:val="Citaift0"/>
        <w:spacing w:before="240" w:after="0"/>
        <w:jc w:val="right"/>
      </w:pPr>
      <w:r w:rsidRPr="00D013AF">
        <w:t>(Énfasis añadido)</w:t>
      </w:r>
    </w:p>
    <w:p w:rsidR="007C4016" w:rsidRPr="007D3721" w:rsidRDefault="007C4016" w:rsidP="007C4016">
      <w:pPr>
        <w:pStyle w:val="IFTnormal"/>
        <w:spacing w:before="240" w:after="0"/>
      </w:pPr>
      <w:r w:rsidRPr="007D3721">
        <w:t>Ahora bien, de lo presentado por el AEP se observa que este incluye cuestiones económicas, de alcance, procedimiento y administrativo del servicio, lo cual no es consistent</w:t>
      </w:r>
      <w:r>
        <w:t>e con la medida anteriormente citada</w:t>
      </w:r>
      <w:r w:rsidRPr="007D3721">
        <w:t>. Aunado a lo anterior, el contener la normativa técnica con este tipo de cuestiones no dota claridad al documento de la ORCI, ni da certeza a los CS sobre los alcances del servicio.</w:t>
      </w:r>
    </w:p>
    <w:p w:rsidR="007C4016" w:rsidRDefault="007C4016" w:rsidP="007C4016">
      <w:pPr>
        <w:pStyle w:val="IFTnormal"/>
        <w:spacing w:before="240" w:after="0"/>
      </w:pPr>
      <w:r w:rsidRPr="007D3721">
        <w:t xml:space="preserve">De las cuestiones antes mencionadas se puede observar </w:t>
      </w:r>
      <w:r>
        <w:t xml:space="preserve">que </w:t>
      </w:r>
      <w:r w:rsidRPr="007D3721">
        <w:t>en el objetivo plant</w:t>
      </w:r>
      <w:r>
        <w:t>eado por el AEP dentro de la “</w:t>
      </w:r>
      <w:r w:rsidRPr="001534F3">
        <w:t>NORMA PARA LA COMPARTICION DE INFRAESTRUCTURA PASIVA EN TORRES</w:t>
      </w:r>
      <w:r>
        <w:t>” se indica que se proporcionan requisitos técnicos y condiciones de operación, como se cita a continuación</w:t>
      </w:r>
      <w:r w:rsidRPr="007D3721">
        <w:t xml:space="preserve">: </w:t>
      </w:r>
      <w:r>
        <w:t xml:space="preserve"> </w:t>
      </w:r>
    </w:p>
    <w:p w:rsidR="007C4016" w:rsidRDefault="007C4016" w:rsidP="007C4016">
      <w:pPr>
        <w:pStyle w:val="Citaift0"/>
        <w:spacing w:before="240" w:after="0"/>
        <w:rPr>
          <w:b/>
        </w:rPr>
      </w:pPr>
      <w:r>
        <w:rPr>
          <w:b/>
        </w:rPr>
        <w:t>“</w:t>
      </w:r>
      <w:r w:rsidRPr="00BD66C6">
        <w:rPr>
          <w:b/>
        </w:rPr>
        <w:t>NORMA PARA LA COMPARTICION DE INFRAESTRUCTURA PASIVA EN TORRES</w:t>
      </w:r>
    </w:p>
    <w:p w:rsidR="007C4016" w:rsidRPr="00BD66C6" w:rsidRDefault="007C4016" w:rsidP="007C4016">
      <w:pPr>
        <w:pStyle w:val="Citaift0"/>
        <w:spacing w:before="240" w:after="0"/>
      </w:pPr>
      <w:r w:rsidRPr="00BD66C6">
        <w:t>[…]</w:t>
      </w:r>
    </w:p>
    <w:p w:rsidR="007C4016" w:rsidRPr="00DC2939" w:rsidRDefault="007C4016" w:rsidP="007C4016">
      <w:pPr>
        <w:pStyle w:val="Citaift0"/>
        <w:spacing w:before="240" w:after="0"/>
        <w:rPr>
          <w:b/>
        </w:rPr>
      </w:pPr>
      <w:r w:rsidRPr="00DC2939">
        <w:rPr>
          <w:b/>
        </w:rPr>
        <w:t>2.- OBJETIVO.</w:t>
      </w:r>
    </w:p>
    <w:p w:rsidR="007C4016" w:rsidRDefault="007C4016" w:rsidP="007C4016">
      <w:pPr>
        <w:pStyle w:val="Citaift0"/>
        <w:spacing w:before="240" w:after="0"/>
        <w:jc w:val="left"/>
      </w:pPr>
      <w:r>
        <w:t xml:space="preserve">TELNOR facilitará espacios en torres propias o cedidas en comodato, a Concesionarios Solicitantes para la instalación de sistemas de microondas o de radiofrecuencia, por lo que es necesario regular el crecimiento de los mismos en puntos comunes. </w:t>
      </w:r>
    </w:p>
    <w:p w:rsidR="007C4016" w:rsidRDefault="007C4016" w:rsidP="007C4016">
      <w:pPr>
        <w:pStyle w:val="Citaift0"/>
        <w:spacing w:before="240" w:after="0"/>
        <w:jc w:val="left"/>
      </w:pPr>
      <w:r w:rsidRPr="00F7456D">
        <w:rPr>
          <w:b/>
          <w:u w:val="single"/>
        </w:rPr>
        <w:t xml:space="preserve">El presente documento establece los requisitos técnicos y condiciones de operación que deben cumplir los Concesionarios Solicitantes para el uso de infraestructura en torres propiedad de </w:t>
      </w:r>
      <w:r>
        <w:rPr>
          <w:b/>
          <w:u w:val="single"/>
        </w:rPr>
        <w:t>TELNOR</w:t>
      </w:r>
      <w:r w:rsidRPr="00F7456D">
        <w:rPr>
          <w:b/>
          <w:u w:val="single"/>
        </w:rPr>
        <w:t xml:space="preserve"> o en comodato</w:t>
      </w:r>
      <w:r>
        <w:t>, para la instalación de equipos de radios de microondas y antenas en bandas licenciadas o de uso libre, esto permitirá garantizar el uso eficiente de los espacios físicos así como asegurar la correcta operación de los sistemas actuales a fin de que no existan problemas de interferencia con las bandas o bloques de frecuencias autorizadas a TELNOR, ni se ocasionen daños estructurales a la Torre.”</w:t>
      </w:r>
    </w:p>
    <w:p w:rsidR="007C4016" w:rsidRDefault="007C4016" w:rsidP="007C4016">
      <w:pPr>
        <w:pStyle w:val="Citaift0"/>
        <w:spacing w:before="240" w:after="0"/>
        <w:jc w:val="right"/>
      </w:pPr>
      <w:r>
        <w:t xml:space="preserve"> (Énfasis añadido)</w:t>
      </w:r>
    </w:p>
    <w:p w:rsidR="007C4016" w:rsidRDefault="007C4016" w:rsidP="007C4016">
      <w:pPr>
        <w:pStyle w:val="IFTnormal"/>
        <w:spacing w:before="240" w:after="0"/>
      </w:pPr>
      <w:r>
        <w:lastRenderedPageBreak/>
        <w:t>De lo anterior, el AEP indica que el objetivo del documento es establecer requisitos técnicos y condiciones de operación que deben de cumplir los CS para el uso de torres. Sin embargo, esto no está en consonancia con lo establecido en la medida la cual es clara al indicar que el AEP en su normativa debe establecer los criterios técnicos y no de otra índole como el AEP establece en su objetivo.</w:t>
      </w:r>
    </w:p>
    <w:p w:rsidR="007C4016" w:rsidRDefault="007C4016" w:rsidP="007C4016">
      <w:pPr>
        <w:pStyle w:val="IFTnormal"/>
        <w:spacing w:before="240" w:after="0"/>
      </w:pPr>
      <w:r>
        <w:t>De ahí que en dicha norma se establecen cuestiones fuera de los criterios técnicos y que más bien obedecen al alcance o al procedimiento para la prestación del servicio. A continuación se citan estas cuestiones:</w:t>
      </w:r>
    </w:p>
    <w:p w:rsidR="007C4016" w:rsidRDefault="007C4016" w:rsidP="007C4016">
      <w:pPr>
        <w:pStyle w:val="Citaift0"/>
        <w:spacing w:before="240" w:after="0"/>
        <w:rPr>
          <w:b/>
        </w:rPr>
      </w:pPr>
      <w:r w:rsidRPr="004E5FED">
        <w:rPr>
          <w:b/>
        </w:rPr>
        <w:t>“</w:t>
      </w:r>
      <w:r w:rsidRPr="00BD66C6">
        <w:rPr>
          <w:b/>
        </w:rPr>
        <w:t>NORMA PARA LA COMPARTICION DE INFRAESTRUCTURA PASIVA EN TORRES</w:t>
      </w:r>
    </w:p>
    <w:p w:rsidR="007C4016" w:rsidRPr="00BD66C6" w:rsidRDefault="007C4016" w:rsidP="007C4016">
      <w:pPr>
        <w:pStyle w:val="Citaift0"/>
        <w:spacing w:before="240" w:after="0"/>
      </w:pPr>
      <w:r w:rsidRPr="00BD66C6">
        <w:t>[…]</w:t>
      </w:r>
    </w:p>
    <w:p w:rsidR="007C4016" w:rsidRPr="00BD66C6" w:rsidRDefault="007C4016" w:rsidP="007C4016">
      <w:pPr>
        <w:pStyle w:val="Citaift0"/>
        <w:spacing w:before="240" w:after="0"/>
        <w:rPr>
          <w:b/>
        </w:rPr>
      </w:pPr>
      <w:r w:rsidRPr="00BD66C6">
        <w:rPr>
          <w:b/>
        </w:rPr>
        <w:t>6.2.-</w:t>
      </w:r>
      <w:r w:rsidRPr="00BD66C6">
        <w:rPr>
          <w:b/>
        </w:rPr>
        <w:tab/>
        <w:t xml:space="preserve">CONDICIONES Y REQUISITOS PARA EL USO DE INFRAESTRUCTURA </w:t>
      </w:r>
      <w:r>
        <w:rPr>
          <w:b/>
        </w:rPr>
        <w:t>TELNOR</w:t>
      </w:r>
      <w:r w:rsidRPr="00BD66C6">
        <w:rPr>
          <w:b/>
        </w:rPr>
        <w:t>.</w:t>
      </w:r>
    </w:p>
    <w:p w:rsidR="007C4016" w:rsidRPr="00BD66C6" w:rsidRDefault="007C4016" w:rsidP="007C4016">
      <w:pPr>
        <w:pStyle w:val="Citaift0"/>
        <w:spacing w:before="240" w:after="0"/>
        <w:rPr>
          <w:b/>
        </w:rPr>
      </w:pPr>
      <w:r w:rsidRPr="00BD66C6">
        <w:rPr>
          <w:b/>
        </w:rPr>
        <w:t>6.2.1.-</w:t>
      </w:r>
      <w:r w:rsidRPr="00BD66C6">
        <w:rPr>
          <w:b/>
        </w:rPr>
        <w:tab/>
        <w:t>Condición para instalación de equipos de microondas.</w:t>
      </w:r>
    </w:p>
    <w:p w:rsidR="007C4016" w:rsidRPr="00BD66C6" w:rsidRDefault="007C4016" w:rsidP="007C4016">
      <w:pPr>
        <w:pStyle w:val="Citaift0"/>
        <w:spacing w:before="240" w:after="0"/>
      </w:pPr>
      <w:r w:rsidRPr="00BD66C6">
        <w:t xml:space="preserve">Todo sistema radiante que un Concesionario Solicitante requiera instalar en infraestructura </w:t>
      </w:r>
      <w:r>
        <w:t>TELNOR</w:t>
      </w:r>
      <w:r w:rsidRPr="00BD66C6">
        <w:t xml:space="preserve"> debe contar con la homologación oficial por parte de la SCT y/o IFT, por lo tanto, para el uso de la infraestructura de </w:t>
      </w:r>
      <w:r>
        <w:t>TELNOR</w:t>
      </w:r>
      <w:r w:rsidRPr="00BD66C6">
        <w:t xml:space="preserve">, el Concesionario Solicitante debe proporcionar el Certificado de Homologación del equipo a instalar. </w:t>
      </w:r>
    </w:p>
    <w:p w:rsidR="007C4016" w:rsidRDefault="007C4016" w:rsidP="007C4016">
      <w:pPr>
        <w:pStyle w:val="Citaift0"/>
        <w:spacing w:before="240" w:after="0"/>
      </w:pPr>
      <w:r w:rsidRPr="00BD66C6">
        <w:t>La compartición de la infraestructura pasiva está referida únicamente al uso de la torre por un sistema radiante. Para la instalación del equipo de radio asociado a dicho sistema radiante, el uso de coubicación o uso de espacio físico, se atenderán de manera integral o parcial en el anteproyecto de uso de infraestructura pasiva en torres.</w:t>
      </w:r>
    </w:p>
    <w:p w:rsidR="007C4016" w:rsidRPr="00650F99" w:rsidRDefault="007C4016" w:rsidP="007C4016">
      <w:pPr>
        <w:pStyle w:val="Citaift0"/>
        <w:spacing w:before="240" w:after="0"/>
        <w:rPr>
          <w:b/>
        </w:rPr>
      </w:pPr>
      <w:r w:rsidRPr="00650F99">
        <w:rPr>
          <w:b/>
        </w:rPr>
        <w:t>6.2.2.-</w:t>
      </w:r>
      <w:r w:rsidRPr="00650F99">
        <w:rPr>
          <w:b/>
        </w:rPr>
        <w:tab/>
        <w:t>Capacidad excedente.</w:t>
      </w:r>
    </w:p>
    <w:p w:rsidR="007C4016" w:rsidRPr="00650F99" w:rsidRDefault="007C4016" w:rsidP="007C4016">
      <w:pPr>
        <w:pStyle w:val="Citaift0"/>
        <w:spacing w:before="240" w:after="0"/>
      </w:pPr>
      <w:r w:rsidRPr="00650F99">
        <w:t xml:space="preserve">La determinación de Capacidad Excedente para la instalación de los equipos del Concesionario Solicitante en la torre, estará basada en el número de franjas sobre la torre que no sean utilizadas por </w:t>
      </w:r>
      <w:r>
        <w:t>TELNOR</w:t>
      </w:r>
      <w:r w:rsidRPr="00650F99">
        <w:t xml:space="preserve"> o por algún otro Concesionario Solicitante sobre la misma. Dichas franjas ocuparan 4 metros lineales en el cuerpo vertical en la torre con una superficie máxima de 8.5 m2. </w:t>
      </w:r>
      <w:r>
        <w:t>TELNOR</w:t>
      </w:r>
      <w:r w:rsidRPr="00650F99">
        <w:t xml:space="preserve"> ofrecerá la posibilidad de reorganizar los espacios y/o equipos instalados para liberar franjas adicionales y lograr un mejor aprovechamiento de la Infraestructura Pasiva.</w:t>
      </w:r>
    </w:p>
    <w:p w:rsidR="007C4016" w:rsidRPr="00650F99" w:rsidRDefault="007C4016" w:rsidP="007C4016">
      <w:pPr>
        <w:pStyle w:val="Citaift0"/>
        <w:spacing w:before="240" w:after="0"/>
      </w:pPr>
      <w:r w:rsidRPr="00650F99">
        <w:t xml:space="preserve">Independientemente de la disponibilidad de franjas, se deberán realizar los cálculos y análisis pertinentes para asegurar que la potencial instalación cumpla </w:t>
      </w:r>
      <w:r>
        <w:t>con la normativa técnica sobre:</w:t>
      </w:r>
    </w:p>
    <w:p w:rsidR="007C4016" w:rsidRPr="00650F99" w:rsidRDefault="007C4016" w:rsidP="007C4016">
      <w:pPr>
        <w:pStyle w:val="Citaift0"/>
        <w:numPr>
          <w:ilvl w:val="0"/>
          <w:numId w:val="183"/>
        </w:numPr>
        <w:spacing w:before="240" w:after="0"/>
      </w:pPr>
      <w:r w:rsidRPr="00650F99">
        <w:t>Cargas gravitacionales sobre la estructura de la torre</w:t>
      </w:r>
    </w:p>
    <w:p w:rsidR="007C4016" w:rsidRPr="00650F99" w:rsidRDefault="007C4016" w:rsidP="007C4016">
      <w:pPr>
        <w:pStyle w:val="Citaift0"/>
        <w:numPr>
          <w:ilvl w:val="0"/>
          <w:numId w:val="183"/>
        </w:numPr>
        <w:spacing w:after="0"/>
      </w:pPr>
      <w:r w:rsidRPr="00650F99">
        <w:lastRenderedPageBreak/>
        <w:t>Fuerzas del Viento</w:t>
      </w:r>
    </w:p>
    <w:p w:rsidR="007C4016" w:rsidRPr="00650F99" w:rsidRDefault="007C4016" w:rsidP="007C4016">
      <w:pPr>
        <w:pStyle w:val="Citaift0"/>
        <w:numPr>
          <w:ilvl w:val="0"/>
          <w:numId w:val="183"/>
        </w:numPr>
        <w:spacing w:after="0"/>
      </w:pPr>
      <w:r w:rsidRPr="00650F99">
        <w:t>Fuerzas de Sismo</w:t>
      </w:r>
    </w:p>
    <w:p w:rsidR="007C4016" w:rsidRPr="00650F99" w:rsidRDefault="007C4016" w:rsidP="007C4016">
      <w:pPr>
        <w:pStyle w:val="Citaift0"/>
        <w:spacing w:before="240" w:after="0"/>
      </w:pPr>
      <w:r w:rsidRPr="00650F99">
        <w:t>La saturación del espacio en las torres estará determinada por la combinación de estos dos factores, es decir la ocupación de todas las franjas disponibles y los límites establecidos para el cumplim</w:t>
      </w:r>
      <w:r>
        <w:t xml:space="preserve">iento de la normativa técnica. </w:t>
      </w:r>
    </w:p>
    <w:p w:rsidR="007C4016" w:rsidRPr="00650F99" w:rsidRDefault="007C4016" w:rsidP="007C4016">
      <w:pPr>
        <w:pStyle w:val="Citaift0"/>
        <w:spacing w:before="240" w:after="0"/>
      </w:pPr>
      <w:r w:rsidRPr="00650F99">
        <w:t>Tanto la capacidad total en la torre, como el punto de saturación de dicha capacidad, son específicas para cada tipo de torre de acuerdo con las características de su construcción.</w:t>
      </w:r>
    </w:p>
    <w:p w:rsidR="007C4016" w:rsidRPr="00650F99" w:rsidRDefault="007C4016" w:rsidP="007C4016">
      <w:pPr>
        <w:pStyle w:val="Citaift0"/>
        <w:spacing w:before="240" w:after="0"/>
        <w:rPr>
          <w:b/>
        </w:rPr>
      </w:pPr>
      <w:r w:rsidRPr="00650F99">
        <w:rPr>
          <w:b/>
        </w:rPr>
        <w:t>6.2.3.-</w:t>
      </w:r>
      <w:r w:rsidRPr="00650F99">
        <w:rPr>
          <w:b/>
        </w:rPr>
        <w:tab/>
        <w:t>Visita Técnica</w:t>
      </w:r>
    </w:p>
    <w:p w:rsidR="007C4016" w:rsidRPr="00650F99" w:rsidRDefault="007C4016" w:rsidP="007C4016">
      <w:pPr>
        <w:pStyle w:val="Citaift0"/>
        <w:spacing w:before="240" w:after="0"/>
      </w:pPr>
      <w:r w:rsidRPr="00650F99">
        <w:t xml:space="preserve">Durante la visita técnica el personal de </w:t>
      </w:r>
      <w:r>
        <w:t>TELNOR</w:t>
      </w:r>
      <w:r w:rsidRPr="00650F99">
        <w:t xml:space="preserve"> y el personal del Concesionario Solicitante revisarán y validarán en conjunto, la posibilidad de la compartición de la infraestructura de torres mediante un trabajo especial, cuando no haya existido capacidad excedente de manera inicial, considerando los siguientes elementos:</w:t>
      </w:r>
    </w:p>
    <w:p w:rsidR="007C4016" w:rsidRPr="00650F99" w:rsidRDefault="007C4016" w:rsidP="007C4016">
      <w:pPr>
        <w:pStyle w:val="Citaift0"/>
        <w:numPr>
          <w:ilvl w:val="0"/>
          <w:numId w:val="184"/>
        </w:numPr>
        <w:spacing w:before="240" w:after="0"/>
      </w:pPr>
      <w:r w:rsidRPr="00650F99">
        <w:t>El espacio disponible para compartir es  de 4 metros lineales en el cuerpo vertical en la torre para una superficie máxima de 8.5 m².</w:t>
      </w:r>
    </w:p>
    <w:p w:rsidR="007C4016" w:rsidRPr="00650F99" w:rsidRDefault="007C4016" w:rsidP="007C4016">
      <w:pPr>
        <w:pStyle w:val="Citaift0"/>
        <w:numPr>
          <w:ilvl w:val="0"/>
          <w:numId w:val="184"/>
        </w:numPr>
        <w:spacing w:after="0"/>
      </w:pPr>
      <w:r w:rsidRPr="00650F99">
        <w:t>El peso y dimensiones de las antenas a instalar.</w:t>
      </w:r>
    </w:p>
    <w:p w:rsidR="007C4016" w:rsidRPr="00650F99" w:rsidRDefault="007C4016" w:rsidP="007C4016">
      <w:pPr>
        <w:pStyle w:val="Citaift0"/>
        <w:numPr>
          <w:ilvl w:val="0"/>
          <w:numId w:val="184"/>
        </w:numPr>
        <w:spacing w:after="0"/>
      </w:pPr>
      <w:r w:rsidRPr="00650F99">
        <w:t>Altura propuesta para la instalación de sus antenas.</w:t>
      </w:r>
    </w:p>
    <w:p w:rsidR="007C4016" w:rsidRPr="00650F99" w:rsidRDefault="007C4016" w:rsidP="007C4016">
      <w:pPr>
        <w:pStyle w:val="Citaift0"/>
        <w:numPr>
          <w:ilvl w:val="0"/>
          <w:numId w:val="184"/>
        </w:numPr>
        <w:spacing w:after="0"/>
      </w:pPr>
      <w:r w:rsidRPr="00650F99">
        <w:t>Tipos de herrajes a utilizar</w:t>
      </w:r>
    </w:p>
    <w:p w:rsidR="007C4016" w:rsidRPr="00650F99" w:rsidRDefault="007C4016" w:rsidP="007C4016">
      <w:pPr>
        <w:pStyle w:val="Citaift0"/>
        <w:numPr>
          <w:ilvl w:val="0"/>
          <w:numId w:val="184"/>
        </w:numPr>
        <w:spacing w:after="0"/>
      </w:pPr>
      <w:r w:rsidRPr="00650F99">
        <w:t>Tipo y características del radio a instalar.</w:t>
      </w:r>
    </w:p>
    <w:p w:rsidR="007C4016" w:rsidRPr="00650F99" w:rsidRDefault="007C4016" w:rsidP="007C4016">
      <w:pPr>
        <w:pStyle w:val="Citaift0"/>
        <w:numPr>
          <w:ilvl w:val="0"/>
          <w:numId w:val="184"/>
        </w:numPr>
        <w:spacing w:after="0"/>
      </w:pPr>
      <w:r w:rsidRPr="00650F99">
        <w:t>Espacios existentes en torre.</w:t>
      </w:r>
    </w:p>
    <w:p w:rsidR="007C4016" w:rsidRPr="00650F99" w:rsidRDefault="007C4016" w:rsidP="007C4016">
      <w:pPr>
        <w:pStyle w:val="Citaift0"/>
        <w:numPr>
          <w:ilvl w:val="0"/>
          <w:numId w:val="184"/>
        </w:numPr>
        <w:spacing w:after="0"/>
      </w:pPr>
      <w:r w:rsidRPr="00650F99">
        <w:t>Uso de escalerillas.</w:t>
      </w:r>
    </w:p>
    <w:p w:rsidR="007C4016" w:rsidRPr="00650F99" w:rsidRDefault="007C4016" w:rsidP="007C4016">
      <w:pPr>
        <w:pStyle w:val="Citaift0"/>
        <w:numPr>
          <w:ilvl w:val="0"/>
          <w:numId w:val="184"/>
        </w:numPr>
        <w:spacing w:after="0"/>
      </w:pPr>
      <w:r w:rsidRPr="00650F99">
        <w:t>Análisis estructural de torre.</w:t>
      </w:r>
    </w:p>
    <w:p w:rsidR="007C4016" w:rsidRPr="00650F99" w:rsidRDefault="007C4016" w:rsidP="007C4016">
      <w:pPr>
        <w:pStyle w:val="Citaift0"/>
        <w:numPr>
          <w:ilvl w:val="0"/>
          <w:numId w:val="184"/>
        </w:numPr>
        <w:spacing w:after="0"/>
      </w:pPr>
      <w:r w:rsidRPr="00650F99">
        <w:t>Sistemas de Tierra.</w:t>
      </w:r>
    </w:p>
    <w:p w:rsidR="007C4016" w:rsidRDefault="007C4016" w:rsidP="007C4016">
      <w:pPr>
        <w:pStyle w:val="Citaift0"/>
        <w:numPr>
          <w:ilvl w:val="0"/>
          <w:numId w:val="184"/>
        </w:numPr>
        <w:spacing w:after="0"/>
      </w:pPr>
      <w:r w:rsidRPr="00650F99">
        <w:t>Espacio físico o coubicación para alojar el radio.</w:t>
      </w:r>
    </w:p>
    <w:p w:rsidR="007C4016" w:rsidRPr="00650F99" w:rsidRDefault="007C4016" w:rsidP="007C4016">
      <w:pPr>
        <w:pStyle w:val="Citaift0"/>
        <w:spacing w:before="240" w:after="0"/>
      </w:pPr>
      <w:r w:rsidRPr="00650F99">
        <w:t xml:space="preserve">En caso de concluir que la compartición es factible, </w:t>
      </w:r>
      <w:r>
        <w:t>TELNOR</w:t>
      </w:r>
      <w:r w:rsidRPr="00650F99">
        <w:t xml:space="preserve"> deberá ofrecer la posibilidad de trabajo especial, y entregar el proyecto y presupuesto del mismo.”</w:t>
      </w:r>
    </w:p>
    <w:p w:rsidR="007C4016" w:rsidRPr="00291DBC" w:rsidRDefault="007C4016" w:rsidP="007C4016">
      <w:pPr>
        <w:pStyle w:val="Citaift0"/>
        <w:spacing w:before="240" w:after="0"/>
        <w:ind w:left="1341"/>
        <w:jc w:val="right"/>
        <w:rPr>
          <w:b/>
        </w:rPr>
      </w:pPr>
      <w:r w:rsidRPr="00291DBC">
        <w:rPr>
          <w:b/>
        </w:rPr>
        <w:t>(Énfasis añadido)</w:t>
      </w:r>
    </w:p>
    <w:p w:rsidR="007C4016" w:rsidRDefault="007C4016" w:rsidP="007C4016">
      <w:pPr>
        <w:pStyle w:val="IFTnormal"/>
        <w:spacing w:before="240" w:after="0"/>
      </w:pPr>
      <w:r w:rsidRPr="00F8108B">
        <w:t>De lo anterior, a juicio del Instituto</w:t>
      </w:r>
      <w:r>
        <w:t xml:space="preserve">, las condiciones </w:t>
      </w:r>
      <w:r w:rsidRPr="00EB431A">
        <w:t>para la prestación del servicio</w:t>
      </w:r>
      <w:r>
        <w:t xml:space="preserve"> deben situarse en su correspondiente descripción del servicio, con la finalidad de que su respectivo anexo se enfoque en cuestiones técnicas. En este sentido, la Medida </w:t>
      </w:r>
      <w:r w:rsidRPr="003A6ACE">
        <w:t xml:space="preserve">VIGÉSIMA SÉPTIMA </w:t>
      </w:r>
      <w:r>
        <w:t xml:space="preserve">indica que </w:t>
      </w:r>
      <w:r w:rsidRPr="003A6ACE">
        <w:t>la normativa técnica deberá contener los criterios técnicos para la utilización y acceso a la infraestructura</w:t>
      </w:r>
      <w:r>
        <w:t xml:space="preserve">, mientras que de acuerdo a la Medida </w:t>
      </w:r>
      <w:r w:rsidRPr="003A6ACE">
        <w:t>CUADRAGÉSIMA PRIMERA</w:t>
      </w:r>
      <w:r>
        <w:t xml:space="preserve">, </w:t>
      </w:r>
      <w:r w:rsidRPr="003A6ACE">
        <w:t xml:space="preserve">las Ofertas de Referencia deberán establecer las condiciones aplicables a los servicios de telecomunicaciones </w:t>
      </w:r>
      <w:r>
        <w:t>como se muestra a continuación:</w:t>
      </w:r>
    </w:p>
    <w:p w:rsidR="007C4016" w:rsidRDefault="007C4016" w:rsidP="007C4016">
      <w:pPr>
        <w:pStyle w:val="Citaift0"/>
        <w:spacing w:before="240" w:after="0"/>
      </w:pPr>
      <w:r w:rsidRPr="001A43BE">
        <w:rPr>
          <w:b/>
        </w:rPr>
        <w:lastRenderedPageBreak/>
        <w:t xml:space="preserve"> “CUADRAGÉSIMA PRIMERA.-</w:t>
      </w:r>
      <w:r w:rsidRPr="001A43BE">
        <w:t xml:space="preserve"> 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7C4016" w:rsidRDefault="007C4016" w:rsidP="007C4016">
      <w:pPr>
        <w:pStyle w:val="Citaift0"/>
        <w:spacing w:before="240" w:after="0"/>
        <w:jc w:val="right"/>
      </w:pPr>
      <w:r w:rsidRPr="00BA28BD">
        <w:t>Párrafo modificado Resolución P/IFT/EXT/270217/119</w:t>
      </w:r>
    </w:p>
    <w:p w:rsidR="007C4016" w:rsidRPr="00571A0C" w:rsidRDefault="007C4016" w:rsidP="007C4016">
      <w:pPr>
        <w:pStyle w:val="Citaift0"/>
        <w:spacing w:before="240" w:after="0"/>
        <w:rPr>
          <w:b/>
          <w:u w:val="single"/>
        </w:rPr>
      </w:pPr>
      <w:r w:rsidRPr="00571A0C">
        <w:rPr>
          <w:b/>
          <w:u w:val="single"/>
        </w:rPr>
        <w:t>Cada oferta deberá contener cuando menos lo siguiente:</w:t>
      </w:r>
    </w:p>
    <w:p w:rsidR="007C4016" w:rsidRDefault="007C4016" w:rsidP="007C4016">
      <w:pPr>
        <w:pStyle w:val="Citaift0"/>
        <w:spacing w:before="240" w:after="0"/>
        <w:jc w:val="right"/>
      </w:pPr>
      <w:r w:rsidRPr="00BA28BD">
        <w:t>Párrafo adicionado Resolución P/IFT/EXT/270217/119</w:t>
      </w:r>
    </w:p>
    <w:p w:rsidR="007C4016" w:rsidRPr="00571A0C" w:rsidRDefault="007C4016" w:rsidP="007C4016">
      <w:pPr>
        <w:pStyle w:val="Citaift0"/>
        <w:numPr>
          <w:ilvl w:val="2"/>
          <w:numId w:val="73"/>
        </w:numPr>
        <w:spacing w:before="240" w:after="0"/>
        <w:rPr>
          <w:b/>
          <w:u w:val="single"/>
        </w:rPr>
      </w:pPr>
      <w:r w:rsidRPr="00571A0C">
        <w:rPr>
          <w:b/>
          <w:u w:val="single"/>
        </w:rPr>
        <w:t>Servicios establecidos de manera específica y condiciones aplicables a los mismos;</w:t>
      </w:r>
    </w:p>
    <w:p w:rsidR="007C4016" w:rsidRDefault="007C4016" w:rsidP="007C4016">
      <w:pPr>
        <w:pStyle w:val="Citaift0"/>
        <w:spacing w:before="240" w:after="0"/>
      </w:pPr>
      <w:r>
        <w:t>[…]”</w:t>
      </w:r>
    </w:p>
    <w:p w:rsidR="007C4016" w:rsidRDefault="007C4016" w:rsidP="007C4016">
      <w:pPr>
        <w:pStyle w:val="Citaift0"/>
        <w:spacing w:before="240" w:after="0"/>
        <w:jc w:val="right"/>
      </w:pPr>
      <w:r>
        <w:t>(Énfasis añadido)</w:t>
      </w:r>
    </w:p>
    <w:p w:rsidR="007C4016" w:rsidRDefault="007C4016" w:rsidP="007C4016">
      <w:pPr>
        <w:pStyle w:val="IFTnormal"/>
        <w:spacing w:before="240" w:after="0"/>
      </w:pPr>
      <w:r>
        <w:t>Por otra parte, respecto al apartado “</w:t>
      </w:r>
      <w:r w:rsidRPr="00D835E1">
        <w:rPr>
          <w:i/>
        </w:rPr>
        <w:t>6.4.2- Radios</w:t>
      </w:r>
      <w:r>
        <w:t>”, el AEP indica que el CS debe presentar el método de instalación de las antenas y/o equipos de radio, como se muestra a continuación:</w:t>
      </w:r>
    </w:p>
    <w:p w:rsidR="007C4016" w:rsidRDefault="007C4016" w:rsidP="007C4016">
      <w:pPr>
        <w:pStyle w:val="Citaift0"/>
        <w:spacing w:before="240" w:after="0"/>
        <w:rPr>
          <w:b/>
        </w:rPr>
      </w:pPr>
      <w:r w:rsidRPr="004E5FED">
        <w:rPr>
          <w:b/>
        </w:rPr>
        <w:t>“</w:t>
      </w:r>
      <w:r w:rsidRPr="00BD66C6">
        <w:rPr>
          <w:b/>
        </w:rPr>
        <w:t>NORMA PARA LA COMPARTICION DE INFRAESTRUCTURA PASIVA EN TORRES</w:t>
      </w:r>
    </w:p>
    <w:p w:rsidR="007C4016" w:rsidRPr="00BD66C6" w:rsidRDefault="007C4016" w:rsidP="007C4016">
      <w:pPr>
        <w:pStyle w:val="Citaift0"/>
        <w:spacing w:before="240" w:after="0"/>
      </w:pPr>
      <w:r w:rsidRPr="00BD66C6">
        <w:t>[…]</w:t>
      </w:r>
    </w:p>
    <w:p w:rsidR="007C4016" w:rsidRPr="00BD66C6" w:rsidRDefault="007C4016" w:rsidP="007C4016">
      <w:pPr>
        <w:pStyle w:val="Citaift0"/>
        <w:spacing w:before="240" w:after="0"/>
        <w:rPr>
          <w:b/>
        </w:rPr>
      </w:pPr>
      <w:r>
        <w:rPr>
          <w:b/>
        </w:rPr>
        <w:t>6.4.2.-</w:t>
      </w:r>
      <w:r>
        <w:rPr>
          <w:b/>
        </w:rPr>
        <w:tab/>
        <w:t>Radios</w:t>
      </w:r>
    </w:p>
    <w:p w:rsidR="007C4016" w:rsidRDefault="007C4016" w:rsidP="007C4016">
      <w:pPr>
        <w:pStyle w:val="Citaift0"/>
        <w:spacing w:before="240" w:after="0"/>
      </w:pPr>
      <w:r w:rsidRPr="00BE4A6A">
        <w:rPr>
          <w:b/>
          <w:u w:val="single"/>
        </w:rPr>
        <w:t>El Concesionario Solicitante</w:t>
      </w:r>
      <w:r>
        <w:t xml:space="preserve">, para la instalación de sus antenas y/o equipos de radio </w:t>
      </w:r>
      <w:r w:rsidRPr="00BE4A6A">
        <w:rPr>
          <w:b/>
          <w:u w:val="single"/>
        </w:rPr>
        <w:t xml:space="preserve">deberá presentar a </w:t>
      </w:r>
      <w:r>
        <w:rPr>
          <w:b/>
          <w:u w:val="single"/>
        </w:rPr>
        <w:t>TELNOR</w:t>
      </w:r>
      <w:r w:rsidRPr="00BE4A6A">
        <w:rPr>
          <w:b/>
          <w:u w:val="single"/>
        </w:rPr>
        <w:t xml:space="preserve"> el método de instalación</w:t>
      </w:r>
      <w:r>
        <w:t xml:space="preserve"> que empleará, para su validación, en el momento en que entregue el Anteproyecto del servicio.”</w:t>
      </w:r>
    </w:p>
    <w:p w:rsidR="007C4016" w:rsidRPr="00264EDE" w:rsidRDefault="007C4016" w:rsidP="007C4016">
      <w:pPr>
        <w:pStyle w:val="Citaift0"/>
        <w:spacing w:before="240" w:after="0"/>
        <w:ind w:left="1341"/>
        <w:jc w:val="right"/>
        <w:rPr>
          <w:b/>
        </w:rPr>
      </w:pPr>
      <w:r w:rsidRPr="00F8108B">
        <w:rPr>
          <w:b/>
        </w:rPr>
        <w:t xml:space="preserve"> (Énfasis añadido)</w:t>
      </w:r>
    </w:p>
    <w:p w:rsidR="007C4016" w:rsidRDefault="007C4016" w:rsidP="007C4016">
      <w:pPr>
        <w:pStyle w:val="IFTnormal"/>
        <w:spacing w:before="240" w:after="0"/>
      </w:pPr>
      <w:r>
        <w:t xml:space="preserve">Al respecto, la Medida VIGÉSIMA SÉPTIMA indica que el AEP deberá proporcionar a los CS la normativa técnica </w:t>
      </w:r>
      <w:r w:rsidRPr="00264EDE">
        <w:t xml:space="preserve">para la instalación de cables y de otros elementos de red que sean necesarios para la eficiente prestación de los servicios de telecomunicaciones, y todas </w:t>
      </w:r>
      <w:r>
        <w:t xml:space="preserve">las demás que sean relevantes. Derivado de lo anterior, el Instituto considera que el método de instalación de los dispositivos lo </w:t>
      </w:r>
      <w:r>
        <w:lastRenderedPageBreak/>
        <w:t xml:space="preserve">debe de establecer el AEP, por lo cual dicha redacción debe ser eliminada para evitar causar desconcierto en los concesionarios y además establecer posible condiciones que puedan inhibir la competencia en la prestación de los servicios, de acuerdo a la Medida </w:t>
      </w:r>
      <w:r w:rsidRPr="00264EDE">
        <w:t>CUADRAGÉSIMA PRIMERA</w:t>
      </w:r>
      <w:r>
        <w:t>.</w:t>
      </w:r>
    </w:p>
    <w:p w:rsidR="007C4016" w:rsidRDefault="007C4016" w:rsidP="007C4016">
      <w:pPr>
        <w:pStyle w:val="IFTnormal"/>
        <w:spacing w:before="240" w:after="0"/>
      </w:pPr>
      <w:r>
        <w:t>Por otro lado, el Instituto considera que además de las consideraciones anteriores, existen cuestiones redundantes con el alcance, descripción o procedimientos del “</w:t>
      </w:r>
      <w:r w:rsidRPr="00D835E1">
        <w:rPr>
          <w:i/>
        </w:rPr>
        <w:t>3. Servicio de Acceso y Uso Compartido de Torres</w:t>
      </w:r>
      <w:r w:rsidRPr="00D3759F">
        <w:t>”</w:t>
      </w:r>
      <w:r>
        <w:t>, como se muestra a continuación:</w:t>
      </w:r>
    </w:p>
    <w:p w:rsidR="007C4016" w:rsidRDefault="007C4016" w:rsidP="007C4016">
      <w:pPr>
        <w:pStyle w:val="Citaift0"/>
        <w:spacing w:before="240" w:after="0"/>
        <w:rPr>
          <w:b/>
        </w:rPr>
      </w:pPr>
      <w:r w:rsidRPr="004E5FED">
        <w:rPr>
          <w:b/>
        </w:rPr>
        <w:t>“</w:t>
      </w:r>
      <w:r w:rsidRPr="00BD66C6">
        <w:rPr>
          <w:b/>
        </w:rPr>
        <w:t>NORMA PARA LA COMPARTICION DE INFRAESTRUCTURA PASIVA EN TORRES</w:t>
      </w:r>
    </w:p>
    <w:p w:rsidR="007C4016" w:rsidRDefault="007C4016" w:rsidP="007C4016">
      <w:pPr>
        <w:pStyle w:val="Citaift0"/>
        <w:spacing w:before="240" w:after="0"/>
      </w:pPr>
      <w:r>
        <w:t xml:space="preserve"> […]</w:t>
      </w:r>
    </w:p>
    <w:p w:rsidR="007C4016" w:rsidRPr="00BD66C6" w:rsidRDefault="007C4016" w:rsidP="007C4016">
      <w:pPr>
        <w:pStyle w:val="Citaift0"/>
        <w:spacing w:before="240" w:after="0"/>
        <w:rPr>
          <w:b/>
        </w:rPr>
      </w:pPr>
      <w:r w:rsidRPr="00BD66C6">
        <w:rPr>
          <w:b/>
        </w:rPr>
        <w:t>6.4.4.-</w:t>
      </w:r>
      <w:r w:rsidRPr="00BD66C6">
        <w:rPr>
          <w:b/>
        </w:rPr>
        <w:tab/>
        <w:t>BAJA DE SISTEMAS INSTALADOS EN TORRES.</w:t>
      </w:r>
    </w:p>
    <w:p w:rsidR="007C4016" w:rsidRPr="00BD66C6" w:rsidRDefault="007C4016" w:rsidP="007C4016">
      <w:pPr>
        <w:pStyle w:val="Citaift0"/>
        <w:spacing w:before="240" w:after="0"/>
      </w:pPr>
      <w:r>
        <w:t>Cuando un concesionario requiera la baja de sus sistemas en torres de TELNOR, se deberá informar de la baja correspondiente a fin de actualizar la base de datos.”</w:t>
      </w:r>
    </w:p>
    <w:p w:rsidR="007C4016" w:rsidRPr="00264EDE" w:rsidRDefault="007C4016" w:rsidP="007C4016">
      <w:pPr>
        <w:pStyle w:val="Citaift0"/>
        <w:spacing w:before="240" w:after="0"/>
        <w:ind w:left="1341"/>
        <w:jc w:val="right"/>
        <w:rPr>
          <w:b/>
        </w:rPr>
      </w:pPr>
      <w:r w:rsidRPr="00F8108B">
        <w:rPr>
          <w:b/>
        </w:rPr>
        <w:t>(Énfasis añadido)</w:t>
      </w:r>
    </w:p>
    <w:p w:rsidR="007C4016" w:rsidRDefault="007C4016" w:rsidP="007C4016">
      <w:pPr>
        <w:pStyle w:val="IFTnormal"/>
        <w:spacing w:before="240" w:after="0"/>
      </w:pPr>
      <w:r>
        <w:t>De lo anterior, a juicio del Instituto, las consideraciones a los procedimientos de contratación, modificación o baja del “</w:t>
      </w:r>
      <w:r w:rsidRPr="00D835E1">
        <w:rPr>
          <w:i/>
        </w:rPr>
        <w:t>3.</w:t>
      </w:r>
      <w:r w:rsidRPr="00D835E1">
        <w:rPr>
          <w:i/>
        </w:rPr>
        <w:tab/>
        <w:t xml:space="preserve"> Servicio de Acceso y Uso Compartido de Torres</w:t>
      </w:r>
      <w:r>
        <w:t>” se describieron y desarrollaron dentro del numeral</w:t>
      </w:r>
      <w:r w:rsidRPr="00862C8E">
        <w:t xml:space="preserve"> </w:t>
      </w:r>
      <w:r>
        <w:t>“</w:t>
      </w:r>
      <w:r w:rsidRPr="00D835E1">
        <w:rPr>
          <w:i/>
        </w:rPr>
        <w:t>3.1</w:t>
      </w:r>
      <w:r w:rsidRPr="00D835E1">
        <w:rPr>
          <w:i/>
        </w:rPr>
        <w:tab/>
      </w:r>
      <w:r>
        <w:rPr>
          <w:i/>
        </w:rPr>
        <w:t xml:space="preserve"> </w:t>
      </w:r>
      <w:r w:rsidRPr="00D835E1">
        <w:rPr>
          <w:i/>
        </w:rPr>
        <w:t>Procedimientos para la contratación, modificación y baja de los servicios</w:t>
      </w:r>
      <w:r>
        <w:t xml:space="preserve">”, por lo cual el establecer alcances o condiciones de procesos dentro del anexo técnico resultaría redundante y posiblemente contradictorio. Aunado a lo anterior, de acuerdo a la </w:t>
      </w:r>
      <w:r w:rsidRPr="00862C8E">
        <w:t>Medida VIGÉSIMA SÉPTIMA</w:t>
      </w:r>
      <w:r>
        <w:t xml:space="preserve">, cualquier referencia no técnica se debe considerar en su correspondiente descripción del servicio, con la finalidad ofrecer mayor claridad y certeza a los CS sobre los alcances del mismo. Derivado del análisis anterior, el Instituto considera eliminar la redacción anterior referente al procedimiento de baja del servicio de la </w:t>
      </w:r>
      <w:r w:rsidRPr="00E268E3">
        <w:rPr>
          <w:lang w:val="es-ES"/>
        </w:rPr>
        <w:t>“</w:t>
      </w:r>
      <w:r w:rsidRPr="00D835E1">
        <w:rPr>
          <w:i/>
          <w:lang w:val="es-ES"/>
        </w:rPr>
        <w:t>NORMA PARA LA COMPARTICION DE INFRAESTRUCTURA PASIVA EN TORRES</w:t>
      </w:r>
      <w:r w:rsidRPr="00E268E3">
        <w:rPr>
          <w:lang w:val="es-ES"/>
        </w:rPr>
        <w:t>”</w:t>
      </w:r>
      <w:r>
        <w:rPr>
          <w:lang w:val="es-ES"/>
        </w:rPr>
        <w:t>.</w:t>
      </w:r>
    </w:p>
    <w:p w:rsidR="007C4016" w:rsidRDefault="007C4016" w:rsidP="007C4016">
      <w:pPr>
        <w:pStyle w:val="IFTnormal"/>
        <w:spacing w:before="240" w:after="0"/>
        <w:rPr>
          <w:b/>
        </w:rPr>
      </w:pPr>
      <w:r w:rsidRPr="00E307BF">
        <w:rPr>
          <w:b/>
        </w:rPr>
        <w:t>Redacción Definitiva</w:t>
      </w:r>
    </w:p>
    <w:p w:rsidR="007C4016" w:rsidRDefault="007C4016" w:rsidP="007C4016">
      <w:pPr>
        <w:pStyle w:val="IFTnormal"/>
        <w:spacing w:before="240" w:after="0"/>
        <w:ind w:left="850"/>
        <w:rPr>
          <w:b/>
        </w:rPr>
      </w:pPr>
      <w:r w:rsidRPr="00411E47">
        <w:rPr>
          <w:b/>
        </w:rPr>
        <w:t>NORMA PARA LA COMPARTICION DE INFRAESTRUCTURA PASIVA EN TORRES</w:t>
      </w:r>
    </w:p>
    <w:p w:rsidR="007C4016" w:rsidRPr="00747E91" w:rsidRDefault="007C4016" w:rsidP="007C4016">
      <w:pPr>
        <w:pStyle w:val="IFTnormal"/>
        <w:spacing w:before="240" w:after="0"/>
        <w:ind w:left="850"/>
        <w:jc w:val="center"/>
        <w:rPr>
          <w:b/>
        </w:rPr>
      </w:pPr>
      <w:r w:rsidRPr="00411E47">
        <w:rPr>
          <w:b/>
          <w:lang w:val="es-ES"/>
        </w:rPr>
        <w:t>CONTENIDO</w:t>
      </w:r>
    </w:p>
    <w:tbl>
      <w:tblPr>
        <w:tblStyle w:val="Cuadrculadetablaclara1"/>
        <w:tblW w:w="8462" w:type="dxa"/>
        <w:jc w:val="center"/>
        <w:tblLayout w:type="fixed"/>
        <w:tblLook w:val="0000" w:firstRow="0" w:lastRow="0" w:firstColumn="0" w:lastColumn="0" w:noHBand="0" w:noVBand="0"/>
        <w:tblCaption w:val="Tabla"/>
        <w:tblDescription w:val="NORMA PARA LA COMPARTICION DE INFRAESTRUCTURA PASIVA EN TORRES&#10;CONTENIDO"/>
      </w:tblPr>
      <w:tblGrid>
        <w:gridCol w:w="1275"/>
        <w:gridCol w:w="5915"/>
        <w:gridCol w:w="1272"/>
      </w:tblGrid>
      <w:tr w:rsidR="007C4016" w:rsidRPr="00D95CEA" w:rsidTr="00483567">
        <w:trPr>
          <w:tblHeader/>
          <w:jc w:val="center"/>
        </w:trPr>
        <w:tc>
          <w:tcPr>
            <w:tcW w:w="1275" w:type="dxa"/>
          </w:tcPr>
          <w:p w:rsidR="007C4016" w:rsidRPr="00D95CEA" w:rsidRDefault="007C4016" w:rsidP="005C782A">
            <w:pPr>
              <w:suppressAutoHyphens w:val="0"/>
              <w:spacing w:after="0" w:line="240" w:lineRule="auto"/>
              <w:contextualSpacing w:val="0"/>
              <w:jc w:val="left"/>
              <w:rPr>
                <w:rFonts w:ascii="Calibri" w:hAnsi="Calibri" w:cs="Arial"/>
                <w:lang w:val="es-ES"/>
              </w:rPr>
            </w:pPr>
          </w:p>
        </w:tc>
        <w:tc>
          <w:tcPr>
            <w:tcW w:w="5915" w:type="dxa"/>
          </w:tcPr>
          <w:p w:rsidR="007C4016" w:rsidRPr="00D95CEA" w:rsidRDefault="007C4016" w:rsidP="005C782A">
            <w:pPr>
              <w:suppressAutoHyphens w:val="0"/>
              <w:spacing w:after="0" w:line="240" w:lineRule="auto"/>
              <w:contextualSpacing w:val="0"/>
              <w:jc w:val="left"/>
              <w:rPr>
                <w:rFonts w:ascii="Calibri" w:hAnsi="Calibri" w:cs="Arial"/>
                <w:lang w:val="es-ES"/>
              </w:rPr>
            </w:pPr>
          </w:p>
        </w:tc>
        <w:tc>
          <w:tcPr>
            <w:tcW w:w="1272" w:type="dxa"/>
          </w:tcPr>
          <w:p w:rsidR="007C4016" w:rsidRPr="00F45D15" w:rsidRDefault="007C4016" w:rsidP="005C782A">
            <w:pPr>
              <w:suppressAutoHyphens w:val="0"/>
              <w:spacing w:after="0" w:line="240" w:lineRule="auto"/>
              <w:contextualSpacing w:val="0"/>
              <w:jc w:val="center"/>
              <w:rPr>
                <w:rFonts w:ascii="ITC Avant Garde" w:hAnsi="ITC Avant Garde" w:cs="Arial"/>
                <w:b/>
                <w:lang w:val="es-ES"/>
              </w:rPr>
            </w:pPr>
            <w:r w:rsidRPr="00F45D15">
              <w:rPr>
                <w:rFonts w:ascii="ITC Avant Garde" w:hAnsi="ITC Avant Garde" w:cs="Arial"/>
                <w:b/>
                <w:sz w:val="22"/>
                <w:lang w:val="es-ES"/>
              </w:rPr>
              <w:t>Página N</w:t>
            </w:r>
            <w:r w:rsidRPr="00F45D15">
              <w:rPr>
                <w:rFonts w:ascii="ITC Avant Garde" w:hAnsi="ITC Avant Garde" w:cs="Arial"/>
                <w:b/>
                <w:sz w:val="22"/>
                <w:vertAlign w:val="superscript"/>
                <w:lang w:val="es-ES"/>
              </w:rPr>
              <w:t>o</w:t>
            </w:r>
            <w:r w:rsidRPr="00F45D15">
              <w:rPr>
                <w:rFonts w:ascii="ITC Avant Garde" w:hAnsi="ITC Avant Garde" w:cs="Arial"/>
                <w:b/>
                <w:sz w:val="22"/>
                <w:lang w:val="es-ES"/>
              </w:rPr>
              <w:t>.</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1.-</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Histórico de modificaciones.</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2</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2.-</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Objetivo.</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3</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3.-</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Alcance.</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3</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4.-</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Definiciones.</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3</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5.-</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Documentos de referencia.</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4</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6.-</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Desarrollo.</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4</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6.1.-</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Introducción.</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4</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highlight w:val="yellow"/>
                <w:lang w:val="es-ES"/>
              </w:rPr>
            </w:pPr>
            <w:r w:rsidRPr="00F45D15">
              <w:rPr>
                <w:rFonts w:ascii="ITC Avant Garde" w:hAnsi="ITC Avant Garde" w:cs="Arial"/>
                <w:color w:val="000000"/>
                <w:sz w:val="22"/>
                <w:szCs w:val="22"/>
                <w:lang w:val="es-ES"/>
              </w:rPr>
              <w:t>6.2.-</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cs="Arial"/>
                <w:highlight w:val="yellow"/>
              </w:rPr>
            </w:pPr>
            <w:r w:rsidRPr="00F45D15">
              <w:rPr>
                <w:rFonts w:ascii="ITC Avant Garde" w:hAnsi="ITC Avant Garde"/>
                <w:color w:val="000000"/>
                <w:sz w:val="22"/>
                <w:szCs w:val="22"/>
              </w:rPr>
              <w:t>Análisis de Factibilidad.</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highlight w:val="yellow"/>
                <w:lang w:val="es-ES"/>
              </w:rPr>
            </w:pPr>
            <w:r w:rsidRPr="00F45D15">
              <w:rPr>
                <w:rFonts w:ascii="ITC Avant Garde" w:hAnsi="ITC Avant Garde" w:cs="Arial"/>
                <w:color w:val="000000"/>
                <w:sz w:val="22"/>
                <w:szCs w:val="22"/>
                <w:lang w:val="es-ES"/>
              </w:rPr>
              <w:t>4</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color w:val="000000"/>
                <w:lang w:val="es-ES"/>
              </w:rPr>
            </w:pPr>
            <w:r w:rsidRPr="00F45D15">
              <w:rPr>
                <w:rFonts w:ascii="ITC Avant Garde" w:hAnsi="ITC Avant Garde" w:cs="Arial"/>
                <w:color w:val="000000"/>
                <w:sz w:val="22"/>
                <w:szCs w:val="22"/>
                <w:lang w:val="es-ES"/>
              </w:rPr>
              <w:t>6.2.1.-</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color w:val="000000"/>
              </w:rPr>
            </w:pPr>
            <w:r w:rsidRPr="00F45D15">
              <w:rPr>
                <w:rFonts w:ascii="ITC Avant Garde" w:hAnsi="ITC Avant Garde"/>
                <w:color w:val="000000"/>
                <w:sz w:val="22"/>
                <w:szCs w:val="22"/>
              </w:rPr>
              <w:t>Planeación de frecuencias.</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color w:val="000000"/>
                <w:sz w:val="22"/>
                <w:szCs w:val="22"/>
                <w:lang w:val="es-ES"/>
              </w:rPr>
            </w:pPr>
            <w:r>
              <w:rPr>
                <w:rFonts w:ascii="ITC Avant Garde" w:hAnsi="ITC Avant Garde" w:cs="Arial"/>
                <w:color w:val="000000"/>
                <w:sz w:val="22"/>
                <w:szCs w:val="22"/>
                <w:lang w:val="es-ES"/>
              </w:rPr>
              <w:t>4</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highlight w:val="yellow"/>
                <w:lang w:val="es-ES"/>
              </w:rPr>
            </w:pPr>
            <w:r w:rsidRPr="00F45D15">
              <w:rPr>
                <w:rFonts w:ascii="ITC Avant Garde" w:hAnsi="ITC Avant Garde" w:cs="Arial"/>
                <w:sz w:val="22"/>
                <w:szCs w:val="22"/>
                <w:lang w:val="es-ES"/>
              </w:rPr>
              <w:t>6.2.2.-</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highlight w:val="yellow"/>
              </w:rPr>
            </w:pPr>
            <w:r w:rsidRPr="00F45D15">
              <w:rPr>
                <w:rFonts w:ascii="ITC Avant Garde" w:hAnsi="ITC Avant Garde"/>
                <w:sz w:val="22"/>
                <w:szCs w:val="22"/>
              </w:rPr>
              <w:t>Poligonal del enlace.</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highlight w:val="yellow"/>
                <w:lang w:val="es-ES"/>
              </w:rPr>
            </w:pPr>
            <w:r w:rsidRPr="00F45D15">
              <w:rPr>
                <w:rFonts w:ascii="ITC Avant Garde" w:hAnsi="ITC Avant Garde" w:cs="Arial"/>
                <w:sz w:val="22"/>
                <w:szCs w:val="22"/>
                <w:lang w:val="es-ES"/>
              </w:rPr>
              <w:t>5</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highlight w:val="yellow"/>
                <w:lang w:val="es-ES"/>
              </w:rPr>
            </w:pPr>
            <w:r w:rsidRPr="00F45D15">
              <w:rPr>
                <w:rFonts w:ascii="ITC Avant Garde" w:hAnsi="ITC Avant Garde" w:cs="Arial"/>
                <w:sz w:val="22"/>
                <w:szCs w:val="22"/>
                <w:lang w:val="es-ES"/>
              </w:rPr>
              <w:t>6.2.3.-</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highlight w:val="yellow"/>
              </w:rPr>
            </w:pPr>
            <w:r w:rsidRPr="00F45D15">
              <w:rPr>
                <w:rFonts w:ascii="ITC Avant Garde" w:hAnsi="ITC Avant Garde"/>
                <w:sz w:val="22"/>
                <w:szCs w:val="22"/>
              </w:rPr>
              <w:t>Datos Generales del sistema.</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highlight w:val="yellow"/>
                <w:lang w:val="es-ES"/>
              </w:rPr>
            </w:pPr>
            <w:r w:rsidRPr="00F45D15">
              <w:rPr>
                <w:rFonts w:ascii="ITC Avant Garde" w:hAnsi="ITC Avant Garde" w:cs="Arial"/>
                <w:sz w:val="22"/>
                <w:szCs w:val="22"/>
                <w:lang w:val="es-ES"/>
              </w:rPr>
              <w:t>5</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color w:val="000000"/>
                <w:lang w:val="es-ES"/>
              </w:rPr>
            </w:pPr>
            <w:r w:rsidRPr="00F45D15">
              <w:rPr>
                <w:rFonts w:ascii="ITC Avant Garde" w:hAnsi="ITC Avant Garde" w:cs="Arial"/>
                <w:sz w:val="22"/>
                <w:szCs w:val="22"/>
                <w:lang w:val="es-ES"/>
              </w:rPr>
              <w:t>6.2.4.-</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cs="Arial"/>
                <w:color w:val="000000"/>
              </w:rPr>
            </w:pPr>
            <w:r w:rsidRPr="00F45D15">
              <w:rPr>
                <w:rFonts w:ascii="ITC Avant Garde" w:hAnsi="ITC Avant Garde"/>
                <w:sz w:val="22"/>
                <w:szCs w:val="22"/>
                <w:lang w:val="es-ES"/>
              </w:rPr>
              <w:t>Datos técnicos de equipos de radio y antenas.</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color w:val="000000"/>
                <w:lang w:val="es-ES"/>
              </w:rPr>
            </w:pPr>
            <w:r w:rsidRPr="00F45D15">
              <w:rPr>
                <w:rFonts w:ascii="ITC Avant Garde" w:hAnsi="ITC Avant Garde" w:cs="Arial"/>
                <w:sz w:val="22"/>
                <w:szCs w:val="22"/>
                <w:lang w:val="es-ES"/>
              </w:rPr>
              <w:t>5</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6.2.5.-</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sz w:val="22"/>
                <w:szCs w:val="22"/>
              </w:rPr>
              <w:t>Análisis de frecuencia.</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5</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6.3.-</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rPr>
            </w:pPr>
            <w:r w:rsidRPr="00F45D15">
              <w:rPr>
                <w:rFonts w:ascii="ITC Avant Garde" w:hAnsi="ITC Avant Garde"/>
                <w:sz w:val="22"/>
                <w:szCs w:val="22"/>
              </w:rPr>
              <w:t>Requisitos para la instalación de antenas y equipos de radio en torres.</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6</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6.3.1.-</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sz w:val="22"/>
                <w:szCs w:val="22"/>
                <w:lang w:val="es-ES"/>
              </w:rPr>
              <w:t>Antenas.</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lang w:val="es-ES"/>
              </w:rPr>
            </w:pPr>
            <w:r w:rsidRPr="00F45D15">
              <w:rPr>
                <w:rFonts w:ascii="ITC Avant Garde" w:hAnsi="ITC Avant Garde" w:cs="Arial"/>
                <w:sz w:val="22"/>
                <w:szCs w:val="22"/>
              </w:rPr>
              <w:t>6</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6.3.2.-</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rPr>
            </w:pPr>
            <w:r w:rsidRPr="00F45D15">
              <w:rPr>
                <w:rFonts w:ascii="ITC Avant Garde" w:hAnsi="ITC Avant Garde"/>
                <w:sz w:val="22"/>
                <w:szCs w:val="22"/>
              </w:rPr>
              <w:t>Equipo y medidas de seguridad.</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7</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7.-</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rPr>
            </w:pPr>
            <w:r w:rsidRPr="00F45D15">
              <w:rPr>
                <w:rFonts w:ascii="ITC Avant Garde" w:hAnsi="ITC Avant Garde" w:cs="Arial"/>
                <w:sz w:val="22"/>
                <w:szCs w:val="22"/>
              </w:rPr>
              <w:t>Anexos.</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lang w:val="es-ES"/>
              </w:rPr>
            </w:pPr>
            <w:r>
              <w:rPr>
                <w:rFonts w:ascii="ITC Avant Garde" w:hAnsi="ITC Avant Garde" w:cs="Arial"/>
                <w:lang w:val="es-ES"/>
              </w:rPr>
              <w:t>7</w:t>
            </w:r>
          </w:p>
        </w:tc>
      </w:tr>
      <w:tr w:rsidR="007C4016" w:rsidRPr="00D95CEA" w:rsidTr="00483567">
        <w:trPr>
          <w:jc w:val="center"/>
        </w:trPr>
        <w:tc>
          <w:tcPr>
            <w:tcW w:w="1275" w:type="dxa"/>
          </w:tcPr>
          <w:p w:rsidR="007C4016" w:rsidRPr="00F45D15" w:rsidRDefault="007C4016" w:rsidP="005C782A">
            <w:pPr>
              <w:suppressAutoHyphens w:val="0"/>
              <w:spacing w:before="240"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8.-</w:t>
            </w:r>
          </w:p>
        </w:tc>
        <w:tc>
          <w:tcPr>
            <w:tcW w:w="5915" w:type="dxa"/>
          </w:tcPr>
          <w:p w:rsidR="007C4016" w:rsidRPr="00F45D15" w:rsidRDefault="007C4016" w:rsidP="005C782A">
            <w:pPr>
              <w:suppressAutoHyphens w:val="0"/>
              <w:spacing w:before="240" w:after="0" w:line="240" w:lineRule="auto"/>
              <w:contextualSpacing w:val="0"/>
              <w:jc w:val="left"/>
              <w:rPr>
                <w:rFonts w:ascii="ITC Avant Garde" w:hAnsi="ITC Avant Garde"/>
                <w:lang w:val="es-ES"/>
              </w:rPr>
            </w:pPr>
            <w:r w:rsidRPr="00F45D15">
              <w:rPr>
                <w:rFonts w:ascii="ITC Avant Garde" w:hAnsi="ITC Avant Garde"/>
                <w:sz w:val="22"/>
                <w:szCs w:val="22"/>
              </w:rPr>
              <w:t>Bibliografía.</w:t>
            </w:r>
          </w:p>
        </w:tc>
        <w:tc>
          <w:tcPr>
            <w:tcW w:w="1272" w:type="dxa"/>
          </w:tcPr>
          <w:p w:rsidR="007C4016" w:rsidRPr="00F45D15" w:rsidRDefault="007C4016" w:rsidP="005C782A">
            <w:pPr>
              <w:suppressAutoHyphens w:val="0"/>
              <w:spacing w:before="240" w:after="0" w:line="240" w:lineRule="auto"/>
              <w:contextualSpacing w:val="0"/>
              <w:jc w:val="center"/>
              <w:rPr>
                <w:rFonts w:ascii="ITC Avant Garde" w:hAnsi="ITC Avant Garde" w:cs="Arial"/>
              </w:rPr>
            </w:pPr>
            <w:r>
              <w:rPr>
                <w:rFonts w:ascii="ITC Avant Garde" w:hAnsi="ITC Avant Garde" w:cs="Arial"/>
                <w:sz w:val="22"/>
                <w:szCs w:val="22"/>
                <w:lang w:val="es-ES"/>
              </w:rPr>
              <w:t>7</w:t>
            </w:r>
          </w:p>
        </w:tc>
      </w:tr>
    </w:tbl>
    <w:p w:rsidR="007C4016" w:rsidRDefault="007C4016" w:rsidP="007C4016">
      <w:pPr>
        <w:pStyle w:val="IFTnormal"/>
        <w:spacing w:before="240" w:after="0"/>
        <w:ind w:left="850"/>
        <w:rPr>
          <w:b/>
          <w:lang w:val="es-ES"/>
        </w:rPr>
      </w:pPr>
    </w:p>
    <w:p w:rsidR="007C4016" w:rsidRPr="00411E47" w:rsidRDefault="007C4016" w:rsidP="007C4016">
      <w:pPr>
        <w:pStyle w:val="IFTnormal"/>
        <w:spacing w:before="240" w:after="0"/>
        <w:ind w:left="850"/>
        <w:rPr>
          <w:b/>
          <w:lang w:val="es-ES"/>
        </w:rPr>
      </w:pPr>
      <w:r>
        <w:rPr>
          <w:b/>
          <w:lang w:val="es-ES"/>
        </w:rPr>
        <w:t xml:space="preserve">1.- </w:t>
      </w:r>
      <w:r w:rsidRPr="00411E47">
        <w:rPr>
          <w:b/>
          <w:lang w:val="es-ES"/>
        </w:rPr>
        <w:t>HISTORICO DE MODIFICACIONES.</w:t>
      </w:r>
    </w:p>
    <w:tbl>
      <w:tblPr>
        <w:tblStyle w:val="Cuadrculadetablaclara1"/>
        <w:tblW w:w="86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Caption w:val="Tabla"/>
        <w:tblDescription w:val="HISTORICO DE MODIFICACIONES."/>
      </w:tblPr>
      <w:tblGrid>
        <w:gridCol w:w="1276"/>
        <w:gridCol w:w="1134"/>
        <w:gridCol w:w="6236"/>
      </w:tblGrid>
      <w:tr w:rsidR="007C4016" w:rsidRPr="005823DD" w:rsidTr="00483567">
        <w:trPr>
          <w:tblHeader/>
          <w:jc w:val="center"/>
        </w:trPr>
        <w:tc>
          <w:tcPr>
            <w:tcW w:w="1276" w:type="dxa"/>
          </w:tcPr>
          <w:p w:rsidR="007C4016" w:rsidRPr="00F45D15" w:rsidRDefault="007C4016" w:rsidP="005C782A">
            <w:pPr>
              <w:spacing w:after="0"/>
              <w:jc w:val="center"/>
              <w:rPr>
                <w:rFonts w:ascii="ITC Avant Garde" w:hAnsi="ITC Avant Garde"/>
                <w:u w:val="single"/>
                <w:lang w:val="es-ES"/>
              </w:rPr>
            </w:pPr>
            <w:r w:rsidRPr="00F45D15">
              <w:rPr>
                <w:rFonts w:ascii="ITC Avant Garde" w:hAnsi="ITC Avant Garde"/>
                <w:sz w:val="22"/>
                <w:szCs w:val="22"/>
                <w:u w:val="single"/>
                <w:lang w:val="es-ES"/>
              </w:rPr>
              <w:lastRenderedPageBreak/>
              <w:t>Fecha</w:t>
            </w:r>
          </w:p>
        </w:tc>
        <w:tc>
          <w:tcPr>
            <w:tcW w:w="1134" w:type="dxa"/>
          </w:tcPr>
          <w:p w:rsidR="007C4016" w:rsidRPr="00F45D15" w:rsidRDefault="007C4016" w:rsidP="005C782A">
            <w:pPr>
              <w:spacing w:after="0"/>
              <w:jc w:val="center"/>
              <w:rPr>
                <w:rFonts w:ascii="ITC Avant Garde" w:hAnsi="ITC Avant Garde"/>
                <w:u w:val="single"/>
                <w:lang w:val="es-ES"/>
              </w:rPr>
            </w:pPr>
            <w:r w:rsidRPr="00F45D15">
              <w:rPr>
                <w:rFonts w:ascii="ITC Avant Garde" w:hAnsi="ITC Avant Garde"/>
                <w:sz w:val="22"/>
                <w:szCs w:val="22"/>
                <w:u w:val="single"/>
                <w:lang w:val="es-ES"/>
              </w:rPr>
              <w:t>Revisión</w:t>
            </w:r>
          </w:p>
        </w:tc>
        <w:tc>
          <w:tcPr>
            <w:tcW w:w="6236" w:type="dxa"/>
          </w:tcPr>
          <w:p w:rsidR="007C4016" w:rsidRPr="00F45D15" w:rsidRDefault="007C4016" w:rsidP="005C782A">
            <w:pPr>
              <w:spacing w:after="0"/>
              <w:rPr>
                <w:rFonts w:ascii="ITC Avant Garde" w:hAnsi="ITC Avant Garde"/>
                <w:u w:val="single"/>
                <w:lang w:val="es-ES"/>
              </w:rPr>
            </w:pPr>
            <w:r w:rsidRPr="00F45D15">
              <w:rPr>
                <w:rFonts w:ascii="ITC Avant Garde" w:hAnsi="ITC Avant Garde"/>
                <w:sz w:val="22"/>
                <w:szCs w:val="22"/>
                <w:u w:val="single"/>
                <w:lang w:val="es-ES"/>
              </w:rPr>
              <w:t>Modificaciones</w:t>
            </w:r>
          </w:p>
        </w:tc>
      </w:tr>
      <w:tr w:rsidR="007C4016" w:rsidRPr="005823DD" w:rsidTr="00483567">
        <w:trPr>
          <w:jc w:val="center"/>
        </w:trPr>
        <w:tc>
          <w:tcPr>
            <w:tcW w:w="1276" w:type="dxa"/>
          </w:tcPr>
          <w:p w:rsidR="007C4016" w:rsidRPr="00F45D15" w:rsidRDefault="007C4016" w:rsidP="005C782A">
            <w:pPr>
              <w:spacing w:after="0"/>
              <w:jc w:val="center"/>
              <w:rPr>
                <w:rFonts w:ascii="ITC Avant Garde" w:hAnsi="ITC Avant Garde" w:cs="Arial"/>
                <w:lang w:val="es-ES"/>
              </w:rPr>
            </w:pPr>
            <w:r w:rsidRPr="00F45D15">
              <w:rPr>
                <w:rFonts w:ascii="ITC Avant Garde" w:hAnsi="ITC Avant Garde" w:cs="Arial"/>
                <w:sz w:val="22"/>
                <w:szCs w:val="22"/>
                <w:lang w:val="es-ES"/>
              </w:rPr>
              <w:t>26/05/2015</w:t>
            </w:r>
          </w:p>
        </w:tc>
        <w:tc>
          <w:tcPr>
            <w:tcW w:w="1134" w:type="dxa"/>
          </w:tcPr>
          <w:p w:rsidR="007C4016" w:rsidRPr="00F45D15" w:rsidRDefault="007C4016" w:rsidP="005C782A">
            <w:pPr>
              <w:spacing w:after="0"/>
              <w:jc w:val="center"/>
              <w:rPr>
                <w:rFonts w:ascii="ITC Avant Garde" w:hAnsi="ITC Avant Garde"/>
                <w:lang w:val="es-ES"/>
              </w:rPr>
            </w:pPr>
            <w:r w:rsidRPr="00F45D15">
              <w:rPr>
                <w:rFonts w:ascii="ITC Avant Garde" w:hAnsi="ITC Avant Garde"/>
                <w:sz w:val="22"/>
                <w:szCs w:val="22"/>
                <w:lang w:val="es-ES"/>
              </w:rPr>
              <w:t>01</w:t>
            </w:r>
          </w:p>
        </w:tc>
        <w:tc>
          <w:tcPr>
            <w:tcW w:w="6236" w:type="dxa"/>
          </w:tcPr>
          <w:p w:rsidR="007C4016" w:rsidRPr="00F45D15" w:rsidRDefault="007C4016" w:rsidP="005C782A">
            <w:pPr>
              <w:pStyle w:val="Encabezado"/>
              <w:tabs>
                <w:tab w:val="clear" w:pos="4252"/>
                <w:tab w:val="clear" w:pos="8504"/>
              </w:tabs>
              <w:spacing w:after="0"/>
              <w:rPr>
                <w:rFonts w:ascii="ITC Avant Garde" w:hAnsi="ITC Avant Garde"/>
                <w:lang w:val="es-ES"/>
              </w:rPr>
            </w:pPr>
            <w:r w:rsidRPr="00F45D15">
              <w:rPr>
                <w:rFonts w:ascii="ITC Avant Garde" w:hAnsi="ITC Avant Garde"/>
                <w:sz w:val="22"/>
                <w:szCs w:val="22"/>
                <w:lang w:val="es-ES"/>
              </w:rPr>
              <w:t>Primera Edición</w:t>
            </w:r>
          </w:p>
        </w:tc>
      </w:tr>
      <w:tr w:rsidR="007C4016" w:rsidRPr="005823DD" w:rsidTr="00483567">
        <w:trPr>
          <w:jc w:val="center"/>
        </w:trPr>
        <w:tc>
          <w:tcPr>
            <w:tcW w:w="1276" w:type="dxa"/>
          </w:tcPr>
          <w:p w:rsidR="007C4016" w:rsidRPr="00F45D15" w:rsidRDefault="007C4016" w:rsidP="005C782A">
            <w:pPr>
              <w:spacing w:after="0"/>
              <w:jc w:val="center"/>
              <w:rPr>
                <w:rFonts w:ascii="ITC Avant Garde" w:hAnsi="ITC Avant Garde" w:cs="Arial"/>
                <w:lang w:val="es-ES"/>
              </w:rPr>
            </w:pPr>
            <w:r w:rsidRPr="00F45D15">
              <w:rPr>
                <w:rFonts w:ascii="ITC Avant Garde" w:hAnsi="ITC Avant Garde" w:cs="Arial"/>
                <w:sz w:val="22"/>
                <w:szCs w:val="22"/>
                <w:lang w:val="es-ES"/>
              </w:rPr>
              <w:t>24/06/2015</w:t>
            </w:r>
          </w:p>
        </w:tc>
        <w:tc>
          <w:tcPr>
            <w:tcW w:w="1134" w:type="dxa"/>
          </w:tcPr>
          <w:p w:rsidR="007C4016" w:rsidRPr="00F45D15" w:rsidRDefault="007C4016" w:rsidP="005C782A">
            <w:pPr>
              <w:spacing w:after="0"/>
              <w:jc w:val="center"/>
              <w:rPr>
                <w:rFonts w:ascii="ITC Avant Garde" w:hAnsi="ITC Avant Garde"/>
                <w:lang w:val="es-ES"/>
              </w:rPr>
            </w:pPr>
            <w:r w:rsidRPr="00F45D15">
              <w:rPr>
                <w:rFonts w:ascii="ITC Avant Garde" w:hAnsi="ITC Avant Garde"/>
                <w:sz w:val="22"/>
                <w:szCs w:val="22"/>
                <w:lang w:val="es-ES"/>
              </w:rPr>
              <w:t>02</w:t>
            </w:r>
          </w:p>
        </w:tc>
        <w:tc>
          <w:tcPr>
            <w:tcW w:w="6236" w:type="dxa"/>
          </w:tcPr>
          <w:p w:rsidR="007C4016" w:rsidRPr="00F45D15" w:rsidRDefault="007C4016" w:rsidP="005C782A">
            <w:pPr>
              <w:pStyle w:val="Encabezado"/>
              <w:tabs>
                <w:tab w:val="clear" w:pos="4252"/>
                <w:tab w:val="clear" w:pos="8504"/>
              </w:tabs>
              <w:spacing w:after="0"/>
              <w:rPr>
                <w:rFonts w:ascii="ITC Avant Garde" w:hAnsi="ITC Avant Garde"/>
                <w:lang w:val="es-ES"/>
              </w:rPr>
            </w:pPr>
            <w:r w:rsidRPr="00F45D15">
              <w:rPr>
                <w:rFonts w:ascii="ITC Avant Garde" w:hAnsi="ITC Avant Garde"/>
                <w:sz w:val="22"/>
                <w:szCs w:val="22"/>
                <w:lang w:val="es-ES"/>
              </w:rPr>
              <w:t>En el punto 4 se modifica “Análisis de Factibilidad Técnica” por “Análisis de Factibilidad”.</w:t>
            </w:r>
          </w:p>
          <w:p w:rsidR="007C4016" w:rsidRPr="00F45D15" w:rsidRDefault="007C4016" w:rsidP="005C782A">
            <w:pPr>
              <w:pStyle w:val="Encabezado"/>
              <w:tabs>
                <w:tab w:val="clear" w:pos="4252"/>
                <w:tab w:val="clear" w:pos="8504"/>
              </w:tabs>
              <w:spacing w:after="0"/>
              <w:rPr>
                <w:rFonts w:ascii="ITC Avant Garde" w:hAnsi="ITC Avant Garde"/>
                <w:lang w:val="es-ES"/>
              </w:rPr>
            </w:pPr>
            <w:r w:rsidRPr="00F45D15">
              <w:rPr>
                <w:rFonts w:ascii="ITC Avant Garde" w:hAnsi="ITC Avant Garde"/>
                <w:sz w:val="22"/>
                <w:szCs w:val="22"/>
                <w:lang w:val="es-ES"/>
              </w:rPr>
              <w:t>Se adiciona en el punto 6.2.2 que el espacio a compartir en la torre es de 4 metros lineales en el cuerpo vertical de la torre y una superficie máxima de 8.5 m2.</w:t>
            </w:r>
          </w:p>
          <w:p w:rsidR="007C4016" w:rsidRPr="00F45D15" w:rsidRDefault="007C4016" w:rsidP="005C782A">
            <w:pPr>
              <w:pStyle w:val="Encabezado"/>
              <w:tabs>
                <w:tab w:val="clear" w:pos="4252"/>
                <w:tab w:val="clear" w:pos="8504"/>
              </w:tabs>
              <w:spacing w:after="0"/>
              <w:rPr>
                <w:rFonts w:ascii="ITC Avant Garde" w:hAnsi="ITC Avant Garde"/>
                <w:lang w:val="es-ES"/>
              </w:rPr>
            </w:pPr>
            <w:r w:rsidRPr="00F45D15">
              <w:rPr>
                <w:rFonts w:ascii="ITC Avant Garde" w:hAnsi="ITC Avant Garde"/>
                <w:sz w:val="22"/>
                <w:szCs w:val="22"/>
                <w:lang w:val="es-ES"/>
              </w:rPr>
              <w:t>Se elimina la penúltima viñeta “Tipo y características del radio a instalar”.</w:t>
            </w:r>
          </w:p>
          <w:p w:rsidR="007C4016" w:rsidRPr="00F45D15" w:rsidRDefault="007C4016" w:rsidP="005C782A">
            <w:pPr>
              <w:pStyle w:val="Encabezado"/>
              <w:spacing w:after="0"/>
              <w:rPr>
                <w:rFonts w:ascii="ITC Avant Garde" w:hAnsi="ITC Avant Garde"/>
                <w:lang w:val="es-ES"/>
              </w:rPr>
            </w:pPr>
            <w:r w:rsidRPr="00F45D15">
              <w:rPr>
                <w:rFonts w:ascii="ITC Avant Garde" w:hAnsi="ITC Avant Garde"/>
                <w:sz w:val="22"/>
                <w:szCs w:val="22"/>
                <w:lang w:val="es-ES"/>
              </w:rPr>
              <w:t>Se modifica el punto 6.3 “Análisis de Factibilidad Técnica” por “Análisis de Factibilidad”.</w:t>
            </w:r>
          </w:p>
          <w:p w:rsidR="007C4016" w:rsidRPr="00F45D15" w:rsidRDefault="007C4016" w:rsidP="005C782A">
            <w:pPr>
              <w:pStyle w:val="Encabezado"/>
              <w:tabs>
                <w:tab w:val="clear" w:pos="4252"/>
                <w:tab w:val="clear" w:pos="8504"/>
              </w:tabs>
              <w:spacing w:after="0"/>
              <w:rPr>
                <w:rFonts w:ascii="ITC Avant Garde" w:hAnsi="ITC Avant Garde"/>
                <w:lang w:val="es-ES"/>
              </w:rPr>
            </w:pPr>
            <w:r w:rsidRPr="00F45D15">
              <w:rPr>
                <w:rFonts w:ascii="ITC Avant Garde" w:hAnsi="ITC Avant Garde"/>
                <w:sz w:val="22"/>
                <w:szCs w:val="22"/>
                <w:lang w:val="es-ES"/>
              </w:rPr>
              <w:t xml:space="preserve">En el punto 6.4.1 se modifica en tabla Concesionario: </w:t>
            </w:r>
            <w:r>
              <w:rPr>
                <w:rFonts w:ascii="ITC Avant Garde" w:hAnsi="ITC Avant Garde"/>
                <w:sz w:val="22"/>
                <w:szCs w:val="22"/>
                <w:lang w:val="es-ES"/>
              </w:rPr>
              <w:t>TELNOR</w:t>
            </w:r>
            <w:r w:rsidRPr="00F45D15">
              <w:rPr>
                <w:rFonts w:ascii="ITC Avant Garde" w:hAnsi="ITC Avant Garde"/>
                <w:sz w:val="22"/>
                <w:szCs w:val="22"/>
                <w:lang w:val="es-ES"/>
              </w:rPr>
              <w:t xml:space="preserve"> quedando únicamente “Concesionario:”.</w:t>
            </w:r>
          </w:p>
        </w:tc>
      </w:tr>
      <w:tr w:rsidR="007C4016" w:rsidRPr="005823DD" w:rsidTr="00483567">
        <w:trPr>
          <w:jc w:val="center"/>
        </w:trPr>
        <w:tc>
          <w:tcPr>
            <w:tcW w:w="1276" w:type="dxa"/>
          </w:tcPr>
          <w:p w:rsidR="007C4016" w:rsidRPr="00F45D15" w:rsidRDefault="007C4016" w:rsidP="005C782A">
            <w:pPr>
              <w:spacing w:after="0"/>
              <w:jc w:val="center"/>
              <w:rPr>
                <w:rFonts w:ascii="ITC Avant Garde" w:hAnsi="ITC Avant Garde" w:cs="Arial"/>
                <w:lang w:val="es-ES"/>
              </w:rPr>
            </w:pPr>
            <w:r w:rsidRPr="00F45D15">
              <w:rPr>
                <w:rFonts w:ascii="ITC Avant Garde" w:hAnsi="ITC Avant Garde" w:cs="Arial"/>
                <w:sz w:val="22"/>
                <w:szCs w:val="22"/>
                <w:lang w:val="es-ES"/>
              </w:rPr>
              <w:t>30/10/2015</w:t>
            </w:r>
          </w:p>
        </w:tc>
        <w:tc>
          <w:tcPr>
            <w:tcW w:w="1134" w:type="dxa"/>
          </w:tcPr>
          <w:p w:rsidR="007C4016" w:rsidRPr="00F45D15" w:rsidRDefault="007C4016" w:rsidP="005C782A">
            <w:pPr>
              <w:spacing w:after="0"/>
              <w:jc w:val="center"/>
              <w:rPr>
                <w:rFonts w:ascii="ITC Avant Garde" w:hAnsi="ITC Avant Garde"/>
                <w:lang w:val="es-ES"/>
              </w:rPr>
            </w:pPr>
            <w:r w:rsidRPr="00F45D15">
              <w:rPr>
                <w:rFonts w:ascii="ITC Avant Garde" w:hAnsi="ITC Avant Garde"/>
                <w:sz w:val="22"/>
                <w:szCs w:val="22"/>
                <w:lang w:val="es-ES"/>
              </w:rPr>
              <w:t>03</w:t>
            </w:r>
          </w:p>
        </w:tc>
        <w:tc>
          <w:tcPr>
            <w:tcW w:w="6236" w:type="dxa"/>
          </w:tcPr>
          <w:p w:rsidR="007C4016" w:rsidRPr="00F45D15" w:rsidRDefault="007C4016" w:rsidP="005C782A">
            <w:pPr>
              <w:pStyle w:val="Encabezado"/>
              <w:tabs>
                <w:tab w:val="clear" w:pos="4252"/>
                <w:tab w:val="clear" w:pos="8504"/>
              </w:tabs>
              <w:spacing w:after="0"/>
              <w:rPr>
                <w:rFonts w:ascii="ITC Avant Garde" w:hAnsi="ITC Avant Garde" w:cs="Arial"/>
                <w:lang w:val="es-ES"/>
              </w:rPr>
            </w:pPr>
            <w:r w:rsidRPr="00F45D15">
              <w:rPr>
                <w:rFonts w:ascii="ITC Avant Garde" w:hAnsi="ITC Avant Garde"/>
                <w:sz w:val="22"/>
                <w:szCs w:val="22"/>
                <w:lang w:val="es-ES"/>
              </w:rPr>
              <w:t>Del punto 2, se modifica “</w:t>
            </w:r>
            <w:r w:rsidRPr="00F45D15">
              <w:rPr>
                <w:rFonts w:ascii="ITC Avant Garde" w:hAnsi="ITC Avant Garde" w:cs="Arial"/>
                <w:sz w:val="22"/>
                <w:szCs w:val="22"/>
                <w:lang w:val="es-ES"/>
              </w:rPr>
              <w:t>cumplir los Concesionario Solicitante que soliciten el uso de infraestructura en torres” por “cumplir los Concesionario Solicitante para  el uso de infraestructura en torres”.</w:t>
            </w:r>
          </w:p>
          <w:p w:rsidR="007C4016" w:rsidRPr="00F45D15" w:rsidRDefault="007C4016" w:rsidP="005C782A">
            <w:pPr>
              <w:pStyle w:val="Encabezado"/>
              <w:tabs>
                <w:tab w:val="clear" w:pos="4252"/>
                <w:tab w:val="clear" w:pos="8504"/>
              </w:tabs>
              <w:spacing w:after="0"/>
              <w:rPr>
                <w:rFonts w:ascii="ITC Avant Garde" w:hAnsi="ITC Avant Garde" w:cs="Arial"/>
                <w:lang w:val="es-ES"/>
              </w:rPr>
            </w:pPr>
            <w:r w:rsidRPr="00F45D15">
              <w:rPr>
                <w:rFonts w:ascii="ITC Avant Garde" w:hAnsi="ITC Avant Garde"/>
                <w:sz w:val="22"/>
                <w:szCs w:val="22"/>
                <w:lang w:val="es-ES"/>
              </w:rPr>
              <w:t>Del punto 6.2.1, se modifica “</w:t>
            </w:r>
            <w:r w:rsidRPr="00F45D15">
              <w:rPr>
                <w:rFonts w:ascii="ITC Avant Garde" w:hAnsi="ITC Avant Garde" w:cs="Arial"/>
                <w:sz w:val="22"/>
                <w:szCs w:val="22"/>
                <w:lang w:val="es-ES"/>
              </w:rPr>
              <w:t xml:space="preserve">por lo tanto cualquier Concesionario Solicitante que solicite uso de infraestructura a </w:t>
            </w:r>
            <w:r>
              <w:rPr>
                <w:rFonts w:ascii="ITC Avant Garde" w:hAnsi="ITC Avant Garde" w:cs="Arial"/>
                <w:sz w:val="22"/>
                <w:szCs w:val="22"/>
                <w:lang w:val="es-ES"/>
              </w:rPr>
              <w:t>TELNOR</w:t>
            </w:r>
            <w:r w:rsidRPr="00F45D15">
              <w:rPr>
                <w:rFonts w:ascii="ITC Avant Garde" w:hAnsi="ITC Avant Garde" w:cs="Arial"/>
                <w:sz w:val="22"/>
                <w:szCs w:val="22"/>
                <w:lang w:val="es-ES"/>
              </w:rPr>
              <w:t xml:space="preserve"> debe proporcionar el Certificado de Homologación” por “por lo tanto, para el uso de la infraestructura de </w:t>
            </w:r>
            <w:r>
              <w:rPr>
                <w:rFonts w:ascii="ITC Avant Garde" w:hAnsi="ITC Avant Garde" w:cs="Arial"/>
                <w:sz w:val="22"/>
                <w:szCs w:val="22"/>
                <w:lang w:val="es-ES"/>
              </w:rPr>
              <w:t>TELNOR</w:t>
            </w:r>
            <w:r w:rsidRPr="00F45D15">
              <w:rPr>
                <w:rFonts w:ascii="ITC Avant Garde" w:hAnsi="ITC Avant Garde" w:cs="Arial"/>
                <w:sz w:val="22"/>
                <w:szCs w:val="22"/>
                <w:lang w:val="es-ES"/>
              </w:rPr>
              <w:t>, el Concesionario Solicitante debe proporcionar el Certificado de Homologación”</w:t>
            </w:r>
          </w:p>
          <w:p w:rsidR="007C4016" w:rsidRPr="00F45D15" w:rsidRDefault="007C4016" w:rsidP="005C782A">
            <w:pPr>
              <w:pStyle w:val="Encabezado"/>
              <w:tabs>
                <w:tab w:val="clear" w:pos="4252"/>
                <w:tab w:val="clear" w:pos="8504"/>
              </w:tabs>
              <w:spacing w:after="0"/>
              <w:rPr>
                <w:rFonts w:ascii="ITC Avant Garde" w:hAnsi="ITC Avant Garde" w:cs="Arial"/>
                <w:lang w:val="es-ES"/>
              </w:rPr>
            </w:pPr>
            <w:r w:rsidRPr="00F45D15">
              <w:rPr>
                <w:rFonts w:ascii="ITC Avant Garde" w:hAnsi="ITC Avant Garde"/>
                <w:sz w:val="22"/>
                <w:szCs w:val="22"/>
                <w:lang w:val="es-ES"/>
              </w:rPr>
              <w:t>“el Concesionario Solicitante deberá contratar  por separado el servicio de coubicación ya que estos” por “</w:t>
            </w:r>
            <w:r w:rsidRPr="00F45D15">
              <w:rPr>
                <w:rFonts w:ascii="ITC Avant Garde" w:hAnsi="ITC Avant Garde" w:cs="Arial"/>
                <w:sz w:val="22"/>
                <w:szCs w:val="22"/>
                <w:lang w:val="es-ES"/>
              </w:rPr>
              <w:t>el uso  de coubicación o uso de espacio físico”</w:t>
            </w:r>
          </w:p>
          <w:p w:rsidR="007C4016" w:rsidRPr="00F45D15" w:rsidRDefault="007C4016" w:rsidP="005C782A">
            <w:pPr>
              <w:pStyle w:val="Encabezado"/>
              <w:tabs>
                <w:tab w:val="clear" w:pos="4252"/>
                <w:tab w:val="clear" w:pos="8504"/>
              </w:tabs>
              <w:spacing w:after="0"/>
              <w:rPr>
                <w:rFonts w:ascii="ITC Avant Garde" w:hAnsi="ITC Avant Garde"/>
                <w:lang w:val="es-ES"/>
              </w:rPr>
            </w:pPr>
            <w:r w:rsidRPr="00F45D15">
              <w:rPr>
                <w:rFonts w:ascii="ITC Avant Garde" w:hAnsi="ITC Avant Garde"/>
                <w:sz w:val="22"/>
                <w:szCs w:val="22"/>
                <w:lang w:val="es-ES"/>
              </w:rPr>
              <w:lastRenderedPageBreak/>
              <w:t>Del punto 6.2.2 se modifica “Espacio físico en coubicación para alojar el radio” por “Espacio físico  o coubicación para alojar el radio”</w:t>
            </w:r>
          </w:p>
          <w:p w:rsidR="007C4016" w:rsidRPr="00F45D15" w:rsidRDefault="007C4016" w:rsidP="005C782A">
            <w:pPr>
              <w:pStyle w:val="Encabezado"/>
              <w:tabs>
                <w:tab w:val="clear" w:pos="4252"/>
                <w:tab w:val="clear" w:pos="8504"/>
              </w:tabs>
              <w:spacing w:after="0"/>
              <w:rPr>
                <w:rFonts w:ascii="ITC Avant Garde" w:hAnsi="ITC Avant Garde" w:cs="Arial"/>
              </w:rPr>
            </w:pPr>
            <w:r w:rsidRPr="00F45D15">
              <w:rPr>
                <w:rFonts w:ascii="ITC Avant Garde" w:hAnsi="ITC Avant Garde"/>
                <w:sz w:val="22"/>
                <w:szCs w:val="22"/>
                <w:lang w:val="es-ES"/>
              </w:rPr>
              <w:t>Del punto 6.3.1 se modifica “es necesario que en su solicitud presente su plan de canalización en la banda de frecuencias solicitada” por “es necesario que en su anteproyecto presente su plan de canalización en la banda de frecuencias determinadas</w:t>
            </w:r>
            <w:r w:rsidRPr="00F45D15">
              <w:rPr>
                <w:rFonts w:ascii="ITC Avant Garde" w:hAnsi="ITC Avant Garde" w:cs="Arial"/>
                <w:sz w:val="22"/>
                <w:szCs w:val="22"/>
              </w:rPr>
              <w:t>”</w:t>
            </w:r>
          </w:p>
          <w:p w:rsidR="007C4016" w:rsidRPr="00F45D15" w:rsidRDefault="007C4016" w:rsidP="005C782A">
            <w:pPr>
              <w:pStyle w:val="Encabezado"/>
              <w:tabs>
                <w:tab w:val="clear" w:pos="4252"/>
                <w:tab w:val="clear" w:pos="8504"/>
              </w:tabs>
              <w:spacing w:after="0"/>
              <w:rPr>
                <w:rFonts w:ascii="ITC Avant Garde" w:hAnsi="ITC Avant Garde" w:cs="Arial"/>
                <w:lang w:val="es-ES"/>
              </w:rPr>
            </w:pPr>
            <w:r w:rsidRPr="00F45D15">
              <w:rPr>
                <w:rFonts w:ascii="ITC Avant Garde" w:hAnsi="ITC Avant Garde"/>
                <w:sz w:val="22"/>
                <w:szCs w:val="22"/>
                <w:lang w:val="es-ES"/>
              </w:rPr>
              <w:t>Del punto 6.3.5 se modifica  “la solicitud del Concesionario Solicitante” por “</w:t>
            </w:r>
            <w:r w:rsidRPr="00F45D15">
              <w:rPr>
                <w:rFonts w:ascii="ITC Avant Garde" w:hAnsi="ITC Avant Garde" w:cs="Arial"/>
                <w:sz w:val="22"/>
                <w:szCs w:val="22"/>
                <w:lang w:val="es-ES"/>
              </w:rPr>
              <w:t xml:space="preserve">el anteproyecto del Concesionario Solicitante” </w:t>
            </w:r>
          </w:p>
          <w:p w:rsidR="007C4016" w:rsidRPr="00F45D15" w:rsidRDefault="007C4016" w:rsidP="005C782A">
            <w:pPr>
              <w:pStyle w:val="Encabezado"/>
              <w:tabs>
                <w:tab w:val="clear" w:pos="4252"/>
                <w:tab w:val="clear" w:pos="8504"/>
              </w:tabs>
              <w:spacing w:after="0"/>
              <w:rPr>
                <w:rFonts w:ascii="ITC Avant Garde" w:hAnsi="ITC Avant Garde" w:cs="Arial"/>
                <w:lang w:val="es-ES"/>
              </w:rPr>
            </w:pPr>
            <w:r w:rsidRPr="00F45D15">
              <w:rPr>
                <w:rFonts w:ascii="ITC Avant Garde" w:hAnsi="ITC Avant Garde" w:cs="Arial"/>
                <w:sz w:val="22"/>
                <w:szCs w:val="22"/>
                <w:lang w:val="es-ES"/>
              </w:rPr>
              <w:t>Del inciso 2: “a las solicitudes” por “a los anteproyectos”</w:t>
            </w:r>
          </w:p>
          <w:p w:rsidR="007C4016" w:rsidRPr="00F45D15" w:rsidRDefault="007C4016" w:rsidP="005C782A">
            <w:pPr>
              <w:pStyle w:val="Encabezado"/>
              <w:tabs>
                <w:tab w:val="clear" w:pos="4252"/>
                <w:tab w:val="clear" w:pos="8504"/>
              </w:tabs>
              <w:spacing w:after="0"/>
              <w:rPr>
                <w:rFonts w:ascii="ITC Avant Garde" w:hAnsi="ITC Avant Garde"/>
                <w:lang w:val="es-ES"/>
              </w:rPr>
            </w:pPr>
            <w:r w:rsidRPr="00F45D15">
              <w:rPr>
                <w:rFonts w:ascii="ITC Avant Garde" w:hAnsi="ITC Avant Garde"/>
                <w:sz w:val="22"/>
                <w:szCs w:val="22"/>
                <w:lang w:val="es-ES"/>
              </w:rPr>
              <w:t>Del inciso 4: “la solicitud, de lo contrario no procederá la solicitud requiriendo una nueva propuesta y por tanto una nueva solicitud por parte del Concesionario Solicitante” por “el anteproyecto, de lo contrario no procederá el proyecto requiriendo una nueva propuesta”</w:t>
            </w:r>
          </w:p>
          <w:p w:rsidR="007C4016" w:rsidRPr="00F45D15" w:rsidRDefault="007C4016" w:rsidP="005C782A">
            <w:pPr>
              <w:pStyle w:val="Encabezado"/>
              <w:tabs>
                <w:tab w:val="clear" w:pos="4252"/>
                <w:tab w:val="clear" w:pos="8504"/>
              </w:tabs>
              <w:spacing w:after="0"/>
              <w:rPr>
                <w:rFonts w:ascii="ITC Avant Garde" w:hAnsi="ITC Avant Garde"/>
                <w:lang w:val="es-ES"/>
              </w:rPr>
            </w:pPr>
            <w:r w:rsidRPr="00F45D15">
              <w:rPr>
                <w:rFonts w:ascii="ITC Avant Garde" w:hAnsi="ITC Avant Garde"/>
                <w:sz w:val="22"/>
                <w:szCs w:val="22"/>
                <w:lang w:val="es-ES"/>
              </w:rPr>
              <w:t>Del punto 6.4 se elimina “ y Métodos”</w:t>
            </w:r>
          </w:p>
        </w:tc>
      </w:tr>
      <w:tr w:rsidR="007C4016" w:rsidRPr="005823DD" w:rsidTr="00483567">
        <w:trPr>
          <w:jc w:val="center"/>
        </w:trPr>
        <w:tc>
          <w:tcPr>
            <w:tcW w:w="1276" w:type="dxa"/>
          </w:tcPr>
          <w:p w:rsidR="007C4016" w:rsidRPr="00F45D15" w:rsidRDefault="007C4016" w:rsidP="005C782A">
            <w:pPr>
              <w:spacing w:after="0"/>
              <w:jc w:val="center"/>
              <w:rPr>
                <w:rFonts w:ascii="ITC Avant Garde" w:hAnsi="ITC Avant Garde" w:cs="Arial"/>
                <w:lang w:val="es-ES"/>
              </w:rPr>
            </w:pPr>
          </w:p>
        </w:tc>
        <w:tc>
          <w:tcPr>
            <w:tcW w:w="1134" w:type="dxa"/>
          </w:tcPr>
          <w:p w:rsidR="007C4016" w:rsidRPr="00F45D15" w:rsidRDefault="007C4016" w:rsidP="005C782A">
            <w:pPr>
              <w:spacing w:after="0"/>
              <w:jc w:val="center"/>
              <w:rPr>
                <w:rFonts w:ascii="ITC Avant Garde" w:hAnsi="ITC Avant Garde"/>
                <w:lang w:val="es-ES"/>
              </w:rPr>
            </w:pPr>
          </w:p>
        </w:tc>
        <w:tc>
          <w:tcPr>
            <w:tcW w:w="6236" w:type="dxa"/>
          </w:tcPr>
          <w:p w:rsidR="007C4016" w:rsidRPr="00F45D15" w:rsidRDefault="007C4016" w:rsidP="005C782A">
            <w:pPr>
              <w:pStyle w:val="Encabezado"/>
              <w:tabs>
                <w:tab w:val="clear" w:pos="4252"/>
                <w:tab w:val="clear" w:pos="8504"/>
              </w:tabs>
              <w:spacing w:after="0"/>
              <w:rPr>
                <w:rFonts w:ascii="ITC Avant Garde" w:hAnsi="ITC Avant Garde"/>
                <w:lang w:val="es-ES"/>
              </w:rPr>
            </w:pPr>
            <w:r w:rsidRPr="00F45D15">
              <w:rPr>
                <w:rFonts w:ascii="ITC Avant Garde" w:hAnsi="ITC Avant Garde"/>
                <w:sz w:val="22"/>
                <w:szCs w:val="22"/>
                <w:lang w:val="es-ES"/>
              </w:rPr>
              <w:t>Del punto 7 se modifica “Esta información se entregará cuando se realice la contratación del servicio” por “</w:t>
            </w:r>
            <w:r w:rsidRPr="00F45D15">
              <w:rPr>
                <w:rFonts w:ascii="ITC Avant Garde" w:hAnsi="ITC Avant Garde" w:cs="Arial"/>
                <w:sz w:val="22"/>
                <w:szCs w:val="22"/>
                <w:lang w:val="es-ES"/>
              </w:rPr>
              <w:t>Los anteproyectos presentados por los Concesionario Solicitante deben incluir la siguiente información”</w:t>
            </w:r>
          </w:p>
        </w:tc>
      </w:tr>
    </w:tbl>
    <w:p w:rsidR="007C4016" w:rsidRPr="00411E47" w:rsidRDefault="007C4016" w:rsidP="007C4016">
      <w:pPr>
        <w:pStyle w:val="IFTnormal"/>
        <w:spacing w:before="240" w:after="0"/>
        <w:ind w:left="850"/>
        <w:rPr>
          <w:b/>
          <w:lang w:val="es-ES"/>
        </w:rPr>
      </w:pPr>
      <w:r>
        <w:rPr>
          <w:b/>
          <w:lang w:val="es-ES"/>
        </w:rPr>
        <w:t xml:space="preserve">2.- </w:t>
      </w:r>
      <w:r w:rsidRPr="00411E47">
        <w:rPr>
          <w:b/>
          <w:lang w:val="es-ES"/>
        </w:rPr>
        <w:t>OBJETIVO.</w:t>
      </w:r>
    </w:p>
    <w:p w:rsidR="007C4016" w:rsidRPr="00411E47" w:rsidRDefault="007C4016" w:rsidP="007C4016">
      <w:pPr>
        <w:pStyle w:val="IFTnormal"/>
        <w:spacing w:before="240" w:after="0"/>
        <w:ind w:left="850"/>
        <w:rPr>
          <w:lang w:val="es-ES"/>
        </w:rPr>
      </w:pPr>
      <w:r>
        <w:rPr>
          <w:lang w:val="es-ES"/>
        </w:rPr>
        <w:t>TELNOR</w:t>
      </w:r>
      <w:r w:rsidRPr="00411E47">
        <w:rPr>
          <w:lang w:val="es-ES"/>
        </w:rPr>
        <w:t xml:space="preserve"> facilitará espacios en torres propias o cedidas en comodato, a Concesionarios Solicitantes para la instalación de sistemas de microondas o de radiofrecuencia, por lo que es necesario regular el crecimiento de los mismos en puntos comunes. </w:t>
      </w:r>
    </w:p>
    <w:p w:rsidR="007C4016" w:rsidRPr="00411E47" w:rsidRDefault="007C4016" w:rsidP="007C4016">
      <w:pPr>
        <w:pStyle w:val="IFTnormal"/>
        <w:spacing w:before="240" w:after="0"/>
        <w:ind w:left="850"/>
        <w:rPr>
          <w:lang w:val="es-ES"/>
        </w:rPr>
      </w:pPr>
      <w:r w:rsidRPr="00411E47">
        <w:rPr>
          <w:lang w:val="es-ES"/>
        </w:rPr>
        <w:lastRenderedPageBreak/>
        <w:t xml:space="preserve">El presente documento establece los requisitos técnicos y de operación que deben cumplir los Concesionarios Solicitantes para el uso de infraestructura en torres propiedad de </w:t>
      </w:r>
      <w:r>
        <w:rPr>
          <w:lang w:val="es-ES"/>
        </w:rPr>
        <w:t>TELNOR</w:t>
      </w:r>
      <w:r w:rsidRPr="00411E47">
        <w:rPr>
          <w:lang w:val="es-ES"/>
        </w:rPr>
        <w:t xml:space="preserve"> o en comodato, para la instalación de equipos de radios de microondas y antenas en bandas licenciadas o de uso libre, esto permitirá garantizar el uso eficiente de los espacios físicos así como asegurar la correcta operación de los sistemas actuales a fin de que no existan problemas de interferencia con las bandas o bloques de frecuencias autorizadas a </w:t>
      </w:r>
      <w:r>
        <w:rPr>
          <w:lang w:val="es-ES"/>
        </w:rPr>
        <w:t>TELNOR</w:t>
      </w:r>
      <w:r w:rsidRPr="00411E47">
        <w:rPr>
          <w:lang w:val="es-ES"/>
        </w:rPr>
        <w:t>, ni se ocasionen daños estructurales a la Torre.</w:t>
      </w:r>
    </w:p>
    <w:p w:rsidR="007C4016" w:rsidRPr="00411E47" w:rsidRDefault="007C4016" w:rsidP="007C4016">
      <w:pPr>
        <w:pStyle w:val="IFTnormal"/>
        <w:spacing w:before="240" w:after="0"/>
        <w:ind w:left="850"/>
        <w:rPr>
          <w:b/>
          <w:lang w:val="es-ES"/>
        </w:rPr>
      </w:pPr>
      <w:r>
        <w:rPr>
          <w:b/>
          <w:lang w:val="es-ES"/>
        </w:rPr>
        <w:t xml:space="preserve">3.- </w:t>
      </w:r>
      <w:r w:rsidRPr="00411E47">
        <w:rPr>
          <w:b/>
          <w:lang w:val="es-ES"/>
        </w:rPr>
        <w:t>ALCANCE.</w:t>
      </w:r>
    </w:p>
    <w:p w:rsidR="007C4016" w:rsidRPr="00411E47" w:rsidRDefault="007C4016" w:rsidP="007C4016">
      <w:pPr>
        <w:pStyle w:val="IFTnormal"/>
        <w:spacing w:before="240" w:after="0"/>
        <w:ind w:left="850"/>
        <w:rPr>
          <w:lang w:val="es-ES"/>
        </w:rPr>
      </w:pPr>
      <w:r w:rsidRPr="00411E47">
        <w:rPr>
          <w:lang w:val="es-ES"/>
        </w:rPr>
        <w:t xml:space="preserve">Este documento debe ser aplicado por las áreas de Ingeniería, proyectos y construcción internas de </w:t>
      </w:r>
      <w:r>
        <w:rPr>
          <w:lang w:val="es-ES"/>
        </w:rPr>
        <w:t>TELNOR</w:t>
      </w:r>
      <w:r w:rsidRPr="00411E47">
        <w:rPr>
          <w:lang w:val="es-ES"/>
        </w:rPr>
        <w:t xml:space="preserve"> así como por los Concesionarios Solicitantes.</w:t>
      </w:r>
    </w:p>
    <w:p w:rsidR="007C4016" w:rsidRPr="00411E47" w:rsidRDefault="007C4016" w:rsidP="007C4016">
      <w:pPr>
        <w:pStyle w:val="IFTnormal"/>
        <w:spacing w:before="240" w:after="0"/>
        <w:ind w:left="850"/>
        <w:rPr>
          <w:b/>
          <w:lang w:val="es-ES"/>
        </w:rPr>
      </w:pPr>
      <w:r>
        <w:rPr>
          <w:b/>
          <w:lang w:val="es-ES"/>
        </w:rPr>
        <w:t xml:space="preserve">4.- </w:t>
      </w:r>
      <w:r w:rsidRPr="00411E47">
        <w:rPr>
          <w:b/>
          <w:lang w:val="es-ES"/>
        </w:rPr>
        <w:t>DEFINICIONES.</w:t>
      </w:r>
    </w:p>
    <w:p w:rsidR="007C4016" w:rsidRPr="00411E47" w:rsidRDefault="007C4016" w:rsidP="007C4016">
      <w:pPr>
        <w:pStyle w:val="IFTnormal"/>
        <w:spacing w:before="240" w:after="0"/>
        <w:ind w:left="850"/>
        <w:rPr>
          <w:lang w:val="es-ES"/>
        </w:rPr>
      </w:pPr>
      <w:r w:rsidRPr="00411E47">
        <w:rPr>
          <w:b/>
          <w:lang w:val="es-ES"/>
        </w:rPr>
        <w:t xml:space="preserve">Análisis estructural de Torre. </w:t>
      </w:r>
      <w:r w:rsidRPr="00411E47">
        <w:rPr>
          <w:lang w:val="es-ES"/>
        </w:rPr>
        <w:t>Análisis que realiza el Concesionario Solicitante para revisar la capacidad de carga de la Torre.</w:t>
      </w:r>
    </w:p>
    <w:p w:rsidR="007C4016" w:rsidRPr="00411E47" w:rsidRDefault="007C4016" w:rsidP="007C4016">
      <w:pPr>
        <w:pStyle w:val="IFTnormal"/>
        <w:spacing w:before="240" w:after="0"/>
        <w:ind w:left="850"/>
        <w:rPr>
          <w:lang w:val="es-ES"/>
        </w:rPr>
      </w:pPr>
      <w:r w:rsidRPr="00411E47">
        <w:rPr>
          <w:b/>
          <w:lang w:val="es-ES"/>
        </w:rPr>
        <w:t xml:space="preserve">CNI. </w:t>
      </w:r>
      <w:r w:rsidRPr="00411E47">
        <w:rPr>
          <w:lang w:val="es-ES"/>
        </w:rPr>
        <w:t>Constancia de No Interferencia.</w:t>
      </w:r>
    </w:p>
    <w:p w:rsidR="007C4016" w:rsidRPr="00411E47" w:rsidRDefault="007C4016" w:rsidP="007C4016">
      <w:pPr>
        <w:pStyle w:val="IFTnormal"/>
        <w:spacing w:before="240" w:after="0"/>
        <w:ind w:left="850"/>
        <w:rPr>
          <w:lang w:val="es-ES"/>
        </w:rPr>
      </w:pPr>
      <w:r w:rsidRPr="00411E47">
        <w:rPr>
          <w:b/>
          <w:lang w:val="es-ES"/>
        </w:rPr>
        <w:t>Homologación</w:t>
      </w:r>
      <w:r w:rsidRPr="00411E47">
        <w:rPr>
          <w:lang w:val="es-ES"/>
        </w:rPr>
        <w:t>. Acto por el cual la Secretaría de Comunicaciones y Transportes y/o el IFT reconocen oficialmente que las especificaciones de un producto destinado a telecomunicaciones satisface las normas y requisitos establecidos, por lo que puede ser integrado a una red pública de telecomunicaciones o hacer uso del espectro radioeléctrico.</w:t>
      </w:r>
    </w:p>
    <w:p w:rsidR="007C4016" w:rsidRPr="00411E47" w:rsidRDefault="007C4016" w:rsidP="007C4016">
      <w:pPr>
        <w:pStyle w:val="IFTnormal"/>
        <w:spacing w:before="240" w:after="0"/>
        <w:ind w:left="850"/>
        <w:rPr>
          <w:lang w:val="es-ES"/>
        </w:rPr>
      </w:pPr>
      <w:r w:rsidRPr="00411E47">
        <w:rPr>
          <w:b/>
          <w:lang w:val="es-ES"/>
        </w:rPr>
        <w:t>Interferencia</w:t>
      </w:r>
      <w:r w:rsidRPr="00411E47">
        <w:rPr>
          <w:lang w:val="es-ES"/>
        </w:rPr>
        <w:t>. Efecto de una energía no deseada debida a una o varias emisiones, radiaciones, inducciones o sus combinaciones sobre la recepción de un sistema de radiocomunicación, que se manifiesta como degradación de la calidad, falseamiento o pérdida de la información.</w:t>
      </w:r>
    </w:p>
    <w:p w:rsidR="007C4016" w:rsidRPr="00411E47" w:rsidRDefault="007C4016" w:rsidP="007C4016">
      <w:pPr>
        <w:pStyle w:val="IFTnormal"/>
        <w:spacing w:before="240" w:after="0"/>
        <w:ind w:left="850"/>
        <w:rPr>
          <w:b/>
          <w:lang w:val="es-ES"/>
        </w:rPr>
      </w:pPr>
      <w:r w:rsidRPr="00411E47">
        <w:rPr>
          <w:b/>
          <w:lang w:val="es-ES"/>
        </w:rPr>
        <w:t>Planeación de frecuencias.</w:t>
      </w:r>
    </w:p>
    <w:p w:rsidR="007C4016" w:rsidRPr="00411E47" w:rsidRDefault="007C4016" w:rsidP="007C4016">
      <w:pPr>
        <w:pStyle w:val="IFTnormal"/>
        <w:spacing w:before="240" w:after="0"/>
        <w:ind w:left="850"/>
        <w:rPr>
          <w:lang w:val="es-ES"/>
        </w:rPr>
      </w:pPr>
      <w:r w:rsidRPr="00411E47">
        <w:rPr>
          <w:lang w:val="es-ES"/>
        </w:rPr>
        <w:t>Arreglo de frecuencias (Altas y Bajas) de una red de microondas que permite hacer uso eficiente del espectro radioeléctrico.</w:t>
      </w:r>
    </w:p>
    <w:p w:rsidR="007C4016" w:rsidRPr="00411E47" w:rsidRDefault="007C4016" w:rsidP="007C4016">
      <w:pPr>
        <w:pStyle w:val="IFTnormal"/>
        <w:spacing w:before="240" w:after="0"/>
        <w:ind w:left="850"/>
        <w:rPr>
          <w:lang w:val="es-ES"/>
        </w:rPr>
      </w:pPr>
      <w:r w:rsidRPr="00411E47">
        <w:rPr>
          <w:b/>
          <w:lang w:val="es-ES"/>
        </w:rPr>
        <w:t>Poligonal</w:t>
      </w:r>
      <w:r w:rsidRPr="00411E47">
        <w:rPr>
          <w:lang w:val="es-ES"/>
        </w:rPr>
        <w:t>.</w:t>
      </w:r>
    </w:p>
    <w:p w:rsidR="007C4016" w:rsidRPr="00411E47" w:rsidRDefault="007C4016" w:rsidP="007C4016">
      <w:pPr>
        <w:pStyle w:val="IFTnormal"/>
        <w:spacing w:before="240" w:after="0"/>
        <w:ind w:left="850"/>
        <w:rPr>
          <w:lang w:val="es-ES"/>
        </w:rPr>
      </w:pPr>
      <w:r w:rsidRPr="00411E47">
        <w:rPr>
          <w:lang w:val="es-ES"/>
        </w:rPr>
        <w:lastRenderedPageBreak/>
        <w:t>Documento que plasma en una tabla los datos de ubicación de las estaciones, así como los datos técnicos de instalación de un sistema de microondas.</w:t>
      </w:r>
    </w:p>
    <w:p w:rsidR="007C4016" w:rsidRPr="00411E47" w:rsidRDefault="007C4016" w:rsidP="007C4016">
      <w:pPr>
        <w:pStyle w:val="IFTnormal"/>
        <w:spacing w:before="240" w:after="0"/>
        <w:ind w:left="850"/>
        <w:rPr>
          <w:b/>
          <w:lang w:val="es-ES"/>
        </w:rPr>
      </w:pPr>
      <w:r>
        <w:rPr>
          <w:b/>
          <w:lang w:val="es-ES"/>
        </w:rPr>
        <w:t xml:space="preserve">5.- </w:t>
      </w:r>
      <w:r w:rsidRPr="00411E47">
        <w:rPr>
          <w:b/>
          <w:lang w:val="es-ES"/>
        </w:rPr>
        <w:t>DOCUMENTOS DE REFERENCIA.</w:t>
      </w:r>
    </w:p>
    <w:p w:rsidR="007C4016" w:rsidRPr="00411E47" w:rsidRDefault="007C4016" w:rsidP="007C4016">
      <w:pPr>
        <w:pStyle w:val="IFTnormal"/>
        <w:spacing w:before="240" w:after="0"/>
        <w:ind w:left="850"/>
        <w:rPr>
          <w:lang w:val="es-ES"/>
        </w:rPr>
      </w:pPr>
      <w:r w:rsidRPr="00411E47">
        <w:rPr>
          <w:lang w:val="es-ES"/>
        </w:rPr>
        <w:t>No Aplica.</w:t>
      </w:r>
    </w:p>
    <w:p w:rsidR="007C4016" w:rsidRPr="00411E47" w:rsidRDefault="007C4016" w:rsidP="007C4016">
      <w:pPr>
        <w:pStyle w:val="IFTnormal"/>
        <w:spacing w:before="240" w:after="0"/>
        <w:ind w:left="850"/>
        <w:rPr>
          <w:b/>
          <w:lang w:val="es-ES"/>
        </w:rPr>
      </w:pPr>
      <w:r>
        <w:rPr>
          <w:b/>
          <w:lang w:val="es-ES"/>
        </w:rPr>
        <w:t xml:space="preserve">6.- </w:t>
      </w:r>
      <w:r w:rsidRPr="00411E47">
        <w:rPr>
          <w:b/>
          <w:lang w:val="es-ES"/>
        </w:rPr>
        <w:t>DESARROLLO.</w:t>
      </w:r>
    </w:p>
    <w:p w:rsidR="007C4016" w:rsidRPr="00411E47" w:rsidRDefault="007C4016" w:rsidP="007C4016">
      <w:pPr>
        <w:pStyle w:val="IFTnormal"/>
        <w:spacing w:before="240" w:after="0"/>
        <w:ind w:left="850"/>
        <w:rPr>
          <w:b/>
        </w:rPr>
      </w:pPr>
      <w:r>
        <w:rPr>
          <w:b/>
        </w:rPr>
        <w:t xml:space="preserve">6.1- </w:t>
      </w:r>
      <w:r w:rsidRPr="00411E47">
        <w:rPr>
          <w:b/>
        </w:rPr>
        <w:t>INTRODUCCION.</w:t>
      </w:r>
    </w:p>
    <w:p w:rsidR="007C4016" w:rsidRPr="00411E47" w:rsidRDefault="007C4016" w:rsidP="007C4016">
      <w:pPr>
        <w:pStyle w:val="IFTnormal"/>
        <w:spacing w:before="240" w:after="0"/>
        <w:ind w:left="850"/>
        <w:rPr>
          <w:lang w:val="es-ES"/>
        </w:rPr>
      </w:pPr>
      <w:r>
        <w:rPr>
          <w:lang w:val="es-ES"/>
        </w:rPr>
        <w:t>TELNOR</w:t>
      </w:r>
      <w:r w:rsidRPr="00411E47">
        <w:rPr>
          <w:lang w:val="es-ES"/>
        </w:rPr>
        <w:t xml:space="preserve"> podrá proporcionar a solicitud del Concesionario Solicitante, espacios en torres propias o cedidas en comodato, para la instalación de sistemas de radiantes, por lo que se deben realizar los análisis de frecuencias necesarios para garantizar la correcta operación de los sistemas existentes, así como un uso adecuado del espectro radioeléctrico en puntos comunes. Adicionalmente, el Análisis Estructural de Torre para garantizar la integridad física de la misma.</w:t>
      </w:r>
    </w:p>
    <w:p w:rsidR="007C4016" w:rsidRPr="00411E47" w:rsidRDefault="007C4016" w:rsidP="007C4016">
      <w:pPr>
        <w:pStyle w:val="IFTnormal"/>
        <w:spacing w:before="240" w:after="0"/>
        <w:ind w:left="850"/>
        <w:rPr>
          <w:lang w:val="es-ES"/>
        </w:rPr>
      </w:pPr>
      <w:r w:rsidRPr="00411E47">
        <w:rPr>
          <w:lang w:val="es-ES"/>
        </w:rPr>
        <w:t xml:space="preserve">Dado lo anterior, el presente documento indica la información y requisitos que debe cubrir cualquier Concesionario Solicitante que requiera hacer uso de infraestructura pasiva en sitios </w:t>
      </w:r>
      <w:r>
        <w:rPr>
          <w:lang w:val="es-ES"/>
        </w:rPr>
        <w:t>TELNOR</w:t>
      </w:r>
      <w:r w:rsidRPr="00411E47">
        <w:rPr>
          <w:lang w:val="es-ES"/>
        </w:rPr>
        <w:t>.</w:t>
      </w:r>
    </w:p>
    <w:p w:rsidR="007C4016" w:rsidRPr="00411E47" w:rsidRDefault="007C4016" w:rsidP="007C4016">
      <w:pPr>
        <w:pStyle w:val="IFTnormal"/>
        <w:spacing w:before="240" w:after="0"/>
        <w:ind w:left="850"/>
        <w:rPr>
          <w:b/>
        </w:rPr>
      </w:pPr>
      <w:r>
        <w:rPr>
          <w:b/>
        </w:rPr>
        <w:t xml:space="preserve">6.2.- </w:t>
      </w:r>
      <w:r w:rsidRPr="00411E47">
        <w:rPr>
          <w:b/>
        </w:rPr>
        <w:t>ANÁLISIS DE FACTIBILIDAD</w:t>
      </w:r>
    </w:p>
    <w:p w:rsidR="007C4016" w:rsidRPr="00411E47" w:rsidRDefault="007C4016" w:rsidP="007C4016">
      <w:pPr>
        <w:pStyle w:val="IFTnormal"/>
        <w:spacing w:before="240" w:after="0"/>
        <w:ind w:left="850"/>
        <w:rPr>
          <w:lang w:val="es-ES"/>
        </w:rPr>
      </w:pPr>
      <w:r w:rsidRPr="00411E47">
        <w:rPr>
          <w:lang w:val="es-ES"/>
        </w:rPr>
        <w:t xml:space="preserve">Con la información proporcionada por </w:t>
      </w:r>
      <w:r>
        <w:rPr>
          <w:lang w:val="es-ES"/>
        </w:rPr>
        <w:t>TELNOR</w:t>
      </w:r>
      <w:r w:rsidRPr="00411E47">
        <w:rPr>
          <w:lang w:val="es-ES"/>
        </w:rPr>
        <w:t xml:space="preserve">, el Concesionario Solicitante presentará a </w:t>
      </w:r>
      <w:r>
        <w:rPr>
          <w:lang w:val="es-ES"/>
        </w:rPr>
        <w:t>TELNOR</w:t>
      </w:r>
      <w:r w:rsidRPr="00411E47">
        <w:rPr>
          <w:lang w:val="es-ES"/>
        </w:rPr>
        <w:t xml:space="preserve"> un Anteproyecto de Ingeniería que deberá incluir los siguientes elementos, los cuales deberán estar plasmados en los anexos señalados en el punto 7 de este documento. Con esta información </w:t>
      </w:r>
      <w:r>
        <w:rPr>
          <w:lang w:val="es-ES"/>
        </w:rPr>
        <w:t>TELNOR</w:t>
      </w:r>
      <w:r w:rsidRPr="00411E47">
        <w:rPr>
          <w:lang w:val="es-ES"/>
        </w:rPr>
        <w:t xml:space="preserve"> realizará el Análisis de Factibilidad.</w:t>
      </w:r>
    </w:p>
    <w:p w:rsidR="007C4016" w:rsidRPr="00411E47" w:rsidRDefault="007C4016" w:rsidP="007C4016">
      <w:pPr>
        <w:pStyle w:val="IFTnormal"/>
        <w:spacing w:before="240" w:after="0"/>
        <w:ind w:left="850"/>
        <w:rPr>
          <w:b/>
        </w:rPr>
      </w:pPr>
      <w:r>
        <w:rPr>
          <w:b/>
        </w:rPr>
        <w:t xml:space="preserve">6.2.1- </w:t>
      </w:r>
      <w:r w:rsidRPr="00411E47">
        <w:rPr>
          <w:b/>
        </w:rPr>
        <w:t>Planeación de frecuencias.</w:t>
      </w:r>
    </w:p>
    <w:p w:rsidR="007C4016" w:rsidRPr="00411E47" w:rsidRDefault="007C4016" w:rsidP="007C4016">
      <w:pPr>
        <w:pStyle w:val="IFTnormal"/>
        <w:spacing w:before="240" w:after="0"/>
        <w:ind w:left="850"/>
        <w:rPr>
          <w:lang w:val="es-ES"/>
        </w:rPr>
      </w:pPr>
      <w:r w:rsidRPr="00411E47">
        <w:rPr>
          <w:lang w:val="es-ES"/>
        </w:rPr>
        <w:t xml:space="preserve">Cuando un Concesionario Solicitante requiera instalar un radio de microondas haciendo uso de infraestructura de </w:t>
      </w:r>
      <w:r>
        <w:rPr>
          <w:lang w:val="es-ES"/>
        </w:rPr>
        <w:t>TELNOR</w:t>
      </w:r>
      <w:r w:rsidRPr="00411E47">
        <w:rPr>
          <w:lang w:val="es-ES"/>
        </w:rPr>
        <w:t xml:space="preserve">, es necesario que en su anteproyecto presente su plan de canalización en la banda de frecuencias determinadas, en este plan se especificara gráficamente el número de canales y el ancho de banda de los mismos tal como se ilustra </w:t>
      </w:r>
      <w:r w:rsidRPr="00411E47">
        <w:rPr>
          <w:lang w:val="es-ES"/>
        </w:rPr>
        <w:lastRenderedPageBreak/>
        <w:t>en la siguiente figura, así mismo deberá entregar en un archivo de Excel de forma numérica esta canalización como se muestra en el anexo 3.</w:t>
      </w:r>
    </w:p>
    <w:p w:rsidR="007C4016" w:rsidRPr="00411E47" w:rsidRDefault="007C4016" w:rsidP="007C4016">
      <w:pPr>
        <w:pStyle w:val="IFTnormal"/>
        <w:spacing w:before="240" w:after="0"/>
        <w:ind w:left="850"/>
        <w:jc w:val="center"/>
        <w:rPr>
          <w:lang w:val="es-ES"/>
        </w:rPr>
      </w:pPr>
      <w:r w:rsidRPr="00411E47">
        <w:rPr>
          <w:lang w:val="es-ES"/>
        </w:rPr>
        <w:object w:dxaOrig="7545" w:dyaOrig="3374">
          <v:shape id="_x0000_i1026" type="#_x0000_t75" alt="Banda XX GHz" style="width:363.2pt;height:155.8pt" o:ole="">
            <v:imagedata r:id="rId41" o:title=""/>
          </v:shape>
          <o:OLEObject Type="Embed" ProgID="Word.Picture.8" ShapeID="_x0000_i1026" DrawAspect="Content" ObjectID="_1581844701" r:id="rId42"/>
        </w:object>
      </w:r>
    </w:p>
    <w:p w:rsidR="007C4016" w:rsidRPr="00A6436B" w:rsidRDefault="007C4016" w:rsidP="007C4016">
      <w:pPr>
        <w:pStyle w:val="IFTnormal"/>
        <w:spacing w:before="240" w:after="0"/>
        <w:ind w:left="850"/>
        <w:rPr>
          <w:b/>
        </w:rPr>
      </w:pPr>
      <w:r>
        <w:rPr>
          <w:b/>
        </w:rPr>
        <w:t xml:space="preserve">6.2.2- </w:t>
      </w:r>
      <w:r w:rsidRPr="00411E47">
        <w:rPr>
          <w:b/>
        </w:rPr>
        <w:t>Poligonal del enlace.</w:t>
      </w:r>
    </w:p>
    <w:p w:rsidR="007C4016" w:rsidRPr="00411E47" w:rsidRDefault="007C4016" w:rsidP="007C4016">
      <w:pPr>
        <w:pStyle w:val="IFTnormal"/>
        <w:spacing w:before="240" w:after="0"/>
        <w:ind w:left="850"/>
        <w:rPr>
          <w:lang w:val="es-ES"/>
        </w:rPr>
      </w:pPr>
      <w:r w:rsidRPr="00411E47">
        <w:rPr>
          <w:lang w:val="es-ES"/>
        </w:rPr>
        <w:t>Es requisito indispensable que todo Concesionario Solicitante incluya en su anteproyecto la poligonal del enlace, la propuesta de frecuencias a utilizar y todos los datos técnicos indicados en el formato de poligonal del enlace que se detalla en el Anexo 1 y 2 de este documento.</w:t>
      </w:r>
    </w:p>
    <w:p w:rsidR="007C4016" w:rsidRPr="00A6436B" w:rsidRDefault="007C4016" w:rsidP="007C4016">
      <w:pPr>
        <w:pStyle w:val="IFTnormal"/>
        <w:spacing w:before="240" w:after="0"/>
        <w:ind w:left="850"/>
        <w:rPr>
          <w:b/>
        </w:rPr>
      </w:pPr>
      <w:r>
        <w:rPr>
          <w:b/>
        </w:rPr>
        <w:t xml:space="preserve">6.2.3- </w:t>
      </w:r>
      <w:r w:rsidRPr="00411E47">
        <w:rPr>
          <w:b/>
        </w:rPr>
        <w:t>Datos Generales del sistema.</w:t>
      </w:r>
    </w:p>
    <w:p w:rsidR="007C4016" w:rsidRPr="00411E47" w:rsidRDefault="007C4016" w:rsidP="007C4016">
      <w:pPr>
        <w:pStyle w:val="IFTnormal"/>
        <w:spacing w:before="240" w:after="0"/>
        <w:ind w:left="850"/>
        <w:rPr>
          <w:lang w:val="es-ES"/>
        </w:rPr>
      </w:pPr>
      <w:r w:rsidRPr="00411E47">
        <w:rPr>
          <w:lang w:val="es-ES"/>
        </w:rPr>
        <w:t>Se requiere que el Concesionario Solicitante envié los datos generales de su sistema de radio en archivo Excel de acuerdo al formato del anexo 4.</w:t>
      </w:r>
    </w:p>
    <w:p w:rsidR="007C4016" w:rsidRPr="00A6436B" w:rsidRDefault="007C4016" w:rsidP="007C4016">
      <w:pPr>
        <w:pStyle w:val="IFTnormal"/>
        <w:spacing w:before="240" w:after="0"/>
        <w:ind w:left="850"/>
        <w:rPr>
          <w:b/>
        </w:rPr>
      </w:pPr>
      <w:r>
        <w:rPr>
          <w:b/>
          <w:lang w:val="es-ES"/>
        </w:rPr>
        <w:t xml:space="preserve">6.2.4- </w:t>
      </w:r>
      <w:r w:rsidRPr="00411E47">
        <w:rPr>
          <w:b/>
          <w:lang w:val="es-ES"/>
        </w:rPr>
        <w:t>Datos técnicos de equipos de radio y antenas.</w:t>
      </w:r>
    </w:p>
    <w:p w:rsidR="007C4016" w:rsidRPr="00411E47" w:rsidRDefault="007C4016" w:rsidP="007C4016">
      <w:pPr>
        <w:pStyle w:val="IFTnormal"/>
        <w:spacing w:before="240" w:after="0"/>
        <w:ind w:left="850"/>
        <w:rPr>
          <w:lang w:val="es-ES"/>
        </w:rPr>
      </w:pPr>
      <w:r w:rsidRPr="00411E47">
        <w:rPr>
          <w:lang w:val="es-ES"/>
        </w:rPr>
        <w:t>Además de la poligonal del enlace el Concesionario Solicitante debe enviar los archivos de datos técnicos con las características de los radios y  antenas a utilizar de acuerdo con los formatos de los anexos  5 y 6 (archivos .txt).</w:t>
      </w:r>
    </w:p>
    <w:p w:rsidR="007C4016" w:rsidRPr="00A6436B" w:rsidRDefault="007C4016" w:rsidP="007C4016">
      <w:pPr>
        <w:pStyle w:val="IFTnormal"/>
        <w:spacing w:before="240" w:after="0"/>
        <w:ind w:left="850"/>
        <w:rPr>
          <w:b/>
        </w:rPr>
      </w:pPr>
      <w:r>
        <w:rPr>
          <w:b/>
        </w:rPr>
        <w:t xml:space="preserve">6.2.5.- </w:t>
      </w:r>
      <w:r w:rsidRPr="00411E47">
        <w:rPr>
          <w:b/>
        </w:rPr>
        <w:t>Análisis de frecuencia.</w:t>
      </w:r>
    </w:p>
    <w:p w:rsidR="007C4016" w:rsidRPr="00411E47" w:rsidRDefault="007C4016" w:rsidP="007C4016">
      <w:pPr>
        <w:pStyle w:val="IFTnormal"/>
        <w:spacing w:before="240" w:after="0"/>
        <w:ind w:left="850"/>
        <w:rPr>
          <w:lang w:val="es-ES"/>
        </w:rPr>
      </w:pPr>
      <w:r>
        <w:rPr>
          <w:lang w:val="es-ES"/>
        </w:rPr>
        <w:t>TELNOR</w:t>
      </w:r>
      <w:r w:rsidRPr="00411E47">
        <w:rPr>
          <w:lang w:val="es-ES"/>
        </w:rPr>
        <w:t xml:space="preserve"> realizará el análisis de frecuencia para la instalación de cualquier sistema de microondas que requiera utilizar infraestructura de </w:t>
      </w:r>
      <w:r>
        <w:rPr>
          <w:lang w:val="es-ES"/>
        </w:rPr>
        <w:t>TELNOR</w:t>
      </w:r>
      <w:r w:rsidRPr="00411E47">
        <w:rPr>
          <w:lang w:val="es-ES"/>
        </w:rPr>
        <w:t>, el anteproyecto del Concesionario Solicitante deberá contener la información descrita en los puntos anteriores.</w:t>
      </w:r>
    </w:p>
    <w:p w:rsidR="007C4016" w:rsidRPr="00411E47" w:rsidRDefault="007C4016" w:rsidP="007C4016">
      <w:pPr>
        <w:pStyle w:val="IFTnormal"/>
        <w:spacing w:before="240" w:after="0"/>
        <w:ind w:left="850"/>
        <w:rPr>
          <w:lang w:val="es-ES"/>
        </w:rPr>
      </w:pPr>
      <w:r w:rsidRPr="00411E47">
        <w:rPr>
          <w:lang w:val="es-ES"/>
        </w:rPr>
        <w:lastRenderedPageBreak/>
        <w:t>La información proporcionada por el Concesionario Solicitante tiene como objetivo lo siguiente:</w:t>
      </w:r>
    </w:p>
    <w:p w:rsidR="007C4016" w:rsidRPr="00411E47" w:rsidRDefault="007C4016" w:rsidP="007C4016">
      <w:pPr>
        <w:pStyle w:val="IFTnormal"/>
        <w:numPr>
          <w:ilvl w:val="0"/>
          <w:numId w:val="180"/>
        </w:numPr>
        <w:spacing w:before="240" w:after="0"/>
        <w:ind w:left="1247"/>
      </w:pPr>
      <w:r w:rsidRPr="00411E47">
        <w:t>Con la Poligonal del enlace de microondas punto a punto o punto a multipunto (Anexo 1 y Anexo 2) ya sea en bandas licenciadas o en bandas de uso libre que el Concesionario Solicitante requiera instalar, se validará la planeación de frecuencias de tal manera que se asegure la óptima utilización del espectro en cada sitio.</w:t>
      </w:r>
    </w:p>
    <w:p w:rsidR="007C4016" w:rsidRPr="00411E47" w:rsidRDefault="007C4016" w:rsidP="007C4016">
      <w:pPr>
        <w:pStyle w:val="IFTnormal"/>
        <w:numPr>
          <w:ilvl w:val="0"/>
          <w:numId w:val="180"/>
        </w:numPr>
        <w:spacing w:before="240" w:after="0"/>
        <w:ind w:left="1247"/>
      </w:pPr>
      <w:r w:rsidRPr="00411E47">
        <w:t xml:space="preserve">Los datos Generales, se refieren a los datos del enlace a instalar con el fin de tener un registro y dar seguimiento a los anteproyectos de los sistemas de microondas de cada uno de los Concesionario Solicitante que hagan uso de la infraestructura de </w:t>
      </w:r>
      <w:r>
        <w:t>TELNOR</w:t>
      </w:r>
      <w:r w:rsidRPr="00411E47">
        <w:t xml:space="preserve"> detallados en el anexo 4. </w:t>
      </w:r>
    </w:p>
    <w:p w:rsidR="007C4016" w:rsidRPr="00411E47" w:rsidRDefault="007C4016" w:rsidP="007C4016">
      <w:pPr>
        <w:pStyle w:val="IFTnormal"/>
        <w:numPr>
          <w:ilvl w:val="0"/>
          <w:numId w:val="180"/>
        </w:numPr>
        <w:spacing w:before="240" w:after="0"/>
        <w:ind w:left="1247"/>
      </w:pPr>
      <w:r w:rsidRPr="00411E47">
        <w:t>Los datos técnicos de patrones de radiación de las antenas, así como los datos técnicos de los equipos son particulares de cada proveedor, en general son entregados por los proveedores de los equipos en archivos  de texto (.txt), esta información es requerida por cualquier software de análisis de frecuencias por lo que es requisito indispensable su entrega por  todo Concesionario Solicitante. En los anexos 5 y 6 se da un ejemplo de archivos de texto que se debe entregar con los datos técnicos de radios y antenas respectivamente.</w:t>
      </w:r>
    </w:p>
    <w:p w:rsidR="007C4016" w:rsidRPr="00411E47" w:rsidRDefault="007C4016" w:rsidP="007C4016">
      <w:pPr>
        <w:pStyle w:val="IFTnormal"/>
        <w:numPr>
          <w:ilvl w:val="0"/>
          <w:numId w:val="180"/>
        </w:numPr>
        <w:spacing w:before="240" w:after="0"/>
        <w:ind w:left="1247"/>
      </w:pPr>
      <w:r w:rsidRPr="00411E47">
        <w:t xml:space="preserve">Con la información proporcionada por el Concesionario Solicitante se realizaran los análisis de frecuencia de los sistemas a instalar contra los sistemas que </w:t>
      </w:r>
      <w:r>
        <w:t>TELNOR</w:t>
      </w:r>
      <w:r w:rsidRPr="00411E47">
        <w:t xml:space="preserve"> u otros operadores tengan en operación en los sitios en los que se requiera el uso de infraestructura, de no existir problemas se indicara que procede el anteproyecto, de lo contrario no procederá el proyecto requiriendo una nueva propuesta.</w:t>
      </w:r>
    </w:p>
    <w:p w:rsidR="007C4016" w:rsidRPr="00411E47" w:rsidRDefault="007C4016" w:rsidP="007C4016">
      <w:pPr>
        <w:pStyle w:val="IFTnormal"/>
        <w:spacing w:before="240" w:after="0"/>
        <w:ind w:left="850"/>
      </w:pPr>
      <w:r w:rsidRPr="00411E47">
        <w:t>Una vez autorizada la instalación del enlace y liberado el análisis de frecuencias, el Concesionario Solicitante deberá tramitar con alguna de las empresas coordinadoras de frecuencia autorizadas por el IFT, la Constancia de No interferencia o CNI para aquellas bandas licitadas que así lo requieran, este CNI deberá ser entregado al momento de la instalación del enlace.</w:t>
      </w:r>
    </w:p>
    <w:p w:rsidR="007C4016" w:rsidRPr="00A6436B" w:rsidRDefault="007C4016" w:rsidP="007C4016">
      <w:pPr>
        <w:pStyle w:val="IFTnormal"/>
        <w:spacing w:before="240" w:after="0"/>
        <w:ind w:left="850"/>
        <w:rPr>
          <w:b/>
        </w:rPr>
      </w:pPr>
      <w:r>
        <w:rPr>
          <w:b/>
        </w:rPr>
        <w:lastRenderedPageBreak/>
        <w:t xml:space="preserve">6.3.- </w:t>
      </w:r>
      <w:r w:rsidRPr="00411E47">
        <w:rPr>
          <w:b/>
        </w:rPr>
        <w:t>REQUISITOS PARA LA INSTALACIÓN DE ANTENAS Y EQUIPOS DE RADIO EN TORRES.</w:t>
      </w:r>
    </w:p>
    <w:p w:rsidR="007C4016" w:rsidRPr="00A6436B" w:rsidRDefault="007C4016" w:rsidP="007C4016">
      <w:pPr>
        <w:pStyle w:val="IFTnormal"/>
        <w:spacing w:before="240" w:after="0"/>
        <w:ind w:left="850"/>
        <w:rPr>
          <w:b/>
        </w:rPr>
      </w:pPr>
      <w:r>
        <w:rPr>
          <w:b/>
        </w:rPr>
        <w:t xml:space="preserve">6.3.1.- </w:t>
      </w:r>
      <w:r w:rsidRPr="00411E47">
        <w:rPr>
          <w:b/>
        </w:rPr>
        <w:t>Antenas</w:t>
      </w:r>
    </w:p>
    <w:p w:rsidR="007C4016" w:rsidRPr="00411E47" w:rsidRDefault="007C4016" w:rsidP="007C4016">
      <w:pPr>
        <w:pStyle w:val="IFTnormal"/>
        <w:spacing w:before="240" w:after="0"/>
        <w:ind w:left="850"/>
        <w:rPr>
          <w:lang w:val="es-ES"/>
        </w:rPr>
      </w:pPr>
      <w:r w:rsidRPr="00411E47">
        <w:rPr>
          <w:lang w:val="es-ES"/>
        </w:rPr>
        <w:t xml:space="preserve">Toda antena a ser instalada en torres </w:t>
      </w:r>
      <w:r>
        <w:rPr>
          <w:lang w:val="es-ES"/>
        </w:rPr>
        <w:t>TELNOR</w:t>
      </w:r>
      <w:r w:rsidRPr="00411E47">
        <w:rPr>
          <w:lang w:val="es-ES"/>
        </w:rPr>
        <w:t xml:space="preserve"> deberá ser rotulada en la parte trasera para su fácil identificación, los datos que deben ser rotulados se indican a continuación.</w:t>
      </w:r>
    </w:p>
    <w:p w:rsidR="007C4016" w:rsidRPr="00411E47" w:rsidRDefault="007C4016" w:rsidP="007C4016">
      <w:pPr>
        <w:pStyle w:val="IFTnormal"/>
        <w:spacing w:before="240" w:after="0"/>
        <w:ind w:left="850"/>
        <w:rPr>
          <w:lang w:val="es-ES"/>
        </w:rPr>
      </w:pPr>
      <w:r w:rsidRPr="00411E47">
        <w:rPr>
          <w:noProof/>
          <w:lang w:eastAsia="es-MX"/>
        </w:rPr>
        <w:drawing>
          <wp:inline distT="0" distB="0" distL="0" distR="0" wp14:anchorId="242FA55A" wp14:editId="52E720CC">
            <wp:extent cx="5610225" cy="1676400"/>
            <wp:effectExtent l="0" t="0" r="9525" b="0"/>
            <wp:docPr id="44" name="Imagen 44" descr="Toda antena a ser instalada en torres TELNOR deberá ser rotulada en la parte trasera para su fácil identificació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610225" cy="1676400"/>
                    </a:xfrm>
                    <a:prstGeom prst="rect">
                      <a:avLst/>
                    </a:prstGeom>
                    <a:noFill/>
                    <a:ln w="9525">
                      <a:noFill/>
                      <a:miter lim="800000"/>
                      <a:headEnd/>
                      <a:tailEnd/>
                    </a:ln>
                  </pic:spPr>
                </pic:pic>
              </a:graphicData>
            </a:graphic>
          </wp:inline>
        </w:drawing>
      </w:r>
    </w:p>
    <w:p w:rsidR="007C4016" w:rsidRPr="00411E47" w:rsidRDefault="007C4016" w:rsidP="007C4016">
      <w:pPr>
        <w:pStyle w:val="IFTnormal"/>
        <w:spacing w:before="240" w:after="0"/>
        <w:ind w:left="850"/>
        <w:rPr>
          <w:lang w:val="es-ES"/>
        </w:rPr>
      </w:pPr>
      <w:r w:rsidRPr="00411E47">
        <w:rPr>
          <w:lang w:val="es-ES"/>
        </w:rPr>
        <w:t>En la siguiente imagen se muestra como ejemplo una antena rotulada de tal manera que los datos son visibles.</w:t>
      </w:r>
    </w:p>
    <w:p w:rsidR="007C4016" w:rsidRDefault="007C4016" w:rsidP="007C4016">
      <w:pPr>
        <w:pStyle w:val="IFTnormal"/>
        <w:spacing w:before="240" w:after="0"/>
        <w:ind w:left="850"/>
        <w:rPr>
          <w:lang w:val="es-ES"/>
        </w:rPr>
      </w:pPr>
      <w:r w:rsidRPr="00411E47">
        <w:rPr>
          <w:noProof/>
          <w:lang w:eastAsia="es-MX"/>
        </w:rPr>
        <w:drawing>
          <wp:inline distT="0" distB="0" distL="0" distR="0" wp14:anchorId="07E2074E" wp14:editId="053F02F9">
            <wp:extent cx="2886075" cy="2143125"/>
            <wp:effectExtent l="0" t="0" r="9525" b="9525"/>
            <wp:docPr id="46" name="Imagen 46" descr="ejemplo una antena rotulada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2886075" cy="2143125"/>
                    </a:xfrm>
                    <a:prstGeom prst="rect">
                      <a:avLst/>
                    </a:prstGeom>
                    <a:noFill/>
                    <a:ln w="9525">
                      <a:noFill/>
                      <a:miter lim="800000"/>
                      <a:headEnd/>
                      <a:tailEnd/>
                    </a:ln>
                  </pic:spPr>
                </pic:pic>
              </a:graphicData>
            </a:graphic>
          </wp:inline>
        </w:drawing>
      </w:r>
    </w:p>
    <w:p w:rsidR="007C4016" w:rsidRPr="00411E47" w:rsidRDefault="007C4016" w:rsidP="007C4016">
      <w:pPr>
        <w:pStyle w:val="IFTnormal"/>
        <w:spacing w:before="240" w:after="0"/>
        <w:ind w:left="850"/>
        <w:rPr>
          <w:b/>
        </w:rPr>
      </w:pPr>
      <w:r>
        <w:rPr>
          <w:b/>
        </w:rPr>
        <w:t>6.3.2.- Equipo y Medidas d</w:t>
      </w:r>
      <w:r w:rsidRPr="00411E47">
        <w:rPr>
          <w:b/>
        </w:rPr>
        <w:t>e Seguridad</w:t>
      </w:r>
    </w:p>
    <w:p w:rsidR="007C4016" w:rsidRPr="00411E47" w:rsidRDefault="007C4016" w:rsidP="007C4016">
      <w:pPr>
        <w:pStyle w:val="IFTnormal"/>
        <w:spacing w:before="240" w:after="0"/>
        <w:ind w:left="850"/>
        <w:rPr>
          <w:lang w:val="es-ES"/>
        </w:rPr>
      </w:pPr>
      <w:r w:rsidRPr="00411E47">
        <w:rPr>
          <w:lang w:val="es-ES"/>
        </w:rPr>
        <w:t>El instalador del Concesionario Solicitante deberá portar la credencial y vestir con el uniforme de la compañía que represente, el equipo de seguridad básico y obligatorio es el siguiente:</w:t>
      </w:r>
    </w:p>
    <w:p w:rsidR="007C4016" w:rsidRPr="00411E47" w:rsidRDefault="007C4016" w:rsidP="007C4016">
      <w:pPr>
        <w:pStyle w:val="IFTnormal"/>
        <w:numPr>
          <w:ilvl w:val="0"/>
          <w:numId w:val="182"/>
        </w:numPr>
        <w:spacing w:before="240" w:after="0"/>
        <w:ind w:left="1267"/>
        <w:rPr>
          <w:lang w:val="es-ES"/>
        </w:rPr>
      </w:pPr>
      <w:r w:rsidRPr="00411E47">
        <w:rPr>
          <w:lang w:val="es-ES"/>
        </w:rPr>
        <w:lastRenderedPageBreak/>
        <w:t>Casco de seguridad.</w:t>
      </w:r>
    </w:p>
    <w:p w:rsidR="007C4016" w:rsidRPr="00411E47" w:rsidRDefault="007C4016" w:rsidP="007C4016">
      <w:pPr>
        <w:pStyle w:val="IFTnormal"/>
        <w:numPr>
          <w:ilvl w:val="0"/>
          <w:numId w:val="181"/>
        </w:numPr>
        <w:spacing w:after="0"/>
        <w:ind w:left="1267"/>
        <w:rPr>
          <w:lang w:val="es-ES"/>
        </w:rPr>
      </w:pPr>
      <w:r w:rsidRPr="00411E47">
        <w:rPr>
          <w:lang w:val="es-ES"/>
        </w:rPr>
        <w:t>Arnés.</w:t>
      </w:r>
    </w:p>
    <w:p w:rsidR="007C4016" w:rsidRPr="00411E47" w:rsidRDefault="007C4016" w:rsidP="007C4016">
      <w:pPr>
        <w:pStyle w:val="IFTnormal"/>
        <w:numPr>
          <w:ilvl w:val="0"/>
          <w:numId w:val="181"/>
        </w:numPr>
        <w:spacing w:after="0"/>
        <w:ind w:left="1267"/>
        <w:rPr>
          <w:lang w:val="es-ES"/>
        </w:rPr>
      </w:pPr>
      <w:r w:rsidRPr="00411E47">
        <w:rPr>
          <w:lang w:val="es-ES"/>
        </w:rPr>
        <w:t>Guantes.</w:t>
      </w:r>
    </w:p>
    <w:p w:rsidR="007C4016" w:rsidRPr="00411E47" w:rsidRDefault="007C4016" w:rsidP="007C4016">
      <w:pPr>
        <w:pStyle w:val="IFTnormal"/>
        <w:numPr>
          <w:ilvl w:val="0"/>
          <w:numId w:val="181"/>
        </w:numPr>
        <w:spacing w:after="0"/>
        <w:ind w:left="1267"/>
        <w:rPr>
          <w:lang w:val="es-ES"/>
        </w:rPr>
      </w:pPr>
      <w:r w:rsidRPr="00411E47">
        <w:rPr>
          <w:lang w:val="es-ES"/>
        </w:rPr>
        <w:t>Sorderas.</w:t>
      </w:r>
    </w:p>
    <w:p w:rsidR="007C4016" w:rsidRPr="00411E47" w:rsidRDefault="007C4016" w:rsidP="007C4016">
      <w:pPr>
        <w:pStyle w:val="IFTnormal"/>
        <w:numPr>
          <w:ilvl w:val="0"/>
          <w:numId w:val="181"/>
        </w:numPr>
        <w:spacing w:after="0"/>
        <w:ind w:left="1267"/>
        <w:rPr>
          <w:lang w:val="es-ES"/>
        </w:rPr>
      </w:pPr>
      <w:r w:rsidRPr="00411E47">
        <w:rPr>
          <w:lang w:val="es-ES"/>
        </w:rPr>
        <w:t>Lentes de seguridad.</w:t>
      </w:r>
    </w:p>
    <w:p w:rsidR="007C4016" w:rsidRPr="00411E47" w:rsidRDefault="007C4016" w:rsidP="007C4016">
      <w:pPr>
        <w:pStyle w:val="IFTnormal"/>
        <w:numPr>
          <w:ilvl w:val="0"/>
          <w:numId w:val="181"/>
        </w:numPr>
        <w:spacing w:after="0"/>
        <w:ind w:left="1267"/>
        <w:rPr>
          <w:lang w:val="es-ES"/>
        </w:rPr>
      </w:pPr>
      <w:r w:rsidRPr="00411E47">
        <w:rPr>
          <w:lang w:val="es-ES"/>
        </w:rPr>
        <w:t>Acordonar área de seguridad.</w:t>
      </w:r>
    </w:p>
    <w:p w:rsidR="007C4016" w:rsidRPr="00411E47" w:rsidRDefault="007C4016" w:rsidP="007C4016">
      <w:pPr>
        <w:pStyle w:val="IFTnormal"/>
        <w:numPr>
          <w:ilvl w:val="0"/>
          <w:numId w:val="181"/>
        </w:numPr>
        <w:spacing w:after="0"/>
        <w:ind w:left="1267"/>
        <w:rPr>
          <w:lang w:val="es-ES"/>
        </w:rPr>
      </w:pPr>
      <w:r w:rsidRPr="00411E47">
        <w:rPr>
          <w:lang w:val="es-ES"/>
        </w:rPr>
        <w:t>Botas de seguridad.</w:t>
      </w:r>
    </w:p>
    <w:p w:rsidR="007C4016" w:rsidRPr="00411E47" w:rsidRDefault="007C4016" w:rsidP="007C4016">
      <w:pPr>
        <w:pStyle w:val="IFTnormal"/>
        <w:numPr>
          <w:ilvl w:val="0"/>
          <w:numId w:val="181"/>
        </w:numPr>
        <w:spacing w:after="0"/>
        <w:ind w:left="1267"/>
        <w:rPr>
          <w:lang w:val="es-ES"/>
        </w:rPr>
      </w:pPr>
      <w:r w:rsidRPr="00411E47">
        <w:rPr>
          <w:lang w:val="es-ES"/>
        </w:rPr>
        <w:t xml:space="preserve">Herramienta adecuada para cada tipo de trabajo, tal como Cuerdas de acero, Cuerdas Plásticas, Grilletes, Binoculares, Poleas para cables de acero, Bolsas para herramienta, sujetadores, Radios de intercomunicación, etc. , además debe ser verificada antes de su uso para evitar accidentes de trabajo. </w:t>
      </w:r>
    </w:p>
    <w:p w:rsidR="007C4016" w:rsidRPr="00411E47" w:rsidRDefault="007C4016" w:rsidP="007C4016">
      <w:pPr>
        <w:pStyle w:val="IFTnormal"/>
        <w:spacing w:before="240" w:after="0"/>
        <w:ind w:left="850"/>
        <w:rPr>
          <w:lang w:val="es-ES"/>
        </w:rPr>
      </w:pPr>
      <w:r w:rsidRPr="00411E47">
        <w:rPr>
          <w:lang w:val="es-ES"/>
        </w:rPr>
        <w:t xml:space="preserve">Al trabajar en la torre en todo momento el personal del Concesionario Solicitante debe utilizar el arnés de seguridad y las herramientas debidamente sujetas </w:t>
      </w:r>
    </w:p>
    <w:p w:rsidR="007C4016" w:rsidRPr="00A6436B" w:rsidRDefault="007C4016" w:rsidP="007C4016">
      <w:pPr>
        <w:pStyle w:val="IFTnormal"/>
        <w:spacing w:before="240" w:after="0"/>
        <w:ind w:left="850"/>
        <w:rPr>
          <w:b/>
          <w:lang w:val="es-ES"/>
        </w:rPr>
      </w:pPr>
      <w:r>
        <w:rPr>
          <w:b/>
          <w:lang w:val="es-ES"/>
        </w:rPr>
        <w:t xml:space="preserve">7.- </w:t>
      </w:r>
      <w:r w:rsidRPr="00411E47">
        <w:rPr>
          <w:b/>
          <w:lang w:val="es-ES"/>
        </w:rPr>
        <w:t>ANEXOS.</w:t>
      </w:r>
    </w:p>
    <w:p w:rsidR="007C4016" w:rsidRPr="00411E47" w:rsidRDefault="007C4016" w:rsidP="007C4016">
      <w:pPr>
        <w:pStyle w:val="IFTnormal"/>
        <w:spacing w:before="240" w:after="0"/>
        <w:ind w:left="850"/>
        <w:rPr>
          <w:lang w:val="es-ES"/>
        </w:rPr>
      </w:pPr>
      <w:r w:rsidRPr="00411E47">
        <w:rPr>
          <w:lang w:val="es-ES"/>
        </w:rPr>
        <w:t xml:space="preserve">Los anteproyectos presentados por los Concesionarios Solicitantes deben incluir la siguiente información: </w:t>
      </w:r>
    </w:p>
    <w:p w:rsidR="007C4016" w:rsidRPr="00411E47" w:rsidRDefault="007C4016" w:rsidP="007C4016">
      <w:pPr>
        <w:pStyle w:val="IFTnormal"/>
        <w:spacing w:before="240" w:after="0"/>
        <w:ind w:left="850"/>
        <w:rPr>
          <w:lang w:val="es-ES"/>
        </w:rPr>
      </w:pPr>
      <w:r w:rsidRPr="00411E47">
        <w:rPr>
          <w:lang w:val="es-ES"/>
        </w:rPr>
        <w:t>Anexo 1 POLIGONAL SISTEMA PUNTO A PUNTO</w:t>
      </w:r>
    </w:p>
    <w:p w:rsidR="007C4016" w:rsidRPr="00411E47" w:rsidRDefault="007C4016" w:rsidP="007C4016">
      <w:pPr>
        <w:pStyle w:val="IFTnormal"/>
        <w:spacing w:before="240" w:after="0"/>
        <w:ind w:left="850"/>
        <w:rPr>
          <w:lang w:val="es-ES"/>
        </w:rPr>
      </w:pPr>
      <w:r w:rsidRPr="00411E47">
        <w:rPr>
          <w:lang w:val="es-ES"/>
        </w:rPr>
        <w:t>Anexo 2 POLIGONAL DEL SISTEMA PUNTO A MULTIPUNTO</w:t>
      </w:r>
    </w:p>
    <w:p w:rsidR="007C4016" w:rsidRPr="00411E47" w:rsidRDefault="007C4016" w:rsidP="007C4016">
      <w:pPr>
        <w:pStyle w:val="IFTnormal"/>
        <w:spacing w:before="240" w:after="0"/>
        <w:ind w:left="850"/>
        <w:rPr>
          <w:lang w:val="es-ES"/>
        </w:rPr>
      </w:pPr>
      <w:r w:rsidRPr="00411E47">
        <w:rPr>
          <w:lang w:val="es-ES"/>
        </w:rPr>
        <w:t>Anexo 3 PLAN DE CANALIZACIÓN EN LA BANDA DE FRECUENCIAS</w:t>
      </w:r>
    </w:p>
    <w:p w:rsidR="007C4016" w:rsidRPr="00411E47" w:rsidRDefault="007C4016" w:rsidP="007C4016">
      <w:pPr>
        <w:pStyle w:val="IFTnormal"/>
        <w:spacing w:before="240" w:after="0"/>
        <w:ind w:left="850"/>
        <w:rPr>
          <w:lang w:val="es-ES"/>
        </w:rPr>
      </w:pPr>
      <w:r w:rsidRPr="00411E47">
        <w:rPr>
          <w:lang w:val="es-ES"/>
        </w:rPr>
        <w:t>Anexo 4 DATOS GENERALES DEL SISTEMA</w:t>
      </w:r>
    </w:p>
    <w:p w:rsidR="007C4016" w:rsidRDefault="007C4016" w:rsidP="007C4016">
      <w:pPr>
        <w:pStyle w:val="IFTnormal"/>
        <w:spacing w:before="240" w:after="0"/>
        <w:ind w:left="850"/>
      </w:pPr>
      <w:r w:rsidRPr="00411E47">
        <w:rPr>
          <w:lang w:val="es-ES"/>
        </w:rPr>
        <w:t xml:space="preserve">Anexo 5 y 6 </w:t>
      </w:r>
      <w:r w:rsidRPr="00411E47">
        <w:t>DATOS TÉCNICOS DE RADIOS Y ANTENAS</w:t>
      </w:r>
    </w:p>
    <w:p w:rsidR="007C4016" w:rsidRPr="00A6436B" w:rsidRDefault="007C4016" w:rsidP="007C4016">
      <w:pPr>
        <w:pStyle w:val="IFTnormal"/>
        <w:spacing w:before="240" w:after="0"/>
        <w:ind w:left="850"/>
        <w:rPr>
          <w:b/>
          <w:lang w:val="es-ES"/>
        </w:rPr>
      </w:pPr>
      <w:r>
        <w:rPr>
          <w:b/>
          <w:lang w:val="es-ES"/>
        </w:rPr>
        <w:t xml:space="preserve">8.- </w:t>
      </w:r>
      <w:r w:rsidRPr="00411E47">
        <w:rPr>
          <w:b/>
          <w:lang w:val="es-ES"/>
        </w:rPr>
        <w:t>BIBLIOGRAFÍA.</w:t>
      </w:r>
    </w:p>
    <w:p w:rsidR="007C4016" w:rsidRDefault="007C4016" w:rsidP="007C4016">
      <w:pPr>
        <w:pStyle w:val="IFTnormal"/>
        <w:spacing w:before="240" w:after="0"/>
        <w:ind w:left="850"/>
        <w:rPr>
          <w:lang w:val="es-ES"/>
        </w:rPr>
      </w:pPr>
      <w:r w:rsidRPr="00411E47">
        <w:rPr>
          <w:lang w:val="es-ES"/>
        </w:rPr>
        <w:t>No aplica.</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NORMA 4: NORMA DE INGENIERÍA PARA EL APROVISIONAMIENTO DE CANAL OPTICO.</w:t>
      </w:r>
    </w:p>
    <w:p w:rsidR="007C4016" w:rsidRPr="00460CA7" w:rsidRDefault="007C4016" w:rsidP="007C4016">
      <w:pPr>
        <w:pStyle w:val="IFTnormal"/>
        <w:spacing w:before="240" w:after="0"/>
        <w:rPr>
          <w:b/>
        </w:rPr>
      </w:pPr>
      <w:r w:rsidRPr="00460CA7">
        <w:rPr>
          <w:b/>
        </w:rPr>
        <w:t>Consideraciones del Instituto</w:t>
      </w:r>
    </w:p>
    <w:p w:rsidR="007C4016" w:rsidRPr="00BF4959" w:rsidRDefault="007C4016" w:rsidP="007C4016">
      <w:pPr>
        <w:pStyle w:val="IFTnormal"/>
        <w:spacing w:before="240" w:after="0"/>
        <w:rPr>
          <w:b/>
        </w:rPr>
      </w:pPr>
      <w:r w:rsidRPr="002802DB">
        <w:rPr>
          <w:b/>
          <w:lang w:val="es-ES"/>
        </w:rPr>
        <w:lastRenderedPageBreak/>
        <w:t xml:space="preserve">CASO 2. Cambios que </w:t>
      </w:r>
      <w:r w:rsidRPr="002802DB">
        <w:rPr>
          <w:b/>
        </w:rPr>
        <w:t>modifican la redacción de la Propuesta de Oferta de Referencia.</w:t>
      </w:r>
    </w:p>
    <w:p w:rsidR="007C4016" w:rsidRPr="00CC772E" w:rsidRDefault="007C4016" w:rsidP="007C4016">
      <w:pPr>
        <w:pStyle w:val="IFTnormal"/>
        <w:spacing w:before="240" w:after="0"/>
        <w:rPr>
          <w:b/>
          <w:lang w:val="es-ES"/>
        </w:rPr>
      </w:pPr>
      <w:r>
        <w:rPr>
          <w:b/>
          <w:lang w:val="es-ES"/>
        </w:rPr>
        <w:t>Servicio de Canales Ópticos de Alta Capacidad</w:t>
      </w:r>
    </w:p>
    <w:p w:rsidR="007C4016" w:rsidRDefault="007C4016" w:rsidP="007C4016">
      <w:pPr>
        <w:pStyle w:val="IFTnormal"/>
        <w:spacing w:before="240" w:after="0"/>
      </w:pPr>
      <w:r>
        <w:t>El Instituto observa que lo establecido por el AEP en esta normativa técnica considera cuestiones administrativas y operativas que pertenecen a la descripción y alcance del servicio de la provisión de canales ópticos de alta capacidad analizado en la Sección “2.</w:t>
      </w:r>
      <w:r>
        <w:tab/>
        <w:t>SERVICIO DE CANALES ÓPTICOS DE ALTA CAPACIDAD DE TRANSPORTE” del presente documento.</w:t>
      </w:r>
    </w:p>
    <w:p w:rsidR="007C4016" w:rsidRDefault="007C4016" w:rsidP="007C4016">
      <w:pPr>
        <w:pStyle w:val="IFTnormal"/>
        <w:spacing w:before="240" w:after="0"/>
      </w:pPr>
      <w:r>
        <w:t xml:space="preserve">Al respecto, las Medidas Fijas son claras al indicar que el AEP en su normativa técnica debe establecer únicamente criterios técnicos como se indica en la Medida </w:t>
      </w:r>
      <w:r w:rsidRPr="008132A3">
        <w:t>V</w:t>
      </w:r>
      <w:r>
        <w:t>IGÉSIMA SÉPTIMA de las Medidas Fijas que a la letra dice lo siguiente:</w:t>
      </w:r>
    </w:p>
    <w:p w:rsidR="007C4016" w:rsidRPr="003533AC" w:rsidRDefault="007C4016" w:rsidP="007C4016">
      <w:pPr>
        <w:pStyle w:val="Citaift0"/>
        <w:spacing w:before="240" w:after="0"/>
        <w:rPr>
          <w:lang w:val="es-ES_tradnl"/>
        </w:rPr>
      </w:pPr>
      <w:r>
        <w:rPr>
          <w:b/>
          <w:lang w:val="es-ES_tradnl"/>
        </w:rPr>
        <w:t>“</w:t>
      </w:r>
      <w:r w:rsidRPr="003533AC">
        <w:rPr>
          <w:b/>
          <w:lang w:val="es-ES_tradnl"/>
        </w:rPr>
        <w:t xml:space="preserve">VIGÉSIMA SÉPTIMA. </w:t>
      </w:r>
      <w:r w:rsidRPr="003533AC">
        <w:rPr>
          <w:lang w:val="es-ES_tradnl"/>
        </w:rPr>
        <w:t xml:space="preserve">El Agente Económico Preponderante deberá proporcionar al Instituto, y a los Concesionarios Solicitantes, a través del Sistema Electrónico de Gestión, </w:t>
      </w:r>
      <w:r w:rsidRPr="0048581B">
        <w:rPr>
          <w:b/>
          <w:u w:val="single"/>
          <w:lang w:val="es-ES_tradnl"/>
        </w:rPr>
        <w:t>la normativa técnica</w:t>
      </w:r>
      <w:r w:rsidRPr="003533AC">
        <w:rPr>
          <w:lang w:val="es-ES_tradnl"/>
        </w:rPr>
        <w:t xml:space="preserve">, aprobada por el Instituto mediante el procedimiento previsto en la Medida Cuadragésima Primera, </w:t>
      </w:r>
      <w:r w:rsidRPr="0048581B">
        <w:rPr>
          <w:b/>
          <w:u w:val="single"/>
          <w:lang w:val="es-ES_tradnl"/>
        </w:rPr>
        <w:t>que contenga los criterios técnicos para la utilización y acceso a la infraestructura que se pone a disposición de otros concesionarios</w:t>
      </w:r>
      <w:r w:rsidRPr="003533AC">
        <w:rPr>
          <w:lang w:val="es-ES_tradnl"/>
        </w:rPr>
        <w:t xml:space="preserve">, así como para la instalación de cables y de otros elementos de red que sean necesarios para la eficiente prestación de los servicios de telecomunicaciones, y todas las demás que sean relevantes.  </w:t>
      </w:r>
    </w:p>
    <w:p w:rsidR="007C4016" w:rsidRDefault="007C4016" w:rsidP="007C4016">
      <w:pPr>
        <w:pStyle w:val="Citaift0"/>
        <w:spacing w:before="240" w:after="0"/>
        <w:rPr>
          <w:lang w:val="es-ES_tradnl"/>
        </w:rPr>
      </w:pPr>
      <w:r w:rsidRPr="003533AC">
        <w:rPr>
          <w:lang w:val="es-ES_tradnl"/>
        </w:rPr>
        <w:t>Los Concesionarios Solicitantes deberán observar la normativa técnica cuando hagan uso del servicio de Acceso y Uso Compartido de Infraestructura Pasiva, prevista en la Oferta Pública de Referencia.</w:t>
      </w:r>
      <w:r>
        <w:rPr>
          <w:lang w:val="es-ES_tradnl"/>
        </w:rPr>
        <w:t>”</w:t>
      </w:r>
    </w:p>
    <w:p w:rsidR="007C4016" w:rsidRDefault="007C4016" w:rsidP="007C4016">
      <w:pPr>
        <w:pStyle w:val="Citaift0"/>
        <w:spacing w:before="240" w:after="0"/>
        <w:jc w:val="right"/>
      </w:pPr>
      <w:r>
        <w:t>(Énfasis añadido)</w:t>
      </w:r>
    </w:p>
    <w:p w:rsidR="007C4016" w:rsidRDefault="007C4016" w:rsidP="007C4016">
      <w:pPr>
        <w:pStyle w:val="IFTnormal"/>
        <w:spacing w:before="240" w:after="0"/>
      </w:pPr>
      <w:r>
        <w:t xml:space="preserve">De lo anterior se desprende que el AEP solo deberá proporcionar en este Anexo los </w:t>
      </w:r>
      <w:r w:rsidRPr="0096144C">
        <w:t>criterios técnicos</w:t>
      </w:r>
      <w:r>
        <w:t xml:space="preserve"> para la utilización y acceso a la infraestructura, en este caso la provisión de los canales ópticos de alta capacidad. </w:t>
      </w:r>
    </w:p>
    <w:p w:rsidR="007C4016" w:rsidRDefault="007C4016" w:rsidP="007C4016">
      <w:pPr>
        <w:pStyle w:val="IFTnormal"/>
        <w:spacing w:before="240" w:after="0"/>
      </w:pPr>
      <w:r>
        <w:t>Aunado a lo anterior el Instituto considera realizar las adecuaciones pertinentes al Anexo Técnico que permitan guardar la consistencia con la descripción y alcance del Servicio de Canales Ópticos del Alta Capacidad determinados en la Sección “2.</w:t>
      </w:r>
      <w:r>
        <w:tab/>
        <w:t xml:space="preserve"> SERVICIO DE CANALES ÓPTICOS DE ALTA CAPACIDAD DE TRANSPORTE” del presente documento.</w:t>
      </w:r>
    </w:p>
    <w:p w:rsidR="007C4016" w:rsidRDefault="007C4016" w:rsidP="007C4016">
      <w:pPr>
        <w:pStyle w:val="IFTnormal"/>
        <w:spacing w:before="240" w:after="0"/>
      </w:pPr>
      <w:r>
        <w:t>C</w:t>
      </w:r>
      <w:r w:rsidRPr="00AF61A1">
        <w:t>on la finalidad de brindar mayor certe</w:t>
      </w:r>
      <w:r>
        <w:t xml:space="preserve">za a los CS sobre el alcance </w:t>
      </w:r>
      <w:r w:rsidRPr="00AF61A1">
        <w:t xml:space="preserve">del </w:t>
      </w:r>
      <w:r>
        <w:t xml:space="preserve">Anexo que contiene esta normativa y seguir lo dispuesto en la Medida Fija antes citada, el </w:t>
      </w:r>
      <w:r>
        <w:lastRenderedPageBreak/>
        <w:t>Instituto considera procedente modificar el “</w:t>
      </w:r>
      <w:r w:rsidRPr="003C1428">
        <w:rPr>
          <w:i/>
          <w:lang w:val="es-ES"/>
        </w:rPr>
        <w:t>ANEXO 2. Normas Técnicas. Norma 4. “NORMA DE INGENIERÍA PARA EL APROVISIONAMIENTO DE CANAL ÓPTICO”</w:t>
      </w:r>
      <w:r>
        <w:rPr>
          <w:i/>
          <w:lang w:val="es-ES"/>
        </w:rPr>
        <w:t xml:space="preserve">, </w:t>
      </w:r>
      <w:r w:rsidRPr="003C1428">
        <w:t xml:space="preserve">para </w:t>
      </w:r>
      <w:r>
        <w:t>eliminar de su contenido las disposiciones de carácter administrativo y operativo que no pertenecen al mismo y en su caso adecuar y trasladar aquellas que sean aplicables a la Sección “</w:t>
      </w:r>
      <w:r w:rsidRPr="00AC75C0">
        <w:t>2.</w:t>
      </w:r>
      <w:r w:rsidRPr="00AC75C0">
        <w:tab/>
      </w:r>
      <w:r>
        <w:t xml:space="preserve"> </w:t>
      </w:r>
      <w:r w:rsidRPr="00AC75C0">
        <w:t>SERVICIO DE CANALES ÓPTICOS DE ALTA CAPACIDAD DE TRANSPORTE</w:t>
      </w:r>
      <w:r>
        <w:t>” del presente documento, como se señaló también en el análisis que realiza este Instituto a dicha Sección.</w:t>
      </w:r>
    </w:p>
    <w:p w:rsidR="007C4016" w:rsidRPr="00C04BB5" w:rsidRDefault="007C4016" w:rsidP="007C4016">
      <w:pPr>
        <w:pStyle w:val="IFTnormal"/>
        <w:spacing w:before="240" w:after="0"/>
        <w:rPr>
          <w:b/>
        </w:rPr>
      </w:pPr>
      <w:r w:rsidRPr="00C04BB5">
        <w:rPr>
          <w:b/>
        </w:rPr>
        <w:t>Servicio de Renta de Fibra Obscura.</w:t>
      </w:r>
    </w:p>
    <w:p w:rsidR="007C4016" w:rsidRDefault="007C4016" w:rsidP="007C4016">
      <w:pPr>
        <w:pStyle w:val="IFTnormal"/>
        <w:spacing w:before="240" w:after="0"/>
      </w:pPr>
      <w:r>
        <w:t xml:space="preserve">Derivado del análisis a la Propuesta de Oferta de Referencia en la Sección </w:t>
      </w:r>
      <w:r w:rsidRPr="005F010A">
        <w:rPr>
          <w:i/>
        </w:rPr>
        <w:t>“2.</w:t>
      </w:r>
      <w:r w:rsidRPr="005F010A">
        <w:rPr>
          <w:i/>
        </w:rPr>
        <w:tab/>
        <w:t>SERVICIO DE CANALES ÓPTICOS DE ALTA CAPACIDAD DE TRANSPORTE”</w:t>
      </w:r>
      <w:r>
        <w:t xml:space="preserve"> del presente documento, y conforme a</w:t>
      </w:r>
      <w:r w:rsidRPr="00460CA7">
        <w:t xml:space="preserve"> lo dispuesto en la Medida TRIGÉS</w:t>
      </w:r>
      <w:r>
        <w:t>IMA CUARTA de las Medidas Fijas que se muestra a continuación:</w:t>
      </w:r>
    </w:p>
    <w:p w:rsidR="007C4016" w:rsidRPr="00777896" w:rsidRDefault="007C4016" w:rsidP="007C4016">
      <w:pPr>
        <w:pStyle w:val="IFTcita"/>
        <w:spacing w:before="240" w:after="0"/>
        <w:rPr>
          <w:b w:val="0"/>
        </w:rPr>
      </w:pPr>
      <w:r>
        <w:rPr>
          <w:b w:val="0"/>
        </w:rPr>
        <w:t xml:space="preserve"> “</w:t>
      </w:r>
      <w:r w:rsidRPr="00777896">
        <w:rPr>
          <w:b w:val="0"/>
        </w:rPr>
        <w:t>TRIGÉSIMA CUARTA.- En caso de que en una determinada ruta no exista Capacidad Excedente en un ducto ni en rutas alternativas al mismo, el Agente Económico Preponderante, a su elección, deberá poner a disposición del Concesionario Solicitante, como alternativas de solución, el servicio de provisión de canales ópticos de alta capacidad de transporte entre sus puntos de presencia o el servicio de renta de fibra obscura.</w:t>
      </w:r>
      <w:r>
        <w:rPr>
          <w:b w:val="0"/>
        </w:rPr>
        <w:t>”</w:t>
      </w:r>
    </w:p>
    <w:p w:rsidR="007C4016" w:rsidRPr="00EE73FA" w:rsidRDefault="007C4016" w:rsidP="007C4016">
      <w:pPr>
        <w:pStyle w:val="IFTnormal"/>
        <w:spacing w:before="240" w:after="0"/>
      </w:pPr>
      <w:r>
        <w:t>El Instituto al no encontrar la alternativa de provisión del Servicio de Renta de Fibra Obscura determinó modificar la misma Sección de Canales Ópticos</w:t>
      </w:r>
      <w:r w:rsidRPr="00460CA7">
        <w:rPr>
          <w:lang w:val="es-ES"/>
        </w:rPr>
        <w:t xml:space="preserve"> </w:t>
      </w:r>
      <w:r>
        <w:rPr>
          <w:lang w:val="es-ES"/>
        </w:rPr>
        <w:t>de Alta Capacidad para incluir</w:t>
      </w:r>
      <w:r>
        <w:t xml:space="preserve"> la descripción, alcances, características, procedimientos y parámetros de calidad necesarios para habilitar la provisión del Servicio</w:t>
      </w:r>
      <w:r>
        <w:rPr>
          <w:lang w:val="es-ES"/>
        </w:rPr>
        <w:t xml:space="preserve"> de Renta de Fibra Obscura en la</w:t>
      </w:r>
      <w:r w:rsidRPr="00460CA7">
        <w:rPr>
          <w:lang w:val="es-ES"/>
        </w:rPr>
        <w:t xml:space="preserve"> Ofert</w:t>
      </w:r>
      <w:r>
        <w:rPr>
          <w:lang w:val="es-ES"/>
        </w:rPr>
        <w:t>a de Referencia y sus Anexos Técnicos</w:t>
      </w:r>
      <w:r w:rsidRPr="00460CA7">
        <w:rPr>
          <w:lang w:val="es-ES"/>
        </w:rPr>
        <w:t xml:space="preserve"> relacionados</w:t>
      </w:r>
      <w:r>
        <w:rPr>
          <w:lang w:val="es-ES"/>
        </w:rPr>
        <w:t>.</w:t>
      </w:r>
    </w:p>
    <w:p w:rsidR="007C4016" w:rsidRDefault="007C4016" w:rsidP="007C4016">
      <w:pPr>
        <w:pStyle w:val="IFTnormal"/>
        <w:spacing w:before="240" w:after="0"/>
        <w:rPr>
          <w:lang w:val="es-ES"/>
        </w:rPr>
      </w:pPr>
      <w:r>
        <w:rPr>
          <w:lang w:val="es-ES"/>
        </w:rPr>
        <w:t>Las adecuaciones consisten en primer lugar en el cambio al título del Anexo Técnico “</w:t>
      </w:r>
      <w:r w:rsidRPr="00CC4297">
        <w:rPr>
          <w:i/>
          <w:lang w:val="es-ES"/>
        </w:rPr>
        <w:t>ANEXO 2. Norma 4. NORMA DE INGENIERÍA PARA EL APROVISIONAMIENTO DE CANAL OPTICO”,</w:t>
      </w:r>
      <w:r>
        <w:rPr>
          <w:lang w:val="es-ES"/>
        </w:rPr>
        <w:t xml:space="preserve"> agregando la fibra obscura. En segundo lugar se procede a la integración de un nuevo numeral en su contenido para incorporar la información técnica pertinente al Servicio de Renta de Fibra Obscura. Esta nueva sección del Anexo Técnico contiene requerimientos de información, características, especificaciones y parámetros de calidad que al menos deben cumplirse para asegurar la correcta y eficiente operación de la infraestructura de fibra obscura contratada por los CS.</w:t>
      </w:r>
    </w:p>
    <w:p w:rsidR="007C4016" w:rsidRPr="001E1D1A" w:rsidRDefault="007C4016" w:rsidP="007C4016">
      <w:pPr>
        <w:pStyle w:val="IFTnormal"/>
        <w:spacing w:before="240" w:after="0"/>
      </w:pPr>
      <w:r>
        <w:t xml:space="preserve">Es decir, el Instituto considera necesario definir información técnica detallada para asegurar una provisión correcta y completa del Servicio de Renta de Fibra Obscura, y que esta información debe ser provista por el AEP en el contexto que se deriva </w:t>
      </w:r>
      <w:r>
        <w:lastRenderedPageBreak/>
        <w:t xml:space="preserve">de su propia operación bajo el riesgo de establecer procedimientos o parámetros que puedan limitar o inhibir la disponibilidad y buen uso de este recurso. </w:t>
      </w:r>
      <w:r w:rsidRPr="001E1D1A">
        <w:t>Dentro de estos aspectos el Instituto determina que el AEP deberá hacer disponible dentro del SEG la siguiente información relativa a la provisión del Servicio de Renta de Fibra Obscura:</w:t>
      </w:r>
    </w:p>
    <w:p w:rsidR="007C4016" w:rsidRPr="001E1D1A" w:rsidRDefault="007C4016" w:rsidP="007C4016">
      <w:pPr>
        <w:pStyle w:val="IFTnormal"/>
        <w:numPr>
          <w:ilvl w:val="0"/>
          <w:numId w:val="177"/>
        </w:numPr>
        <w:spacing w:before="240" w:after="0"/>
      </w:pPr>
      <w:r w:rsidRPr="001E1D1A">
        <w:t>Protocolo y procedimientos de aceptación de los segmentos de fibra óptica obscura solicitados. AEP debe describir los protocolos de prueba que correspondan a cada uno de los escenarios de entrega de la fibra.</w:t>
      </w:r>
    </w:p>
    <w:p w:rsidR="007C4016" w:rsidRPr="001E1D1A" w:rsidRDefault="007C4016" w:rsidP="007C4016">
      <w:pPr>
        <w:pStyle w:val="IFTnormal"/>
        <w:numPr>
          <w:ilvl w:val="0"/>
          <w:numId w:val="177"/>
        </w:numPr>
        <w:spacing w:after="0"/>
      </w:pPr>
      <w:r w:rsidRPr="001E1D1A">
        <w:t>Plan de mantenimientos preventivos y correctivos. El AEP deberá presentar un plan de mantenimiento correctivo y preventivo de la fibra.</w:t>
      </w:r>
    </w:p>
    <w:p w:rsidR="007C4016" w:rsidRPr="001E1D1A" w:rsidRDefault="007C4016" w:rsidP="007C4016">
      <w:pPr>
        <w:pStyle w:val="IFTnormal"/>
        <w:numPr>
          <w:ilvl w:val="0"/>
          <w:numId w:val="177"/>
        </w:numPr>
        <w:spacing w:after="0"/>
      </w:pPr>
      <w:r w:rsidRPr="001E1D1A">
        <w:t>Procedimiento de atención a fallas y escalación. El AEP deberá presentar un procedimiento de Atención a Fallas que incluya una matriz de escalación para la fibra.</w:t>
      </w:r>
    </w:p>
    <w:p w:rsidR="007C4016" w:rsidRDefault="007C4016" w:rsidP="007C4016">
      <w:pPr>
        <w:pStyle w:val="IFTnormal"/>
        <w:spacing w:before="240" w:after="0"/>
      </w:pPr>
      <w:r>
        <w:t>La falta de esta información puede crear limitaciones al correcto funcionamiento de esta solución, impidiendo con ello el proceso de competencia a través del aprovechamiento de la infraestructura provisto en la Resolución del AEP.</w:t>
      </w:r>
    </w:p>
    <w:p w:rsidR="007C4016" w:rsidRDefault="007C4016" w:rsidP="007C4016">
      <w:pPr>
        <w:pStyle w:val="IFTnormal"/>
        <w:spacing w:before="240" w:after="0"/>
        <w:rPr>
          <w:lang w:val="es-ES"/>
        </w:rPr>
      </w:pPr>
      <w:r>
        <w:t>Derivado de todo lo anterior se procede a la adecuación del Anexo Técnico “</w:t>
      </w:r>
      <w:r w:rsidRPr="003C1428">
        <w:rPr>
          <w:lang w:val="es-ES"/>
        </w:rPr>
        <w:t>ANEXO 2. Normas Técnicas. Norma 4. “NORMA DE INGENIERÍA PARA EL APROVISIONAMIENTO DE CANAL ÓPTICO</w:t>
      </w:r>
      <w:r>
        <w:rPr>
          <w:lang w:val="es-ES"/>
        </w:rPr>
        <w:t>”, para contemplar los ajustes de uniformidad de criterios técnicos que debe contemplar el Anexo, y los aspectos técnicos necesarios para la provisión de la alternativa del Servicio de Renta de Fibra Obscura.</w:t>
      </w:r>
    </w:p>
    <w:p w:rsidR="007C4016" w:rsidRPr="00E307BF" w:rsidRDefault="007C4016" w:rsidP="007C4016">
      <w:pPr>
        <w:pStyle w:val="IFTnormal"/>
        <w:spacing w:before="240" w:after="0"/>
      </w:pPr>
      <w:r w:rsidRPr="00E307BF">
        <w:rPr>
          <w:b/>
        </w:rPr>
        <w:t>Redacción Definitiva</w:t>
      </w:r>
    </w:p>
    <w:p w:rsidR="007C4016" w:rsidRPr="00460CA7" w:rsidRDefault="007C4016" w:rsidP="007C4016">
      <w:pPr>
        <w:pStyle w:val="IFTnormal"/>
        <w:spacing w:before="240" w:after="0"/>
      </w:pPr>
      <w:r>
        <w:t>E</w:t>
      </w:r>
      <w:r w:rsidRPr="00460CA7">
        <w:t>l I</w:t>
      </w:r>
      <w:r>
        <w:t>nstituto resuelve que el</w:t>
      </w:r>
      <w:r w:rsidRPr="00460CA7">
        <w:t xml:space="preserve"> </w:t>
      </w:r>
      <w:r w:rsidRPr="00460CA7">
        <w:rPr>
          <w:lang w:val="es-ES"/>
        </w:rPr>
        <w:t>“</w:t>
      </w:r>
      <w:r>
        <w:rPr>
          <w:lang w:val="es-ES"/>
        </w:rPr>
        <w:t>ANEXO 2. Normas Técnicas. Norma 4. “</w:t>
      </w:r>
      <w:r w:rsidRPr="00716BFE">
        <w:rPr>
          <w:i/>
          <w:lang w:val="es-ES"/>
        </w:rPr>
        <w:t>NORMA DE INGENIERÍA PARA EL APROVISIONAMIENTO DE CANAL ÓPTICO</w:t>
      </w:r>
      <w:r>
        <w:rPr>
          <w:lang w:val="es-ES"/>
        </w:rPr>
        <w:t xml:space="preserve">”, </w:t>
      </w:r>
      <w:r w:rsidRPr="00460CA7">
        <w:t>deberá quedar de la siguiente manera:</w:t>
      </w:r>
    </w:p>
    <w:p w:rsidR="007C4016" w:rsidRDefault="007C4016" w:rsidP="007C4016">
      <w:pPr>
        <w:pStyle w:val="CondicionesFinales"/>
        <w:spacing w:before="240" w:after="0"/>
      </w:pPr>
      <w:r>
        <w:t xml:space="preserve">ANEXO 2. Normas Técnicas. Norma 4. </w:t>
      </w:r>
      <w:r w:rsidRPr="00716BFE">
        <w:t>NORMA DE INGENIERÍA PARA EL APROVISIONAMIENTO DE CANAL ÓPTICO</w:t>
      </w:r>
      <w:r>
        <w:t xml:space="preserve"> Y FIBRA OBSCURA.</w:t>
      </w:r>
    </w:p>
    <w:p w:rsidR="007C4016" w:rsidRDefault="007C4016" w:rsidP="007C4016">
      <w:pPr>
        <w:pStyle w:val="CondicionesFinales"/>
        <w:spacing w:before="240" w:after="0"/>
        <w:jc w:val="center"/>
        <w:rPr>
          <w:b/>
        </w:rPr>
      </w:pPr>
      <w:r>
        <w:t>CONTENIDO</w:t>
      </w:r>
    </w:p>
    <w:p w:rsidR="007C4016" w:rsidRDefault="007C4016" w:rsidP="007C4016">
      <w:pPr>
        <w:pStyle w:val="CondicionesFinales"/>
        <w:spacing w:before="240" w:after="0"/>
      </w:pPr>
      <w:r>
        <w:t>1.- HISTORICO DE MODIFICACIONES.</w:t>
      </w:r>
    </w:p>
    <w:p w:rsidR="007C4016" w:rsidRDefault="007C4016" w:rsidP="007C4016">
      <w:pPr>
        <w:pStyle w:val="CondicionesFinales"/>
        <w:spacing w:before="240" w:after="0"/>
      </w:pPr>
      <w:r>
        <w:t>[…]</w:t>
      </w:r>
      <w:r>
        <w:t> </w:t>
      </w:r>
    </w:p>
    <w:p w:rsidR="007C4016" w:rsidRDefault="007C4016" w:rsidP="007C4016">
      <w:pPr>
        <w:pStyle w:val="CondicionesFinales"/>
        <w:spacing w:before="240" w:after="0"/>
      </w:pPr>
      <w:r>
        <w:lastRenderedPageBreak/>
        <w:t>CANALES ÓPTICOS DE ALTA CAPACIDAD.</w:t>
      </w:r>
    </w:p>
    <w:p w:rsidR="007C4016" w:rsidRPr="00D360B7" w:rsidRDefault="007C4016" w:rsidP="007C4016">
      <w:pPr>
        <w:pStyle w:val="CondicionesFinales"/>
        <w:spacing w:before="240" w:after="0"/>
        <w:rPr>
          <w:b/>
        </w:rPr>
      </w:pPr>
      <w:r w:rsidRPr="00D360B7">
        <w:t>2.-</w:t>
      </w:r>
      <w:r w:rsidRPr="00D360B7">
        <w:tab/>
        <w:t>OBJETIVO.</w:t>
      </w:r>
    </w:p>
    <w:p w:rsidR="007C4016" w:rsidRPr="00D360B7" w:rsidRDefault="007C4016" w:rsidP="007C4016">
      <w:pPr>
        <w:pStyle w:val="CondicionesFinales"/>
        <w:spacing w:before="240" w:after="0"/>
        <w:rPr>
          <w:b/>
        </w:rPr>
      </w:pPr>
      <w:r w:rsidRPr="00D360B7">
        <w:t xml:space="preserve">Establecer los lineamientos técnicos que se deben considerar para el suministro del servicio de canal óptico entre dos </w:t>
      </w:r>
      <w:r>
        <w:t>centrales o instalaciones equivalentes</w:t>
      </w:r>
      <w:r w:rsidRPr="00D360B7">
        <w:t xml:space="preserve"> de </w:t>
      </w:r>
      <w:r>
        <w:t>Telnor</w:t>
      </w:r>
      <w:r w:rsidRPr="00D360B7">
        <w:t>, en donde es posible realizarlo.</w:t>
      </w:r>
    </w:p>
    <w:p w:rsidR="007C4016" w:rsidRPr="009A2D6F" w:rsidRDefault="007C4016" w:rsidP="007C4016">
      <w:pPr>
        <w:pStyle w:val="CondicionesFinales"/>
        <w:spacing w:before="240" w:after="0"/>
      </w:pPr>
      <w:r w:rsidRPr="009A2D6F">
        <w:t>3.-</w:t>
      </w:r>
      <w:r w:rsidRPr="009A2D6F">
        <w:tab/>
        <w:t>ALCANCE.</w:t>
      </w:r>
    </w:p>
    <w:p w:rsidR="007C4016" w:rsidRPr="009A2D6F" w:rsidRDefault="007C4016" w:rsidP="007C4016">
      <w:pPr>
        <w:pStyle w:val="CondicionesFinales"/>
        <w:spacing w:before="240" w:after="0"/>
      </w:pPr>
      <w:r w:rsidRPr="009A2D6F">
        <w:t xml:space="preserve">Este documento debe ser </w:t>
      </w:r>
      <w:r>
        <w:t>utilizado</w:t>
      </w:r>
      <w:r w:rsidRPr="009A2D6F">
        <w:t xml:space="preserve"> por </w:t>
      </w:r>
      <w:r>
        <w:t>Telnor</w:t>
      </w:r>
      <w:r w:rsidRPr="009A2D6F">
        <w:t xml:space="preserve"> y los Concesionarios Solicitantes </w:t>
      </w:r>
      <w:r>
        <w:t>cuando se provea</w:t>
      </w:r>
      <w:r w:rsidRPr="009A2D6F">
        <w:t xml:space="preserve"> la Solución técnica de Canal Óptico</w:t>
      </w:r>
      <w:r>
        <w:t xml:space="preserve"> de acuerdo con lo establecido en la Medida TRIGÉSIMA CUARTA de las Medidas Fijas</w:t>
      </w:r>
      <w:r w:rsidRPr="009A2D6F">
        <w:t>.</w:t>
      </w:r>
    </w:p>
    <w:p w:rsidR="007C4016" w:rsidRPr="009A2D6F" w:rsidRDefault="007C4016" w:rsidP="007C4016">
      <w:pPr>
        <w:pStyle w:val="CondicionesFinales"/>
        <w:spacing w:before="240" w:after="0"/>
      </w:pPr>
      <w:r w:rsidRPr="009A2D6F">
        <w:t>4.-</w:t>
      </w:r>
      <w:r w:rsidRPr="009A2D6F">
        <w:tab/>
        <w:t>DEFINICIONES.</w:t>
      </w:r>
    </w:p>
    <w:p w:rsidR="007C4016" w:rsidRPr="009A2D6F" w:rsidRDefault="007C4016" w:rsidP="007C4016">
      <w:pPr>
        <w:pStyle w:val="CondicionesFinales"/>
        <w:spacing w:before="240" w:after="0"/>
      </w:pPr>
      <w:r w:rsidRPr="009A2D6F">
        <w:t>PUNTO DE PRESENCIA DEL SERVICIO.</w:t>
      </w:r>
    </w:p>
    <w:p w:rsidR="007C4016" w:rsidRPr="009A2D6F" w:rsidRDefault="007C4016" w:rsidP="007C4016">
      <w:pPr>
        <w:pStyle w:val="CondicionesFinales"/>
        <w:spacing w:before="240" w:after="0"/>
      </w:pPr>
      <w:r w:rsidRPr="009A2D6F">
        <w:t>Comprende el conjunto de central</w:t>
      </w:r>
      <w:r>
        <w:t xml:space="preserve"> o instalación equivalente</w:t>
      </w:r>
      <w:r w:rsidRPr="009A2D6F">
        <w:t xml:space="preserve">, equipo de transporte óptico, el puerto y el modulo óptico instalado para el transporte de canal óptico de alta capacidad. Este concepto sólo </w:t>
      </w:r>
      <w:r>
        <w:t xml:space="preserve">se </w:t>
      </w:r>
      <w:r w:rsidRPr="009A2D6F">
        <w:t>aplica para aquellos casos donde se cuente con la disponibilidad de estos elementos.</w:t>
      </w:r>
    </w:p>
    <w:p w:rsidR="007C4016" w:rsidRPr="009A2D6F" w:rsidRDefault="007C4016" w:rsidP="007C4016">
      <w:pPr>
        <w:pStyle w:val="CondicionesFinales"/>
        <w:spacing w:before="240" w:after="0"/>
      </w:pPr>
      <w:r w:rsidRPr="009A2D6F">
        <w:t>CANAL ÓPTICO DE ALTA CAPACIDAD DE TRANSPORTE.</w:t>
      </w:r>
    </w:p>
    <w:p w:rsidR="007C4016" w:rsidRPr="009A2D6F" w:rsidRDefault="007C4016" w:rsidP="007C4016">
      <w:pPr>
        <w:pStyle w:val="CondicionesFinales"/>
        <w:spacing w:before="240" w:after="0"/>
      </w:pPr>
      <w:r w:rsidRPr="009A2D6F">
        <w:t xml:space="preserve">Es </w:t>
      </w:r>
      <w:r>
        <w:t>el medio</w:t>
      </w:r>
      <w:r w:rsidRPr="009A2D6F">
        <w:t xml:space="preserve"> de transmisión con interfaces estándares disponibles entre do</w:t>
      </w:r>
      <w:r>
        <w:t>s Puntos de Presencia</w:t>
      </w:r>
      <w:r w:rsidRPr="009A2D6F">
        <w:t xml:space="preserve"> de </w:t>
      </w:r>
      <w:r>
        <w:t>Telnor</w:t>
      </w:r>
      <w:r w:rsidRPr="009A2D6F">
        <w:t xml:space="preserve"> entre los cuales existen los equipos de transmisión compatibles y con conectividad entre ellos</w:t>
      </w:r>
      <w:r>
        <w:t>.</w:t>
      </w:r>
    </w:p>
    <w:p w:rsidR="007C4016" w:rsidRPr="009A2D6F" w:rsidRDefault="007C4016" w:rsidP="007C4016">
      <w:pPr>
        <w:pStyle w:val="CondicionesFinales"/>
        <w:spacing w:before="240" w:after="0"/>
      </w:pPr>
      <w:r w:rsidRPr="009A2D6F">
        <w:t>INTERFAZ ÓPTICA.</w:t>
      </w:r>
    </w:p>
    <w:p w:rsidR="007C4016" w:rsidRPr="00D360B7" w:rsidRDefault="007C4016" w:rsidP="007C4016">
      <w:pPr>
        <w:pStyle w:val="CondicionesFinales"/>
        <w:spacing w:before="240" w:after="0"/>
        <w:rPr>
          <w:b/>
        </w:rPr>
      </w:pPr>
      <w:r w:rsidRPr="00D360B7">
        <w:t>Es el conjunto de estándares y recomendaciones en las que se establece conectividad física y lógica entre dos equipos de transmisión utilizando fibra óptica.</w:t>
      </w:r>
    </w:p>
    <w:p w:rsidR="007C4016" w:rsidRPr="00D360B7" w:rsidRDefault="007C4016" w:rsidP="007C4016">
      <w:pPr>
        <w:pStyle w:val="CondicionesFinales"/>
        <w:spacing w:before="240" w:after="0"/>
        <w:rPr>
          <w:b/>
        </w:rPr>
      </w:pPr>
      <w:r w:rsidRPr="00D360B7">
        <w:t>5.-</w:t>
      </w:r>
      <w:r w:rsidRPr="00D360B7">
        <w:tab/>
        <w:t>DOCUMENTOS DE REFERENCIA.</w:t>
      </w:r>
    </w:p>
    <w:p w:rsidR="007C4016" w:rsidRPr="00D360B7" w:rsidRDefault="007C4016" w:rsidP="007C4016">
      <w:pPr>
        <w:pStyle w:val="CondicionesFinales"/>
        <w:spacing w:before="240" w:after="0"/>
        <w:rPr>
          <w:b/>
        </w:rPr>
      </w:pPr>
      <w:r w:rsidRPr="00D360B7">
        <w:t>No aplica.</w:t>
      </w:r>
    </w:p>
    <w:p w:rsidR="007C4016" w:rsidRPr="00D360B7" w:rsidRDefault="007C4016" w:rsidP="007C4016">
      <w:pPr>
        <w:pStyle w:val="CondicionesFinales"/>
        <w:spacing w:before="240" w:after="0"/>
        <w:rPr>
          <w:b/>
        </w:rPr>
      </w:pPr>
      <w:r w:rsidRPr="00D360B7">
        <w:lastRenderedPageBreak/>
        <w:t>6.-</w:t>
      </w:r>
      <w:r w:rsidRPr="00D360B7">
        <w:tab/>
        <w:t>DESARROLLO.</w:t>
      </w:r>
    </w:p>
    <w:p w:rsidR="007C4016" w:rsidRPr="00D360B7" w:rsidRDefault="007C4016" w:rsidP="007C4016">
      <w:pPr>
        <w:pStyle w:val="CondicionesFinales"/>
        <w:spacing w:before="240" w:after="0"/>
        <w:rPr>
          <w:b/>
        </w:rPr>
      </w:pPr>
      <w:r w:rsidRPr="00D360B7">
        <w:t>6.1.-</w:t>
      </w:r>
      <w:r w:rsidRPr="00D360B7">
        <w:tab/>
        <w:t>INTRODUCCIÓN.</w:t>
      </w:r>
    </w:p>
    <w:p w:rsidR="007C4016" w:rsidRPr="00D360B7" w:rsidRDefault="007C4016" w:rsidP="007C4016">
      <w:pPr>
        <w:pStyle w:val="CondicionesFinales"/>
        <w:spacing w:before="240" w:after="0"/>
        <w:rPr>
          <w:b/>
        </w:rPr>
      </w:pPr>
      <w:r w:rsidRPr="00B50518">
        <w:t>La infraestructura pasiva se refiere a pozos, ductos, postes, etc.</w:t>
      </w:r>
      <w:r>
        <w:t>,</w:t>
      </w:r>
      <w:r w:rsidRPr="00B50518">
        <w:t xml:space="preserve"> que se utilizan para la instalación de medios de transmisión ópticos como los cables de fibras ópticas. La compartición de esta infraestructura pasiva se refiere a proporcionar a los concesionarios espacio físico sobre la infraestructura pasiva para la instalación de sus propios medios de transmisión. La arquitectura general de la compartición de infraestructura pasiva se muestra en la siguiente Figura 1:</w:t>
      </w:r>
    </w:p>
    <w:p w:rsidR="007C4016" w:rsidRPr="00D360B7" w:rsidRDefault="007C4016" w:rsidP="007C4016">
      <w:pPr>
        <w:pStyle w:val="IFTcita"/>
        <w:spacing w:before="240" w:after="0"/>
        <w:ind w:left="0"/>
        <w:rPr>
          <w:b w:val="0"/>
        </w:rPr>
      </w:pPr>
      <w:r w:rsidRPr="005963DE">
        <w:rPr>
          <w:noProof/>
          <w:lang w:val="es-MX" w:eastAsia="es-MX"/>
        </w:rPr>
        <w:drawing>
          <wp:inline distT="0" distB="0" distL="0" distR="0" wp14:anchorId="5D61B072" wp14:editId="07BAE2C7">
            <wp:extent cx="5613400" cy="934798"/>
            <wp:effectExtent l="0" t="0" r="0" b="0"/>
            <wp:docPr id="35" name="Imagen 35" descr="Figura 1 Arquitectura de la compartición de infraestructura pasiv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3400" cy="934798"/>
                    </a:xfrm>
                    <a:prstGeom prst="rect">
                      <a:avLst/>
                    </a:prstGeom>
                    <a:noFill/>
                    <a:ln>
                      <a:noFill/>
                    </a:ln>
                  </pic:spPr>
                </pic:pic>
              </a:graphicData>
            </a:graphic>
          </wp:inline>
        </w:drawing>
      </w:r>
    </w:p>
    <w:p w:rsidR="007C4016" w:rsidRDefault="007C4016" w:rsidP="007C4016">
      <w:pPr>
        <w:pStyle w:val="CondicionesFinales"/>
        <w:spacing w:before="240" w:after="0"/>
        <w:jc w:val="center"/>
        <w:rPr>
          <w:b/>
        </w:rPr>
      </w:pPr>
      <w:r w:rsidRPr="00D360B7">
        <w:t>Figura 1 Arquitectura de la compartición de infraestructura pasiva.</w:t>
      </w:r>
    </w:p>
    <w:p w:rsidR="007C4016" w:rsidRPr="00D360B7" w:rsidRDefault="007C4016" w:rsidP="007C4016">
      <w:pPr>
        <w:pStyle w:val="CondicionesFinales"/>
        <w:spacing w:before="240" w:after="0"/>
        <w:rPr>
          <w:b/>
        </w:rPr>
      </w:pPr>
      <w:r w:rsidRPr="00D360B7">
        <w:t>La arquitectura general de la compartición de infraestructura</w:t>
      </w:r>
      <w:r>
        <w:t xml:space="preserve"> pasiva con la solución técnica</w:t>
      </w:r>
      <w:r w:rsidRPr="00D360B7">
        <w:t xml:space="preserve"> de canal óptico se muestra en la Figura 2:</w:t>
      </w:r>
    </w:p>
    <w:p w:rsidR="007C4016" w:rsidRPr="00D360B7" w:rsidRDefault="007C4016" w:rsidP="007C4016">
      <w:pPr>
        <w:pStyle w:val="IFTcita"/>
        <w:spacing w:before="240" w:after="0"/>
        <w:rPr>
          <w:b w:val="0"/>
        </w:rPr>
      </w:pPr>
      <w:r w:rsidRPr="00B77EA5">
        <w:rPr>
          <w:noProof/>
          <w:lang w:val="es-MX" w:eastAsia="es-MX"/>
        </w:rPr>
        <w:drawing>
          <wp:inline distT="0" distB="0" distL="0" distR="0" wp14:anchorId="279AAC35" wp14:editId="73CD44C4">
            <wp:extent cx="5613400" cy="1352851"/>
            <wp:effectExtent l="0" t="0" r="0" b="0"/>
            <wp:docPr id="39" name="Imagen 39" descr="Figura 2 Compartición de infraestructura pasiva con servicio de canal óptico complementar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3400" cy="1352851"/>
                    </a:xfrm>
                    <a:prstGeom prst="rect">
                      <a:avLst/>
                    </a:prstGeom>
                    <a:noFill/>
                    <a:ln>
                      <a:noFill/>
                    </a:ln>
                  </pic:spPr>
                </pic:pic>
              </a:graphicData>
            </a:graphic>
          </wp:inline>
        </w:drawing>
      </w:r>
    </w:p>
    <w:p w:rsidR="007C4016" w:rsidRPr="00D360B7" w:rsidRDefault="007C4016" w:rsidP="007C4016">
      <w:pPr>
        <w:pStyle w:val="CondicionesFinales"/>
        <w:spacing w:before="240" w:after="0"/>
        <w:jc w:val="center"/>
        <w:rPr>
          <w:b/>
        </w:rPr>
      </w:pPr>
      <w:r w:rsidRPr="00D360B7">
        <w:t>Figura 2 Compartición de infraestructura pasiva con servicio de canal óptico complementario.</w:t>
      </w:r>
    </w:p>
    <w:p w:rsidR="007C4016" w:rsidRPr="00D360B7" w:rsidRDefault="007C4016" w:rsidP="007C4016">
      <w:pPr>
        <w:pStyle w:val="CondicionesFinales"/>
        <w:spacing w:before="240" w:after="0"/>
        <w:rPr>
          <w:b/>
        </w:rPr>
      </w:pPr>
      <w:r w:rsidRPr="00D360B7">
        <w:tab/>
        <w:t xml:space="preserve">La solución está disponible a través de los siguientes puertos de lado </w:t>
      </w:r>
      <w:r>
        <w:t xml:space="preserve">del </w:t>
      </w:r>
      <w:r w:rsidRPr="00D360B7">
        <w:t>cliente que podrían estar disponibles en los equipos de transporte óptico:</w:t>
      </w:r>
    </w:p>
    <w:p w:rsidR="007C4016" w:rsidRPr="00D360B7" w:rsidRDefault="007C4016" w:rsidP="007C4016">
      <w:pPr>
        <w:pStyle w:val="CondicionesFinales"/>
        <w:spacing w:before="240" w:after="0"/>
        <w:ind w:left="852"/>
        <w:rPr>
          <w:b/>
        </w:rPr>
      </w:pPr>
      <w:r w:rsidRPr="00D360B7">
        <w:t>–</w:t>
      </w:r>
      <w:r w:rsidRPr="00D360B7">
        <w:tab/>
        <w:t>STM-16</w:t>
      </w:r>
    </w:p>
    <w:p w:rsidR="007C4016" w:rsidRPr="00D360B7" w:rsidRDefault="007C4016" w:rsidP="007C4016">
      <w:pPr>
        <w:pStyle w:val="CondicionesFinales"/>
        <w:spacing w:after="0"/>
        <w:ind w:left="852"/>
        <w:rPr>
          <w:b/>
        </w:rPr>
      </w:pPr>
      <w:r w:rsidRPr="00D360B7">
        <w:lastRenderedPageBreak/>
        <w:t>–</w:t>
      </w:r>
      <w:r w:rsidRPr="00D360B7">
        <w:tab/>
        <w:t>STM-64</w:t>
      </w:r>
    </w:p>
    <w:p w:rsidR="007C4016" w:rsidRPr="00D360B7" w:rsidRDefault="007C4016" w:rsidP="007C4016">
      <w:pPr>
        <w:pStyle w:val="CondicionesFinales"/>
        <w:spacing w:after="0"/>
        <w:ind w:left="852"/>
        <w:rPr>
          <w:b/>
        </w:rPr>
      </w:pPr>
      <w:r w:rsidRPr="00D360B7">
        <w:t>–</w:t>
      </w:r>
      <w:r w:rsidRPr="00D360B7">
        <w:tab/>
        <w:t>1 GE</w:t>
      </w:r>
    </w:p>
    <w:p w:rsidR="007C4016" w:rsidRDefault="007C4016" w:rsidP="007C4016">
      <w:pPr>
        <w:pStyle w:val="CondicionesFinales"/>
        <w:spacing w:after="0"/>
        <w:ind w:left="852"/>
      </w:pPr>
      <w:r w:rsidRPr="00D360B7">
        <w:t>–</w:t>
      </w:r>
      <w:r w:rsidRPr="00D360B7">
        <w:tab/>
        <w:t>10 GE</w:t>
      </w:r>
    </w:p>
    <w:p w:rsidR="007C4016" w:rsidRPr="00D6025E" w:rsidRDefault="007C4016" w:rsidP="007C4016">
      <w:pPr>
        <w:pStyle w:val="CondicionesFinales"/>
        <w:spacing w:after="0"/>
        <w:ind w:left="852"/>
      </w:pPr>
      <w:r>
        <w:t>-100 GE</w:t>
      </w:r>
    </w:p>
    <w:p w:rsidR="007C4016" w:rsidRPr="00D360B7" w:rsidRDefault="007C4016" w:rsidP="007C4016">
      <w:pPr>
        <w:pStyle w:val="CondicionesFinales"/>
        <w:spacing w:before="240" w:after="0"/>
        <w:ind w:left="852"/>
        <w:rPr>
          <w:b/>
        </w:rPr>
      </w:pPr>
      <w:r w:rsidRPr="00D360B7">
        <w:t>6.2.-</w:t>
      </w:r>
      <w:r w:rsidRPr="00D360B7">
        <w:tab/>
        <w:t>DESCRIPCIÓN DEL SERVICIO.</w:t>
      </w:r>
    </w:p>
    <w:p w:rsidR="007C4016" w:rsidRPr="00D360B7" w:rsidRDefault="007C4016" w:rsidP="007C4016">
      <w:pPr>
        <w:pStyle w:val="CondicionesFinales"/>
        <w:spacing w:before="240" w:after="0"/>
        <w:rPr>
          <w:b/>
        </w:rPr>
      </w:pPr>
      <w:r w:rsidRPr="00D360B7">
        <w:t>La provisión de canal óptico se refiere a la asignación de una señal entre dos equipos de transporte óptico conectados directamente como medio de transmisión entre dos</w:t>
      </w:r>
      <w:r w:rsidRPr="00D360B7" w:rsidDel="00AB3AB6">
        <w:t xml:space="preserve"> </w:t>
      </w:r>
      <w:r>
        <w:t>(Puntos de Presencia)</w:t>
      </w:r>
      <w:r w:rsidRPr="00D360B7">
        <w:t xml:space="preserve"> de </w:t>
      </w:r>
      <w:r>
        <w:t>Telnor</w:t>
      </w:r>
      <w:r w:rsidRPr="00D360B7">
        <w:t xml:space="preserve">. </w:t>
      </w:r>
    </w:p>
    <w:p w:rsidR="007C4016" w:rsidRDefault="007C4016" w:rsidP="007C4016">
      <w:pPr>
        <w:pStyle w:val="CondicionesFinales"/>
        <w:spacing w:before="240" w:after="0"/>
        <w:rPr>
          <w:b/>
        </w:rPr>
      </w:pPr>
      <w:r w:rsidRPr="00D360B7">
        <w:t xml:space="preserve">Este servicio se entrega al concesionario con una interfaz óptica estándar en gris y del mismo tipo en cada extremo (punto de presencia) de </w:t>
      </w:r>
      <w:r>
        <w:t>Telnor</w:t>
      </w:r>
      <w:r w:rsidRPr="00D360B7">
        <w:t>. Lo anterior se muestra en la Figura 3:</w:t>
      </w:r>
    </w:p>
    <w:p w:rsidR="007C4016" w:rsidRPr="00D360B7" w:rsidRDefault="007C4016" w:rsidP="007C4016">
      <w:pPr>
        <w:pStyle w:val="IFTcita"/>
        <w:spacing w:before="240" w:after="0"/>
        <w:rPr>
          <w:b w:val="0"/>
        </w:rPr>
      </w:pPr>
      <w:r>
        <w:rPr>
          <w:noProof/>
          <w:lang w:val="es-MX" w:eastAsia="es-MX"/>
        </w:rPr>
        <w:drawing>
          <wp:inline distT="0" distB="0" distL="0" distR="0" wp14:anchorId="24D41967" wp14:editId="77DF442E">
            <wp:extent cx="4880345" cy="1340439"/>
            <wp:effectExtent l="0" t="0" r="0" b="0"/>
            <wp:docPr id="7" name="Imagen 7" descr="Figura 3 Arquitectura del servicio de canal óptic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24473" cy="1352559"/>
                    </a:xfrm>
                    <a:prstGeom prst="rect">
                      <a:avLst/>
                    </a:prstGeom>
                  </pic:spPr>
                </pic:pic>
              </a:graphicData>
            </a:graphic>
          </wp:inline>
        </w:drawing>
      </w:r>
    </w:p>
    <w:p w:rsidR="007C4016" w:rsidRPr="00D360B7" w:rsidRDefault="007C4016" w:rsidP="007C4016">
      <w:pPr>
        <w:pStyle w:val="CondicionesFinales"/>
        <w:spacing w:before="240" w:after="0"/>
        <w:jc w:val="center"/>
        <w:rPr>
          <w:b/>
        </w:rPr>
      </w:pPr>
      <w:r w:rsidRPr="00D360B7">
        <w:t>Figura 3 Arquitectura del servicio de canal óptico.</w:t>
      </w:r>
    </w:p>
    <w:p w:rsidR="007C4016" w:rsidRPr="00D360B7" w:rsidRDefault="007C4016" w:rsidP="007C4016">
      <w:pPr>
        <w:pStyle w:val="CondicionesFinales"/>
        <w:spacing w:before="240" w:after="0"/>
        <w:rPr>
          <w:b/>
        </w:rPr>
      </w:pPr>
      <w:r w:rsidRPr="00D360B7">
        <w:t xml:space="preserve">El servicio cuenta con las siguientes características: </w:t>
      </w:r>
    </w:p>
    <w:p w:rsidR="007C4016" w:rsidRPr="00D360B7" w:rsidRDefault="007C4016" w:rsidP="007C4016">
      <w:pPr>
        <w:pStyle w:val="CondicionesFinales"/>
        <w:numPr>
          <w:ilvl w:val="0"/>
          <w:numId w:val="193"/>
        </w:numPr>
        <w:spacing w:before="240" w:after="0"/>
        <w:rPr>
          <w:b/>
        </w:rPr>
      </w:pPr>
      <w:r w:rsidRPr="00D360B7">
        <w:t xml:space="preserve">Se proporciona mediante sistemas de transporte óptico entre dos </w:t>
      </w:r>
      <w:r>
        <w:t>Puntos de Presencia del Servicio de Telnor</w:t>
      </w:r>
      <w:r w:rsidRPr="00D360B7">
        <w:rPr>
          <w:b/>
        </w:rPr>
        <w:t>.</w:t>
      </w:r>
    </w:p>
    <w:p w:rsidR="007C4016" w:rsidRPr="00D360B7" w:rsidRDefault="007C4016" w:rsidP="007C4016">
      <w:pPr>
        <w:pStyle w:val="CondicionesFinales"/>
        <w:numPr>
          <w:ilvl w:val="0"/>
          <w:numId w:val="193"/>
        </w:numPr>
        <w:spacing w:after="0"/>
        <w:rPr>
          <w:b/>
        </w:rPr>
      </w:pPr>
      <w:r w:rsidRPr="00D360B7">
        <w:t>El enlace es punto a punto transparente con ancho de banda de acuerdo a la interfaz óptica, teniendo siempre todo el ancho de banda disponible según la naturaleza del enlace.</w:t>
      </w:r>
    </w:p>
    <w:p w:rsidR="007C4016" w:rsidRPr="00D360B7" w:rsidRDefault="007C4016" w:rsidP="007C4016">
      <w:pPr>
        <w:pStyle w:val="CondicionesFinales"/>
        <w:numPr>
          <w:ilvl w:val="0"/>
          <w:numId w:val="193"/>
        </w:numPr>
        <w:spacing w:after="0"/>
        <w:rPr>
          <w:b/>
        </w:rPr>
      </w:pPr>
      <w:r w:rsidRPr="00D360B7">
        <w:t>El enlace es bidireccional con transmisión a dos fibras con base en las interfaces a proporcionar.</w:t>
      </w:r>
    </w:p>
    <w:p w:rsidR="007C4016" w:rsidRPr="00D360B7" w:rsidRDefault="007C4016" w:rsidP="007C4016">
      <w:pPr>
        <w:pStyle w:val="CondicionesFinales"/>
        <w:numPr>
          <w:ilvl w:val="0"/>
          <w:numId w:val="193"/>
        </w:numPr>
        <w:spacing w:after="0"/>
        <w:rPr>
          <w:b/>
        </w:rPr>
      </w:pPr>
      <w:r w:rsidRPr="00D360B7">
        <w:t>El enlace es de Capa 1 de OSI, por lo que no hace ningún procesamiento de Capa 2 o superior.</w:t>
      </w:r>
    </w:p>
    <w:p w:rsidR="007C4016" w:rsidRPr="00D360B7" w:rsidRDefault="007C4016" w:rsidP="007C4016">
      <w:pPr>
        <w:pStyle w:val="CondicionesFinales"/>
        <w:numPr>
          <w:ilvl w:val="0"/>
          <w:numId w:val="193"/>
        </w:numPr>
        <w:spacing w:after="0"/>
        <w:rPr>
          <w:b/>
        </w:rPr>
      </w:pPr>
      <w:r w:rsidRPr="00D360B7">
        <w:t xml:space="preserve">La interconexión del servicio con el concesionario es a través de jumpers de fibra óptica rematados a través de BDFO. Los </w:t>
      </w:r>
      <w:r w:rsidRPr="00D360B7">
        <w:lastRenderedPageBreak/>
        <w:t>jumpers de fibra óptica deben tener las siguientes características:</w:t>
      </w:r>
    </w:p>
    <w:p w:rsidR="007C4016" w:rsidRPr="00D360B7" w:rsidRDefault="007C4016" w:rsidP="007C4016">
      <w:pPr>
        <w:pStyle w:val="CondicionesFinales"/>
        <w:spacing w:before="240" w:after="0"/>
        <w:rPr>
          <w:b/>
        </w:rPr>
      </w:pPr>
      <w:r w:rsidRPr="00D360B7">
        <w:t>–</w:t>
      </w:r>
      <w:r w:rsidRPr="00D360B7">
        <w:tab/>
        <w:t>Fibra mono-modo 8.2/125 µm para largo alcance.</w:t>
      </w:r>
    </w:p>
    <w:p w:rsidR="007C4016" w:rsidRPr="00D360B7" w:rsidRDefault="007C4016" w:rsidP="007C4016">
      <w:pPr>
        <w:pStyle w:val="CondicionesFinales"/>
        <w:spacing w:before="240" w:after="0"/>
        <w:rPr>
          <w:b/>
        </w:rPr>
      </w:pPr>
      <w:r w:rsidRPr="00D360B7">
        <w:t>–</w:t>
      </w:r>
      <w:r w:rsidRPr="00D360B7">
        <w:tab/>
        <w:t>Fibra multi-modo 50/125 µm para corto alcance.</w:t>
      </w:r>
    </w:p>
    <w:p w:rsidR="007C4016" w:rsidRPr="00D360B7" w:rsidRDefault="007C4016" w:rsidP="007C4016">
      <w:pPr>
        <w:pStyle w:val="CondicionesFinales"/>
        <w:spacing w:before="240" w:after="0"/>
        <w:rPr>
          <w:b/>
        </w:rPr>
      </w:pPr>
      <w:r w:rsidRPr="00D360B7">
        <w:t>–</w:t>
      </w:r>
      <w:r w:rsidRPr="00D360B7">
        <w:tab/>
        <w:t>Conectores SC/FC con terminación UPC.</w:t>
      </w:r>
    </w:p>
    <w:p w:rsidR="007C4016" w:rsidRPr="00D360B7" w:rsidRDefault="007C4016" w:rsidP="007C4016">
      <w:pPr>
        <w:pStyle w:val="CondicionesFinales"/>
        <w:numPr>
          <w:ilvl w:val="0"/>
          <w:numId w:val="173"/>
        </w:numPr>
        <w:spacing w:before="240" w:after="0"/>
        <w:rPr>
          <w:b/>
        </w:rPr>
      </w:pPr>
      <w:r w:rsidRPr="00D360B7">
        <w:t>Las fibras ópticas del servicio de canal óptico se deben rematar en un bastidor distribuidor de fibras (BDFO) de la sala de transmisión donde está instalado el equipo de transporte óptico.</w:t>
      </w:r>
    </w:p>
    <w:p w:rsidR="007C4016" w:rsidRPr="00D360B7" w:rsidRDefault="007C4016" w:rsidP="007C4016">
      <w:pPr>
        <w:pStyle w:val="CondicionesFinales"/>
        <w:numPr>
          <w:ilvl w:val="0"/>
          <w:numId w:val="173"/>
        </w:numPr>
        <w:spacing w:after="0"/>
        <w:rPr>
          <w:b/>
        </w:rPr>
      </w:pPr>
      <w:r w:rsidRPr="00D360B7">
        <w:t xml:space="preserve">Las fibras del servicio de canal óptico se conectan a un puerto de cliente existente en un equipo de transporte óptico de </w:t>
      </w:r>
      <w:r>
        <w:t>Telnor</w:t>
      </w:r>
      <w:r w:rsidRPr="00D360B7">
        <w:t xml:space="preserve"> con dirección al edifici</w:t>
      </w:r>
      <w:r>
        <w:t>o (punto de presencia)</w:t>
      </w:r>
      <w:r w:rsidRPr="00D360B7">
        <w:t>.</w:t>
      </w:r>
    </w:p>
    <w:p w:rsidR="007C4016" w:rsidRPr="00D360B7" w:rsidRDefault="007C4016" w:rsidP="007C4016">
      <w:pPr>
        <w:pStyle w:val="CondicionesFinales"/>
        <w:numPr>
          <w:ilvl w:val="0"/>
          <w:numId w:val="173"/>
        </w:numPr>
        <w:spacing w:after="0"/>
        <w:rPr>
          <w:b/>
        </w:rPr>
      </w:pPr>
      <w:r w:rsidRPr="00D360B7">
        <w:t xml:space="preserve">La conectividad física de los equipos de transporte de </w:t>
      </w:r>
      <w:r>
        <w:t>Telnor</w:t>
      </w:r>
      <w:r w:rsidRPr="00D360B7">
        <w:t xml:space="preserve"> a los equipos del Concesionario Solicitante se puede realizar con interfaces ópticas SDH o GE con el alcance adecuado. Estas interfaces pueden ser:</w:t>
      </w:r>
    </w:p>
    <w:p w:rsidR="007C4016" w:rsidRPr="0086509D" w:rsidRDefault="007C4016" w:rsidP="007C4016">
      <w:pPr>
        <w:pStyle w:val="CondicionesFinales"/>
        <w:spacing w:before="240" w:after="0"/>
        <w:rPr>
          <w:b/>
          <w:lang w:val="en-US"/>
        </w:rPr>
      </w:pPr>
      <w:r w:rsidRPr="0086509D">
        <w:rPr>
          <w:lang w:val="en-US"/>
        </w:rPr>
        <w:t>–</w:t>
      </w:r>
      <w:r w:rsidRPr="0086509D">
        <w:rPr>
          <w:lang w:val="en-US"/>
        </w:rPr>
        <w:tab/>
        <w:t>Rec. UIT-T G.957 STM-16 S-16.1.</w:t>
      </w:r>
    </w:p>
    <w:p w:rsidR="007C4016" w:rsidRPr="00143A4A" w:rsidRDefault="007C4016" w:rsidP="007C4016">
      <w:pPr>
        <w:pStyle w:val="CondicionesFinales"/>
        <w:spacing w:after="0"/>
        <w:rPr>
          <w:b/>
          <w:lang w:val="fr-FR"/>
        </w:rPr>
      </w:pPr>
      <w:r w:rsidRPr="0003501F">
        <w:rPr>
          <w:lang w:val="fr-FR"/>
        </w:rPr>
        <w:t>–</w:t>
      </w:r>
      <w:r w:rsidRPr="0003501F">
        <w:rPr>
          <w:lang w:val="fr-FR"/>
        </w:rPr>
        <w:tab/>
        <w:t>Rec. UIT-T G.957 STM-16 L-16.1.</w:t>
      </w:r>
    </w:p>
    <w:p w:rsidR="007C4016" w:rsidRPr="00931D01" w:rsidRDefault="007C4016" w:rsidP="007C4016">
      <w:pPr>
        <w:pStyle w:val="CondicionesFinales"/>
        <w:spacing w:after="0"/>
        <w:rPr>
          <w:b/>
          <w:lang w:val="fr-FR"/>
        </w:rPr>
      </w:pPr>
      <w:r w:rsidRPr="00C027ED">
        <w:rPr>
          <w:lang w:val="fr-FR"/>
        </w:rPr>
        <w:t>–</w:t>
      </w:r>
      <w:r w:rsidRPr="00C027ED">
        <w:rPr>
          <w:lang w:val="fr-FR"/>
        </w:rPr>
        <w:tab/>
        <w:t>Rec. ITU-T G.709/Y.1331 STM-64 S-64.2b.</w:t>
      </w:r>
    </w:p>
    <w:p w:rsidR="007C4016" w:rsidRPr="00931D01" w:rsidRDefault="007C4016" w:rsidP="007C4016">
      <w:pPr>
        <w:pStyle w:val="CondicionesFinales"/>
        <w:spacing w:after="0"/>
        <w:rPr>
          <w:b/>
          <w:lang w:val="fr-FR"/>
        </w:rPr>
      </w:pPr>
      <w:r w:rsidRPr="00AD2AA3">
        <w:rPr>
          <w:lang w:val="fr-FR"/>
        </w:rPr>
        <w:t>–</w:t>
      </w:r>
      <w:r w:rsidRPr="00AD2AA3">
        <w:rPr>
          <w:lang w:val="fr-FR"/>
        </w:rPr>
        <w:tab/>
        <w:t>Rec. ITU-T G.709/Y.1331 STM-64 L-64.</w:t>
      </w:r>
    </w:p>
    <w:p w:rsidR="007C4016" w:rsidRPr="00D360B7" w:rsidRDefault="007C4016" w:rsidP="007C4016">
      <w:pPr>
        <w:pStyle w:val="CondicionesFinales"/>
        <w:spacing w:after="0"/>
        <w:rPr>
          <w:b/>
        </w:rPr>
      </w:pPr>
      <w:r w:rsidRPr="00D360B7">
        <w:t>–</w:t>
      </w:r>
      <w:r w:rsidRPr="00D360B7">
        <w:tab/>
        <w:t>IEEE 802.3-2008 sección 3 1000BASE-SX.</w:t>
      </w:r>
    </w:p>
    <w:p w:rsidR="007C4016" w:rsidRPr="00D360B7" w:rsidRDefault="007C4016" w:rsidP="007C4016">
      <w:pPr>
        <w:pStyle w:val="CondicionesFinales"/>
        <w:spacing w:after="0"/>
        <w:rPr>
          <w:b/>
        </w:rPr>
      </w:pPr>
      <w:r w:rsidRPr="00D360B7">
        <w:t>–</w:t>
      </w:r>
      <w:r w:rsidRPr="00D360B7">
        <w:tab/>
        <w:t>IEEE 802.3-2008 sección 3 1000BASE-LX.</w:t>
      </w:r>
    </w:p>
    <w:p w:rsidR="007C4016" w:rsidRPr="00D360B7" w:rsidRDefault="007C4016" w:rsidP="007C4016">
      <w:pPr>
        <w:pStyle w:val="CondicionesFinales"/>
        <w:spacing w:after="0"/>
        <w:rPr>
          <w:b/>
        </w:rPr>
      </w:pPr>
      <w:r w:rsidRPr="00D360B7">
        <w:t>–</w:t>
      </w:r>
      <w:r w:rsidRPr="00D360B7">
        <w:tab/>
        <w:t>IEEE 802.3-2008 sección 4 10GBASE-SR.</w:t>
      </w:r>
    </w:p>
    <w:p w:rsidR="007C4016" w:rsidRPr="00D360B7" w:rsidRDefault="007C4016" w:rsidP="007C4016">
      <w:pPr>
        <w:pStyle w:val="CondicionesFinales"/>
        <w:spacing w:after="0"/>
        <w:rPr>
          <w:b/>
        </w:rPr>
      </w:pPr>
      <w:r w:rsidRPr="00D360B7">
        <w:t>–</w:t>
      </w:r>
      <w:r w:rsidRPr="00D360B7">
        <w:tab/>
        <w:t>IEEE 802.3-2008 sección 4 10GBASE-LR.</w:t>
      </w:r>
    </w:p>
    <w:p w:rsidR="007C4016" w:rsidRDefault="007C4016" w:rsidP="007C4016">
      <w:pPr>
        <w:pStyle w:val="CondicionesFinales"/>
        <w:spacing w:after="0"/>
      </w:pPr>
      <w:r w:rsidRPr="00D360B7">
        <w:t>–</w:t>
      </w:r>
      <w:r w:rsidRPr="00D360B7">
        <w:tab/>
        <w:t>IEEE 802.3-2008 sección 4 10GBASE-ER.</w:t>
      </w:r>
    </w:p>
    <w:p w:rsidR="007C4016" w:rsidRPr="00361570" w:rsidRDefault="007C4016" w:rsidP="007C4016">
      <w:pPr>
        <w:pStyle w:val="CondicionesFinales"/>
        <w:spacing w:after="0"/>
        <w:rPr>
          <w:lang w:val="en-US"/>
        </w:rPr>
      </w:pPr>
      <w:r w:rsidRPr="00361570">
        <w:rPr>
          <w:lang w:val="en-US"/>
        </w:rPr>
        <w:t>–</w:t>
      </w:r>
      <w:r w:rsidRPr="00361570">
        <w:rPr>
          <w:lang w:val="en-US"/>
        </w:rPr>
        <w:tab/>
        <w:t>IEEE 802.3bm-2015 100GBASE-SR4</w:t>
      </w:r>
    </w:p>
    <w:p w:rsidR="007C4016" w:rsidRPr="00D53B30" w:rsidRDefault="007C4016" w:rsidP="007C4016">
      <w:pPr>
        <w:pStyle w:val="CondicionesFinales"/>
        <w:spacing w:after="0"/>
        <w:rPr>
          <w:lang w:val="en-US"/>
        </w:rPr>
      </w:pPr>
      <w:r w:rsidRPr="00D53B30">
        <w:rPr>
          <w:lang w:val="en-US"/>
        </w:rPr>
        <w:t>–</w:t>
      </w:r>
      <w:r w:rsidRPr="00D53B30">
        <w:rPr>
          <w:lang w:val="en-US"/>
        </w:rPr>
        <w:tab/>
        <w:t>IEEE 802.3ba-2010 100GBASE-SR10</w:t>
      </w:r>
    </w:p>
    <w:p w:rsidR="007C4016" w:rsidRPr="00D53B30" w:rsidRDefault="007C4016" w:rsidP="007C4016">
      <w:pPr>
        <w:pStyle w:val="CondicionesFinales"/>
        <w:spacing w:after="0"/>
        <w:rPr>
          <w:lang w:val="en-US"/>
        </w:rPr>
      </w:pPr>
      <w:r w:rsidRPr="00D53B30">
        <w:rPr>
          <w:lang w:val="en-US"/>
        </w:rPr>
        <w:t>–</w:t>
      </w:r>
      <w:r w:rsidRPr="00D53B30">
        <w:rPr>
          <w:lang w:val="en-US"/>
        </w:rPr>
        <w:tab/>
        <w:t>IEEE 802.3ba-2010 100GBASE-LR4</w:t>
      </w:r>
    </w:p>
    <w:p w:rsidR="007C4016" w:rsidRPr="00A15348" w:rsidRDefault="007C4016" w:rsidP="007C4016">
      <w:pPr>
        <w:pStyle w:val="CondicionesFinales"/>
        <w:spacing w:after="0"/>
      </w:pPr>
      <w:r w:rsidRPr="00A15348">
        <w:t>–</w:t>
      </w:r>
      <w:r w:rsidRPr="00A15348">
        <w:tab/>
        <w:t>IEEE 802.3ba-2010 100GBASE-ER4</w:t>
      </w:r>
    </w:p>
    <w:p w:rsidR="007C4016" w:rsidRPr="00D360B7" w:rsidRDefault="007C4016" w:rsidP="007C4016">
      <w:pPr>
        <w:pStyle w:val="CondicionesFinales"/>
        <w:numPr>
          <w:ilvl w:val="0"/>
          <w:numId w:val="173"/>
        </w:numPr>
        <w:spacing w:before="240" w:after="0"/>
        <w:rPr>
          <w:b/>
        </w:rPr>
      </w:pPr>
      <w:r w:rsidRPr="00D360B7">
        <w:t>Se deben utilizar interfaces de corto alcance cuando el Con</w:t>
      </w:r>
      <w:r>
        <w:t>cesionario Solicitante tenga co</w:t>
      </w:r>
      <w:r w:rsidRPr="00D360B7">
        <w:t xml:space="preserve">ubicación en </w:t>
      </w:r>
      <w:r>
        <w:t>P</w:t>
      </w:r>
      <w:r w:rsidRPr="00D360B7">
        <w:t xml:space="preserve">unto de </w:t>
      </w:r>
      <w:r>
        <w:t>P</w:t>
      </w:r>
      <w:r w:rsidRPr="00D360B7">
        <w:t>resencia.</w:t>
      </w:r>
    </w:p>
    <w:p w:rsidR="007C4016" w:rsidRPr="00D360B7" w:rsidRDefault="007C4016" w:rsidP="007C4016">
      <w:pPr>
        <w:pStyle w:val="CondicionesFinales"/>
        <w:numPr>
          <w:ilvl w:val="0"/>
          <w:numId w:val="173"/>
        </w:numPr>
        <w:spacing w:before="240" w:after="0"/>
        <w:rPr>
          <w:b/>
        </w:rPr>
      </w:pPr>
      <w:r w:rsidRPr="00D360B7">
        <w:lastRenderedPageBreak/>
        <w:t xml:space="preserve">En caso necesario, </w:t>
      </w:r>
      <w:r>
        <w:t>Telnor</w:t>
      </w:r>
      <w:r w:rsidRPr="00D360B7">
        <w:t xml:space="preserve"> debe instalar atenuadores ópticos, estos se deben colocar en el DFO, no en el equipo y siempre en el sentido de recepción.</w:t>
      </w:r>
    </w:p>
    <w:p w:rsidR="007C4016" w:rsidRPr="00D360B7" w:rsidRDefault="007C4016" w:rsidP="007C4016">
      <w:pPr>
        <w:pStyle w:val="CondicionesFinales"/>
        <w:spacing w:before="240" w:after="0"/>
        <w:rPr>
          <w:b/>
        </w:rPr>
      </w:pPr>
      <w:r w:rsidRPr="00D360B7">
        <w:t>6.3.-</w:t>
      </w:r>
      <w:r w:rsidRPr="00D360B7">
        <w:tab/>
        <w:t>CRITERIOS PARA EL SUMINISTRO.</w:t>
      </w:r>
    </w:p>
    <w:p w:rsidR="007C4016" w:rsidRPr="00D360B7" w:rsidRDefault="007C4016" w:rsidP="007C4016">
      <w:pPr>
        <w:pStyle w:val="CondicionesFinales"/>
        <w:spacing w:before="240" w:after="0"/>
        <w:rPr>
          <w:b/>
        </w:rPr>
      </w:pPr>
      <w:r w:rsidRPr="00D360B7">
        <w:t>El aprovisionamiento del servicio de canal óptico se debe realizar de la siguiente manera:</w:t>
      </w:r>
    </w:p>
    <w:p w:rsidR="007C4016" w:rsidRDefault="007C4016" w:rsidP="007C4016">
      <w:pPr>
        <w:pStyle w:val="CondicionesFinales"/>
        <w:numPr>
          <w:ilvl w:val="0"/>
          <w:numId w:val="173"/>
        </w:numPr>
        <w:spacing w:before="240" w:after="0"/>
      </w:pPr>
      <w:r w:rsidRPr="00B50518">
        <w:t>La conexión de los equipos del concesionario se realiza hasta el primer con</w:t>
      </w:r>
      <w:r>
        <w:t>ector del BDFO de su sala de co</w:t>
      </w:r>
      <w:r w:rsidRPr="00B50518">
        <w:t xml:space="preserve">ubicación, el jumper de interconexión y el resto del enrutamiento físico hasta el equipo de transporte óptico se realizará por </w:t>
      </w:r>
      <w:r>
        <w:t>Telnor en los dos edificios donde se ubican los puntos de entrega de la señal</w:t>
      </w:r>
      <w:r w:rsidRPr="00B50518">
        <w:t>.</w:t>
      </w:r>
    </w:p>
    <w:p w:rsidR="007C4016" w:rsidRPr="00D360B7" w:rsidRDefault="007C4016" w:rsidP="007C4016">
      <w:pPr>
        <w:pStyle w:val="CondicionesFinales"/>
        <w:numPr>
          <w:ilvl w:val="0"/>
          <w:numId w:val="173"/>
        </w:numPr>
        <w:spacing w:before="240" w:after="0"/>
        <w:rPr>
          <w:b/>
        </w:rPr>
      </w:pPr>
      <w:r w:rsidRPr="00B50518">
        <w:t xml:space="preserve">El enlace se debe entregar al concesionario Solicitante a través de un protocolo de </w:t>
      </w:r>
      <w:r w:rsidRPr="00027482">
        <w:t>recepción con el siguiente contenido:</w:t>
      </w:r>
    </w:p>
    <w:p w:rsidR="007C4016" w:rsidRPr="00D360B7" w:rsidRDefault="007C4016" w:rsidP="007C4016">
      <w:pPr>
        <w:pStyle w:val="CondicionesFinales"/>
        <w:spacing w:before="240" w:after="0"/>
        <w:rPr>
          <w:b/>
        </w:rPr>
      </w:pPr>
      <w:r w:rsidRPr="00B50518">
        <w:t>–</w:t>
      </w:r>
      <w:r w:rsidRPr="00B50518">
        <w:tab/>
        <w:t>Para canales ópticos Ethernet, se deben aplicar pruebas bajo el estándar RFC 2544 con duración de 15 minutos. Deben entregarse al CS los valores de AB del servicio y la Pérdida de Tramas, siendo cero tramas perdidas.</w:t>
      </w:r>
    </w:p>
    <w:p w:rsidR="007C4016" w:rsidRPr="00D360B7" w:rsidRDefault="007C4016" w:rsidP="007C4016">
      <w:pPr>
        <w:pStyle w:val="CondicionesFinales"/>
        <w:spacing w:before="240" w:after="0"/>
        <w:rPr>
          <w:b/>
        </w:rPr>
      </w:pPr>
      <w:r w:rsidRPr="00B50518">
        <w:t>–</w:t>
      </w:r>
      <w:r w:rsidRPr="00B50518">
        <w:tab/>
        <w:t>Para enlaces SDH, se deben realizar pruebas de BER por un periodo de 15 minutos con un resultado de cero bits erróneos.</w:t>
      </w:r>
    </w:p>
    <w:p w:rsidR="007C4016" w:rsidRPr="00D360B7" w:rsidRDefault="007C4016" w:rsidP="007C4016">
      <w:pPr>
        <w:pStyle w:val="CondicionesFinales"/>
        <w:spacing w:before="240" w:after="0"/>
        <w:rPr>
          <w:b/>
        </w:rPr>
      </w:pPr>
      <w:r w:rsidRPr="00B50518">
        <w:t>–</w:t>
      </w:r>
      <w:r w:rsidRPr="00B50518">
        <w:tab/>
        <w:t>Debe indicar los equipos de medición con los que se deben realizar cada una de las pruebas.</w:t>
      </w:r>
    </w:p>
    <w:p w:rsidR="007C4016" w:rsidRPr="00D360B7" w:rsidRDefault="007C4016" w:rsidP="007C4016">
      <w:pPr>
        <w:pStyle w:val="CondicionesFinales"/>
        <w:numPr>
          <w:ilvl w:val="0"/>
          <w:numId w:val="173"/>
        </w:numPr>
        <w:spacing w:before="240" w:after="0"/>
        <w:rPr>
          <w:b/>
        </w:rPr>
      </w:pPr>
      <w:r w:rsidRPr="00B50518">
        <w:t xml:space="preserve">Las fibras ópticas del Concesionario Solicitante se rematan en el bastidor distribuidor de fibras ópticas (BDFO) de su </w:t>
      </w:r>
      <w:r>
        <w:t>co</w:t>
      </w:r>
      <w:r w:rsidRPr="00B50518">
        <w:t>ubicación.</w:t>
      </w:r>
    </w:p>
    <w:p w:rsidR="007C4016" w:rsidRPr="00D360B7" w:rsidRDefault="007C4016" w:rsidP="007C4016">
      <w:pPr>
        <w:pStyle w:val="CondicionesFinales"/>
        <w:numPr>
          <w:ilvl w:val="0"/>
          <w:numId w:val="173"/>
        </w:numPr>
        <w:spacing w:before="240" w:after="0"/>
        <w:rPr>
          <w:b/>
        </w:rPr>
      </w:pPr>
      <w:r w:rsidRPr="00B50518">
        <w:t xml:space="preserve">La conexión de las fibras del Concesionario Solicitante con el equipo de transporte óptico de </w:t>
      </w:r>
      <w:r>
        <w:t>Telnor</w:t>
      </w:r>
      <w:r w:rsidRPr="00B50518">
        <w:t xml:space="preserve"> se realiza a través de la interconexión entre los bastidores de distribución de fibras ópticas (BDFO) de la co-ubicación y el BDFO de la sala donde se encuentra el equipo de transporte óptico. Lo anterior se muestra en la siguiente Figura 4:</w:t>
      </w:r>
    </w:p>
    <w:p w:rsidR="007C4016" w:rsidRPr="00D360B7" w:rsidRDefault="007C4016" w:rsidP="007C4016">
      <w:pPr>
        <w:pStyle w:val="CondicionesFinales"/>
        <w:spacing w:before="240" w:after="0"/>
        <w:ind w:left="567"/>
        <w:rPr>
          <w:b/>
        </w:rPr>
      </w:pPr>
      <w:r>
        <w:rPr>
          <w:noProof/>
          <w:lang w:val="es-MX" w:eastAsia="es-MX"/>
        </w:rPr>
        <w:lastRenderedPageBreak/>
        <w:drawing>
          <wp:inline distT="0" distB="0" distL="0" distR="0" wp14:anchorId="4B4788A7" wp14:editId="125256E5">
            <wp:extent cx="4707172" cy="1477114"/>
            <wp:effectExtent l="0" t="0" r="0" b="8890"/>
            <wp:docPr id="8" name="Imagen 8" descr="Figura 4 Conexión del servicio de canal óptic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78062" cy="1499359"/>
                    </a:xfrm>
                    <a:prstGeom prst="rect">
                      <a:avLst/>
                    </a:prstGeom>
                  </pic:spPr>
                </pic:pic>
              </a:graphicData>
            </a:graphic>
          </wp:inline>
        </w:drawing>
      </w:r>
    </w:p>
    <w:p w:rsidR="007C4016" w:rsidRDefault="007C4016" w:rsidP="007C4016">
      <w:pPr>
        <w:pStyle w:val="CondicionesFinales"/>
        <w:spacing w:before="240" w:after="0"/>
        <w:jc w:val="center"/>
        <w:rPr>
          <w:b/>
        </w:rPr>
      </w:pPr>
      <w:r w:rsidRPr="00B427FA">
        <w:rPr>
          <w:b/>
        </w:rPr>
        <w:t>Figura 4 Conexión del servicio de canal óptico.</w:t>
      </w:r>
    </w:p>
    <w:p w:rsidR="007C4016" w:rsidRPr="00D360B7" w:rsidRDefault="007C4016" w:rsidP="007C4016">
      <w:pPr>
        <w:pStyle w:val="CondicionesFinales"/>
        <w:numPr>
          <w:ilvl w:val="0"/>
          <w:numId w:val="173"/>
        </w:numPr>
        <w:spacing w:before="240" w:after="0"/>
        <w:rPr>
          <w:b/>
        </w:rPr>
      </w:pPr>
      <w:r w:rsidRPr="00D360B7">
        <w:t>La operación, supervisión y continuidad de las señales que se transmitan por medio del canal óptico es responsabilidad del Concesionario Solicitante.</w:t>
      </w:r>
    </w:p>
    <w:p w:rsidR="007C4016" w:rsidRPr="00D360B7" w:rsidRDefault="007C4016" w:rsidP="007C4016">
      <w:pPr>
        <w:pStyle w:val="CondicionesFinales"/>
        <w:spacing w:before="240" w:after="0"/>
        <w:rPr>
          <w:b/>
        </w:rPr>
      </w:pPr>
      <w:r w:rsidRPr="00D360B7">
        <w:t xml:space="preserve">Para garantizar el adecuado desempeño de la conexión entre el Concesionario Solicitante de servicio u operador de telecomunicaciones y el equipo de transporte óptico de </w:t>
      </w:r>
      <w:r>
        <w:t>TELNOR</w:t>
      </w:r>
      <w:r w:rsidRPr="00D360B7">
        <w:t>, se debe verificar la atenuación de la fibra óptica desde la in</w:t>
      </w:r>
      <w:r>
        <w:t>terfaz óptica en el sitio la co</w:t>
      </w:r>
      <w:r w:rsidRPr="00D360B7">
        <w:t xml:space="preserve">ubicación operador hasta la interfaz óptica del equipo de transporte óptico de </w:t>
      </w:r>
      <w:r>
        <w:t>TELNOR</w:t>
      </w:r>
      <w:r w:rsidRPr="00D360B7">
        <w:t>, es decir; se debe medir la atenuación total del trayecto óptico de interfaz a interfaz la cual deberá estar dentro de los valores que soporta la interfaz óptica a ser conectada.</w:t>
      </w:r>
    </w:p>
    <w:p w:rsidR="007C4016" w:rsidRPr="00D360B7" w:rsidRDefault="007C4016" w:rsidP="007C4016">
      <w:pPr>
        <w:pStyle w:val="CondicionesFinales"/>
        <w:spacing w:before="240" w:after="0"/>
        <w:rPr>
          <w:b/>
        </w:rPr>
      </w:pPr>
      <w:r w:rsidRPr="00D360B7">
        <w:t>7.-</w:t>
      </w:r>
      <w:r w:rsidRPr="00D360B7">
        <w:tab/>
        <w:t>ANEXOS.</w:t>
      </w:r>
    </w:p>
    <w:p w:rsidR="007C4016" w:rsidRPr="00D360B7" w:rsidRDefault="007C4016" w:rsidP="007C4016">
      <w:pPr>
        <w:pStyle w:val="CondicionesFinales"/>
        <w:spacing w:before="240" w:after="0"/>
        <w:rPr>
          <w:b/>
        </w:rPr>
      </w:pPr>
      <w:r w:rsidRPr="00D360B7">
        <w:t>No aplica.</w:t>
      </w:r>
    </w:p>
    <w:p w:rsidR="007C4016" w:rsidRPr="00D360B7" w:rsidRDefault="007C4016" w:rsidP="007C4016">
      <w:pPr>
        <w:pStyle w:val="CondicionesFinales"/>
        <w:spacing w:before="240" w:after="0"/>
        <w:rPr>
          <w:b/>
        </w:rPr>
      </w:pPr>
      <w:r w:rsidRPr="00D360B7">
        <w:t>8.-</w:t>
      </w:r>
      <w:r w:rsidRPr="00D360B7">
        <w:tab/>
        <w:t>BIBLIOGRAFÍA</w:t>
      </w:r>
    </w:p>
    <w:p w:rsidR="007C4016" w:rsidRDefault="007C4016" w:rsidP="007C4016">
      <w:pPr>
        <w:pStyle w:val="CondicionesFinales"/>
        <w:spacing w:before="240" w:after="0"/>
      </w:pPr>
      <w:r w:rsidRPr="00D360B7">
        <w:t>No aplica.</w:t>
      </w:r>
    </w:p>
    <w:p w:rsidR="007C4016" w:rsidRPr="004356EB" w:rsidRDefault="007C4016" w:rsidP="007C4016">
      <w:pPr>
        <w:pStyle w:val="CondicionesFinales"/>
        <w:spacing w:before="240" w:after="0"/>
        <w:rPr>
          <w:b/>
        </w:rPr>
      </w:pPr>
      <w:r w:rsidRPr="004356EB">
        <w:rPr>
          <w:b/>
        </w:rPr>
        <w:t>9.- FIBRA OBSCURA</w:t>
      </w:r>
    </w:p>
    <w:p w:rsidR="007C4016" w:rsidRPr="00D360B7" w:rsidRDefault="007C4016" w:rsidP="007C4016">
      <w:pPr>
        <w:pStyle w:val="CondicionesFinales"/>
        <w:spacing w:before="240" w:after="0"/>
      </w:pPr>
      <w:r>
        <w:t>10.</w:t>
      </w:r>
      <w:r w:rsidRPr="00D360B7">
        <w:t>-</w:t>
      </w:r>
      <w:r w:rsidRPr="00D360B7">
        <w:tab/>
      </w:r>
      <w:r>
        <w:t xml:space="preserve"> </w:t>
      </w:r>
      <w:r w:rsidRPr="00D360B7">
        <w:t>OBJETIVO.</w:t>
      </w:r>
    </w:p>
    <w:p w:rsidR="007C4016" w:rsidRPr="00D360B7" w:rsidRDefault="007C4016" w:rsidP="007C4016">
      <w:pPr>
        <w:pStyle w:val="CondicionesFinales"/>
        <w:spacing w:before="240" w:after="0"/>
      </w:pPr>
      <w:r w:rsidRPr="00D360B7">
        <w:t>Establecer los lineamientos técnicos que se deben considerar para el suminis</w:t>
      </w:r>
      <w:r>
        <w:t>tro del servicio de Renta de Fibra Obscura.</w:t>
      </w:r>
    </w:p>
    <w:p w:rsidR="007C4016" w:rsidRPr="009A2D6F" w:rsidRDefault="007C4016" w:rsidP="007C4016">
      <w:pPr>
        <w:pStyle w:val="CondicionesFinales"/>
        <w:spacing w:before="240" w:after="0"/>
      </w:pPr>
      <w:r>
        <w:t>9.2</w:t>
      </w:r>
      <w:r w:rsidRPr="009A2D6F">
        <w:t>.-</w:t>
      </w:r>
      <w:r w:rsidRPr="009A2D6F">
        <w:tab/>
        <w:t>ALCANCE.</w:t>
      </w:r>
    </w:p>
    <w:p w:rsidR="007C4016" w:rsidRPr="009A2D6F" w:rsidRDefault="007C4016" w:rsidP="007C4016">
      <w:pPr>
        <w:pStyle w:val="CondicionesFinales"/>
        <w:spacing w:before="240" w:after="0"/>
      </w:pPr>
      <w:r w:rsidRPr="009A2D6F">
        <w:lastRenderedPageBreak/>
        <w:t>Este documento d</w:t>
      </w:r>
      <w:r>
        <w:t>ebe ser utilizado</w:t>
      </w:r>
      <w:r w:rsidRPr="009A2D6F">
        <w:t xml:space="preserve"> por </w:t>
      </w:r>
      <w:r>
        <w:t>Telnor</w:t>
      </w:r>
      <w:r w:rsidRPr="009A2D6F">
        <w:t xml:space="preserve"> y los Concesiona</w:t>
      </w:r>
      <w:r>
        <w:t>rios Solicitantes cuando se provea</w:t>
      </w:r>
      <w:r w:rsidRPr="009A2D6F">
        <w:t xml:space="preserve"> la S</w:t>
      </w:r>
      <w:r>
        <w:t>olución técnica de Fibra Obscura de acuerdo con lo establecido en la Medida TRIGÉSIMA CUARTA de las Medidas Fijas.</w:t>
      </w:r>
    </w:p>
    <w:p w:rsidR="007C4016" w:rsidRPr="009A2D6F" w:rsidRDefault="007C4016" w:rsidP="007C4016">
      <w:pPr>
        <w:pStyle w:val="CondicionesFinales"/>
        <w:spacing w:before="240" w:after="0"/>
      </w:pPr>
      <w:r>
        <w:t>9.3</w:t>
      </w:r>
      <w:r w:rsidRPr="009A2D6F">
        <w:t>.-</w:t>
      </w:r>
      <w:r w:rsidRPr="009A2D6F">
        <w:tab/>
        <w:t>DEFINICIONES.</w:t>
      </w:r>
    </w:p>
    <w:p w:rsidR="007C4016" w:rsidRPr="009A2D6F" w:rsidRDefault="007C4016" w:rsidP="007C4016">
      <w:pPr>
        <w:pStyle w:val="CondicionesFinales"/>
        <w:spacing w:before="240" w:after="0"/>
      </w:pPr>
      <w:r>
        <w:t>FIBRA OBSCURA</w:t>
      </w:r>
    </w:p>
    <w:p w:rsidR="007C4016" w:rsidRDefault="007C4016" w:rsidP="007C4016">
      <w:pPr>
        <w:pStyle w:val="CondicionesFinales"/>
        <w:spacing w:before="240" w:after="0"/>
      </w:pPr>
      <w:r>
        <w:t>F</w:t>
      </w:r>
      <w:r w:rsidRPr="004356EB">
        <w:t>ibra obscura es la denominación que se atribuye a los circuitos de fibra óptica que han sid</w:t>
      </w:r>
      <w:r>
        <w:t>o desplegados</w:t>
      </w:r>
      <w:r w:rsidRPr="004356EB">
        <w:t xml:space="preserve"> pero no están siendo utilizados. La conectivi</w:t>
      </w:r>
      <w:r>
        <w:t>dad por la fibra se entrega</w:t>
      </w:r>
      <w:r w:rsidRPr="004356EB">
        <w:t xml:space="preserve"> en bruto, de</w:t>
      </w:r>
      <w:r>
        <w:t xml:space="preserve"> manera que es el propio CS</w:t>
      </w:r>
      <w:r w:rsidRPr="004356EB">
        <w:t xml:space="preserve"> quien aplica la tecnología de transmisión (electrónica) que m</w:t>
      </w:r>
      <w:r>
        <w:t>ás se adecua a sus necesidades.</w:t>
      </w:r>
    </w:p>
    <w:p w:rsidR="007C4016" w:rsidRDefault="007C4016" w:rsidP="007C4016">
      <w:pPr>
        <w:pStyle w:val="IFTnormal"/>
        <w:spacing w:before="240" w:after="0"/>
        <w:jc w:val="center"/>
      </w:pPr>
      <w:r w:rsidRPr="00031772">
        <w:rPr>
          <w:rFonts w:ascii="Arial" w:eastAsiaTheme="minorHAnsi" w:hAnsi="Arial" w:cs="Arial"/>
          <w:bCs w:val="0"/>
          <w:noProof/>
          <w:szCs w:val="20"/>
          <w:shd w:val="clear" w:color="auto" w:fill="FFFFFF"/>
          <w:lang w:eastAsia="es-MX"/>
        </w:rPr>
        <w:drawing>
          <wp:inline distT="0" distB="0" distL="0" distR="0" wp14:anchorId="7BDC5C11" wp14:editId="4FC4DFF3">
            <wp:extent cx="5274752" cy="1552754"/>
            <wp:effectExtent l="0" t="0" r="2540" b="0"/>
            <wp:docPr id="2" name="Picture 8" descr="Cable de fibra optica del AEP"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1742" cy="1581305"/>
                    </a:xfrm>
                    <a:prstGeom prst="rect">
                      <a:avLst/>
                    </a:prstGeom>
                    <a:noFill/>
                  </pic:spPr>
                </pic:pic>
              </a:graphicData>
            </a:graphic>
          </wp:inline>
        </w:drawing>
      </w:r>
    </w:p>
    <w:p w:rsidR="007C4016" w:rsidRPr="009A2D6F" w:rsidRDefault="007C4016" w:rsidP="007C4016">
      <w:pPr>
        <w:pStyle w:val="CondicionesFinales"/>
        <w:spacing w:before="240" w:after="0"/>
      </w:pPr>
      <w:r>
        <w:t>PUNTO DE ENTREGA</w:t>
      </w:r>
      <w:r w:rsidRPr="009A2D6F">
        <w:t xml:space="preserve"> DEL SERVICIO.</w:t>
      </w:r>
    </w:p>
    <w:p w:rsidR="007C4016" w:rsidRDefault="007C4016" w:rsidP="007C4016">
      <w:pPr>
        <w:pStyle w:val="CondicionesFinales"/>
        <w:spacing w:before="240" w:after="0"/>
      </w:pPr>
      <w:r w:rsidRPr="009A2D6F">
        <w:t>Co</w:t>
      </w:r>
      <w:r>
        <w:t>mprende las puntas o extremos de la fibra obscura por la ruta o tramo de infraestructura de ductos y/o postes solicitada por el CS, donde no hay disponibilidad de capacidad excedente</w:t>
      </w:r>
      <w:r w:rsidRPr="008C3921">
        <w:t xml:space="preserve"> </w:t>
      </w:r>
      <w:r w:rsidRPr="00851C3E">
        <w:t>o rutas alternativas</w:t>
      </w:r>
      <w:r>
        <w:t>.</w:t>
      </w:r>
    </w:p>
    <w:p w:rsidR="007C4016" w:rsidRDefault="007C4016" w:rsidP="007C4016">
      <w:pPr>
        <w:pStyle w:val="CondicionesFinales"/>
        <w:spacing w:before="240" w:after="0"/>
      </w:pPr>
      <w:r>
        <w:t>En función de los diferentes escenarios de aprovisionamiento las puntas requieren de elementos en la central o instalación equivalente de Telnor o en planta externa para habilitar la entrega de la fibra obscura al CS, que pueden comprender lo siguiente:</w:t>
      </w:r>
    </w:p>
    <w:p w:rsidR="007C4016" w:rsidRDefault="007C4016" w:rsidP="007C4016">
      <w:pPr>
        <w:pStyle w:val="CondicionesFinales"/>
        <w:numPr>
          <w:ilvl w:val="0"/>
          <w:numId w:val="173"/>
        </w:numPr>
        <w:spacing w:before="240" w:after="0"/>
      </w:pPr>
      <w:r>
        <w:t>Distribuidor de fibra óptica instalado en la coubicación del CS.</w:t>
      </w:r>
    </w:p>
    <w:p w:rsidR="007C4016" w:rsidRDefault="007C4016" w:rsidP="007C4016">
      <w:pPr>
        <w:pStyle w:val="CondicionesFinales"/>
        <w:numPr>
          <w:ilvl w:val="0"/>
          <w:numId w:val="173"/>
        </w:numPr>
        <w:spacing w:after="0"/>
      </w:pPr>
      <w:r>
        <w:t>Caja de empalme instalada en pozos o postes de los segmentos de la red de Telnor.</w:t>
      </w:r>
    </w:p>
    <w:p w:rsidR="007C4016" w:rsidRDefault="007C4016" w:rsidP="007C4016">
      <w:pPr>
        <w:pStyle w:val="CondicionesFinales"/>
        <w:numPr>
          <w:ilvl w:val="0"/>
          <w:numId w:val="173"/>
        </w:numPr>
        <w:spacing w:after="0"/>
      </w:pPr>
      <w:r>
        <w:t>En el punto de conexión terminal en sitio del usuario final.</w:t>
      </w:r>
    </w:p>
    <w:p w:rsidR="007C4016" w:rsidRPr="00D360B7" w:rsidRDefault="007C4016" w:rsidP="007C4016">
      <w:pPr>
        <w:pStyle w:val="CondicionesFinales"/>
        <w:numPr>
          <w:ilvl w:val="0"/>
          <w:numId w:val="173"/>
        </w:numPr>
        <w:spacing w:after="0"/>
        <w:rPr>
          <w:b/>
        </w:rPr>
      </w:pPr>
      <w:r>
        <w:lastRenderedPageBreak/>
        <w:t>E</w:t>
      </w:r>
      <w:r w:rsidRPr="00D360B7">
        <w:t>l conjunto de estándares y recomendaciones en las que se establece conectividad f</w:t>
      </w:r>
      <w:r>
        <w:t>ísica y lógica entre dos segmentos de</w:t>
      </w:r>
      <w:r w:rsidRPr="00D360B7">
        <w:t xml:space="preserve"> fibra óptica.</w:t>
      </w:r>
    </w:p>
    <w:p w:rsidR="007C4016" w:rsidRPr="00D360B7" w:rsidRDefault="007C4016" w:rsidP="007C4016">
      <w:pPr>
        <w:pStyle w:val="CondicionesFinales"/>
        <w:spacing w:before="240" w:after="0"/>
        <w:ind w:left="852"/>
        <w:rPr>
          <w:b/>
        </w:rPr>
      </w:pPr>
      <w:r>
        <w:t>9.4.-</w:t>
      </w:r>
      <w:r>
        <w:tab/>
        <w:t>DESARROLLO.</w:t>
      </w:r>
    </w:p>
    <w:p w:rsidR="007C4016" w:rsidRPr="00D360B7" w:rsidRDefault="007C4016" w:rsidP="007C4016">
      <w:pPr>
        <w:pStyle w:val="CondicionesFinales"/>
        <w:spacing w:before="240" w:after="0"/>
        <w:rPr>
          <w:b/>
        </w:rPr>
      </w:pPr>
      <w:r>
        <w:t>9.5</w:t>
      </w:r>
      <w:r w:rsidRPr="00D360B7">
        <w:t>.-</w:t>
      </w:r>
      <w:r w:rsidRPr="00D360B7">
        <w:tab/>
        <w:t>INTRODUCCIÓN.</w:t>
      </w:r>
    </w:p>
    <w:p w:rsidR="007C4016" w:rsidRDefault="007C4016" w:rsidP="007C4016">
      <w:pPr>
        <w:pStyle w:val="CondicionesFinales"/>
        <w:spacing w:before="240" w:after="0"/>
        <w:ind w:left="852"/>
      </w:pPr>
      <w:r>
        <w:t>La provisión del servicio de R</w:t>
      </w:r>
      <w:r w:rsidRPr="00851C3E">
        <w:t xml:space="preserve">enta de </w:t>
      </w:r>
      <w:r>
        <w:t xml:space="preserve">Fibra Obscura es una alternativa a una respuesta negativa a la solicitud de acceso a infraestructura de Telnor: la </w:t>
      </w:r>
      <w:r w:rsidRPr="00851C3E">
        <w:t>no disponibilidad de capacidad excedente</w:t>
      </w:r>
      <w:r>
        <w:t xml:space="preserve"> </w:t>
      </w:r>
      <w:r w:rsidRPr="00851C3E">
        <w:t>o rutas alternativas</w:t>
      </w:r>
      <w:r>
        <w:t xml:space="preserve">; </w:t>
      </w:r>
      <w:r w:rsidRPr="009A180A">
        <w:t xml:space="preserve">cuando la solución de canales ópticos </w:t>
      </w:r>
      <w:r>
        <w:t xml:space="preserve">no </w:t>
      </w:r>
      <w:r w:rsidRPr="009A180A">
        <w:t>es técnica o económicamente</w:t>
      </w:r>
      <w:r>
        <w:t xml:space="preserve"> factible</w:t>
      </w:r>
      <w:r w:rsidRPr="009A180A">
        <w:t xml:space="preserve"> para el CS</w:t>
      </w:r>
      <w:r>
        <w:t>; y</w:t>
      </w:r>
      <w:r w:rsidRPr="009A180A">
        <w:t xml:space="preserve"> cuando la solución de canales ópticos no es un sustituto directo de la ruta inicialmente solicitad</w:t>
      </w:r>
      <w:r>
        <w:t>a.</w:t>
      </w:r>
    </w:p>
    <w:p w:rsidR="007C4016" w:rsidRPr="00D360B7" w:rsidRDefault="007C4016" w:rsidP="007C4016">
      <w:pPr>
        <w:pStyle w:val="CondicionesFinales"/>
        <w:spacing w:before="240" w:after="0"/>
        <w:ind w:left="852"/>
        <w:rPr>
          <w:b/>
        </w:rPr>
      </w:pPr>
      <w:r>
        <w:t>9.6</w:t>
      </w:r>
      <w:r w:rsidRPr="00D360B7">
        <w:t>.-</w:t>
      </w:r>
      <w:r w:rsidRPr="00D360B7">
        <w:tab/>
        <w:t>DESCRIPCIÓN DEL SERVICIO.</w:t>
      </w:r>
    </w:p>
    <w:p w:rsidR="007C4016" w:rsidRDefault="007C4016" w:rsidP="007C4016">
      <w:pPr>
        <w:pStyle w:val="CondicionesFinales"/>
        <w:spacing w:before="240" w:after="0"/>
      </w:pPr>
      <w:r>
        <w:t>El servicio de compartición de fibra óptica obscura será aquél mediante el cual Telnor ponga a disposición de los diferentes concesionarios la fibra óptica de su red indistintamente de su denominación de acceso, local, metropolitana, regional, etc., bajo una configuración punto a punto (P2P).</w:t>
      </w:r>
    </w:p>
    <w:p w:rsidR="007C4016" w:rsidRDefault="007C4016" w:rsidP="007C4016">
      <w:pPr>
        <w:pStyle w:val="CondicionesFinales"/>
        <w:spacing w:before="240" w:after="0"/>
      </w:pPr>
      <w:r>
        <w:t xml:space="preserve">El recurso de red fibra óptica obscura no depende o no está asociada a tecnología alguna. El recurso que se solicita es solamente el elemento de cable óptico en su unidad de hilo. </w:t>
      </w:r>
    </w:p>
    <w:p w:rsidR="007C4016" w:rsidRPr="00D360B7" w:rsidRDefault="007C4016" w:rsidP="007C4016">
      <w:pPr>
        <w:pStyle w:val="CondicionesFinales"/>
        <w:spacing w:before="240" w:after="0"/>
        <w:rPr>
          <w:b/>
        </w:rPr>
      </w:pPr>
      <w:r>
        <w:t>9.7</w:t>
      </w:r>
      <w:r w:rsidRPr="00D360B7">
        <w:t>.-</w:t>
      </w:r>
      <w:r w:rsidRPr="00D360B7">
        <w:tab/>
        <w:t>CRITERIOS PARA EL SUMINISTRO.</w:t>
      </w:r>
    </w:p>
    <w:p w:rsidR="007C4016" w:rsidRPr="00D360B7" w:rsidRDefault="007C4016" w:rsidP="007C4016">
      <w:pPr>
        <w:pStyle w:val="CondicionesFinales"/>
        <w:spacing w:before="240" w:after="0"/>
        <w:rPr>
          <w:b/>
        </w:rPr>
      </w:pPr>
      <w:r w:rsidRPr="00D360B7">
        <w:t>El aprovisionam</w:t>
      </w:r>
      <w:r>
        <w:t>iento del servicio de la fibra obscura</w:t>
      </w:r>
      <w:r w:rsidRPr="00D360B7">
        <w:t xml:space="preserve"> se debe realizar de la siguiente manera:</w:t>
      </w:r>
    </w:p>
    <w:p w:rsidR="007C4016" w:rsidRDefault="007C4016" w:rsidP="007C4016">
      <w:pPr>
        <w:pStyle w:val="CondicionesFinales"/>
        <w:numPr>
          <w:ilvl w:val="0"/>
          <w:numId w:val="173"/>
        </w:numPr>
        <w:spacing w:before="240" w:after="0"/>
      </w:pPr>
      <w:r>
        <w:t xml:space="preserve">La conexión de la fibra obscura de Telnor con la fibra del </w:t>
      </w:r>
      <w:r w:rsidRPr="00B50518">
        <w:t xml:space="preserve">concesionario se realiza </w:t>
      </w:r>
      <w:r>
        <w:t xml:space="preserve">en los puntos de entrega definidos en el Servicio de Renta de Fibra Obscura. </w:t>
      </w:r>
    </w:p>
    <w:p w:rsidR="007C4016" w:rsidRPr="00031772" w:rsidRDefault="007C4016" w:rsidP="007C4016">
      <w:pPr>
        <w:pStyle w:val="CondicionesFinales"/>
        <w:spacing w:before="240" w:after="0"/>
      </w:pPr>
      <w:r>
        <w:t>Telnor ofrecerá al menos los siguientes</w:t>
      </w:r>
      <w:r w:rsidRPr="00031772">
        <w:t xml:space="preserve"> parámetros técnicos que garanticen una operación eficiente del recurso de fibra óptica obscura compart</w:t>
      </w:r>
      <w:r>
        <w:t>ida</w:t>
      </w:r>
      <w:r w:rsidRPr="00031772">
        <w:t xml:space="preserve">: </w:t>
      </w:r>
    </w:p>
    <w:p w:rsidR="007C4016" w:rsidRDefault="007C4016" w:rsidP="007C4016">
      <w:pPr>
        <w:pStyle w:val="CondicionesFinales"/>
        <w:numPr>
          <w:ilvl w:val="0"/>
          <w:numId w:val="159"/>
        </w:numPr>
        <w:spacing w:before="240" w:after="0"/>
      </w:pPr>
      <w:r w:rsidRPr="00031772">
        <w:lastRenderedPageBreak/>
        <w:t>Atenuación máxima por kilómetro en hilo de fibra.</w:t>
      </w:r>
      <w:r w:rsidRPr="00031772">
        <w:tab/>
      </w:r>
      <w:r>
        <w:t xml:space="preserve"> </w:t>
      </w:r>
    </w:p>
    <w:p w:rsidR="007C4016" w:rsidRDefault="007C4016" w:rsidP="007C4016">
      <w:pPr>
        <w:pStyle w:val="CondicionesFinales"/>
        <w:numPr>
          <w:ilvl w:val="1"/>
          <w:numId w:val="159"/>
        </w:numPr>
        <w:spacing w:before="240" w:after="0"/>
      </w:pPr>
      <w:r w:rsidRPr="00031772">
        <w:t>Entre 0.35 y 0.50 dB/Km para lam</w:t>
      </w:r>
      <w:r>
        <w:t>b</w:t>
      </w:r>
      <w:r w:rsidRPr="00031772">
        <w:t>da 1310 nm</w:t>
      </w:r>
    </w:p>
    <w:p w:rsidR="007C4016" w:rsidRDefault="007C4016" w:rsidP="007C4016">
      <w:pPr>
        <w:pStyle w:val="Prrafodelista"/>
        <w:numPr>
          <w:ilvl w:val="1"/>
          <w:numId w:val="159"/>
        </w:numPr>
        <w:spacing w:before="240" w:after="0"/>
        <w:rPr>
          <w:rFonts w:ascii="ITC Avant Garde" w:hAnsi="ITC Avant Garde" w:cs="Arial"/>
          <w:bCs/>
          <w:color w:val="000000"/>
          <w:sz w:val="22"/>
          <w:szCs w:val="22"/>
          <w:lang w:val="es-ES_tradnl"/>
        </w:rPr>
      </w:pPr>
      <w:r w:rsidRPr="003F659F">
        <w:rPr>
          <w:rFonts w:ascii="ITC Avant Garde" w:hAnsi="ITC Avant Garde" w:cs="Arial"/>
          <w:bCs/>
          <w:color w:val="000000"/>
          <w:sz w:val="22"/>
          <w:szCs w:val="22"/>
          <w:lang w:val="es-ES_tradnl"/>
        </w:rPr>
        <w:t>Entre 0.15 y 0.30 dB/Km para lambda 1550 nm.</w:t>
      </w:r>
    </w:p>
    <w:p w:rsidR="007C4016" w:rsidRPr="00031772" w:rsidRDefault="007C4016" w:rsidP="007C4016">
      <w:pPr>
        <w:pStyle w:val="CondicionesFinales"/>
        <w:numPr>
          <w:ilvl w:val="0"/>
          <w:numId w:val="159"/>
        </w:numPr>
        <w:spacing w:before="240" w:after="0"/>
      </w:pPr>
      <w:r w:rsidRPr="00031772">
        <w:t>Atenuación máxima por empalme de fusión.</w:t>
      </w:r>
      <w:r>
        <w:t xml:space="preserve"> </w:t>
      </w:r>
      <w:r w:rsidRPr="00031772">
        <w:tab/>
      </w:r>
      <w:r w:rsidRPr="00031772">
        <w:tab/>
        <w:t>Máximo 0.1 dB</w:t>
      </w:r>
    </w:p>
    <w:p w:rsidR="007C4016" w:rsidRPr="00031772" w:rsidRDefault="007C4016" w:rsidP="007C4016">
      <w:pPr>
        <w:pStyle w:val="CondicionesFinales"/>
        <w:numPr>
          <w:ilvl w:val="0"/>
          <w:numId w:val="159"/>
        </w:numPr>
        <w:spacing w:before="240" w:after="0"/>
      </w:pPr>
      <w:r w:rsidRPr="00031772">
        <w:t>Atenuación máxima por empalme mecánico.</w:t>
      </w:r>
      <w:r w:rsidRPr="00031772">
        <w:tab/>
      </w:r>
      <w:r w:rsidRPr="00031772">
        <w:tab/>
      </w:r>
      <w:r>
        <w:t xml:space="preserve"> Máximo </w:t>
      </w:r>
      <w:r w:rsidRPr="00031772">
        <w:t>0.5 dB</w:t>
      </w:r>
    </w:p>
    <w:p w:rsidR="007C4016" w:rsidRPr="00031772" w:rsidRDefault="007C4016" w:rsidP="007C4016">
      <w:pPr>
        <w:pStyle w:val="CondicionesFinales"/>
        <w:numPr>
          <w:ilvl w:val="0"/>
          <w:numId w:val="159"/>
        </w:numPr>
        <w:spacing w:before="240" w:after="0"/>
      </w:pPr>
      <w:r w:rsidRPr="00031772">
        <w:t>Atenuación máxima por conexión física.</w:t>
      </w:r>
      <w:r w:rsidRPr="00031772">
        <w:tab/>
      </w:r>
      <w:r w:rsidRPr="00031772">
        <w:tab/>
      </w:r>
      <w:r>
        <w:t xml:space="preserve"> </w:t>
      </w:r>
      <w:r w:rsidRPr="00031772">
        <w:t>Máximo 0.5 dB</w:t>
      </w:r>
    </w:p>
    <w:p w:rsidR="007C4016" w:rsidRPr="00031772" w:rsidRDefault="007C4016" w:rsidP="007C4016">
      <w:pPr>
        <w:pStyle w:val="CondicionesFinales"/>
        <w:numPr>
          <w:ilvl w:val="0"/>
          <w:numId w:val="159"/>
        </w:numPr>
        <w:spacing w:before="240" w:after="0"/>
      </w:pPr>
      <w:r w:rsidRPr="00031772">
        <w:t>Atenuación máxima por cables de parcheo.</w:t>
      </w:r>
      <w:r w:rsidRPr="00031772">
        <w:tab/>
      </w:r>
      <w:r w:rsidRPr="00031772">
        <w:tab/>
      </w:r>
      <w:r>
        <w:t xml:space="preserve"> </w:t>
      </w:r>
      <w:r w:rsidRPr="00031772">
        <w:t>Máximo 1.0 dB</w:t>
      </w:r>
    </w:p>
    <w:p w:rsidR="007C4016" w:rsidRPr="00031772" w:rsidRDefault="007C4016" w:rsidP="007C4016">
      <w:pPr>
        <w:pStyle w:val="CondicionesFinales"/>
        <w:numPr>
          <w:ilvl w:val="0"/>
          <w:numId w:val="159"/>
        </w:numPr>
        <w:spacing w:before="240" w:after="0"/>
      </w:pPr>
      <w:r w:rsidRPr="00031772">
        <w:t xml:space="preserve">Niveles de servicio diferenciados para cada tipo de segmento local, metropolitano, regional y </w:t>
      </w:r>
      <w:r>
        <w:t>nacional</w:t>
      </w:r>
      <w:r w:rsidRPr="00031772">
        <w:t>. Tiempos de reparación.</w:t>
      </w:r>
    </w:p>
    <w:p w:rsidR="007C4016" w:rsidRPr="00031772" w:rsidRDefault="007C4016" w:rsidP="007C4016">
      <w:pPr>
        <w:pStyle w:val="CondicionesFinales"/>
        <w:numPr>
          <w:ilvl w:val="1"/>
          <w:numId w:val="159"/>
        </w:numPr>
        <w:spacing w:before="240" w:after="0"/>
      </w:pPr>
      <w:r w:rsidRPr="00031772">
        <w:t>Local:</w:t>
      </w:r>
      <w:r>
        <w:t xml:space="preserve"> </w:t>
      </w:r>
      <w:r w:rsidRPr="00031772">
        <w:t>Máximo 4 Horas</w:t>
      </w:r>
    </w:p>
    <w:p w:rsidR="007C4016" w:rsidRPr="00031772" w:rsidRDefault="007C4016" w:rsidP="007C4016">
      <w:pPr>
        <w:pStyle w:val="CondicionesFinales"/>
        <w:numPr>
          <w:ilvl w:val="1"/>
          <w:numId w:val="159"/>
        </w:numPr>
        <w:spacing w:before="240" w:after="0"/>
      </w:pPr>
      <w:r w:rsidRPr="00031772">
        <w:t>Metropolitano:</w:t>
      </w:r>
      <w:r w:rsidRPr="00031772">
        <w:tab/>
      </w:r>
      <w:r>
        <w:t xml:space="preserve"> </w:t>
      </w:r>
      <w:r w:rsidRPr="00031772">
        <w:t>Máximo 4 horas</w:t>
      </w:r>
    </w:p>
    <w:p w:rsidR="007C4016" w:rsidRPr="00031772" w:rsidRDefault="007C4016" w:rsidP="007C4016">
      <w:pPr>
        <w:pStyle w:val="CondicionesFinales"/>
        <w:numPr>
          <w:ilvl w:val="1"/>
          <w:numId w:val="159"/>
        </w:numPr>
        <w:spacing w:before="240" w:after="0"/>
      </w:pPr>
      <w:r w:rsidRPr="00031772">
        <w:t>Regional:</w:t>
      </w:r>
      <w:r w:rsidRPr="00031772">
        <w:tab/>
      </w:r>
      <w:r w:rsidRPr="00031772">
        <w:tab/>
      </w:r>
      <w:r>
        <w:t xml:space="preserve"> </w:t>
      </w:r>
      <w:r w:rsidRPr="00031772">
        <w:t>Máximo 6 horas</w:t>
      </w:r>
    </w:p>
    <w:p w:rsidR="007C4016" w:rsidRDefault="007C4016" w:rsidP="007C4016">
      <w:pPr>
        <w:pStyle w:val="CondicionesFinales"/>
        <w:numPr>
          <w:ilvl w:val="1"/>
          <w:numId w:val="159"/>
        </w:numPr>
        <w:spacing w:before="240" w:after="0"/>
        <w:rPr>
          <w:shd w:val="clear" w:color="auto" w:fill="FFFFFF"/>
        </w:rPr>
      </w:pPr>
      <w:r>
        <w:rPr>
          <w:shd w:val="clear" w:color="auto" w:fill="FFFFFF"/>
        </w:rPr>
        <w:t>Nacional</w:t>
      </w:r>
      <w:r w:rsidRPr="00031772">
        <w:rPr>
          <w:shd w:val="clear" w:color="auto" w:fill="FFFFFF"/>
        </w:rPr>
        <w:t>:</w:t>
      </w:r>
      <w:r w:rsidRPr="00031772">
        <w:rPr>
          <w:shd w:val="clear" w:color="auto" w:fill="FFFFFF"/>
        </w:rPr>
        <w:tab/>
      </w:r>
      <w:r>
        <w:rPr>
          <w:shd w:val="clear" w:color="auto" w:fill="FFFFFF"/>
        </w:rPr>
        <w:t xml:space="preserve"> </w:t>
      </w:r>
      <w:r w:rsidRPr="00031772">
        <w:rPr>
          <w:shd w:val="clear" w:color="auto" w:fill="FFFFFF"/>
        </w:rPr>
        <w:t>Máximo 8 horas</w:t>
      </w:r>
    </w:p>
    <w:p w:rsidR="007C4016" w:rsidRPr="00D360B7" w:rsidRDefault="007C4016" w:rsidP="007C4016">
      <w:pPr>
        <w:pStyle w:val="CondicionesFinales"/>
        <w:spacing w:before="240" w:after="0"/>
        <w:rPr>
          <w:b/>
        </w:rPr>
      </w:pPr>
      <w:r>
        <w:t>9.8</w:t>
      </w:r>
      <w:r w:rsidRPr="00D360B7">
        <w:t>.-</w:t>
      </w:r>
      <w:r w:rsidRPr="00D360B7">
        <w:tab/>
        <w:t>ANEXOS.</w:t>
      </w:r>
    </w:p>
    <w:p w:rsidR="007C4016" w:rsidRPr="00D360B7" w:rsidRDefault="007C4016" w:rsidP="007C4016">
      <w:pPr>
        <w:pStyle w:val="CondicionesFinales"/>
        <w:spacing w:before="240" w:after="0"/>
        <w:rPr>
          <w:b/>
        </w:rPr>
      </w:pPr>
      <w:r w:rsidRPr="00D360B7">
        <w:t>No aplica.</w:t>
      </w:r>
    </w:p>
    <w:p w:rsidR="007C4016" w:rsidRPr="00D360B7" w:rsidRDefault="007C4016" w:rsidP="007C4016">
      <w:pPr>
        <w:pStyle w:val="CondicionesFinales"/>
        <w:spacing w:before="240" w:after="0"/>
        <w:rPr>
          <w:b/>
        </w:rPr>
      </w:pPr>
      <w:r>
        <w:t>9.9</w:t>
      </w:r>
      <w:r w:rsidRPr="00D360B7">
        <w:t>.-</w:t>
      </w:r>
      <w:r w:rsidRPr="00D360B7">
        <w:tab/>
        <w:t>BIBLIOGRAFÍA</w:t>
      </w:r>
    </w:p>
    <w:p w:rsidR="007C4016" w:rsidRDefault="007C4016" w:rsidP="007C4016">
      <w:pPr>
        <w:pStyle w:val="CondicionesFinales"/>
        <w:spacing w:before="240" w:after="0"/>
      </w:pPr>
      <w:r>
        <w:t>ITU. G.652 (11/1988)</w:t>
      </w:r>
    </w:p>
    <w:p w:rsidR="007C4016" w:rsidRDefault="007C4016" w:rsidP="007C4016">
      <w:pPr>
        <w:pStyle w:val="CondicionesFinales"/>
        <w:spacing w:before="240" w:after="0"/>
      </w:pPr>
      <w:r>
        <w:t>ITU. G.657 (12/2016)</w:t>
      </w:r>
    </w:p>
    <w:p w:rsidR="007C4016" w:rsidRDefault="007C4016" w:rsidP="007C4016">
      <w:pPr>
        <w:pStyle w:val="CondicionesFinales"/>
        <w:spacing w:before="240" w:after="0"/>
      </w:pPr>
      <w:r>
        <w:t>ITU. G.957 (03/2016)</w:t>
      </w:r>
    </w:p>
    <w:p w:rsidR="007C4016" w:rsidRDefault="007C4016" w:rsidP="007C4016">
      <w:pPr>
        <w:pStyle w:val="CondicionesFinales"/>
        <w:spacing w:before="240" w:after="0"/>
      </w:pPr>
      <w:r>
        <w:t>ITU. G.651.1 (07/2007)</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ANEXO 4 PARÁMETROS E INDICADORES DE LOS NIVELES DE CALIDAD</w:t>
      </w:r>
    </w:p>
    <w:p w:rsidR="007C4016" w:rsidRPr="00D9689C" w:rsidRDefault="007C4016" w:rsidP="007C4016">
      <w:pPr>
        <w:pStyle w:val="IFTnormal"/>
        <w:spacing w:before="240" w:after="0"/>
        <w:rPr>
          <w:b/>
        </w:rPr>
      </w:pPr>
      <w:r>
        <w:rPr>
          <w:b/>
        </w:rPr>
        <w:lastRenderedPageBreak/>
        <w:t>Consideraciones del Ins</w:t>
      </w:r>
      <w:r w:rsidRPr="00D9689C">
        <w:rPr>
          <w:b/>
        </w:rPr>
        <w:t>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pPr>
      <w:r w:rsidRPr="00473BA7">
        <w:rPr>
          <w:rFonts w:eastAsiaTheme="minorHAnsi" w:cs="Arial"/>
          <w:lang w:val="es-ES"/>
        </w:rPr>
        <w:t xml:space="preserve">Relativo al </w:t>
      </w:r>
      <w:r>
        <w:rPr>
          <w:rFonts w:eastAsiaTheme="minorHAnsi" w:cs="Arial"/>
          <w:lang w:val="es-ES"/>
        </w:rPr>
        <w:t>“</w:t>
      </w:r>
      <w:r w:rsidRPr="002100D7">
        <w:rPr>
          <w:rFonts w:eastAsiaTheme="minorHAnsi" w:cs="Arial"/>
          <w:i/>
          <w:lang w:val="es-ES"/>
        </w:rPr>
        <w:t xml:space="preserve">Anexo </w:t>
      </w:r>
      <w:r w:rsidRPr="006621E5">
        <w:rPr>
          <w:rFonts w:eastAsiaTheme="minorHAnsi" w:cs="Arial"/>
          <w:i/>
          <w:lang w:val="es-ES"/>
        </w:rPr>
        <w:t>4. Parámetros e Indicadores de los Niveles de Calidad y Penas Convencionales</w:t>
      </w:r>
      <w:r w:rsidRPr="00CA171C">
        <w:t>”</w:t>
      </w:r>
      <w:r w:rsidRPr="009A7AC3">
        <w:t xml:space="preserve">, </w:t>
      </w:r>
      <w:r>
        <w:t xml:space="preserve">el Instituto </w:t>
      </w:r>
      <w:r>
        <w:rPr>
          <w:lang w:val="es-ES"/>
        </w:rPr>
        <w:t>considera que la propuesta no se apega a lo establecido en la multicitada M</w:t>
      </w:r>
      <w:r w:rsidRPr="000C28DD">
        <w:rPr>
          <w:lang w:val="es-ES"/>
        </w:rPr>
        <w:t xml:space="preserve">edida </w:t>
      </w:r>
      <w:r w:rsidRPr="00432169">
        <w:t>CUADRAGÉSIMA PRIMERA</w:t>
      </w:r>
      <w:r>
        <w:t xml:space="preserve">, que hace referencia a que la Propuesta de Oferta de Referencia del AEP deberá reflejar al menos condiciones equivalentes al de la Oferta de Referencia Vigente, además de que deberá contar con procedimientos y plazos para la solicitud y entrega de los servicios, y no podrá establecer condiciones que inhiban la competencia en la prestación de los servicios, razón por la cual, y a juicio del Instituto el  </w:t>
      </w:r>
      <w:r>
        <w:rPr>
          <w:rFonts w:eastAsiaTheme="minorHAnsi" w:cs="Arial"/>
          <w:lang w:val="es-ES"/>
        </w:rPr>
        <w:t>“</w:t>
      </w:r>
      <w:r w:rsidRPr="002100D7">
        <w:rPr>
          <w:rFonts w:eastAsiaTheme="minorHAnsi" w:cs="Arial"/>
          <w:i/>
          <w:lang w:val="es-ES"/>
        </w:rPr>
        <w:t xml:space="preserve">Anexo </w:t>
      </w:r>
      <w:r w:rsidRPr="006621E5">
        <w:rPr>
          <w:rFonts w:eastAsiaTheme="minorHAnsi" w:cs="Arial"/>
          <w:i/>
          <w:lang w:val="es-ES"/>
        </w:rPr>
        <w:t>4. Parámetros e Indicadores de los Niveles de Calidad y Penas Convencionales</w:t>
      </w:r>
      <w:r>
        <w:rPr>
          <w:rFonts w:eastAsiaTheme="minorHAnsi" w:cs="Arial"/>
          <w:i/>
          <w:lang w:val="es-ES"/>
        </w:rPr>
        <w:t>”,</w:t>
      </w:r>
      <w:r>
        <w:t xml:space="preserve"> debe ser modificado, con la finalidad de reflejar lo resuelto en la Sección  “</w:t>
      </w:r>
      <w:r w:rsidRPr="00B56C3A">
        <w:t xml:space="preserve">1.1 </w:t>
      </w:r>
      <w:r w:rsidRPr="00B56C3A">
        <w:tab/>
        <w:t>PROCEDIMIENTOS PARA LA CONTRATACIÓN, MODIFICACIÓN Y BAJA DE LOS SERVICIOS</w:t>
      </w:r>
      <w:r>
        <w:t xml:space="preserve">”, del presente documento en consistencia con lo resuelto en los temas: a) Procedimientos de contratación, modificación y baja de los servicios; b) </w:t>
      </w:r>
      <w:r w:rsidRPr="001E6BEF">
        <w:t>Actividades de Apoyo; y c) Trabajos Especiales. Al respecto y d</w:t>
      </w:r>
      <w:r w:rsidRPr="001E6BEF">
        <w:rPr>
          <w:rFonts w:eastAsiaTheme="minorHAnsi" w:cs="Arial"/>
        </w:rPr>
        <w:t>e forma</w:t>
      </w:r>
      <w:r w:rsidRPr="001E6BEF">
        <w:rPr>
          <w:rFonts w:eastAsiaTheme="minorHAnsi" w:cs="Arial"/>
          <w:lang w:val="es-ES"/>
        </w:rPr>
        <w:t xml:space="preserve"> particular, el Instituto observa que los plazos de las actividades contempladas en los procedimientos para la entrega de los servicios son excesivos, incrementando el tiempo de duración total de los proyectos, y que a juicio del Instituto constituye un factor que puede inhibir la competencia en la prestación de los servicios. Estas consideraciones se revisaron con base en los comentarios e información de los participantes de la Consulta Pública y de concesionarios que han experimentado la contratación de servicios de compartición de infraestructura, razón por la cual el Instituto resuelve que sean modificados los plazos, a fin de lograr en la medida de lo posible, una eficiencia en la entrega de los servicios.</w:t>
      </w:r>
    </w:p>
    <w:p w:rsidR="007C4016" w:rsidRPr="00AD1AF9" w:rsidRDefault="007C4016" w:rsidP="007C4016">
      <w:pPr>
        <w:pStyle w:val="IFTnormal"/>
        <w:spacing w:before="240" w:after="0"/>
        <w:rPr>
          <w:b/>
        </w:rPr>
      </w:pPr>
      <w:r w:rsidRPr="00AD1AF9">
        <w:rPr>
          <w:b/>
        </w:rPr>
        <w:t>Redacción definitiva</w:t>
      </w:r>
    </w:p>
    <w:p w:rsidR="007C4016" w:rsidRPr="00AD1AF9" w:rsidRDefault="007C4016" w:rsidP="007C4016">
      <w:pPr>
        <w:pStyle w:val="CondicionesFinales"/>
        <w:spacing w:before="240" w:after="0"/>
        <w:rPr>
          <w:b/>
        </w:rPr>
      </w:pPr>
      <w:r w:rsidRPr="00AD1AF9">
        <w:rPr>
          <w:b/>
        </w:rPr>
        <w:t>ANEXO 4</w:t>
      </w:r>
    </w:p>
    <w:p w:rsidR="007C4016" w:rsidRPr="00AD1AF9" w:rsidRDefault="007C4016" w:rsidP="007C4016">
      <w:pPr>
        <w:pStyle w:val="CondicionesFinales"/>
        <w:spacing w:before="240" w:after="0"/>
        <w:rPr>
          <w:b/>
        </w:rPr>
      </w:pPr>
      <w:r w:rsidRPr="00AD1AF9">
        <w:rPr>
          <w:b/>
        </w:rPr>
        <w:t>Parámetros e Indicadores de los Niveles de Calidad y Penas Convencionales</w:t>
      </w:r>
    </w:p>
    <w:p w:rsidR="007C4016" w:rsidRPr="00AD1AF9" w:rsidRDefault="007C4016" w:rsidP="007C4016">
      <w:pPr>
        <w:pStyle w:val="CondicionesFinales"/>
        <w:numPr>
          <w:ilvl w:val="6"/>
          <w:numId w:val="73"/>
        </w:numPr>
        <w:spacing w:before="240" w:after="0"/>
        <w:ind w:left="1134" w:hanging="283"/>
        <w:rPr>
          <w:b/>
        </w:rPr>
      </w:pPr>
      <w:r w:rsidRPr="00AD1AF9">
        <w:rPr>
          <w:b/>
        </w:rPr>
        <w:t>Introducción</w:t>
      </w:r>
    </w:p>
    <w:p w:rsidR="007C4016" w:rsidRDefault="007C4016" w:rsidP="007C4016">
      <w:pPr>
        <w:pStyle w:val="CondicionesFinales"/>
        <w:spacing w:before="240" w:after="0"/>
      </w:pPr>
      <w:r w:rsidRPr="001E7C19">
        <w:t xml:space="preserve">Para cada uno de los servicios que forman parte de la Oferta de Referencia han sido definidos los parámetros e indicadores de los </w:t>
      </w:r>
      <w:r w:rsidRPr="001E7C19">
        <w:lastRenderedPageBreak/>
        <w:t>niveles de calidad. Dichos parámetros serán validados trimestralmente y se aplicarán penas convencionales solamente en aquellos casos en los que los parámetros de calidad no hayan sido cumplidos.</w:t>
      </w:r>
    </w:p>
    <w:p w:rsidR="007C4016" w:rsidRPr="00AD1AF9" w:rsidRDefault="007C4016" w:rsidP="007C4016">
      <w:pPr>
        <w:pStyle w:val="CondicionesFinales"/>
        <w:numPr>
          <w:ilvl w:val="6"/>
          <w:numId w:val="73"/>
        </w:numPr>
        <w:spacing w:before="240" w:after="0"/>
        <w:ind w:left="1134" w:hanging="283"/>
        <w:rPr>
          <w:b/>
        </w:rPr>
      </w:pPr>
      <w:r w:rsidRPr="00AD1AF9">
        <w:rPr>
          <w:b/>
        </w:rPr>
        <w:t>Parámetros de Calidad para los Servicios de Acceso y Uso Compartido de la Infraestructura Pasiva</w:t>
      </w:r>
    </w:p>
    <w:p w:rsidR="007C4016" w:rsidRPr="00DB2E16" w:rsidRDefault="007C4016" w:rsidP="007C4016">
      <w:pPr>
        <w:pStyle w:val="CondicionesFinales"/>
        <w:spacing w:before="240" w:after="0"/>
        <w:rPr>
          <w:lang w:eastAsia="es-MX"/>
        </w:rPr>
      </w:pPr>
      <w:r w:rsidRPr="008E4600">
        <w:rPr>
          <w:lang w:eastAsia="es-MX"/>
        </w:rPr>
        <w:t>La medición de todos los parámetros e indicadores se realizará de forma trimestral y por cada CS</w:t>
      </w:r>
      <w:r>
        <w:rPr>
          <w:lang w:eastAsia="es-MX"/>
        </w:rPr>
        <w:t>. Para todos los parámetros, el tiempo de ejecución está dado en Días Hábiles (DH).</w:t>
      </w:r>
    </w:p>
    <w:p w:rsidR="007C4016" w:rsidRPr="00D52752" w:rsidRDefault="007C4016" w:rsidP="007C4016">
      <w:pPr>
        <w:pStyle w:val="CondicionesFinales"/>
        <w:spacing w:before="240" w:after="0"/>
        <w:rPr>
          <w:b/>
        </w:rPr>
      </w:pPr>
      <w:r w:rsidRPr="00D52752">
        <w:rPr>
          <w:b/>
        </w:rPr>
        <w:t xml:space="preserve">2.1 </w:t>
      </w:r>
      <w:r w:rsidRPr="00D52752">
        <w:rPr>
          <w:b/>
        </w:rPr>
        <w:tab/>
        <w:t>Solicitud de Información</w:t>
      </w:r>
    </w:p>
    <w:p w:rsidR="007C4016" w:rsidRPr="00C45881" w:rsidRDefault="007C4016" w:rsidP="007C4016">
      <w:pPr>
        <w:pStyle w:val="CondicionesFinales"/>
        <w:spacing w:before="240" w:after="0"/>
      </w:pPr>
    </w:p>
    <w:tbl>
      <w:tblPr>
        <w:tblStyle w:val="Cuadrculadetablaclara1"/>
        <w:tblW w:w="3996" w:type="pct"/>
        <w:jc w:val="center"/>
        <w:tblLook w:val="01E0" w:firstRow="1" w:lastRow="1" w:firstColumn="1" w:lastColumn="1" w:noHBand="0" w:noVBand="0"/>
        <w:tblCaption w:val="Tabla"/>
        <w:tblDescription w:val="Solicitud de Información"/>
      </w:tblPr>
      <w:tblGrid>
        <w:gridCol w:w="3860"/>
        <w:gridCol w:w="1613"/>
        <w:gridCol w:w="1584"/>
      </w:tblGrid>
      <w:tr w:rsidR="007C4016" w:rsidRPr="00AD1AF9" w:rsidTr="00483567">
        <w:trPr>
          <w:trHeight w:val="225"/>
          <w:tblHeader/>
          <w:jc w:val="center"/>
        </w:trPr>
        <w:tc>
          <w:tcPr>
            <w:tcW w:w="2748" w:type="pct"/>
            <w:shd w:val="clear" w:color="auto" w:fill="548DD4" w:themeFill="text2" w:themeFillTint="99"/>
          </w:tcPr>
          <w:p w:rsidR="007C4016" w:rsidRPr="00AD1AF9" w:rsidRDefault="007C4016" w:rsidP="005C782A">
            <w:pPr>
              <w:spacing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t>Actividad</w:t>
            </w:r>
          </w:p>
        </w:tc>
        <w:tc>
          <w:tcPr>
            <w:tcW w:w="1157" w:type="pct"/>
            <w:shd w:val="clear" w:color="auto" w:fill="548DD4" w:themeFill="text2" w:themeFillTint="99"/>
          </w:tcPr>
          <w:p w:rsidR="007C4016" w:rsidRPr="00AD1AF9" w:rsidRDefault="007C4016" w:rsidP="005C782A">
            <w:pPr>
              <w:spacing w:after="0" w:line="240" w:lineRule="auto"/>
              <w:jc w:val="center"/>
              <w:rPr>
                <w:rFonts w:ascii="ITC Avant Garde" w:hAnsi="ITC Avant Garde"/>
                <w:b/>
                <w:bCs/>
                <w:color w:val="FFFFFF"/>
                <w:sz w:val="20"/>
                <w:szCs w:val="20"/>
              </w:rPr>
            </w:pPr>
            <w:r w:rsidRPr="00AD1AF9">
              <w:rPr>
                <w:rFonts w:ascii="ITC Avant Garde" w:hAnsi="ITC Avant Garde"/>
                <w:b/>
                <w:color w:val="FFFFFF"/>
                <w:sz w:val="20"/>
                <w:szCs w:val="20"/>
                <w:lang w:val="es-ES"/>
              </w:rPr>
              <w:t>Tiempo</w:t>
            </w:r>
          </w:p>
        </w:tc>
        <w:tc>
          <w:tcPr>
            <w:tcW w:w="1094" w:type="pct"/>
            <w:shd w:val="clear" w:color="auto" w:fill="548DD4" w:themeFill="text2" w:themeFillTint="99"/>
          </w:tcPr>
          <w:p w:rsidR="007C4016" w:rsidRPr="00AD1AF9" w:rsidRDefault="007C4016" w:rsidP="005C782A">
            <w:pPr>
              <w:spacing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t>% Cumplimiento</w:t>
            </w:r>
          </w:p>
        </w:tc>
      </w:tr>
      <w:tr w:rsidR="007C4016" w:rsidRPr="00AD1AF9" w:rsidTr="00483567">
        <w:trPr>
          <w:trHeight w:val="225"/>
          <w:jc w:val="center"/>
        </w:trPr>
        <w:tc>
          <w:tcPr>
            <w:tcW w:w="2748" w:type="pct"/>
          </w:tcPr>
          <w:p w:rsidR="007C4016" w:rsidRPr="00AD1AF9" w:rsidRDefault="007C4016" w:rsidP="005C782A">
            <w:pPr>
              <w:spacing w:after="0" w:line="240" w:lineRule="auto"/>
              <w:rPr>
                <w:rFonts w:ascii="ITC Avant Garde" w:hAnsi="ITC Avant Garde"/>
                <w:sz w:val="20"/>
                <w:szCs w:val="20"/>
                <w:lang w:val="es-ES"/>
              </w:rPr>
            </w:pPr>
            <w:r w:rsidRPr="00AD1AF9">
              <w:rPr>
                <w:rFonts w:ascii="ITC Avant Garde" w:hAnsi="ITC Avant Garde"/>
                <w:sz w:val="20"/>
                <w:szCs w:val="20"/>
                <w:lang w:val="es-ES"/>
              </w:rPr>
              <w:t>Respuesta a solicitud de usuario y contraseña y envío de formato.</w:t>
            </w:r>
          </w:p>
        </w:tc>
        <w:tc>
          <w:tcPr>
            <w:tcW w:w="1157" w:type="pct"/>
          </w:tcPr>
          <w:p w:rsidR="007C4016" w:rsidRPr="00AD1AF9" w:rsidRDefault="007C4016" w:rsidP="005C782A">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2 DH</w:t>
            </w:r>
          </w:p>
        </w:tc>
        <w:tc>
          <w:tcPr>
            <w:tcW w:w="1094" w:type="pct"/>
          </w:tcPr>
          <w:p w:rsidR="007C4016" w:rsidRPr="00AD1AF9" w:rsidRDefault="007C4016" w:rsidP="005C782A">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trHeight w:val="467"/>
          <w:jc w:val="center"/>
        </w:trPr>
        <w:tc>
          <w:tcPr>
            <w:tcW w:w="2748" w:type="pct"/>
          </w:tcPr>
          <w:p w:rsidR="007C4016" w:rsidRPr="00AD1AF9" w:rsidRDefault="007C4016" w:rsidP="005C782A">
            <w:pPr>
              <w:spacing w:after="0" w:line="240" w:lineRule="auto"/>
              <w:rPr>
                <w:rFonts w:ascii="ITC Avant Garde" w:hAnsi="ITC Avant Garde"/>
                <w:sz w:val="20"/>
                <w:szCs w:val="20"/>
              </w:rPr>
            </w:pPr>
            <w:r w:rsidRPr="00AD1AF9">
              <w:rPr>
                <w:rFonts w:ascii="ITC Avant Garde" w:hAnsi="ITC Avant Garde"/>
                <w:sz w:val="20"/>
                <w:szCs w:val="20"/>
                <w:lang w:val="es-ES"/>
              </w:rPr>
              <w:t>Envío de usuario y contraseña para el acceso a la información.</w:t>
            </w:r>
          </w:p>
        </w:tc>
        <w:tc>
          <w:tcPr>
            <w:tcW w:w="1157" w:type="pct"/>
          </w:tcPr>
          <w:p w:rsidR="007C4016" w:rsidRPr="00AD1AF9" w:rsidRDefault="007C4016" w:rsidP="005C782A">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3 DH</w:t>
            </w:r>
          </w:p>
        </w:tc>
        <w:tc>
          <w:tcPr>
            <w:tcW w:w="1094" w:type="pct"/>
          </w:tcPr>
          <w:p w:rsidR="007C4016" w:rsidRPr="00AD1AF9" w:rsidRDefault="007C4016" w:rsidP="005C782A">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jc w:val="center"/>
        </w:trPr>
        <w:tc>
          <w:tcPr>
            <w:tcW w:w="2748" w:type="pct"/>
          </w:tcPr>
          <w:p w:rsidR="007C4016" w:rsidRPr="00AD1AF9" w:rsidRDefault="007C4016" w:rsidP="005C782A">
            <w:pPr>
              <w:spacing w:after="0" w:line="240" w:lineRule="auto"/>
              <w:rPr>
                <w:rFonts w:ascii="ITC Avant Garde" w:hAnsi="ITC Avant Garde"/>
                <w:sz w:val="20"/>
                <w:szCs w:val="20"/>
                <w:lang w:val="es-ES"/>
              </w:rPr>
            </w:pPr>
            <w:r w:rsidRPr="00AD1AF9">
              <w:rPr>
                <w:rFonts w:ascii="ITC Avant Garde" w:hAnsi="ITC Avant Garde"/>
                <w:sz w:val="20"/>
                <w:szCs w:val="20"/>
                <w:lang w:val="es-ES"/>
              </w:rPr>
              <w:t>Notificación del medio de entrega de información.</w:t>
            </w:r>
          </w:p>
        </w:tc>
        <w:tc>
          <w:tcPr>
            <w:tcW w:w="1157" w:type="pct"/>
          </w:tcPr>
          <w:p w:rsidR="007C4016" w:rsidRPr="00AD1AF9" w:rsidRDefault="007C4016" w:rsidP="005C782A">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2 DH</w:t>
            </w:r>
          </w:p>
        </w:tc>
        <w:tc>
          <w:tcPr>
            <w:tcW w:w="1094" w:type="pct"/>
          </w:tcPr>
          <w:p w:rsidR="007C4016" w:rsidRPr="00AD1AF9" w:rsidRDefault="007C4016" w:rsidP="005C782A">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jc w:val="center"/>
        </w:trPr>
        <w:tc>
          <w:tcPr>
            <w:tcW w:w="2748" w:type="pct"/>
          </w:tcPr>
          <w:p w:rsidR="007C4016" w:rsidRPr="00AD1AF9" w:rsidRDefault="007C4016" w:rsidP="005C782A">
            <w:pPr>
              <w:spacing w:after="0" w:line="240" w:lineRule="auto"/>
              <w:rPr>
                <w:rFonts w:ascii="ITC Avant Garde" w:hAnsi="ITC Avant Garde"/>
                <w:sz w:val="20"/>
                <w:szCs w:val="20"/>
                <w:lang w:val="es-ES"/>
              </w:rPr>
            </w:pPr>
            <w:r w:rsidRPr="00AD1AF9">
              <w:rPr>
                <w:rFonts w:ascii="ITC Avant Garde" w:hAnsi="ITC Avant Garde"/>
                <w:sz w:val="20"/>
                <w:szCs w:val="20"/>
                <w:lang w:val="es-ES"/>
              </w:rPr>
              <w:t>Entrega de Información Solicitada.</w:t>
            </w:r>
          </w:p>
        </w:tc>
        <w:tc>
          <w:tcPr>
            <w:tcW w:w="1157" w:type="pct"/>
          </w:tcPr>
          <w:p w:rsidR="007C4016" w:rsidRPr="00AD1AF9" w:rsidRDefault="007C4016" w:rsidP="005C782A">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10 DH</w:t>
            </w:r>
          </w:p>
          <w:p w:rsidR="007C4016" w:rsidRPr="00AD1AF9" w:rsidRDefault="007C4016" w:rsidP="005C782A">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 la notificación del medio de entrega)</w:t>
            </w:r>
          </w:p>
        </w:tc>
        <w:tc>
          <w:tcPr>
            <w:tcW w:w="1094" w:type="pct"/>
          </w:tcPr>
          <w:p w:rsidR="007C4016" w:rsidRPr="00AD1AF9" w:rsidRDefault="007C4016" w:rsidP="005C782A">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bl>
    <w:p w:rsidR="007C4016" w:rsidRPr="00641387" w:rsidRDefault="007C4016" w:rsidP="007C4016">
      <w:pPr>
        <w:pStyle w:val="CondicionesFinales"/>
        <w:spacing w:before="240" w:after="0"/>
        <w:jc w:val="center"/>
      </w:pPr>
    </w:p>
    <w:p w:rsidR="007C4016" w:rsidRPr="00AD1AF9" w:rsidRDefault="007C4016" w:rsidP="007C4016">
      <w:pPr>
        <w:pStyle w:val="CondicionesFinales"/>
        <w:spacing w:before="240" w:after="0"/>
        <w:rPr>
          <w:rStyle w:val="Ttulodellibro"/>
          <w:b/>
        </w:rPr>
      </w:pPr>
      <w:r w:rsidRPr="00AD1AF9">
        <w:rPr>
          <w:rStyle w:val="Ttulodellibro"/>
          <w:b/>
        </w:rPr>
        <w:t>2.2</w:t>
      </w:r>
      <w:r>
        <w:rPr>
          <w:rStyle w:val="Ttulodellibro"/>
          <w:b/>
        </w:rPr>
        <w:t xml:space="preserve"> </w:t>
      </w:r>
      <w:r w:rsidRPr="00AD1AF9">
        <w:rPr>
          <w:rStyle w:val="Ttulodellibro"/>
          <w:b/>
        </w:rPr>
        <w:tab/>
        <w:t>Servicio de Acceso y Uso Compartido de Obra Civil</w:t>
      </w:r>
    </w:p>
    <w:p w:rsidR="007C4016" w:rsidRDefault="007C4016" w:rsidP="007C4016">
      <w:pPr>
        <w:pStyle w:val="CondicionesFinales"/>
        <w:spacing w:before="240" w:after="0"/>
      </w:pPr>
      <w:r>
        <w:t>Los tiempos establecidos para la ejecución de las actividades son válidos para solicitudes de una longitud de hasta 5 km.</w:t>
      </w:r>
    </w:p>
    <w:p w:rsidR="007C4016" w:rsidRDefault="007C4016" w:rsidP="007C4016">
      <w:pPr>
        <w:pStyle w:val="CondicionesFinales"/>
        <w:spacing w:before="240" w:after="0"/>
      </w:pPr>
      <w:r>
        <w:t>Para las solicitudes de una longitud mayor a 5 km los tiempos serán acordados con el CS.</w:t>
      </w:r>
    </w:p>
    <w:tbl>
      <w:tblPr>
        <w:tblStyle w:val="Cuadrculadetablaclara1"/>
        <w:tblW w:w="4030" w:type="pct"/>
        <w:jc w:val="center"/>
        <w:tblLook w:val="01E0" w:firstRow="1" w:lastRow="1" w:firstColumn="1" w:lastColumn="1" w:noHBand="0" w:noVBand="0"/>
        <w:tblCaption w:val="Tabla"/>
        <w:tblDescription w:val="solicitudes de una longitud mayor a 5 km los tiempos serán "/>
      </w:tblPr>
      <w:tblGrid>
        <w:gridCol w:w="3910"/>
        <w:gridCol w:w="1623"/>
        <w:gridCol w:w="1584"/>
      </w:tblGrid>
      <w:tr w:rsidR="007C4016" w:rsidRPr="00AD1AF9" w:rsidTr="00483567">
        <w:trPr>
          <w:trHeight w:val="225"/>
          <w:tblHeader/>
          <w:jc w:val="center"/>
        </w:trPr>
        <w:tc>
          <w:tcPr>
            <w:tcW w:w="2761" w:type="pct"/>
            <w:shd w:val="clear" w:color="auto" w:fill="548DD4" w:themeFill="text2" w:themeFillTint="99"/>
          </w:tcPr>
          <w:p w:rsidR="007C4016" w:rsidRPr="00AD1AF9" w:rsidRDefault="007C4016" w:rsidP="005C782A">
            <w:pPr>
              <w:spacing w:before="240"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t>Actividad</w:t>
            </w:r>
          </w:p>
        </w:tc>
        <w:tc>
          <w:tcPr>
            <w:tcW w:w="1154" w:type="pct"/>
            <w:shd w:val="clear" w:color="auto" w:fill="548DD4" w:themeFill="text2" w:themeFillTint="99"/>
          </w:tcPr>
          <w:p w:rsidR="007C4016" w:rsidRPr="00AD1AF9" w:rsidRDefault="007C4016" w:rsidP="005C782A">
            <w:pPr>
              <w:spacing w:before="240" w:after="0" w:line="240" w:lineRule="auto"/>
              <w:jc w:val="center"/>
              <w:rPr>
                <w:rFonts w:ascii="ITC Avant Garde" w:hAnsi="ITC Avant Garde"/>
                <w:b/>
                <w:bCs/>
                <w:color w:val="FFFFFF"/>
                <w:sz w:val="20"/>
                <w:szCs w:val="20"/>
              </w:rPr>
            </w:pPr>
            <w:r w:rsidRPr="00AD1AF9">
              <w:rPr>
                <w:rFonts w:ascii="ITC Avant Garde" w:hAnsi="ITC Avant Garde"/>
                <w:b/>
                <w:color w:val="FFFFFF"/>
                <w:sz w:val="20"/>
                <w:szCs w:val="20"/>
                <w:lang w:val="es-ES"/>
              </w:rPr>
              <w:t>Tiempo</w:t>
            </w:r>
          </w:p>
        </w:tc>
        <w:tc>
          <w:tcPr>
            <w:tcW w:w="1085" w:type="pct"/>
            <w:shd w:val="clear" w:color="auto" w:fill="548DD4" w:themeFill="text2" w:themeFillTint="99"/>
          </w:tcPr>
          <w:p w:rsidR="007C4016" w:rsidRPr="00AD1AF9" w:rsidRDefault="007C4016" w:rsidP="005C782A">
            <w:pPr>
              <w:spacing w:before="240"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t>% Cumplimiento</w:t>
            </w:r>
          </w:p>
        </w:tc>
      </w:tr>
      <w:tr w:rsidR="007C4016" w:rsidRPr="00AD1AF9" w:rsidTr="00483567">
        <w:trPr>
          <w:trHeight w:val="467"/>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rPr>
            </w:pPr>
            <w:r w:rsidRPr="00AD1AF9">
              <w:rPr>
                <w:rFonts w:ascii="ITC Avant Garde" w:hAnsi="ITC Avant Garde"/>
                <w:sz w:val="20"/>
                <w:szCs w:val="20"/>
                <w:lang w:val="es-ES"/>
              </w:rPr>
              <w:t>Validación de solicitudes</w:t>
            </w:r>
          </w:p>
        </w:tc>
        <w:tc>
          <w:tcPr>
            <w:tcW w:w="1154"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2</w:t>
            </w:r>
            <w:r w:rsidRPr="00AD1AF9">
              <w:rPr>
                <w:rFonts w:ascii="ITC Avant Garde" w:hAnsi="ITC Avant Garde"/>
                <w:sz w:val="20"/>
                <w:szCs w:val="20"/>
                <w:lang w:val="es-ES"/>
              </w:rPr>
              <w:t xml:space="preserve"> DH</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Programación de Visitas Técnicas</w:t>
            </w:r>
          </w:p>
        </w:tc>
        <w:tc>
          <w:tcPr>
            <w:tcW w:w="1154" w:type="pct"/>
          </w:tcPr>
          <w:p w:rsidR="007C4016"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AD1AF9">
              <w:rPr>
                <w:rFonts w:ascii="ITC Avant Garde" w:hAnsi="ITC Avant Garde"/>
                <w:sz w:val="20"/>
                <w:szCs w:val="20"/>
                <w:lang w:val="es-ES"/>
              </w:rPr>
              <w:t xml:space="preserve"> DH</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lastRenderedPageBreak/>
              <w:t>(A partir del ingreso de la solicitud)</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lastRenderedPageBreak/>
              <w:t>90%</w:t>
            </w:r>
          </w:p>
        </w:tc>
      </w:tr>
      <w:tr w:rsidR="007C4016" w:rsidRPr="00AD1AF9" w:rsidTr="00483567">
        <w:trPr>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Ejecución de Visita Técnica</w:t>
            </w:r>
          </w:p>
        </w:tc>
        <w:tc>
          <w:tcPr>
            <w:tcW w:w="1154"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20</w:t>
            </w:r>
            <w:r w:rsidRPr="00AD1AF9">
              <w:rPr>
                <w:rFonts w:ascii="ITC Avant Garde" w:hAnsi="ITC Avant Garde"/>
                <w:sz w:val="20"/>
                <w:szCs w:val="20"/>
                <w:lang w:val="es-ES"/>
              </w:rPr>
              <w:t xml:space="preserve"> DH</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del ingreso de la solicitud)</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Pr>
                <w:rFonts w:ascii="ITC Avant Garde" w:hAnsi="ITC Avant Garde"/>
                <w:sz w:val="20"/>
                <w:szCs w:val="20"/>
                <w:lang w:val="es-ES"/>
              </w:rPr>
              <w:t>Entrega de Información de Visita Técnica</w:t>
            </w:r>
          </w:p>
        </w:tc>
        <w:tc>
          <w:tcPr>
            <w:tcW w:w="1154" w:type="pct"/>
          </w:tcPr>
          <w:p w:rsidR="007C4016"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 DH</w:t>
            </w:r>
          </w:p>
          <w:p w:rsidR="007C4016"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w:t>
            </w:r>
            <w:r>
              <w:rPr>
                <w:rFonts w:ascii="ITC Avant Garde" w:hAnsi="ITC Avant Garde"/>
                <w:sz w:val="20"/>
                <w:szCs w:val="20"/>
                <w:lang w:val="es-ES"/>
              </w:rPr>
              <w:t xml:space="preserve"> la conclusión de VT</w:t>
            </w:r>
            <w:r w:rsidRPr="00AD1AF9">
              <w:rPr>
                <w:rFonts w:ascii="ITC Avant Garde" w:hAnsi="ITC Avant Garde"/>
                <w:sz w:val="20"/>
                <w:szCs w:val="20"/>
                <w:lang w:val="es-ES"/>
              </w:rPr>
              <w:t>)</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90%</w:t>
            </w:r>
          </w:p>
        </w:tc>
      </w:tr>
      <w:tr w:rsidR="007C4016" w:rsidRPr="00AD1AF9" w:rsidTr="00483567">
        <w:trPr>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Entrega de Análisis de Factibilidad</w:t>
            </w:r>
          </w:p>
        </w:tc>
        <w:tc>
          <w:tcPr>
            <w:tcW w:w="1154"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AD1AF9">
              <w:rPr>
                <w:rFonts w:ascii="ITC Avant Garde" w:hAnsi="ITC Avant Garde"/>
                <w:sz w:val="20"/>
                <w:szCs w:val="20"/>
                <w:lang w:val="es-ES"/>
              </w:rPr>
              <w:t xml:space="preserve"> DH</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Pr>
                <w:rFonts w:ascii="ITC Avant Garde" w:hAnsi="ITC Avant Garde"/>
                <w:sz w:val="20"/>
                <w:szCs w:val="20"/>
                <w:lang w:val="es-ES"/>
              </w:rPr>
              <w:t>Verificación</w:t>
            </w:r>
            <w:r w:rsidRPr="00AD1AF9">
              <w:rPr>
                <w:rFonts w:ascii="ITC Avant Garde" w:hAnsi="ITC Avant Garde"/>
                <w:sz w:val="20"/>
                <w:szCs w:val="20"/>
                <w:lang w:val="es-ES"/>
              </w:rPr>
              <w:t xml:space="preserve"> y notificación de resultado </w:t>
            </w:r>
          </w:p>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 xml:space="preserve">(aceptación de instalación) </w:t>
            </w:r>
          </w:p>
        </w:tc>
        <w:tc>
          <w:tcPr>
            <w:tcW w:w="1154"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AD1AF9">
              <w:rPr>
                <w:rFonts w:ascii="ITC Avant Garde" w:hAnsi="ITC Avant Garde"/>
                <w:sz w:val="20"/>
                <w:szCs w:val="20"/>
                <w:lang w:val="es-ES"/>
              </w:rPr>
              <w:t xml:space="preserve"> DH</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 la notificación de fin de instalación del CS)</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trHeight w:val="783"/>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Recuperación de infraestructura (postes, pozos y canalización) por averías y/o roturas.</w:t>
            </w:r>
          </w:p>
        </w:tc>
        <w:tc>
          <w:tcPr>
            <w:tcW w:w="1154"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 xml:space="preserve">8 Horas </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(+50% en horario no laboral)</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trHeight w:val="783"/>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Recuperación de infraestructura (postes, pozos y canalización) por daño o pérdida que ocasione reemplazo o requiera obra civil.</w:t>
            </w:r>
          </w:p>
        </w:tc>
        <w:tc>
          <w:tcPr>
            <w:tcW w:w="1154"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3 DH</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bl>
    <w:p w:rsidR="007C4016" w:rsidRDefault="007C4016" w:rsidP="007C4016">
      <w:pPr>
        <w:pStyle w:val="CondicionesFinales"/>
        <w:spacing w:before="240" w:after="0"/>
      </w:pPr>
    </w:p>
    <w:p w:rsidR="007C4016" w:rsidRPr="001E5CBC" w:rsidRDefault="007C4016" w:rsidP="007C4016">
      <w:pPr>
        <w:pStyle w:val="CondicionesFinales"/>
        <w:spacing w:before="240" w:after="0"/>
        <w:rPr>
          <w:b/>
        </w:rPr>
      </w:pPr>
      <w:r>
        <w:rPr>
          <w:b/>
        </w:rPr>
        <w:t xml:space="preserve">2.3 </w:t>
      </w:r>
      <w:r w:rsidRPr="001E5CBC">
        <w:rPr>
          <w:b/>
        </w:rPr>
        <w:tab/>
        <w:t>Servicio de Canales Ópticos de Alta Capacidad de Transporte</w:t>
      </w:r>
    </w:p>
    <w:p w:rsidR="007C4016" w:rsidRDefault="007C4016" w:rsidP="007C4016">
      <w:pPr>
        <w:pStyle w:val="CondicionesFinales"/>
        <w:spacing w:before="240" w:after="0"/>
      </w:pPr>
      <w:r>
        <w:t>Parámetros derivados del procedimiento de contratación:</w:t>
      </w:r>
    </w:p>
    <w:tbl>
      <w:tblPr>
        <w:tblStyle w:val="Cuadrculadetablaclara1"/>
        <w:tblW w:w="4022" w:type="pct"/>
        <w:jc w:val="center"/>
        <w:tblLook w:val="01E0" w:firstRow="1" w:lastRow="1" w:firstColumn="1" w:lastColumn="1" w:noHBand="0" w:noVBand="0"/>
        <w:tblCaption w:val="Tabla"/>
        <w:tblDescription w:val="Parámetros derivados del procedimiento de contratación:"/>
      </w:tblPr>
      <w:tblGrid>
        <w:gridCol w:w="3799"/>
        <w:gridCol w:w="1686"/>
        <w:gridCol w:w="1618"/>
      </w:tblGrid>
      <w:tr w:rsidR="007C4016" w:rsidRPr="001E5CBC" w:rsidTr="004703D8">
        <w:trPr>
          <w:trHeight w:val="225"/>
          <w:tblHeader/>
          <w:jc w:val="center"/>
        </w:trPr>
        <w:tc>
          <w:tcPr>
            <w:tcW w:w="2674" w:type="pct"/>
            <w:shd w:val="clear" w:color="auto" w:fill="548DD4" w:themeFill="text2" w:themeFillTint="99"/>
          </w:tcPr>
          <w:p w:rsidR="007C4016" w:rsidRPr="001E5CBC" w:rsidRDefault="007C4016" w:rsidP="005C782A">
            <w:pPr>
              <w:spacing w:before="240" w:after="0" w:line="240" w:lineRule="auto"/>
              <w:jc w:val="center"/>
              <w:rPr>
                <w:rFonts w:ascii="ITC Avant Garde" w:hAnsi="ITC Avant Garde"/>
                <w:b/>
                <w:color w:val="FFFFFF"/>
                <w:sz w:val="20"/>
                <w:szCs w:val="20"/>
                <w:lang w:val="es-ES"/>
              </w:rPr>
            </w:pPr>
            <w:r w:rsidRPr="001E5CBC">
              <w:rPr>
                <w:rFonts w:ascii="ITC Avant Garde" w:hAnsi="ITC Avant Garde"/>
                <w:b/>
                <w:color w:val="FFFFFF"/>
                <w:sz w:val="20"/>
                <w:szCs w:val="20"/>
                <w:lang w:val="es-ES"/>
              </w:rPr>
              <w:t>Actividad</w:t>
            </w:r>
          </w:p>
        </w:tc>
        <w:tc>
          <w:tcPr>
            <w:tcW w:w="1187" w:type="pct"/>
            <w:shd w:val="clear" w:color="auto" w:fill="548DD4" w:themeFill="text2" w:themeFillTint="99"/>
          </w:tcPr>
          <w:p w:rsidR="007C4016" w:rsidRPr="001E5CBC" w:rsidRDefault="007C4016" w:rsidP="005C782A">
            <w:pPr>
              <w:spacing w:before="240" w:after="0" w:line="240" w:lineRule="auto"/>
              <w:jc w:val="center"/>
              <w:rPr>
                <w:rFonts w:ascii="ITC Avant Garde" w:hAnsi="ITC Avant Garde"/>
                <w:b/>
                <w:bCs/>
                <w:color w:val="FFFFFF"/>
                <w:sz w:val="20"/>
                <w:szCs w:val="20"/>
              </w:rPr>
            </w:pPr>
            <w:r w:rsidRPr="001E5CBC">
              <w:rPr>
                <w:rFonts w:ascii="ITC Avant Garde" w:hAnsi="ITC Avant Garde"/>
                <w:b/>
                <w:color w:val="FFFFFF"/>
                <w:sz w:val="20"/>
                <w:szCs w:val="20"/>
                <w:lang w:val="es-ES"/>
              </w:rPr>
              <w:t>Tiempo</w:t>
            </w:r>
          </w:p>
        </w:tc>
        <w:tc>
          <w:tcPr>
            <w:tcW w:w="1139" w:type="pct"/>
            <w:shd w:val="clear" w:color="auto" w:fill="548DD4" w:themeFill="text2" w:themeFillTint="99"/>
          </w:tcPr>
          <w:p w:rsidR="007C4016" w:rsidRPr="001E5CBC" w:rsidRDefault="007C4016" w:rsidP="005C782A">
            <w:pPr>
              <w:spacing w:before="240" w:after="0" w:line="240" w:lineRule="auto"/>
              <w:jc w:val="center"/>
              <w:rPr>
                <w:rFonts w:ascii="ITC Avant Garde" w:hAnsi="ITC Avant Garde"/>
                <w:b/>
                <w:color w:val="FFFFFF"/>
                <w:sz w:val="20"/>
                <w:szCs w:val="20"/>
                <w:lang w:val="es-ES"/>
              </w:rPr>
            </w:pPr>
            <w:r w:rsidRPr="001E5CBC">
              <w:rPr>
                <w:rFonts w:ascii="ITC Avant Garde" w:hAnsi="ITC Avant Garde"/>
                <w:b/>
                <w:color w:val="FFFFFF"/>
                <w:sz w:val="20"/>
                <w:szCs w:val="20"/>
                <w:lang w:val="es-ES"/>
              </w:rPr>
              <w:t>% Cumplimiento</w:t>
            </w:r>
          </w:p>
        </w:tc>
      </w:tr>
      <w:tr w:rsidR="007C4016" w:rsidRPr="001E5CBC" w:rsidTr="004703D8">
        <w:trPr>
          <w:trHeight w:val="467"/>
          <w:jc w:val="center"/>
        </w:trPr>
        <w:tc>
          <w:tcPr>
            <w:tcW w:w="2674" w:type="pct"/>
          </w:tcPr>
          <w:p w:rsidR="007C4016" w:rsidRPr="001E5CBC" w:rsidRDefault="007C4016" w:rsidP="005C782A">
            <w:pPr>
              <w:spacing w:before="240" w:after="0" w:line="240" w:lineRule="auto"/>
              <w:jc w:val="left"/>
              <w:rPr>
                <w:rFonts w:ascii="ITC Avant Garde" w:hAnsi="ITC Avant Garde"/>
                <w:sz w:val="20"/>
                <w:szCs w:val="20"/>
              </w:rPr>
            </w:pPr>
            <w:r w:rsidRPr="001E5CBC">
              <w:rPr>
                <w:rFonts w:ascii="ITC Avant Garde" w:hAnsi="ITC Avant Garde"/>
                <w:sz w:val="20"/>
                <w:szCs w:val="20"/>
                <w:lang w:val="es-ES"/>
              </w:rPr>
              <w:t>Validación de solicitudes</w:t>
            </w:r>
          </w:p>
        </w:tc>
        <w:tc>
          <w:tcPr>
            <w:tcW w:w="1187" w:type="pct"/>
          </w:tcPr>
          <w:p w:rsidR="007C4016" w:rsidRPr="001E5CBC"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2</w:t>
            </w:r>
            <w:r w:rsidRPr="001E5CBC">
              <w:rPr>
                <w:rFonts w:ascii="ITC Avant Garde" w:hAnsi="ITC Avant Garde"/>
                <w:sz w:val="20"/>
                <w:szCs w:val="20"/>
                <w:lang w:val="es-ES"/>
              </w:rPr>
              <w:t xml:space="preserve"> DH</w:t>
            </w:r>
          </w:p>
        </w:tc>
        <w:tc>
          <w:tcPr>
            <w:tcW w:w="1139"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7C4016" w:rsidRPr="001E5CBC" w:rsidTr="004703D8">
        <w:trPr>
          <w:jc w:val="center"/>
        </w:trPr>
        <w:tc>
          <w:tcPr>
            <w:tcW w:w="2674" w:type="pct"/>
          </w:tcPr>
          <w:p w:rsidR="007C4016" w:rsidRPr="001E5CBC" w:rsidRDefault="007C4016" w:rsidP="005C782A">
            <w:pPr>
              <w:spacing w:before="240" w:after="0" w:line="240" w:lineRule="auto"/>
              <w:jc w:val="left"/>
              <w:rPr>
                <w:rFonts w:ascii="ITC Avant Garde" w:hAnsi="ITC Avant Garde"/>
                <w:sz w:val="20"/>
                <w:szCs w:val="20"/>
                <w:lang w:val="es-ES"/>
              </w:rPr>
            </w:pPr>
            <w:r w:rsidRPr="001E5CBC">
              <w:rPr>
                <w:rFonts w:ascii="ITC Avant Garde" w:hAnsi="ITC Avant Garde"/>
                <w:sz w:val="20"/>
                <w:szCs w:val="20"/>
                <w:lang w:val="es-ES"/>
              </w:rPr>
              <w:t>Entrega de Análisis de Factibilidad y Plan de Trabajo</w:t>
            </w:r>
          </w:p>
        </w:tc>
        <w:tc>
          <w:tcPr>
            <w:tcW w:w="1187" w:type="pct"/>
          </w:tcPr>
          <w:p w:rsidR="007C4016" w:rsidRPr="001E5CBC"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1E5CBC">
              <w:rPr>
                <w:rFonts w:ascii="ITC Avant Garde" w:hAnsi="ITC Avant Garde"/>
                <w:sz w:val="20"/>
                <w:szCs w:val="20"/>
                <w:lang w:val="es-ES"/>
              </w:rPr>
              <w:t xml:space="preserve"> DH</w:t>
            </w:r>
          </w:p>
        </w:tc>
        <w:tc>
          <w:tcPr>
            <w:tcW w:w="1139"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4703D8" w:rsidRPr="001E5CBC" w:rsidTr="004703D8">
        <w:trPr>
          <w:jc w:val="center"/>
        </w:trPr>
        <w:tc>
          <w:tcPr>
            <w:tcW w:w="2674" w:type="pct"/>
          </w:tcPr>
          <w:p w:rsidR="004703D8" w:rsidRPr="001E5CBC" w:rsidRDefault="004703D8" w:rsidP="005C782A">
            <w:pPr>
              <w:spacing w:before="240" w:after="0" w:line="240" w:lineRule="auto"/>
              <w:jc w:val="left"/>
              <w:rPr>
                <w:rFonts w:ascii="ITC Avant Garde" w:hAnsi="ITC Avant Garde"/>
                <w:sz w:val="20"/>
                <w:szCs w:val="20"/>
                <w:lang w:val="es-ES"/>
              </w:rPr>
            </w:pPr>
            <w:r w:rsidRPr="001E5CBC">
              <w:rPr>
                <w:rFonts w:ascii="ITC Avant Garde" w:hAnsi="ITC Avant Garde"/>
                <w:sz w:val="20"/>
                <w:szCs w:val="20"/>
                <w:lang w:val="es-ES"/>
              </w:rPr>
              <w:t>Construcción y entrega de canal óptico</w:t>
            </w:r>
          </w:p>
        </w:tc>
        <w:tc>
          <w:tcPr>
            <w:tcW w:w="1187" w:type="pct"/>
          </w:tcPr>
          <w:p w:rsidR="004703D8" w:rsidRPr="001E5CBC" w:rsidRDefault="004703D8"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De acuerdo a los tiempos establecidos en la Oferta de Enlaces Dedicados.</w:t>
            </w:r>
          </w:p>
        </w:tc>
        <w:tc>
          <w:tcPr>
            <w:tcW w:w="1139" w:type="pct"/>
          </w:tcPr>
          <w:p w:rsidR="004703D8" w:rsidRPr="001E5CBC" w:rsidRDefault="004703D8"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(A partir de la aceptación de la cotización.)</w:t>
            </w:r>
          </w:p>
        </w:tc>
      </w:tr>
      <w:tr w:rsidR="007C4016" w:rsidRPr="001E5CBC" w:rsidTr="004703D8">
        <w:trPr>
          <w:trHeight w:val="783"/>
          <w:jc w:val="center"/>
        </w:trPr>
        <w:tc>
          <w:tcPr>
            <w:tcW w:w="2674" w:type="pct"/>
          </w:tcPr>
          <w:p w:rsidR="007C4016" w:rsidRPr="001E5CBC" w:rsidRDefault="007C4016" w:rsidP="005C782A">
            <w:pPr>
              <w:spacing w:before="240" w:after="0" w:line="240" w:lineRule="auto"/>
              <w:jc w:val="left"/>
              <w:rPr>
                <w:rFonts w:ascii="ITC Avant Garde" w:hAnsi="ITC Avant Garde"/>
                <w:sz w:val="20"/>
                <w:szCs w:val="20"/>
                <w:lang w:val="es-ES"/>
              </w:rPr>
            </w:pPr>
            <w:r w:rsidRPr="001E5CBC">
              <w:rPr>
                <w:rFonts w:ascii="ITC Avant Garde" w:hAnsi="ITC Avant Garde"/>
                <w:sz w:val="20"/>
                <w:szCs w:val="20"/>
                <w:lang w:val="es-ES"/>
              </w:rPr>
              <w:lastRenderedPageBreak/>
              <w:t>Recuperación de falla puntual</w:t>
            </w:r>
          </w:p>
        </w:tc>
        <w:tc>
          <w:tcPr>
            <w:tcW w:w="1187"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 xml:space="preserve">8 Horas </w:t>
            </w:r>
          </w:p>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(+50% en horario no laboral)</w:t>
            </w:r>
          </w:p>
        </w:tc>
        <w:tc>
          <w:tcPr>
            <w:tcW w:w="1139"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bl>
    <w:p w:rsidR="007C4016" w:rsidRDefault="007C4016" w:rsidP="007C4016">
      <w:pPr>
        <w:pStyle w:val="CondicionesFinales"/>
        <w:spacing w:before="240" w:after="0"/>
      </w:pPr>
    </w:p>
    <w:p w:rsidR="007C4016" w:rsidRPr="001E5CBC" w:rsidRDefault="007C4016" w:rsidP="007C4016">
      <w:pPr>
        <w:pStyle w:val="CondicionesFinales"/>
        <w:spacing w:before="240" w:after="0"/>
        <w:rPr>
          <w:b/>
        </w:rPr>
      </w:pPr>
      <w:r>
        <w:rPr>
          <w:b/>
        </w:rPr>
        <w:t xml:space="preserve">2.4 </w:t>
      </w:r>
      <w:r w:rsidRPr="001E5CBC">
        <w:rPr>
          <w:b/>
        </w:rPr>
        <w:tab/>
        <w:t xml:space="preserve">Servicio de </w:t>
      </w:r>
      <w:r>
        <w:rPr>
          <w:b/>
        </w:rPr>
        <w:t>Renta de Fibra Obscura</w:t>
      </w:r>
    </w:p>
    <w:p w:rsidR="007C4016" w:rsidRDefault="007C4016" w:rsidP="007C4016">
      <w:pPr>
        <w:pStyle w:val="CondicionesFinales"/>
        <w:spacing w:before="240" w:after="0"/>
      </w:pPr>
      <w:r>
        <w:t>Parámetros derivados del procedimiento de contratación:</w:t>
      </w:r>
    </w:p>
    <w:tbl>
      <w:tblPr>
        <w:tblStyle w:val="Cuadrculadetablaclara1"/>
        <w:tblW w:w="4030" w:type="pct"/>
        <w:jc w:val="center"/>
        <w:tblLook w:val="01E0" w:firstRow="1" w:lastRow="1" w:firstColumn="1" w:lastColumn="1" w:noHBand="0" w:noVBand="0"/>
        <w:tblCaption w:val="Tabla"/>
        <w:tblDescription w:val="Parámetros derivados del procedimiento de contratación:"/>
      </w:tblPr>
      <w:tblGrid>
        <w:gridCol w:w="3910"/>
        <w:gridCol w:w="1623"/>
        <w:gridCol w:w="1584"/>
      </w:tblGrid>
      <w:tr w:rsidR="007C4016" w:rsidRPr="00AD1AF9" w:rsidTr="00483567">
        <w:trPr>
          <w:trHeight w:val="225"/>
          <w:tblHeader/>
          <w:jc w:val="center"/>
        </w:trPr>
        <w:tc>
          <w:tcPr>
            <w:tcW w:w="2761" w:type="pct"/>
            <w:shd w:val="clear" w:color="auto" w:fill="548DD4" w:themeFill="text2" w:themeFillTint="99"/>
          </w:tcPr>
          <w:p w:rsidR="007C4016" w:rsidRPr="00AD1AF9" w:rsidRDefault="007C4016" w:rsidP="005C782A">
            <w:pPr>
              <w:spacing w:before="240"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t>Actividad</w:t>
            </w:r>
          </w:p>
        </w:tc>
        <w:tc>
          <w:tcPr>
            <w:tcW w:w="1154" w:type="pct"/>
            <w:shd w:val="clear" w:color="auto" w:fill="548DD4" w:themeFill="text2" w:themeFillTint="99"/>
          </w:tcPr>
          <w:p w:rsidR="007C4016" w:rsidRPr="00AD1AF9" w:rsidRDefault="007C4016" w:rsidP="005C782A">
            <w:pPr>
              <w:spacing w:before="240" w:after="0" w:line="240" w:lineRule="auto"/>
              <w:jc w:val="center"/>
              <w:rPr>
                <w:rFonts w:ascii="ITC Avant Garde" w:hAnsi="ITC Avant Garde"/>
                <w:b/>
                <w:bCs/>
                <w:color w:val="FFFFFF"/>
                <w:sz w:val="20"/>
                <w:szCs w:val="20"/>
              </w:rPr>
            </w:pPr>
            <w:r w:rsidRPr="00AD1AF9">
              <w:rPr>
                <w:rFonts w:ascii="ITC Avant Garde" w:hAnsi="ITC Avant Garde"/>
                <w:b/>
                <w:color w:val="FFFFFF"/>
                <w:sz w:val="20"/>
                <w:szCs w:val="20"/>
                <w:lang w:val="es-ES"/>
              </w:rPr>
              <w:t>Tiempo</w:t>
            </w:r>
          </w:p>
        </w:tc>
        <w:tc>
          <w:tcPr>
            <w:tcW w:w="1085" w:type="pct"/>
            <w:shd w:val="clear" w:color="auto" w:fill="548DD4" w:themeFill="text2" w:themeFillTint="99"/>
          </w:tcPr>
          <w:p w:rsidR="007C4016" w:rsidRPr="00AD1AF9" w:rsidRDefault="007C4016" w:rsidP="005C782A">
            <w:pPr>
              <w:spacing w:before="240"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t>% Cumplimiento</w:t>
            </w:r>
          </w:p>
        </w:tc>
      </w:tr>
      <w:tr w:rsidR="007C4016" w:rsidRPr="00AD1AF9" w:rsidTr="00483567">
        <w:trPr>
          <w:trHeight w:val="467"/>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rPr>
            </w:pPr>
            <w:r w:rsidRPr="00AD1AF9">
              <w:rPr>
                <w:rFonts w:ascii="ITC Avant Garde" w:hAnsi="ITC Avant Garde"/>
                <w:sz w:val="20"/>
                <w:szCs w:val="20"/>
                <w:lang w:val="es-ES"/>
              </w:rPr>
              <w:t>Validación de solicitudes</w:t>
            </w:r>
          </w:p>
        </w:tc>
        <w:tc>
          <w:tcPr>
            <w:tcW w:w="1154"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2</w:t>
            </w:r>
            <w:r w:rsidRPr="00AD1AF9">
              <w:rPr>
                <w:rFonts w:ascii="ITC Avant Garde" w:hAnsi="ITC Avant Garde"/>
                <w:sz w:val="20"/>
                <w:szCs w:val="20"/>
                <w:lang w:val="es-ES"/>
              </w:rPr>
              <w:t xml:space="preserve"> DH</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Programación de Visitas Técnicas</w:t>
            </w:r>
          </w:p>
        </w:tc>
        <w:tc>
          <w:tcPr>
            <w:tcW w:w="1154" w:type="pct"/>
          </w:tcPr>
          <w:p w:rsidR="007C4016"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AD1AF9">
              <w:rPr>
                <w:rFonts w:ascii="ITC Avant Garde" w:hAnsi="ITC Avant Garde"/>
                <w:sz w:val="20"/>
                <w:szCs w:val="20"/>
                <w:lang w:val="es-ES"/>
              </w:rPr>
              <w:t xml:space="preserve"> DH</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del ingreso de la solicitud)</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Ejecución de Visita Técnica</w:t>
            </w:r>
          </w:p>
        </w:tc>
        <w:tc>
          <w:tcPr>
            <w:tcW w:w="1154"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2</w:t>
            </w:r>
            <w:r>
              <w:rPr>
                <w:rFonts w:ascii="ITC Avant Garde" w:hAnsi="ITC Avant Garde"/>
                <w:sz w:val="20"/>
                <w:szCs w:val="20"/>
                <w:lang w:val="es-ES"/>
              </w:rPr>
              <w:t>0</w:t>
            </w:r>
            <w:r w:rsidRPr="00AD1AF9">
              <w:rPr>
                <w:rFonts w:ascii="ITC Avant Garde" w:hAnsi="ITC Avant Garde"/>
                <w:sz w:val="20"/>
                <w:szCs w:val="20"/>
                <w:lang w:val="es-ES"/>
              </w:rPr>
              <w:t xml:space="preserve"> DH</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del ingreso de la solicitud)</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Pr>
                <w:rFonts w:ascii="ITC Avant Garde" w:hAnsi="ITC Avant Garde"/>
                <w:sz w:val="20"/>
                <w:szCs w:val="20"/>
                <w:lang w:val="es-ES"/>
              </w:rPr>
              <w:t>Entrega de Información de Visita Téctnica</w:t>
            </w:r>
          </w:p>
        </w:tc>
        <w:tc>
          <w:tcPr>
            <w:tcW w:w="1154" w:type="pct"/>
          </w:tcPr>
          <w:p w:rsidR="007C4016"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 DH</w:t>
            </w:r>
          </w:p>
          <w:p w:rsidR="007C4016"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w:t>
            </w:r>
            <w:r>
              <w:rPr>
                <w:rFonts w:ascii="ITC Avant Garde" w:hAnsi="ITC Avant Garde"/>
                <w:sz w:val="20"/>
                <w:szCs w:val="20"/>
                <w:lang w:val="es-ES"/>
              </w:rPr>
              <w:t xml:space="preserve"> la conclusión de VT</w:t>
            </w:r>
            <w:r w:rsidRPr="00AD1AF9">
              <w:rPr>
                <w:rFonts w:ascii="ITC Avant Garde" w:hAnsi="ITC Avant Garde"/>
                <w:sz w:val="20"/>
                <w:szCs w:val="20"/>
                <w:lang w:val="es-ES"/>
              </w:rPr>
              <w:t>)</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90%</w:t>
            </w:r>
          </w:p>
        </w:tc>
      </w:tr>
      <w:tr w:rsidR="007C4016" w:rsidRPr="00AD1AF9" w:rsidTr="00483567">
        <w:trPr>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Entrega de Análisis de Factibilidad</w:t>
            </w:r>
          </w:p>
        </w:tc>
        <w:tc>
          <w:tcPr>
            <w:tcW w:w="1154"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AD1AF9">
              <w:rPr>
                <w:rFonts w:ascii="ITC Avant Garde" w:hAnsi="ITC Avant Garde"/>
                <w:sz w:val="20"/>
                <w:szCs w:val="20"/>
                <w:lang w:val="es-ES"/>
              </w:rPr>
              <w:t xml:space="preserve"> DH</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Pr>
                <w:rFonts w:ascii="ITC Avant Garde" w:hAnsi="ITC Avant Garde"/>
                <w:sz w:val="20"/>
                <w:szCs w:val="20"/>
                <w:lang w:val="es-ES"/>
              </w:rPr>
              <w:t>Verificación</w:t>
            </w:r>
            <w:r w:rsidRPr="00AD1AF9">
              <w:rPr>
                <w:rFonts w:ascii="ITC Avant Garde" w:hAnsi="ITC Avant Garde"/>
                <w:sz w:val="20"/>
                <w:szCs w:val="20"/>
                <w:lang w:val="es-ES"/>
              </w:rPr>
              <w:t xml:space="preserve"> y notificación de resultado </w:t>
            </w:r>
          </w:p>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 xml:space="preserve">(aceptación de instalación) </w:t>
            </w:r>
          </w:p>
        </w:tc>
        <w:tc>
          <w:tcPr>
            <w:tcW w:w="1154"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AD1AF9">
              <w:rPr>
                <w:rFonts w:ascii="ITC Avant Garde" w:hAnsi="ITC Avant Garde"/>
                <w:sz w:val="20"/>
                <w:szCs w:val="20"/>
                <w:lang w:val="es-ES"/>
              </w:rPr>
              <w:t xml:space="preserve"> DH</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 la notificación de fin de instalación del CS)</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trHeight w:val="783"/>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 xml:space="preserve">Recuperación por </w:t>
            </w:r>
            <w:r>
              <w:rPr>
                <w:rFonts w:ascii="ITC Avant Garde" w:hAnsi="ITC Avant Garde"/>
                <w:sz w:val="20"/>
                <w:szCs w:val="20"/>
                <w:lang w:val="es-ES"/>
              </w:rPr>
              <w:t xml:space="preserve">falla, </w:t>
            </w:r>
            <w:r w:rsidRPr="00AD1AF9">
              <w:rPr>
                <w:rFonts w:ascii="ITC Avant Garde" w:hAnsi="ITC Avant Garde"/>
                <w:sz w:val="20"/>
                <w:szCs w:val="20"/>
                <w:lang w:val="es-ES"/>
              </w:rPr>
              <w:t xml:space="preserve">averías </w:t>
            </w:r>
            <w:r>
              <w:rPr>
                <w:rFonts w:ascii="ITC Avant Garde" w:hAnsi="ITC Avant Garde"/>
                <w:sz w:val="20"/>
                <w:szCs w:val="20"/>
                <w:lang w:val="es-ES"/>
              </w:rPr>
              <w:t>y/o roturas segmento Local</w:t>
            </w:r>
          </w:p>
        </w:tc>
        <w:tc>
          <w:tcPr>
            <w:tcW w:w="1154"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4</w:t>
            </w:r>
            <w:r w:rsidRPr="00AD1AF9">
              <w:rPr>
                <w:rFonts w:ascii="ITC Avant Garde" w:hAnsi="ITC Avant Garde"/>
                <w:sz w:val="20"/>
                <w:szCs w:val="20"/>
                <w:lang w:val="es-ES"/>
              </w:rPr>
              <w:t xml:space="preserve"> Horas </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(+50% en horario no laboral)</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trHeight w:val="783"/>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 xml:space="preserve">Recuperación por </w:t>
            </w:r>
            <w:r>
              <w:rPr>
                <w:rFonts w:ascii="ITC Avant Garde" w:hAnsi="ITC Avant Garde"/>
                <w:sz w:val="20"/>
                <w:szCs w:val="20"/>
                <w:lang w:val="es-ES"/>
              </w:rPr>
              <w:t xml:space="preserve">falla, </w:t>
            </w:r>
            <w:r w:rsidRPr="00AD1AF9">
              <w:rPr>
                <w:rFonts w:ascii="ITC Avant Garde" w:hAnsi="ITC Avant Garde"/>
                <w:sz w:val="20"/>
                <w:szCs w:val="20"/>
                <w:lang w:val="es-ES"/>
              </w:rPr>
              <w:t xml:space="preserve">averías </w:t>
            </w:r>
            <w:r>
              <w:rPr>
                <w:rFonts w:ascii="ITC Avant Garde" w:hAnsi="ITC Avant Garde"/>
                <w:sz w:val="20"/>
                <w:szCs w:val="20"/>
                <w:lang w:val="es-ES"/>
              </w:rPr>
              <w:t>y/o roturas segmento Metropolitano</w:t>
            </w:r>
          </w:p>
        </w:tc>
        <w:tc>
          <w:tcPr>
            <w:tcW w:w="1154"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4</w:t>
            </w:r>
            <w:r w:rsidRPr="00AD1AF9">
              <w:rPr>
                <w:rFonts w:ascii="ITC Avant Garde" w:hAnsi="ITC Avant Garde"/>
                <w:sz w:val="20"/>
                <w:szCs w:val="20"/>
                <w:lang w:val="es-ES"/>
              </w:rPr>
              <w:t xml:space="preserve"> Horas </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(+50% en horario no laboral)</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trHeight w:val="783"/>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 xml:space="preserve">Recuperación por </w:t>
            </w:r>
            <w:r>
              <w:rPr>
                <w:rFonts w:ascii="ITC Avant Garde" w:hAnsi="ITC Avant Garde"/>
                <w:sz w:val="20"/>
                <w:szCs w:val="20"/>
                <w:lang w:val="es-ES"/>
              </w:rPr>
              <w:t xml:space="preserve">falla, </w:t>
            </w:r>
            <w:r w:rsidRPr="00AD1AF9">
              <w:rPr>
                <w:rFonts w:ascii="ITC Avant Garde" w:hAnsi="ITC Avant Garde"/>
                <w:sz w:val="20"/>
                <w:szCs w:val="20"/>
                <w:lang w:val="es-ES"/>
              </w:rPr>
              <w:t xml:space="preserve">averías </w:t>
            </w:r>
            <w:r>
              <w:rPr>
                <w:rFonts w:ascii="ITC Avant Garde" w:hAnsi="ITC Avant Garde"/>
                <w:sz w:val="20"/>
                <w:szCs w:val="20"/>
                <w:lang w:val="es-ES"/>
              </w:rPr>
              <w:t>y/o roturas segmento Regional</w:t>
            </w:r>
          </w:p>
        </w:tc>
        <w:tc>
          <w:tcPr>
            <w:tcW w:w="1154"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6</w:t>
            </w:r>
            <w:r w:rsidRPr="00AD1AF9">
              <w:rPr>
                <w:rFonts w:ascii="ITC Avant Garde" w:hAnsi="ITC Avant Garde"/>
                <w:sz w:val="20"/>
                <w:szCs w:val="20"/>
                <w:lang w:val="es-ES"/>
              </w:rPr>
              <w:t xml:space="preserve"> Horas </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(+50% en horario no laboral)</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trHeight w:val="783"/>
          <w:jc w:val="center"/>
        </w:trPr>
        <w:tc>
          <w:tcPr>
            <w:tcW w:w="2761"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lastRenderedPageBreak/>
              <w:t xml:space="preserve">Recuperación por </w:t>
            </w:r>
            <w:r>
              <w:rPr>
                <w:rFonts w:ascii="ITC Avant Garde" w:hAnsi="ITC Avant Garde"/>
                <w:sz w:val="20"/>
                <w:szCs w:val="20"/>
                <w:lang w:val="es-ES"/>
              </w:rPr>
              <w:t xml:space="preserve">falla, </w:t>
            </w:r>
            <w:r w:rsidRPr="00AD1AF9">
              <w:rPr>
                <w:rFonts w:ascii="ITC Avant Garde" w:hAnsi="ITC Avant Garde"/>
                <w:sz w:val="20"/>
                <w:szCs w:val="20"/>
                <w:lang w:val="es-ES"/>
              </w:rPr>
              <w:t xml:space="preserve">averías </w:t>
            </w:r>
            <w:r>
              <w:rPr>
                <w:rFonts w:ascii="ITC Avant Garde" w:hAnsi="ITC Avant Garde"/>
                <w:sz w:val="20"/>
                <w:szCs w:val="20"/>
                <w:lang w:val="es-ES"/>
              </w:rPr>
              <w:t>y/o roturas segmento Nacional</w:t>
            </w:r>
          </w:p>
        </w:tc>
        <w:tc>
          <w:tcPr>
            <w:tcW w:w="1154"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8</w:t>
            </w:r>
            <w:r w:rsidRPr="00AD1AF9">
              <w:rPr>
                <w:rFonts w:ascii="ITC Avant Garde" w:hAnsi="ITC Avant Garde"/>
                <w:sz w:val="20"/>
                <w:szCs w:val="20"/>
                <w:lang w:val="es-ES"/>
              </w:rPr>
              <w:t xml:space="preserve"> Horas </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(+50% en horario no laboral)</w:t>
            </w:r>
          </w:p>
        </w:tc>
        <w:tc>
          <w:tcPr>
            <w:tcW w:w="108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bl>
    <w:p w:rsidR="007C4016" w:rsidRPr="00641387" w:rsidRDefault="007C4016" w:rsidP="007C4016">
      <w:pPr>
        <w:pStyle w:val="CondicionesFinales"/>
        <w:spacing w:before="240" w:after="0"/>
      </w:pPr>
    </w:p>
    <w:p w:rsidR="007C4016" w:rsidRPr="00AD1AF9" w:rsidRDefault="007C4016" w:rsidP="007C4016">
      <w:pPr>
        <w:pStyle w:val="CondicionesFinales"/>
        <w:spacing w:before="240" w:after="0"/>
        <w:rPr>
          <w:b/>
        </w:rPr>
      </w:pPr>
      <w:r>
        <w:rPr>
          <w:b/>
        </w:rPr>
        <w:t xml:space="preserve">2.5 </w:t>
      </w:r>
      <w:r w:rsidRPr="00AD1AF9">
        <w:rPr>
          <w:b/>
        </w:rPr>
        <w:tab/>
        <w:t>Servicio de Acceso y Uso Compartido de Torres</w:t>
      </w:r>
    </w:p>
    <w:tbl>
      <w:tblPr>
        <w:tblStyle w:val="Cuadrculadetablaclara1"/>
        <w:tblW w:w="4016" w:type="pct"/>
        <w:jc w:val="center"/>
        <w:tblLook w:val="01E0" w:firstRow="1" w:lastRow="1" w:firstColumn="1" w:lastColumn="1" w:noHBand="0" w:noVBand="0"/>
        <w:tblCaption w:val="Tabla"/>
        <w:tblDescription w:val="Servicio de Acceso y Uso Compartido de Torres"/>
      </w:tblPr>
      <w:tblGrid>
        <w:gridCol w:w="3867"/>
        <w:gridCol w:w="1641"/>
        <w:gridCol w:w="1584"/>
      </w:tblGrid>
      <w:tr w:rsidR="007C4016" w:rsidRPr="00AD1AF9" w:rsidTr="00483567">
        <w:trPr>
          <w:trHeight w:val="225"/>
          <w:tblHeader/>
          <w:jc w:val="center"/>
        </w:trPr>
        <w:tc>
          <w:tcPr>
            <w:tcW w:w="2767" w:type="pct"/>
            <w:shd w:val="clear" w:color="auto" w:fill="548DD4" w:themeFill="text2" w:themeFillTint="99"/>
          </w:tcPr>
          <w:p w:rsidR="007C4016" w:rsidRPr="00AD1AF9" w:rsidRDefault="007C4016" w:rsidP="005C782A">
            <w:pPr>
              <w:spacing w:before="240"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t>Actividad</w:t>
            </w:r>
          </w:p>
        </w:tc>
        <w:tc>
          <w:tcPr>
            <w:tcW w:w="1198" w:type="pct"/>
            <w:shd w:val="clear" w:color="auto" w:fill="548DD4" w:themeFill="text2" w:themeFillTint="99"/>
          </w:tcPr>
          <w:p w:rsidR="007C4016" w:rsidRPr="00AD1AF9" w:rsidRDefault="007C4016" w:rsidP="005C782A">
            <w:pPr>
              <w:spacing w:before="240" w:after="0" w:line="240" w:lineRule="auto"/>
              <w:jc w:val="center"/>
              <w:rPr>
                <w:rFonts w:ascii="ITC Avant Garde" w:hAnsi="ITC Avant Garde"/>
                <w:b/>
                <w:bCs/>
                <w:color w:val="FFFFFF"/>
                <w:sz w:val="20"/>
                <w:szCs w:val="20"/>
              </w:rPr>
            </w:pPr>
            <w:r w:rsidRPr="00AD1AF9">
              <w:rPr>
                <w:rFonts w:ascii="ITC Avant Garde" w:hAnsi="ITC Avant Garde"/>
                <w:b/>
                <w:color w:val="FFFFFF"/>
                <w:sz w:val="20"/>
                <w:szCs w:val="20"/>
                <w:lang w:val="es-ES"/>
              </w:rPr>
              <w:t>Tiempo</w:t>
            </w:r>
          </w:p>
        </w:tc>
        <w:tc>
          <w:tcPr>
            <w:tcW w:w="1035" w:type="pct"/>
            <w:shd w:val="clear" w:color="auto" w:fill="548DD4" w:themeFill="text2" w:themeFillTint="99"/>
          </w:tcPr>
          <w:p w:rsidR="007C4016" w:rsidRPr="00AD1AF9" w:rsidRDefault="007C4016" w:rsidP="005C782A">
            <w:pPr>
              <w:spacing w:before="240"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t>% Cumplimiento</w:t>
            </w:r>
          </w:p>
        </w:tc>
      </w:tr>
      <w:tr w:rsidR="007C4016" w:rsidRPr="00AD1AF9" w:rsidTr="00483567">
        <w:trPr>
          <w:trHeight w:val="467"/>
          <w:jc w:val="center"/>
        </w:trPr>
        <w:tc>
          <w:tcPr>
            <w:tcW w:w="2767" w:type="pct"/>
          </w:tcPr>
          <w:p w:rsidR="007C4016" w:rsidRPr="00AD1AF9" w:rsidRDefault="007C4016" w:rsidP="005C782A">
            <w:pPr>
              <w:spacing w:before="240" w:after="0" w:line="240" w:lineRule="auto"/>
              <w:jc w:val="left"/>
              <w:rPr>
                <w:rFonts w:ascii="ITC Avant Garde" w:hAnsi="ITC Avant Garde"/>
                <w:sz w:val="20"/>
                <w:szCs w:val="20"/>
              </w:rPr>
            </w:pPr>
            <w:r w:rsidRPr="00AD1AF9">
              <w:rPr>
                <w:rFonts w:ascii="ITC Avant Garde" w:hAnsi="ITC Avant Garde"/>
                <w:sz w:val="20"/>
                <w:szCs w:val="20"/>
                <w:lang w:val="es-ES"/>
              </w:rPr>
              <w:t>Validación de solicitudes</w:t>
            </w:r>
          </w:p>
        </w:tc>
        <w:tc>
          <w:tcPr>
            <w:tcW w:w="1198"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2</w:t>
            </w:r>
            <w:r w:rsidRPr="00AD1AF9">
              <w:rPr>
                <w:rFonts w:ascii="ITC Avant Garde" w:hAnsi="ITC Avant Garde"/>
                <w:sz w:val="20"/>
                <w:szCs w:val="20"/>
                <w:lang w:val="es-ES"/>
              </w:rPr>
              <w:t xml:space="preserve"> DH</w:t>
            </w:r>
          </w:p>
        </w:tc>
        <w:tc>
          <w:tcPr>
            <w:tcW w:w="103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jc w:val="center"/>
        </w:trPr>
        <w:tc>
          <w:tcPr>
            <w:tcW w:w="2767"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Programación de Visitas Técnicas</w:t>
            </w:r>
          </w:p>
        </w:tc>
        <w:tc>
          <w:tcPr>
            <w:tcW w:w="1198" w:type="pct"/>
          </w:tcPr>
          <w:p w:rsidR="007C4016"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AD1AF9">
              <w:rPr>
                <w:rFonts w:ascii="ITC Avant Garde" w:hAnsi="ITC Avant Garde"/>
                <w:sz w:val="20"/>
                <w:szCs w:val="20"/>
                <w:lang w:val="es-ES"/>
              </w:rPr>
              <w:t xml:space="preserve"> DH</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del ingreso de la solicitud)</w:t>
            </w:r>
          </w:p>
        </w:tc>
        <w:tc>
          <w:tcPr>
            <w:tcW w:w="103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jc w:val="center"/>
        </w:trPr>
        <w:tc>
          <w:tcPr>
            <w:tcW w:w="2767"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Ejecución de Visita Técnica</w:t>
            </w:r>
          </w:p>
        </w:tc>
        <w:tc>
          <w:tcPr>
            <w:tcW w:w="1198"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20</w:t>
            </w:r>
            <w:r w:rsidRPr="00AD1AF9">
              <w:rPr>
                <w:rFonts w:ascii="ITC Avant Garde" w:hAnsi="ITC Avant Garde"/>
                <w:sz w:val="20"/>
                <w:szCs w:val="20"/>
                <w:lang w:val="es-ES"/>
              </w:rPr>
              <w:t xml:space="preserve"> DH</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del ingreso de la solicitud)</w:t>
            </w:r>
          </w:p>
        </w:tc>
        <w:tc>
          <w:tcPr>
            <w:tcW w:w="103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jc w:val="center"/>
        </w:trPr>
        <w:tc>
          <w:tcPr>
            <w:tcW w:w="2767" w:type="pct"/>
          </w:tcPr>
          <w:p w:rsidR="007C4016" w:rsidRPr="00AD1AF9" w:rsidRDefault="007C4016" w:rsidP="005C782A">
            <w:pPr>
              <w:spacing w:before="240" w:after="0" w:line="240" w:lineRule="auto"/>
              <w:jc w:val="left"/>
              <w:rPr>
                <w:rFonts w:ascii="ITC Avant Garde" w:hAnsi="ITC Avant Garde"/>
                <w:sz w:val="20"/>
                <w:szCs w:val="20"/>
                <w:lang w:val="es-ES"/>
              </w:rPr>
            </w:pPr>
            <w:r>
              <w:rPr>
                <w:rFonts w:ascii="ITC Avant Garde" w:hAnsi="ITC Avant Garde"/>
                <w:sz w:val="20"/>
                <w:szCs w:val="20"/>
                <w:lang w:val="es-ES"/>
              </w:rPr>
              <w:t>Entrega de Información de Visita Técnica</w:t>
            </w:r>
          </w:p>
        </w:tc>
        <w:tc>
          <w:tcPr>
            <w:tcW w:w="1198" w:type="pct"/>
          </w:tcPr>
          <w:p w:rsidR="007C4016"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 DH</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w:t>
            </w:r>
            <w:r>
              <w:rPr>
                <w:rFonts w:ascii="ITC Avant Garde" w:hAnsi="ITC Avant Garde"/>
                <w:sz w:val="20"/>
                <w:szCs w:val="20"/>
                <w:lang w:val="es-ES"/>
              </w:rPr>
              <w:t xml:space="preserve"> la conclusión de VT</w:t>
            </w:r>
            <w:r w:rsidRPr="00AD1AF9">
              <w:rPr>
                <w:rFonts w:ascii="ITC Avant Garde" w:hAnsi="ITC Avant Garde"/>
                <w:sz w:val="20"/>
                <w:szCs w:val="20"/>
                <w:lang w:val="es-ES"/>
              </w:rPr>
              <w:t>)</w:t>
            </w:r>
          </w:p>
        </w:tc>
        <w:tc>
          <w:tcPr>
            <w:tcW w:w="1035"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90%</w:t>
            </w:r>
          </w:p>
        </w:tc>
      </w:tr>
      <w:tr w:rsidR="007C4016" w:rsidRPr="00AD1AF9" w:rsidTr="00483567">
        <w:trPr>
          <w:jc w:val="center"/>
        </w:trPr>
        <w:tc>
          <w:tcPr>
            <w:tcW w:w="2767"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Entrega de Análisis de Factibilidad</w:t>
            </w:r>
          </w:p>
        </w:tc>
        <w:tc>
          <w:tcPr>
            <w:tcW w:w="1198"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AD1AF9">
              <w:rPr>
                <w:rFonts w:ascii="ITC Avant Garde" w:hAnsi="ITC Avant Garde"/>
                <w:sz w:val="20"/>
                <w:szCs w:val="20"/>
                <w:lang w:val="es-ES"/>
              </w:rPr>
              <w:t xml:space="preserve"> DH</w:t>
            </w:r>
          </w:p>
        </w:tc>
        <w:tc>
          <w:tcPr>
            <w:tcW w:w="103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jc w:val="center"/>
        </w:trPr>
        <w:tc>
          <w:tcPr>
            <w:tcW w:w="2767" w:type="pct"/>
          </w:tcPr>
          <w:p w:rsidR="007C4016" w:rsidRPr="00AD1AF9" w:rsidRDefault="007C4016" w:rsidP="005C782A">
            <w:pPr>
              <w:spacing w:before="240" w:after="0" w:line="240" w:lineRule="auto"/>
              <w:jc w:val="left"/>
              <w:rPr>
                <w:rFonts w:ascii="ITC Avant Garde" w:hAnsi="ITC Avant Garde"/>
                <w:sz w:val="20"/>
                <w:szCs w:val="20"/>
                <w:lang w:val="es-ES"/>
              </w:rPr>
            </w:pPr>
            <w:r>
              <w:rPr>
                <w:rFonts w:ascii="ITC Avant Garde" w:hAnsi="ITC Avant Garde"/>
                <w:sz w:val="20"/>
                <w:szCs w:val="20"/>
                <w:lang w:val="es-ES"/>
              </w:rPr>
              <w:t>Verificación</w:t>
            </w:r>
            <w:r w:rsidRPr="00AD1AF9">
              <w:rPr>
                <w:rFonts w:ascii="ITC Avant Garde" w:hAnsi="ITC Avant Garde"/>
                <w:sz w:val="20"/>
                <w:szCs w:val="20"/>
                <w:lang w:val="es-ES"/>
              </w:rPr>
              <w:t xml:space="preserve"> y notificación de resultado </w:t>
            </w:r>
          </w:p>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 xml:space="preserve">(aceptación de instalación) </w:t>
            </w:r>
          </w:p>
        </w:tc>
        <w:tc>
          <w:tcPr>
            <w:tcW w:w="1198" w:type="pct"/>
          </w:tcPr>
          <w:p w:rsidR="007C4016" w:rsidRPr="00AD1AF9"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AD1AF9">
              <w:rPr>
                <w:rFonts w:ascii="ITC Avant Garde" w:hAnsi="ITC Avant Garde"/>
                <w:sz w:val="20"/>
                <w:szCs w:val="20"/>
                <w:lang w:val="es-ES"/>
              </w:rPr>
              <w:t xml:space="preserve"> DH</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 la notificación de fin de instalación del CS)</w:t>
            </w:r>
          </w:p>
        </w:tc>
        <w:tc>
          <w:tcPr>
            <w:tcW w:w="103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7C4016" w:rsidRPr="00AD1AF9" w:rsidTr="00483567">
        <w:trPr>
          <w:trHeight w:val="783"/>
          <w:jc w:val="center"/>
        </w:trPr>
        <w:tc>
          <w:tcPr>
            <w:tcW w:w="2767" w:type="pct"/>
          </w:tcPr>
          <w:p w:rsidR="007C4016" w:rsidRPr="00AD1AF9" w:rsidRDefault="007C4016" w:rsidP="005C782A">
            <w:pPr>
              <w:spacing w:before="240" w:after="0" w:line="240" w:lineRule="auto"/>
              <w:jc w:val="left"/>
              <w:rPr>
                <w:rFonts w:ascii="ITC Avant Garde" w:hAnsi="ITC Avant Garde"/>
                <w:sz w:val="20"/>
                <w:szCs w:val="20"/>
                <w:lang w:val="es-ES"/>
              </w:rPr>
            </w:pPr>
            <w:r w:rsidRPr="00AD1AF9">
              <w:rPr>
                <w:rFonts w:ascii="ITC Avant Garde" w:hAnsi="ITC Avant Garde"/>
                <w:sz w:val="20"/>
                <w:szCs w:val="20"/>
                <w:lang w:val="es-ES"/>
              </w:rPr>
              <w:t>Recuperación de falla puntual</w:t>
            </w:r>
          </w:p>
        </w:tc>
        <w:tc>
          <w:tcPr>
            <w:tcW w:w="1198"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 xml:space="preserve">8 Horas </w:t>
            </w:r>
          </w:p>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(+50% en horario no laboral)</w:t>
            </w:r>
          </w:p>
        </w:tc>
        <w:tc>
          <w:tcPr>
            <w:tcW w:w="1035" w:type="pct"/>
          </w:tcPr>
          <w:p w:rsidR="007C4016" w:rsidRPr="00AD1AF9"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bl>
    <w:p w:rsidR="007C4016" w:rsidRDefault="007C4016" w:rsidP="007C4016">
      <w:pPr>
        <w:pStyle w:val="CondicionesFinales"/>
        <w:spacing w:before="240" w:after="0"/>
      </w:pPr>
    </w:p>
    <w:p w:rsidR="007C4016" w:rsidRPr="001E5CBC" w:rsidRDefault="007C4016" w:rsidP="007C4016">
      <w:pPr>
        <w:pStyle w:val="CondicionesFinales"/>
        <w:spacing w:before="240" w:after="0"/>
        <w:rPr>
          <w:b/>
        </w:rPr>
      </w:pPr>
      <w:r>
        <w:rPr>
          <w:b/>
        </w:rPr>
        <w:t xml:space="preserve">2.6 </w:t>
      </w:r>
      <w:r w:rsidRPr="001E5CBC">
        <w:rPr>
          <w:b/>
        </w:rPr>
        <w:tab/>
        <w:t>Servicio de Uso de Sitios, Predios y Espacios Físicos</w:t>
      </w:r>
    </w:p>
    <w:tbl>
      <w:tblPr>
        <w:tblStyle w:val="Cuadrculadetablaclara1"/>
        <w:tblW w:w="4169" w:type="pct"/>
        <w:jc w:val="center"/>
        <w:tblLook w:val="01E0" w:firstRow="1" w:lastRow="1" w:firstColumn="1" w:lastColumn="1" w:noHBand="0" w:noVBand="0"/>
        <w:tblCaption w:val="Tabla"/>
        <w:tblDescription w:val="Servicio de Uso de Sitios, Predios y Espacios Físicos"/>
      </w:tblPr>
      <w:tblGrid>
        <w:gridCol w:w="3909"/>
        <w:gridCol w:w="1699"/>
        <w:gridCol w:w="1754"/>
      </w:tblGrid>
      <w:tr w:rsidR="007C4016" w:rsidRPr="001E5CBC" w:rsidTr="00483567">
        <w:trPr>
          <w:trHeight w:val="225"/>
          <w:tblHeader/>
          <w:jc w:val="center"/>
        </w:trPr>
        <w:tc>
          <w:tcPr>
            <w:tcW w:w="2655" w:type="pct"/>
            <w:shd w:val="clear" w:color="auto" w:fill="548DD4" w:themeFill="text2" w:themeFillTint="99"/>
          </w:tcPr>
          <w:p w:rsidR="007C4016" w:rsidRPr="001E5CBC" w:rsidRDefault="007C4016" w:rsidP="005C782A">
            <w:pPr>
              <w:spacing w:before="240" w:after="0" w:line="240" w:lineRule="auto"/>
              <w:jc w:val="center"/>
              <w:rPr>
                <w:rFonts w:ascii="ITC Avant Garde" w:hAnsi="ITC Avant Garde"/>
                <w:b/>
                <w:color w:val="FFFFFF"/>
                <w:sz w:val="20"/>
                <w:szCs w:val="20"/>
                <w:lang w:val="es-ES"/>
              </w:rPr>
            </w:pPr>
            <w:r w:rsidRPr="001E5CBC">
              <w:rPr>
                <w:rFonts w:ascii="ITC Avant Garde" w:hAnsi="ITC Avant Garde"/>
                <w:b/>
                <w:color w:val="FFFFFF"/>
                <w:sz w:val="20"/>
                <w:szCs w:val="20"/>
                <w:lang w:val="es-ES"/>
              </w:rPr>
              <w:t>Actividad</w:t>
            </w:r>
          </w:p>
        </w:tc>
        <w:tc>
          <w:tcPr>
            <w:tcW w:w="1154" w:type="pct"/>
            <w:shd w:val="clear" w:color="auto" w:fill="548DD4" w:themeFill="text2" w:themeFillTint="99"/>
          </w:tcPr>
          <w:p w:rsidR="007C4016" w:rsidRPr="001E5CBC" w:rsidRDefault="007C4016" w:rsidP="005C782A">
            <w:pPr>
              <w:spacing w:before="240" w:after="0" w:line="240" w:lineRule="auto"/>
              <w:jc w:val="center"/>
              <w:rPr>
                <w:rFonts w:ascii="ITC Avant Garde" w:hAnsi="ITC Avant Garde"/>
                <w:b/>
                <w:bCs/>
                <w:color w:val="FFFFFF"/>
                <w:sz w:val="20"/>
                <w:szCs w:val="20"/>
              </w:rPr>
            </w:pPr>
            <w:r w:rsidRPr="001E5CBC">
              <w:rPr>
                <w:rFonts w:ascii="ITC Avant Garde" w:hAnsi="ITC Avant Garde"/>
                <w:b/>
                <w:color w:val="FFFFFF"/>
                <w:sz w:val="20"/>
                <w:szCs w:val="20"/>
                <w:lang w:val="es-ES"/>
              </w:rPr>
              <w:t>Tiempo</w:t>
            </w:r>
          </w:p>
        </w:tc>
        <w:tc>
          <w:tcPr>
            <w:tcW w:w="1191" w:type="pct"/>
            <w:shd w:val="clear" w:color="auto" w:fill="548DD4" w:themeFill="text2" w:themeFillTint="99"/>
          </w:tcPr>
          <w:p w:rsidR="007C4016" w:rsidRPr="001E5CBC" w:rsidRDefault="007C4016" w:rsidP="005C782A">
            <w:pPr>
              <w:spacing w:before="240" w:after="0" w:line="240" w:lineRule="auto"/>
              <w:jc w:val="center"/>
              <w:rPr>
                <w:rFonts w:ascii="ITC Avant Garde" w:hAnsi="ITC Avant Garde"/>
                <w:b/>
                <w:color w:val="FFFFFF"/>
                <w:sz w:val="20"/>
                <w:szCs w:val="20"/>
                <w:lang w:val="es-ES"/>
              </w:rPr>
            </w:pPr>
            <w:r w:rsidRPr="001E5CBC">
              <w:rPr>
                <w:rFonts w:ascii="ITC Avant Garde" w:hAnsi="ITC Avant Garde"/>
                <w:b/>
                <w:color w:val="FFFFFF"/>
                <w:sz w:val="20"/>
                <w:szCs w:val="20"/>
                <w:lang w:val="es-ES"/>
              </w:rPr>
              <w:t>% Cumplimiento</w:t>
            </w:r>
          </w:p>
        </w:tc>
      </w:tr>
      <w:tr w:rsidR="007C4016" w:rsidRPr="001E5CBC" w:rsidTr="00483567">
        <w:trPr>
          <w:trHeight w:val="467"/>
          <w:jc w:val="center"/>
        </w:trPr>
        <w:tc>
          <w:tcPr>
            <w:tcW w:w="2655" w:type="pct"/>
          </w:tcPr>
          <w:p w:rsidR="007C4016" w:rsidRPr="001E5CBC" w:rsidRDefault="007C4016" w:rsidP="005C782A">
            <w:pPr>
              <w:spacing w:before="240" w:after="0" w:line="240" w:lineRule="auto"/>
              <w:jc w:val="left"/>
              <w:rPr>
                <w:rFonts w:ascii="ITC Avant Garde" w:hAnsi="ITC Avant Garde"/>
                <w:sz w:val="20"/>
                <w:szCs w:val="20"/>
              </w:rPr>
            </w:pPr>
            <w:r w:rsidRPr="001E5CBC">
              <w:rPr>
                <w:rFonts w:ascii="ITC Avant Garde" w:hAnsi="ITC Avant Garde"/>
                <w:sz w:val="20"/>
                <w:szCs w:val="20"/>
                <w:lang w:val="es-ES"/>
              </w:rPr>
              <w:t>Validación de solicitudes</w:t>
            </w:r>
          </w:p>
        </w:tc>
        <w:tc>
          <w:tcPr>
            <w:tcW w:w="1154" w:type="pct"/>
          </w:tcPr>
          <w:p w:rsidR="007C4016" w:rsidRPr="001E5CBC"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2</w:t>
            </w:r>
            <w:r w:rsidRPr="001E5CBC">
              <w:rPr>
                <w:rFonts w:ascii="ITC Avant Garde" w:hAnsi="ITC Avant Garde"/>
                <w:sz w:val="20"/>
                <w:szCs w:val="20"/>
                <w:lang w:val="es-ES"/>
              </w:rPr>
              <w:t xml:space="preserve"> DH</w:t>
            </w:r>
          </w:p>
        </w:tc>
        <w:tc>
          <w:tcPr>
            <w:tcW w:w="1191"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7C4016" w:rsidRPr="001E5CBC" w:rsidTr="00483567">
        <w:trPr>
          <w:jc w:val="center"/>
        </w:trPr>
        <w:tc>
          <w:tcPr>
            <w:tcW w:w="2655" w:type="pct"/>
          </w:tcPr>
          <w:p w:rsidR="007C4016" w:rsidRPr="001E5CBC" w:rsidRDefault="007C4016" w:rsidP="005C782A">
            <w:pPr>
              <w:spacing w:before="240" w:after="0" w:line="240" w:lineRule="auto"/>
              <w:jc w:val="left"/>
              <w:rPr>
                <w:rFonts w:ascii="ITC Avant Garde" w:hAnsi="ITC Avant Garde"/>
                <w:sz w:val="20"/>
                <w:szCs w:val="20"/>
                <w:lang w:val="es-ES"/>
              </w:rPr>
            </w:pPr>
            <w:r w:rsidRPr="001E5CBC">
              <w:rPr>
                <w:rFonts w:ascii="ITC Avant Garde" w:hAnsi="ITC Avant Garde"/>
                <w:sz w:val="20"/>
                <w:szCs w:val="20"/>
                <w:lang w:val="es-ES"/>
              </w:rPr>
              <w:t>Programación de Visitas Técnicas</w:t>
            </w:r>
          </w:p>
        </w:tc>
        <w:tc>
          <w:tcPr>
            <w:tcW w:w="1154" w:type="pct"/>
          </w:tcPr>
          <w:p w:rsidR="007C4016"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1E5CBC">
              <w:rPr>
                <w:rFonts w:ascii="ITC Avant Garde" w:hAnsi="ITC Avant Garde"/>
                <w:sz w:val="20"/>
                <w:szCs w:val="20"/>
                <w:lang w:val="es-ES"/>
              </w:rPr>
              <w:t xml:space="preserve"> DH</w:t>
            </w:r>
          </w:p>
          <w:p w:rsidR="007C4016" w:rsidRPr="001E5CBC"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lastRenderedPageBreak/>
              <w:t>(A partir del ingreso de la solicitud)</w:t>
            </w:r>
          </w:p>
        </w:tc>
        <w:tc>
          <w:tcPr>
            <w:tcW w:w="1191"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lastRenderedPageBreak/>
              <w:t>90%</w:t>
            </w:r>
          </w:p>
        </w:tc>
      </w:tr>
      <w:tr w:rsidR="007C4016" w:rsidRPr="001E5CBC" w:rsidTr="00483567">
        <w:trPr>
          <w:jc w:val="center"/>
        </w:trPr>
        <w:tc>
          <w:tcPr>
            <w:tcW w:w="2655" w:type="pct"/>
          </w:tcPr>
          <w:p w:rsidR="007C4016" w:rsidRPr="001E5CBC" w:rsidRDefault="007C4016" w:rsidP="005C782A">
            <w:pPr>
              <w:spacing w:before="240" w:after="0" w:line="240" w:lineRule="auto"/>
              <w:jc w:val="left"/>
              <w:rPr>
                <w:rFonts w:ascii="ITC Avant Garde" w:hAnsi="ITC Avant Garde"/>
                <w:sz w:val="20"/>
                <w:szCs w:val="20"/>
                <w:lang w:val="es-ES"/>
              </w:rPr>
            </w:pPr>
            <w:r w:rsidRPr="001E5CBC">
              <w:rPr>
                <w:rFonts w:ascii="ITC Avant Garde" w:hAnsi="ITC Avant Garde"/>
                <w:sz w:val="20"/>
                <w:szCs w:val="20"/>
                <w:lang w:val="es-ES"/>
              </w:rPr>
              <w:t>Ejecución de Visita Técnica</w:t>
            </w:r>
          </w:p>
        </w:tc>
        <w:tc>
          <w:tcPr>
            <w:tcW w:w="1154"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2</w:t>
            </w:r>
            <w:r>
              <w:rPr>
                <w:rFonts w:ascii="ITC Avant Garde" w:hAnsi="ITC Avant Garde"/>
                <w:sz w:val="20"/>
                <w:szCs w:val="20"/>
                <w:lang w:val="es-ES"/>
              </w:rPr>
              <w:t>0</w:t>
            </w:r>
            <w:r w:rsidRPr="001E5CBC">
              <w:rPr>
                <w:rFonts w:ascii="ITC Avant Garde" w:hAnsi="ITC Avant Garde"/>
                <w:sz w:val="20"/>
                <w:szCs w:val="20"/>
                <w:lang w:val="es-ES"/>
              </w:rPr>
              <w:t xml:space="preserve"> DH</w:t>
            </w:r>
          </w:p>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(A partir del ingreso de la solicitud)</w:t>
            </w:r>
          </w:p>
        </w:tc>
        <w:tc>
          <w:tcPr>
            <w:tcW w:w="1191"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7C4016" w:rsidRPr="001E5CBC" w:rsidTr="00483567">
        <w:trPr>
          <w:jc w:val="center"/>
        </w:trPr>
        <w:tc>
          <w:tcPr>
            <w:tcW w:w="2655" w:type="pct"/>
          </w:tcPr>
          <w:p w:rsidR="007C4016" w:rsidRPr="001E5CBC" w:rsidRDefault="007C4016" w:rsidP="005C782A">
            <w:pPr>
              <w:spacing w:before="240" w:after="0" w:line="240" w:lineRule="auto"/>
              <w:jc w:val="left"/>
              <w:rPr>
                <w:rFonts w:ascii="ITC Avant Garde" w:hAnsi="ITC Avant Garde"/>
                <w:sz w:val="20"/>
                <w:szCs w:val="20"/>
                <w:lang w:val="es-ES"/>
              </w:rPr>
            </w:pPr>
            <w:r>
              <w:rPr>
                <w:rFonts w:ascii="ITC Avant Garde" w:hAnsi="ITC Avant Garde"/>
                <w:sz w:val="20"/>
                <w:szCs w:val="20"/>
                <w:lang w:val="es-ES"/>
              </w:rPr>
              <w:t>Entrega de Información de Visita Técnica</w:t>
            </w:r>
          </w:p>
        </w:tc>
        <w:tc>
          <w:tcPr>
            <w:tcW w:w="1154" w:type="pct"/>
          </w:tcPr>
          <w:p w:rsidR="007C4016"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 DH</w:t>
            </w:r>
          </w:p>
          <w:p w:rsidR="007C4016" w:rsidRPr="001E5CBC"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w:t>
            </w:r>
            <w:r>
              <w:rPr>
                <w:rFonts w:ascii="ITC Avant Garde" w:hAnsi="ITC Avant Garde"/>
                <w:sz w:val="20"/>
                <w:szCs w:val="20"/>
                <w:lang w:val="es-ES"/>
              </w:rPr>
              <w:t xml:space="preserve"> la conclusión de VT</w:t>
            </w:r>
            <w:r w:rsidRPr="00AD1AF9">
              <w:rPr>
                <w:rFonts w:ascii="ITC Avant Garde" w:hAnsi="ITC Avant Garde"/>
                <w:sz w:val="20"/>
                <w:szCs w:val="20"/>
                <w:lang w:val="es-ES"/>
              </w:rPr>
              <w:t>)</w:t>
            </w:r>
          </w:p>
        </w:tc>
        <w:tc>
          <w:tcPr>
            <w:tcW w:w="1191" w:type="pct"/>
          </w:tcPr>
          <w:p w:rsidR="007C4016" w:rsidRPr="001E5CBC"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90%</w:t>
            </w:r>
          </w:p>
        </w:tc>
      </w:tr>
      <w:tr w:rsidR="007C4016" w:rsidRPr="001E5CBC" w:rsidTr="00483567">
        <w:trPr>
          <w:jc w:val="center"/>
        </w:trPr>
        <w:tc>
          <w:tcPr>
            <w:tcW w:w="2655" w:type="pct"/>
          </w:tcPr>
          <w:p w:rsidR="007C4016" w:rsidRPr="001E5CBC" w:rsidRDefault="007C4016" w:rsidP="005C782A">
            <w:pPr>
              <w:spacing w:before="240" w:after="0" w:line="240" w:lineRule="auto"/>
              <w:jc w:val="left"/>
              <w:rPr>
                <w:rFonts w:ascii="ITC Avant Garde" w:hAnsi="ITC Avant Garde"/>
                <w:sz w:val="20"/>
                <w:szCs w:val="20"/>
                <w:lang w:val="es-ES"/>
              </w:rPr>
            </w:pPr>
            <w:r w:rsidRPr="001E5CBC">
              <w:rPr>
                <w:rFonts w:ascii="ITC Avant Garde" w:hAnsi="ITC Avant Garde"/>
                <w:sz w:val="20"/>
                <w:szCs w:val="20"/>
                <w:lang w:val="es-ES"/>
              </w:rPr>
              <w:t>Entrega de Análisis de Factibilidad</w:t>
            </w:r>
          </w:p>
        </w:tc>
        <w:tc>
          <w:tcPr>
            <w:tcW w:w="1154" w:type="pct"/>
          </w:tcPr>
          <w:p w:rsidR="007C4016" w:rsidRPr="001E5CBC"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1E5CBC">
              <w:rPr>
                <w:rFonts w:ascii="ITC Avant Garde" w:hAnsi="ITC Avant Garde"/>
                <w:sz w:val="20"/>
                <w:szCs w:val="20"/>
                <w:lang w:val="es-ES"/>
              </w:rPr>
              <w:t xml:space="preserve"> DH</w:t>
            </w:r>
          </w:p>
        </w:tc>
        <w:tc>
          <w:tcPr>
            <w:tcW w:w="1191"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7C4016" w:rsidRPr="001E5CBC" w:rsidTr="00483567">
        <w:trPr>
          <w:jc w:val="center"/>
        </w:trPr>
        <w:tc>
          <w:tcPr>
            <w:tcW w:w="2655" w:type="pct"/>
          </w:tcPr>
          <w:p w:rsidR="007C4016" w:rsidRPr="001E5CBC" w:rsidRDefault="007C4016" w:rsidP="005C782A">
            <w:pPr>
              <w:spacing w:before="240" w:after="0" w:line="240" w:lineRule="auto"/>
              <w:jc w:val="left"/>
              <w:rPr>
                <w:rFonts w:ascii="ITC Avant Garde" w:hAnsi="ITC Avant Garde"/>
                <w:sz w:val="20"/>
                <w:szCs w:val="20"/>
                <w:lang w:val="es-ES"/>
              </w:rPr>
            </w:pPr>
            <w:r>
              <w:rPr>
                <w:rFonts w:ascii="ITC Avant Garde" w:hAnsi="ITC Avant Garde"/>
                <w:sz w:val="20"/>
                <w:szCs w:val="20"/>
                <w:lang w:val="es-ES"/>
              </w:rPr>
              <w:t>Verificación</w:t>
            </w:r>
            <w:r w:rsidRPr="001E5CBC">
              <w:rPr>
                <w:rFonts w:ascii="ITC Avant Garde" w:hAnsi="ITC Avant Garde"/>
                <w:sz w:val="20"/>
                <w:szCs w:val="20"/>
                <w:lang w:val="es-ES"/>
              </w:rPr>
              <w:t xml:space="preserve"> y notificación de resultado </w:t>
            </w:r>
          </w:p>
          <w:p w:rsidR="007C4016" w:rsidRPr="001E5CBC" w:rsidRDefault="007C4016" w:rsidP="005C782A">
            <w:pPr>
              <w:spacing w:before="240" w:after="0" w:line="240" w:lineRule="auto"/>
              <w:jc w:val="left"/>
              <w:rPr>
                <w:rFonts w:ascii="ITC Avant Garde" w:hAnsi="ITC Avant Garde"/>
                <w:sz w:val="20"/>
                <w:szCs w:val="20"/>
                <w:lang w:val="es-ES"/>
              </w:rPr>
            </w:pPr>
            <w:r w:rsidRPr="001E5CBC">
              <w:rPr>
                <w:rFonts w:ascii="ITC Avant Garde" w:hAnsi="ITC Avant Garde"/>
                <w:sz w:val="20"/>
                <w:szCs w:val="20"/>
                <w:lang w:val="es-ES"/>
              </w:rPr>
              <w:t xml:space="preserve">(aceptación de instalación) </w:t>
            </w:r>
          </w:p>
        </w:tc>
        <w:tc>
          <w:tcPr>
            <w:tcW w:w="1154" w:type="pct"/>
          </w:tcPr>
          <w:p w:rsidR="007C4016" w:rsidRPr="001E5CBC"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1E5CBC">
              <w:rPr>
                <w:rFonts w:ascii="ITC Avant Garde" w:hAnsi="ITC Avant Garde"/>
                <w:sz w:val="20"/>
                <w:szCs w:val="20"/>
                <w:lang w:val="es-ES"/>
              </w:rPr>
              <w:t xml:space="preserve"> DH</w:t>
            </w:r>
          </w:p>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(A partir de la notificación de fin de instalación del CS)</w:t>
            </w:r>
          </w:p>
        </w:tc>
        <w:tc>
          <w:tcPr>
            <w:tcW w:w="1191"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7C4016" w:rsidRPr="001E5CBC" w:rsidTr="00483567">
        <w:trPr>
          <w:trHeight w:val="783"/>
          <w:jc w:val="center"/>
        </w:trPr>
        <w:tc>
          <w:tcPr>
            <w:tcW w:w="2655" w:type="pct"/>
          </w:tcPr>
          <w:p w:rsidR="007C4016" w:rsidRPr="001E5CBC" w:rsidRDefault="007C4016" w:rsidP="005C782A">
            <w:pPr>
              <w:spacing w:before="240" w:after="0" w:line="240" w:lineRule="auto"/>
              <w:jc w:val="left"/>
              <w:rPr>
                <w:rFonts w:ascii="ITC Avant Garde" w:hAnsi="ITC Avant Garde"/>
                <w:sz w:val="20"/>
                <w:szCs w:val="20"/>
                <w:lang w:val="es-ES"/>
              </w:rPr>
            </w:pPr>
            <w:r w:rsidRPr="001E5CBC">
              <w:rPr>
                <w:rFonts w:ascii="ITC Avant Garde" w:hAnsi="ITC Avant Garde"/>
                <w:sz w:val="20"/>
                <w:szCs w:val="20"/>
                <w:lang w:val="es-ES"/>
              </w:rPr>
              <w:t>Recuperación de infraestructura por averías y/o roturas.</w:t>
            </w:r>
          </w:p>
        </w:tc>
        <w:tc>
          <w:tcPr>
            <w:tcW w:w="1154"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 xml:space="preserve">8 Horas </w:t>
            </w:r>
          </w:p>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(+50% en horario no laboral)</w:t>
            </w:r>
          </w:p>
        </w:tc>
        <w:tc>
          <w:tcPr>
            <w:tcW w:w="1191"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7C4016" w:rsidRPr="001E5CBC" w:rsidTr="00483567">
        <w:trPr>
          <w:trHeight w:val="783"/>
          <w:jc w:val="center"/>
        </w:trPr>
        <w:tc>
          <w:tcPr>
            <w:tcW w:w="2655" w:type="pct"/>
          </w:tcPr>
          <w:p w:rsidR="007C4016" w:rsidRPr="001E5CBC" w:rsidRDefault="007C4016" w:rsidP="005C782A">
            <w:pPr>
              <w:spacing w:before="240" w:after="0" w:line="240" w:lineRule="auto"/>
              <w:jc w:val="left"/>
              <w:rPr>
                <w:rFonts w:ascii="ITC Avant Garde" w:hAnsi="ITC Avant Garde"/>
                <w:sz w:val="20"/>
                <w:szCs w:val="20"/>
                <w:lang w:val="es-ES"/>
              </w:rPr>
            </w:pPr>
            <w:r w:rsidRPr="001E5CBC">
              <w:rPr>
                <w:rFonts w:ascii="ITC Avant Garde" w:hAnsi="ITC Avant Garde"/>
                <w:sz w:val="20"/>
                <w:szCs w:val="20"/>
                <w:lang w:val="es-ES"/>
              </w:rPr>
              <w:t>Recuperación de infraestructura por daño o pérdida que requiera obra civil.</w:t>
            </w:r>
          </w:p>
        </w:tc>
        <w:tc>
          <w:tcPr>
            <w:tcW w:w="1154"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3 DH</w:t>
            </w:r>
          </w:p>
        </w:tc>
        <w:tc>
          <w:tcPr>
            <w:tcW w:w="1191"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bl>
    <w:p w:rsidR="007C4016" w:rsidRPr="00E215A7" w:rsidRDefault="007C4016" w:rsidP="007C4016">
      <w:pPr>
        <w:pStyle w:val="CondicionesFinales"/>
        <w:spacing w:before="240" w:after="0"/>
      </w:pPr>
    </w:p>
    <w:p w:rsidR="007C4016" w:rsidRPr="00E215A7" w:rsidRDefault="007C4016" w:rsidP="007C4016">
      <w:pPr>
        <w:pStyle w:val="CondicionesFinales"/>
        <w:spacing w:before="240" w:after="0"/>
        <w:rPr>
          <w:b/>
        </w:rPr>
      </w:pPr>
      <w:r>
        <w:rPr>
          <w:b/>
        </w:rPr>
        <w:t xml:space="preserve">2.7 </w:t>
      </w:r>
      <w:r w:rsidRPr="00E215A7">
        <w:rPr>
          <w:b/>
        </w:rPr>
        <w:tab/>
        <w:t>Servicio de Tendido de Cable sobre Infraestructura Desagregada</w:t>
      </w:r>
    </w:p>
    <w:tbl>
      <w:tblPr>
        <w:tblStyle w:val="Cuadrculadetablaclara1"/>
        <w:tblW w:w="4169" w:type="pct"/>
        <w:jc w:val="center"/>
        <w:tblLook w:val="01E0" w:firstRow="1" w:lastRow="1" w:firstColumn="1" w:lastColumn="1" w:noHBand="0" w:noVBand="0"/>
        <w:tblCaption w:val="Tabla"/>
        <w:tblDescription w:val="Servicio de Tendido de Cable sobre Infraestructura Desagregada"/>
      </w:tblPr>
      <w:tblGrid>
        <w:gridCol w:w="3909"/>
        <w:gridCol w:w="1699"/>
        <w:gridCol w:w="1754"/>
      </w:tblGrid>
      <w:tr w:rsidR="007C4016" w:rsidRPr="001E5CBC" w:rsidTr="00483567">
        <w:trPr>
          <w:trHeight w:val="225"/>
          <w:tblHeader/>
          <w:jc w:val="center"/>
        </w:trPr>
        <w:tc>
          <w:tcPr>
            <w:tcW w:w="2655" w:type="pct"/>
            <w:shd w:val="clear" w:color="auto" w:fill="548DD4" w:themeFill="text2" w:themeFillTint="99"/>
          </w:tcPr>
          <w:p w:rsidR="007C4016" w:rsidRPr="001E5CBC" w:rsidRDefault="007C4016" w:rsidP="005C782A">
            <w:pPr>
              <w:spacing w:before="240" w:after="0" w:line="240" w:lineRule="auto"/>
              <w:jc w:val="center"/>
              <w:rPr>
                <w:rFonts w:ascii="ITC Avant Garde" w:hAnsi="ITC Avant Garde"/>
                <w:b/>
                <w:color w:val="FFFFFF"/>
                <w:sz w:val="20"/>
                <w:szCs w:val="20"/>
                <w:lang w:val="es-ES"/>
              </w:rPr>
            </w:pPr>
            <w:r w:rsidRPr="001E5CBC">
              <w:rPr>
                <w:rFonts w:ascii="ITC Avant Garde" w:hAnsi="ITC Avant Garde"/>
                <w:b/>
                <w:color w:val="FFFFFF"/>
                <w:sz w:val="20"/>
                <w:szCs w:val="20"/>
                <w:lang w:val="es-ES"/>
              </w:rPr>
              <w:t>Actividad</w:t>
            </w:r>
          </w:p>
        </w:tc>
        <w:tc>
          <w:tcPr>
            <w:tcW w:w="1154" w:type="pct"/>
            <w:shd w:val="clear" w:color="auto" w:fill="548DD4" w:themeFill="text2" w:themeFillTint="99"/>
          </w:tcPr>
          <w:p w:rsidR="007C4016" w:rsidRPr="001E5CBC" w:rsidRDefault="007C4016" w:rsidP="005C782A">
            <w:pPr>
              <w:spacing w:before="240" w:after="0" w:line="240" w:lineRule="auto"/>
              <w:jc w:val="center"/>
              <w:rPr>
                <w:rFonts w:ascii="ITC Avant Garde" w:hAnsi="ITC Avant Garde"/>
                <w:b/>
                <w:bCs/>
                <w:color w:val="FFFFFF"/>
                <w:sz w:val="20"/>
                <w:szCs w:val="20"/>
              </w:rPr>
            </w:pPr>
            <w:r w:rsidRPr="001E5CBC">
              <w:rPr>
                <w:rFonts w:ascii="ITC Avant Garde" w:hAnsi="ITC Avant Garde"/>
                <w:b/>
                <w:color w:val="FFFFFF"/>
                <w:sz w:val="20"/>
                <w:szCs w:val="20"/>
                <w:lang w:val="es-ES"/>
              </w:rPr>
              <w:t>Tiempo</w:t>
            </w:r>
          </w:p>
        </w:tc>
        <w:tc>
          <w:tcPr>
            <w:tcW w:w="1191" w:type="pct"/>
            <w:shd w:val="clear" w:color="auto" w:fill="548DD4" w:themeFill="text2" w:themeFillTint="99"/>
          </w:tcPr>
          <w:p w:rsidR="007C4016" w:rsidRPr="001E5CBC" w:rsidRDefault="007C4016" w:rsidP="005C782A">
            <w:pPr>
              <w:spacing w:before="240" w:after="0" w:line="240" w:lineRule="auto"/>
              <w:jc w:val="center"/>
              <w:rPr>
                <w:rFonts w:ascii="ITC Avant Garde" w:hAnsi="ITC Avant Garde"/>
                <w:b/>
                <w:color w:val="FFFFFF"/>
                <w:sz w:val="20"/>
                <w:szCs w:val="20"/>
                <w:lang w:val="es-ES"/>
              </w:rPr>
            </w:pPr>
            <w:r w:rsidRPr="001E5CBC">
              <w:rPr>
                <w:rFonts w:ascii="ITC Avant Garde" w:hAnsi="ITC Avant Garde"/>
                <w:b/>
                <w:color w:val="FFFFFF"/>
                <w:sz w:val="20"/>
                <w:szCs w:val="20"/>
                <w:lang w:val="es-ES"/>
              </w:rPr>
              <w:t>% Cumplimiento</w:t>
            </w:r>
          </w:p>
        </w:tc>
      </w:tr>
      <w:tr w:rsidR="007C4016" w:rsidRPr="001E5CBC" w:rsidTr="00483567">
        <w:trPr>
          <w:trHeight w:val="467"/>
          <w:jc w:val="center"/>
        </w:trPr>
        <w:tc>
          <w:tcPr>
            <w:tcW w:w="2655" w:type="pct"/>
          </w:tcPr>
          <w:p w:rsidR="007C4016" w:rsidRPr="001E5CBC" w:rsidRDefault="007C4016" w:rsidP="005C782A">
            <w:pPr>
              <w:spacing w:before="240" w:after="0" w:line="240" w:lineRule="auto"/>
              <w:jc w:val="left"/>
              <w:rPr>
                <w:rFonts w:ascii="ITC Avant Garde" w:hAnsi="ITC Avant Garde"/>
                <w:sz w:val="20"/>
                <w:szCs w:val="20"/>
              </w:rPr>
            </w:pPr>
            <w:r w:rsidRPr="001E5CBC">
              <w:rPr>
                <w:rFonts w:ascii="ITC Avant Garde" w:hAnsi="ITC Avant Garde"/>
                <w:sz w:val="20"/>
                <w:szCs w:val="20"/>
                <w:lang w:val="es-ES"/>
              </w:rPr>
              <w:t>Validación de solicitudes</w:t>
            </w:r>
          </w:p>
        </w:tc>
        <w:tc>
          <w:tcPr>
            <w:tcW w:w="1154" w:type="pct"/>
          </w:tcPr>
          <w:p w:rsidR="007C4016" w:rsidRPr="001E5CBC"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2</w:t>
            </w:r>
            <w:r w:rsidRPr="001E5CBC">
              <w:rPr>
                <w:rFonts w:ascii="ITC Avant Garde" w:hAnsi="ITC Avant Garde"/>
                <w:sz w:val="20"/>
                <w:szCs w:val="20"/>
                <w:lang w:val="es-ES"/>
              </w:rPr>
              <w:t xml:space="preserve"> DH</w:t>
            </w:r>
          </w:p>
        </w:tc>
        <w:tc>
          <w:tcPr>
            <w:tcW w:w="1191"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7C4016" w:rsidRPr="001E5CBC" w:rsidTr="00483567">
        <w:trPr>
          <w:jc w:val="center"/>
        </w:trPr>
        <w:tc>
          <w:tcPr>
            <w:tcW w:w="2655" w:type="pct"/>
          </w:tcPr>
          <w:p w:rsidR="007C4016" w:rsidRPr="001E5CBC" w:rsidRDefault="007C4016" w:rsidP="005C782A">
            <w:pPr>
              <w:spacing w:before="240" w:after="0" w:line="240" w:lineRule="auto"/>
              <w:jc w:val="left"/>
              <w:rPr>
                <w:rFonts w:ascii="ITC Avant Garde" w:hAnsi="ITC Avant Garde"/>
                <w:sz w:val="20"/>
                <w:szCs w:val="20"/>
                <w:lang w:val="es-ES"/>
              </w:rPr>
            </w:pPr>
            <w:r w:rsidRPr="001E5CBC">
              <w:rPr>
                <w:rFonts w:ascii="ITC Avant Garde" w:hAnsi="ITC Avant Garde"/>
                <w:sz w:val="20"/>
                <w:szCs w:val="20"/>
                <w:lang w:val="es-ES"/>
              </w:rPr>
              <w:t>Programación de Visitas Técnicas</w:t>
            </w:r>
          </w:p>
        </w:tc>
        <w:tc>
          <w:tcPr>
            <w:tcW w:w="1154" w:type="pct"/>
          </w:tcPr>
          <w:p w:rsidR="007C4016"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1E5CBC">
              <w:rPr>
                <w:rFonts w:ascii="ITC Avant Garde" w:hAnsi="ITC Avant Garde"/>
                <w:sz w:val="20"/>
                <w:szCs w:val="20"/>
                <w:lang w:val="es-ES"/>
              </w:rPr>
              <w:t xml:space="preserve"> DH</w:t>
            </w:r>
          </w:p>
          <w:p w:rsidR="007C4016" w:rsidRPr="001E5CBC"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del ingreso de la solicitud)</w:t>
            </w:r>
          </w:p>
        </w:tc>
        <w:tc>
          <w:tcPr>
            <w:tcW w:w="1191"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7C4016" w:rsidRPr="001E5CBC" w:rsidTr="00483567">
        <w:trPr>
          <w:jc w:val="center"/>
        </w:trPr>
        <w:tc>
          <w:tcPr>
            <w:tcW w:w="2655" w:type="pct"/>
          </w:tcPr>
          <w:p w:rsidR="007C4016" w:rsidRPr="001E5CBC" w:rsidRDefault="007C4016" w:rsidP="005C782A">
            <w:pPr>
              <w:spacing w:before="240" w:after="0" w:line="240" w:lineRule="auto"/>
              <w:jc w:val="left"/>
              <w:rPr>
                <w:rFonts w:ascii="ITC Avant Garde" w:hAnsi="ITC Avant Garde"/>
                <w:sz w:val="20"/>
                <w:szCs w:val="20"/>
                <w:lang w:val="es-ES"/>
              </w:rPr>
            </w:pPr>
            <w:r w:rsidRPr="001E5CBC">
              <w:rPr>
                <w:rFonts w:ascii="ITC Avant Garde" w:hAnsi="ITC Avant Garde"/>
                <w:sz w:val="20"/>
                <w:szCs w:val="20"/>
                <w:lang w:val="es-ES"/>
              </w:rPr>
              <w:t>Ejecución de Visita Técnica</w:t>
            </w:r>
          </w:p>
        </w:tc>
        <w:tc>
          <w:tcPr>
            <w:tcW w:w="1154"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2</w:t>
            </w:r>
            <w:r>
              <w:rPr>
                <w:rFonts w:ascii="ITC Avant Garde" w:hAnsi="ITC Avant Garde"/>
                <w:sz w:val="20"/>
                <w:szCs w:val="20"/>
                <w:lang w:val="es-ES"/>
              </w:rPr>
              <w:t>0</w:t>
            </w:r>
            <w:r w:rsidRPr="001E5CBC">
              <w:rPr>
                <w:rFonts w:ascii="ITC Avant Garde" w:hAnsi="ITC Avant Garde"/>
                <w:sz w:val="20"/>
                <w:szCs w:val="20"/>
                <w:lang w:val="es-ES"/>
              </w:rPr>
              <w:t xml:space="preserve"> DH</w:t>
            </w:r>
          </w:p>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(A partir del ingreso de la solicitud)</w:t>
            </w:r>
          </w:p>
        </w:tc>
        <w:tc>
          <w:tcPr>
            <w:tcW w:w="1191"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7C4016" w:rsidRPr="001E5CBC" w:rsidTr="00483567">
        <w:trPr>
          <w:jc w:val="center"/>
        </w:trPr>
        <w:tc>
          <w:tcPr>
            <w:tcW w:w="2655" w:type="pct"/>
          </w:tcPr>
          <w:p w:rsidR="007C4016" w:rsidRPr="001E5CBC" w:rsidRDefault="007C4016" w:rsidP="005C782A">
            <w:pPr>
              <w:spacing w:before="240" w:after="0" w:line="240" w:lineRule="auto"/>
              <w:jc w:val="left"/>
              <w:rPr>
                <w:rFonts w:ascii="ITC Avant Garde" w:hAnsi="ITC Avant Garde"/>
                <w:sz w:val="20"/>
                <w:szCs w:val="20"/>
                <w:lang w:val="es-ES"/>
              </w:rPr>
            </w:pPr>
            <w:r>
              <w:rPr>
                <w:rFonts w:ascii="ITC Avant Garde" w:hAnsi="ITC Avant Garde"/>
                <w:sz w:val="20"/>
                <w:szCs w:val="20"/>
                <w:lang w:val="es-ES"/>
              </w:rPr>
              <w:t>Entrega de Información de Visita Técnica</w:t>
            </w:r>
          </w:p>
        </w:tc>
        <w:tc>
          <w:tcPr>
            <w:tcW w:w="1154" w:type="pct"/>
          </w:tcPr>
          <w:p w:rsidR="007C4016" w:rsidRDefault="007C4016" w:rsidP="005C782A">
            <w:pPr>
              <w:spacing w:before="240" w:after="0" w:line="240" w:lineRule="auto"/>
              <w:jc w:val="center"/>
              <w:rPr>
                <w:rFonts w:ascii="ITC Avant Garde" w:hAnsi="ITC Avant Garde"/>
                <w:sz w:val="20"/>
                <w:szCs w:val="20"/>
                <w:lang w:val="es-ES"/>
              </w:rPr>
            </w:pPr>
            <w:r w:rsidRPr="00BF0F93">
              <w:rPr>
                <w:rFonts w:ascii="ITC Avant Garde" w:hAnsi="ITC Avant Garde"/>
                <w:sz w:val="20"/>
                <w:szCs w:val="20"/>
                <w:lang w:val="es-ES"/>
              </w:rPr>
              <w:t>5</w:t>
            </w:r>
            <w:r w:rsidRPr="001E5CBC">
              <w:rPr>
                <w:rFonts w:ascii="ITC Avant Garde" w:hAnsi="ITC Avant Garde"/>
                <w:sz w:val="20"/>
                <w:szCs w:val="20"/>
                <w:lang w:val="es-ES"/>
              </w:rPr>
              <w:t xml:space="preserve"> DH</w:t>
            </w:r>
          </w:p>
          <w:p w:rsidR="007C4016" w:rsidRPr="001E5CBC" w:rsidRDefault="007C4016" w:rsidP="005C782A">
            <w:pPr>
              <w:spacing w:before="240" w:after="0" w:line="240" w:lineRule="auto"/>
              <w:jc w:val="center"/>
              <w:rPr>
                <w:rFonts w:ascii="ITC Avant Garde" w:hAnsi="ITC Avant Garde"/>
                <w:sz w:val="20"/>
                <w:szCs w:val="20"/>
                <w:lang w:val="es-ES"/>
              </w:rPr>
            </w:pPr>
            <w:r w:rsidRPr="00AD1AF9">
              <w:rPr>
                <w:rFonts w:ascii="ITC Avant Garde" w:hAnsi="ITC Avant Garde"/>
                <w:sz w:val="20"/>
                <w:szCs w:val="20"/>
                <w:lang w:val="es-ES"/>
              </w:rPr>
              <w:lastRenderedPageBreak/>
              <w:t>(A partir de</w:t>
            </w:r>
            <w:r>
              <w:rPr>
                <w:rFonts w:ascii="ITC Avant Garde" w:hAnsi="ITC Avant Garde"/>
                <w:sz w:val="20"/>
                <w:szCs w:val="20"/>
                <w:lang w:val="es-ES"/>
              </w:rPr>
              <w:t xml:space="preserve"> la conclusión de VT</w:t>
            </w:r>
            <w:r w:rsidRPr="00AD1AF9">
              <w:rPr>
                <w:rFonts w:ascii="ITC Avant Garde" w:hAnsi="ITC Avant Garde"/>
                <w:sz w:val="20"/>
                <w:szCs w:val="20"/>
                <w:lang w:val="es-ES"/>
              </w:rPr>
              <w:t>)</w:t>
            </w:r>
          </w:p>
        </w:tc>
        <w:tc>
          <w:tcPr>
            <w:tcW w:w="1191"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lastRenderedPageBreak/>
              <w:t>90%</w:t>
            </w:r>
          </w:p>
        </w:tc>
      </w:tr>
      <w:tr w:rsidR="007C4016" w:rsidRPr="001E5CBC" w:rsidTr="00483567">
        <w:trPr>
          <w:jc w:val="center"/>
        </w:trPr>
        <w:tc>
          <w:tcPr>
            <w:tcW w:w="2655" w:type="pct"/>
          </w:tcPr>
          <w:p w:rsidR="007C4016" w:rsidRPr="001E5CBC" w:rsidRDefault="007C4016" w:rsidP="005C782A">
            <w:pPr>
              <w:spacing w:before="240" w:after="0" w:line="240" w:lineRule="auto"/>
              <w:jc w:val="left"/>
              <w:rPr>
                <w:rFonts w:ascii="ITC Avant Garde" w:hAnsi="ITC Avant Garde"/>
                <w:sz w:val="20"/>
                <w:szCs w:val="20"/>
                <w:lang w:val="es-ES"/>
              </w:rPr>
            </w:pPr>
            <w:r w:rsidRPr="001E5CBC">
              <w:rPr>
                <w:rFonts w:ascii="ITC Avant Garde" w:hAnsi="ITC Avant Garde"/>
                <w:sz w:val="20"/>
                <w:szCs w:val="20"/>
                <w:lang w:val="es-ES"/>
              </w:rPr>
              <w:t>Entrega del Servicio</w:t>
            </w:r>
          </w:p>
        </w:tc>
        <w:tc>
          <w:tcPr>
            <w:tcW w:w="1154"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30 DH</w:t>
            </w:r>
          </w:p>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(A partir de la aceptación del presupuesto)</w:t>
            </w:r>
          </w:p>
        </w:tc>
        <w:tc>
          <w:tcPr>
            <w:tcW w:w="1191"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7C4016" w:rsidRPr="001E5CBC" w:rsidTr="00483567">
        <w:trPr>
          <w:trHeight w:val="783"/>
          <w:jc w:val="center"/>
        </w:trPr>
        <w:tc>
          <w:tcPr>
            <w:tcW w:w="2655" w:type="pct"/>
          </w:tcPr>
          <w:p w:rsidR="007C4016" w:rsidRPr="001E5CBC" w:rsidRDefault="007C4016" w:rsidP="005C782A">
            <w:pPr>
              <w:spacing w:before="240" w:after="0" w:line="240" w:lineRule="auto"/>
              <w:jc w:val="left"/>
              <w:rPr>
                <w:rFonts w:ascii="ITC Avant Garde" w:hAnsi="ITC Avant Garde"/>
                <w:sz w:val="20"/>
                <w:szCs w:val="20"/>
                <w:lang w:val="es-ES"/>
              </w:rPr>
            </w:pPr>
            <w:r w:rsidRPr="001E5CBC">
              <w:rPr>
                <w:rFonts w:ascii="ITC Avant Garde" w:hAnsi="ITC Avant Garde"/>
                <w:sz w:val="20"/>
                <w:szCs w:val="20"/>
                <w:lang w:val="es-ES"/>
              </w:rPr>
              <w:t>Recuperación de cableado por daño o avería (falla).</w:t>
            </w:r>
          </w:p>
        </w:tc>
        <w:tc>
          <w:tcPr>
            <w:tcW w:w="1154"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 xml:space="preserve">8 Horas </w:t>
            </w:r>
          </w:p>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(+50% en horario no laboral)</w:t>
            </w:r>
          </w:p>
        </w:tc>
        <w:tc>
          <w:tcPr>
            <w:tcW w:w="1191"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7C4016" w:rsidRPr="001E5CBC" w:rsidTr="00483567">
        <w:trPr>
          <w:trHeight w:val="783"/>
          <w:jc w:val="center"/>
        </w:trPr>
        <w:tc>
          <w:tcPr>
            <w:tcW w:w="2655" w:type="pct"/>
          </w:tcPr>
          <w:p w:rsidR="007C4016" w:rsidRPr="001E5CBC" w:rsidRDefault="007C4016" w:rsidP="005C782A">
            <w:pPr>
              <w:spacing w:before="240" w:after="0" w:line="240" w:lineRule="auto"/>
              <w:jc w:val="left"/>
              <w:rPr>
                <w:rFonts w:ascii="ITC Avant Garde" w:hAnsi="ITC Avant Garde"/>
                <w:sz w:val="20"/>
                <w:szCs w:val="20"/>
                <w:lang w:val="es-ES"/>
              </w:rPr>
            </w:pPr>
            <w:r w:rsidRPr="001E5CBC">
              <w:rPr>
                <w:rFonts w:ascii="ITC Avant Garde" w:hAnsi="ITC Avant Garde"/>
                <w:sz w:val="20"/>
                <w:szCs w:val="20"/>
                <w:lang w:val="es-ES"/>
              </w:rPr>
              <w:t>Recuperación de cableado por daño o pérdida que requiera obra civil.</w:t>
            </w:r>
          </w:p>
        </w:tc>
        <w:tc>
          <w:tcPr>
            <w:tcW w:w="1154"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3 DH</w:t>
            </w:r>
          </w:p>
        </w:tc>
        <w:tc>
          <w:tcPr>
            <w:tcW w:w="1191" w:type="pct"/>
          </w:tcPr>
          <w:p w:rsidR="007C4016" w:rsidRPr="001E5CBC" w:rsidRDefault="007C4016" w:rsidP="005C782A">
            <w:pPr>
              <w:spacing w:before="240"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bl>
    <w:p w:rsidR="007C4016" w:rsidRPr="00E9455A" w:rsidRDefault="007C4016" w:rsidP="007C4016">
      <w:pPr>
        <w:pStyle w:val="CondicionesFinales"/>
        <w:spacing w:before="240" w:after="0"/>
        <w:rPr>
          <w:sz w:val="14"/>
        </w:rPr>
      </w:pPr>
    </w:p>
    <w:p w:rsidR="007C4016" w:rsidRPr="00D52752" w:rsidRDefault="007C4016" w:rsidP="007C4016">
      <w:pPr>
        <w:pStyle w:val="CondicionesFinales"/>
        <w:spacing w:before="240" w:after="0"/>
        <w:ind w:hanging="284"/>
        <w:rPr>
          <w:b/>
        </w:rPr>
      </w:pPr>
      <w:r>
        <w:rPr>
          <w:b/>
        </w:rPr>
        <w:t xml:space="preserve">3. </w:t>
      </w:r>
      <w:r w:rsidRPr="00D52752">
        <w:rPr>
          <w:b/>
        </w:rPr>
        <w:t xml:space="preserve">Parámetros de Calidad para los Trabajos Especiales </w:t>
      </w:r>
    </w:p>
    <w:p w:rsidR="007C4016" w:rsidRPr="00D52752" w:rsidRDefault="007C4016" w:rsidP="007C4016">
      <w:pPr>
        <w:pStyle w:val="CondicionesFinales"/>
        <w:spacing w:before="240" w:after="0"/>
        <w:ind w:left="1134" w:hanging="425"/>
        <w:rPr>
          <w:b/>
        </w:rPr>
      </w:pPr>
      <w:r>
        <w:rPr>
          <w:b/>
        </w:rPr>
        <w:t xml:space="preserve">3.1 </w:t>
      </w:r>
      <w:r w:rsidRPr="00D52752">
        <w:rPr>
          <w:b/>
        </w:rPr>
        <w:t>Instalación de Infraestructura del Concesionario Solicitante en Despliegue de Nueva Obra Civil</w:t>
      </w:r>
    </w:p>
    <w:tbl>
      <w:tblPr>
        <w:tblStyle w:val="Cuadrculadetablaclara1"/>
        <w:tblW w:w="4157" w:type="pct"/>
        <w:jc w:val="center"/>
        <w:tblLook w:val="01E0" w:firstRow="1" w:lastRow="1" w:firstColumn="1" w:lastColumn="1" w:noHBand="0" w:noVBand="0"/>
        <w:tblCaption w:val="Tabla"/>
        <w:tblDescription w:val="Instalación de Infraestructura del Concesionario Solicitante en Despliegue de Nueva Obra Civil"/>
      </w:tblPr>
      <w:tblGrid>
        <w:gridCol w:w="4081"/>
        <w:gridCol w:w="1630"/>
        <w:gridCol w:w="1630"/>
      </w:tblGrid>
      <w:tr w:rsidR="007C4016" w:rsidRPr="00D52752" w:rsidTr="004703D8">
        <w:trPr>
          <w:trHeight w:val="225"/>
          <w:tblHeader/>
          <w:jc w:val="center"/>
        </w:trPr>
        <w:tc>
          <w:tcPr>
            <w:tcW w:w="2780" w:type="pct"/>
            <w:shd w:val="clear" w:color="auto" w:fill="548DD4" w:themeFill="text2" w:themeFillTint="99"/>
          </w:tcPr>
          <w:p w:rsidR="007C4016" w:rsidRPr="00D52752" w:rsidRDefault="007C4016" w:rsidP="005C782A">
            <w:pPr>
              <w:spacing w:before="240"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Actividad</w:t>
            </w:r>
          </w:p>
        </w:tc>
        <w:tc>
          <w:tcPr>
            <w:tcW w:w="1110" w:type="pct"/>
            <w:shd w:val="clear" w:color="auto" w:fill="548DD4" w:themeFill="text2" w:themeFillTint="99"/>
          </w:tcPr>
          <w:p w:rsidR="007C4016" w:rsidRPr="00D52752" w:rsidRDefault="007C4016" w:rsidP="005C782A">
            <w:pPr>
              <w:spacing w:before="240" w:after="0" w:line="240" w:lineRule="auto"/>
              <w:jc w:val="center"/>
              <w:rPr>
                <w:rFonts w:ascii="ITC Avant Garde" w:hAnsi="ITC Avant Garde"/>
                <w:b/>
                <w:bCs/>
                <w:color w:val="FFFFFF"/>
                <w:sz w:val="20"/>
                <w:szCs w:val="20"/>
              </w:rPr>
            </w:pPr>
            <w:r w:rsidRPr="00D52752">
              <w:rPr>
                <w:rFonts w:ascii="ITC Avant Garde" w:hAnsi="ITC Avant Garde"/>
                <w:b/>
                <w:color w:val="FFFFFF"/>
                <w:sz w:val="20"/>
                <w:szCs w:val="20"/>
                <w:lang w:val="es-ES"/>
              </w:rPr>
              <w:t>Tiempo</w:t>
            </w:r>
          </w:p>
        </w:tc>
        <w:tc>
          <w:tcPr>
            <w:tcW w:w="1110" w:type="pct"/>
            <w:shd w:val="clear" w:color="auto" w:fill="548DD4" w:themeFill="text2" w:themeFillTint="99"/>
          </w:tcPr>
          <w:p w:rsidR="007C4016" w:rsidRPr="00D52752" w:rsidRDefault="007C4016" w:rsidP="005C782A">
            <w:pPr>
              <w:spacing w:before="240"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 Cumplimiento</w:t>
            </w:r>
          </w:p>
        </w:tc>
      </w:tr>
      <w:tr w:rsidR="007C4016" w:rsidRPr="00D52752" w:rsidTr="004703D8">
        <w:trPr>
          <w:trHeight w:val="467"/>
          <w:jc w:val="center"/>
        </w:trPr>
        <w:tc>
          <w:tcPr>
            <w:tcW w:w="2780" w:type="pct"/>
          </w:tcPr>
          <w:p w:rsidR="007C4016" w:rsidRPr="00D52752" w:rsidRDefault="007C4016" w:rsidP="005C782A">
            <w:pPr>
              <w:spacing w:before="240" w:after="0" w:line="240" w:lineRule="auto"/>
              <w:jc w:val="left"/>
              <w:rPr>
                <w:rFonts w:ascii="ITC Avant Garde" w:hAnsi="ITC Avant Garde"/>
                <w:sz w:val="20"/>
                <w:szCs w:val="20"/>
              </w:rPr>
            </w:pPr>
            <w:r w:rsidRPr="00D52752">
              <w:rPr>
                <w:rFonts w:ascii="ITC Avant Garde" w:hAnsi="ITC Avant Garde"/>
                <w:sz w:val="20"/>
                <w:szCs w:val="20"/>
                <w:lang w:val="es-ES"/>
              </w:rPr>
              <w:t>Validación de solicitudes</w:t>
            </w:r>
          </w:p>
        </w:tc>
        <w:tc>
          <w:tcPr>
            <w:tcW w:w="1110" w:type="pct"/>
          </w:tcPr>
          <w:p w:rsidR="007C4016" w:rsidRPr="00D52752"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2</w:t>
            </w:r>
            <w:r w:rsidRPr="00D52752">
              <w:rPr>
                <w:rFonts w:ascii="ITC Avant Garde" w:hAnsi="ITC Avant Garde"/>
                <w:sz w:val="20"/>
                <w:szCs w:val="20"/>
                <w:lang w:val="es-ES"/>
              </w:rPr>
              <w:t xml:space="preserve"> DH</w:t>
            </w:r>
          </w:p>
        </w:tc>
        <w:tc>
          <w:tcPr>
            <w:tcW w:w="1110"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r w:rsidR="007C4016" w:rsidRPr="00D52752" w:rsidTr="004703D8">
        <w:trPr>
          <w:jc w:val="center"/>
        </w:trPr>
        <w:tc>
          <w:tcPr>
            <w:tcW w:w="2780" w:type="pct"/>
          </w:tcPr>
          <w:p w:rsidR="007C4016" w:rsidRPr="00D52752" w:rsidRDefault="007C4016" w:rsidP="005C782A">
            <w:pPr>
              <w:spacing w:before="240" w:after="0" w:line="240" w:lineRule="auto"/>
              <w:jc w:val="left"/>
              <w:rPr>
                <w:rFonts w:ascii="ITC Avant Garde" w:hAnsi="ITC Avant Garde"/>
                <w:sz w:val="20"/>
                <w:szCs w:val="20"/>
                <w:lang w:val="es-ES"/>
              </w:rPr>
            </w:pPr>
            <w:r w:rsidRPr="00D52752">
              <w:rPr>
                <w:rFonts w:ascii="ITC Avant Garde" w:hAnsi="ITC Avant Garde"/>
                <w:sz w:val="20"/>
                <w:szCs w:val="20"/>
                <w:lang w:val="es-ES"/>
              </w:rPr>
              <w:t>Entrega de Análisis de Factibilidad y Plan de Trabajo</w:t>
            </w:r>
          </w:p>
        </w:tc>
        <w:tc>
          <w:tcPr>
            <w:tcW w:w="1110" w:type="pct"/>
          </w:tcPr>
          <w:p w:rsidR="007C4016" w:rsidRPr="00D52752"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D52752">
              <w:rPr>
                <w:rFonts w:ascii="ITC Avant Garde" w:hAnsi="ITC Avant Garde"/>
                <w:sz w:val="20"/>
                <w:szCs w:val="20"/>
                <w:lang w:val="es-ES"/>
              </w:rPr>
              <w:t xml:space="preserve"> DH</w:t>
            </w:r>
          </w:p>
        </w:tc>
        <w:tc>
          <w:tcPr>
            <w:tcW w:w="1110"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r w:rsidR="004703D8" w:rsidRPr="00D52752" w:rsidTr="004703D8">
        <w:trPr>
          <w:jc w:val="center"/>
        </w:trPr>
        <w:tc>
          <w:tcPr>
            <w:tcW w:w="2780" w:type="pct"/>
          </w:tcPr>
          <w:p w:rsidR="004703D8" w:rsidRPr="00D52752" w:rsidRDefault="004703D8" w:rsidP="005C782A">
            <w:pPr>
              <w:spacing w:before="240" w:after="0" w:line="240" w:lineRule="auto"/>
              <w:jc w:val="left"/>
              <w:rPr>
                <w:rFonts w:ascii="ITC Avant Garde" w:hAnsi="ITC Avant Garde"/>
                <w:sz w:val="20"/>
                <w:szCs w:val="20"/>
                <w:lang w:val="es-ES"/>
              </w:rPr>
            </w:pPr>
            <w:r w:rsidRPr="00D52752">
              <w:rPr>
                <w:rFonts w:ascii="ITC Avant Garde" w:hAnsi="ITC Avant Garde"/>
                <w:sz w:val="20"/>
                <w:szCs w:val="20"/>
                <w:lang w:val="es-ES"/>
              </w:rPr>
              <w:t>Entrega del Servicio en el tiempo comprometido en la cotización</w:t>
            </w:r>
          </w:p>
        </w:tc>
        <w:tc>
          <w:tcPr>
            <w:tcW w:w="1110" w:type="pct"/>
          </w:tcPr>
          <w:p w:rsidR="004703D8" w:rsidRPr="00D52752" w:rsidRDefault="004703D8"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Dependiente de la complejidad</w:t>
            </w:r>
          </w:p>
        </w:tc>
        <w:tc>
          <w:tcPr>
            <w:tcW w:w="1110" w:type="pct"/>
          </w:tcPr>
          <w:p w:rsidR="004703D8" w:rsidRPr="00D52752" w:rsidRDefault="004703D8" w:rsidP="005C782A">
            <w:pPr>
              <w:spacing w:before="240" w:after="0" w:line="240" w:lineRule="auto"/>
              <w:jc w:val="center"/>
              <w:rPr>
                <w:rFonts w:ascii="ITC Avant Garde" w:hAnsi="ITC Avant Garde"/>
                <w:sz w:val="20"/>
                <w:szCs w:val="20"/>
                <w:lang w:val="es-ES"/>
              </w:rPr>
            </w:pPr>
          </w:p>
        </w:tc>
      </w:tr>
      <w:tr w:rsidR="007C4016" w:rsidRPr="00D52752" w:rsidTr="004703D8">
        <w:trPr>
          <w:trHeight w:val="783"/>
          <w:jc w:val="center"/>
        </w:trPr>
        <w:tc>
          <w:tcPr>
            <w:tcW w:w="2780" w:type="pct"/>
          </w:tcPr>
          <w:p w:rsidR="007C4016" w:rsidRPr="00D52752" w:rsidRDefault="007C4016" w:rsidP="005C782A">
            <w:pPr>
              <w:spacing w:before="240" w:after="0" w:line="240" w:lineRule="auto"/>
              <w:jc w:val="left"/>
              <w:rPr>
                <w:rFonts w:ascii="ITC Avant Garde" w:hAnsi="ITC Avant Garde"/>
                <w:sz w:val="20"/>
                <w:szCs w:val="20"/>
                <w:lang w:val="es-ES"/>
              </w:rPr>
            </w:pPr>
            <w:r w:rsidRPr="00D52752">
              <w:rPr>
                <w:rFonts w:ascii="ITC Avant Garde" w:hAnsi="ITC Avant Garde"/>
                <w:sz w:val="20"/>
                <w:szCs w:val="20"/>
                <w:lang w:val="es-ES"/>
              </w:rPr>
              <w:t>Recuperación de falla puntual</w:t>
            </w:r>
          </w:p>
        </w:tc>
        <w:tc>
          <w:tcPr>
            <w:tcW w:w="1110"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8 Horas (+50% en horario no laboral)</w:t>
            </w:r>
          </w:p>
        </w:tc>
        <w:tc>
          <w:tcPr>
            <w:tcW w:w="1110"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bl>
    <w:p w:rsidR="007C4016" w:rsidRPr="00E9455A" w:rsidRDefault="007C4016" w:rsidP="007C4016">
      <w:pPr>
        <w:pStyle w:val="CondicionesFinales"/>
        <w:spacing w:before="240" w:after="0"/>
      </w:pPr>
    </w:p>
    <w:p w:rsidR="007C4016" w:rsidRPr="00D52752" w:rsidRDefault="007C4016" w:rsidP="007C4016">
      <w:pPr>
        <w:pStyle w:val="CondicionesFinales"/>
        <w:spacing w:before="240" w:after="0"/>
        <w:rPr>
          <w:b/>
        </w:rPr>
      </w:pPr>
      <w:r>
        <w:rPr>
          <w:b/>
        </w:rPr>
        <w:t>3.2 A</w:t>
      </w:r>
      <w:r w:rsidRPr="00D52752">
        <w:rPr>
          <w:b/>
        </w:rPr>
        <w:t>condicionamiento de Infraestructura</w:t>
      </w:r>
    </w:p>
    <w:tbl>
      <w:tblPr>
        <w:tblStyle w:val="Cuadrculadetablaclara1"/>
        <w:tblW w:w="4169" w:type="pct"/>
        <w:jc w:val="center"/>
        <w:tblLook w:val="01E0" w:firstRow="1" w:lastRow="1" w:firstColumn="1" w:lastColumn="1" w:noHBand="0" w:noVBand="0"/>
        <w:tblCaption w:val="Tabla"/>
        <w:tblDescription w:val="Acondicionamiento de Infraestructura"/>
      </w:tblPr>
      <w:tblGrid>
        <w:gridCol w:w="4048"/>
        <w:gridCol w:w="1656"/>
        <w:gridCol w:w="1658"/>
      </w:tblGrid>
      <w:tr w:rsidR="007C4016" w:rsidRPr="00D52752" w:rsidTr="004703D8">
        <w:trPr>
          <w:trHeight w:val="225"/>
          <w:tblHeader/>
          <w:jc w:val="center"/>
        </w:trPr>
        <w:tc>
          <w:tcPr>
            <w:tcW w:w="2749" w:type="pct"/>
            <w:shd w:val="clear" w:color="auto" w:fill="548DD4" w:themeFill="text2" w:themeFillTint="99"/>
          </w:tcPr>
          <w:p w:rsidR="007C4016" w:rsidRPr="00D52752" w:rsidRDefault="007C4016" w:rsidP="005C782A">
            <w:pPr>
              <w:spacing w:before="240"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Actividad</w:t>
            </w:r>
          </w:p>
        </w:tc>
        <w:tc>
          <w:tcPr>
            <w:tcW w:w="1125" w:type="pct"/>
            <w:shd w:val="clear" w:color="auto" w:fill="548DD4" w:themeFill="text2" w:themeFillTint="99"/>
          </w:tcPr>
          <w:p w:rsidR="007C4016" w:rsidRPr="00D52752" w:rsidRDefault="007C4016" w:rsidP="005C782A">
            <w:pPr>
              <w:spacing w:before="240" w:after="0" w:line="240" w:lineRule="auto"/>
              <w:jc w:val="center"/>
              <w:rPr>
                <w:rFonts w:ascii="ITC Avant Garde" w:hAnsi="ITC Avant Garde"/>
                <w:b/>
                <w:bCs/>
                <w:color w:val="FFFFFF"/>
                <w:sz w:val="20"/>
                <w:szCs w:val="20"/>
              </w:rPr>
            </w:pPr>
            <w:r w:rsidRPr="00D52752">
              <w:rPr>
                <w:rFonts w:ascii="ITC Avant Garde" w:hAnsi="ITC Avant Garde"/>
                <w:b/>
                <w:color w:val="FFFFFF"/>
                <w:sz w:val="20"/>
                <w:szCs w:val="20"/>
                <w:lang w:val="es-ES"/>
              </w:rPr>
              <w:t>Tiempo</w:t>
            </w:r>
          </w:p>
        </w:tc>
        <w:tc>
          <w:tcPr>
            <w:tcW w:w="1126" w:type="pct"/>
            <w:shd w:val="clear" w:color="auto" w:fill="548DD4" w:themeFill="text2" w:themeFillTint="99"/>
          </w:tcPr>
          <w:p w:rsidR="007C4016" w:rsidRPr="00D52752" w:rsidRDefault="007C4016" w:rsidP="005C782A">
            <w:pPr>
              <w:spacing w:before="240"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 Cumplimiento</w:t>
            </w:r>
          </w:p>
        </w:tc>
      </w:tr>
      <w:tr w:rsidR="007C4016" w:rsidRPr="00D52752" w:rsidTr="004703D8">
        <w:trPr>
          <w:jc w:val="center"/>
        </w:trPr>
        <w:tc>
          <w:tcPr>
            <w:tcW w:w="2749" w:type="pct"/>
          </w:tcPr>
          <w:p w:rsidR="007C4016" w:rsidRPr="00D52752" w:rsidRDefault="007C4016" w:rsidP="005C782A">
            <w:pPr>
              <w:spacing w:before="240" w:after="0" w:line="240" w:lineRule="auto"/>
              <w:jc w:val="left"/>
              <w:rPr>
                <w:rFonts w:ascii="ITC Avant Garde" w:hAnsi="ITC Avant Garde"/>
                <w:sz w:val="20"/>
                <w:szCs w:val="20"/>
                <w:lang w:val="es-ES"/>
              </w:rPr>
            </w:pPr>
            <w:r w:rsidRPr="00D52752">
              <w:rPr>
                <w:rFonts w:ascii="ITC Avant Garde" w:hAnsi="ITC Avant Garde"/>
                <w:sz w:val="20"/>
                <w:szCs w:val="20"/>
                <w:lang w:val="es-ES"/>
              </w:rPr>
              <w:t>Entrega de Análisis de Factibilidad y Plan de Trabajo</w:t>
            </w:r>
          </w:p>
        </w:tc>
        <w:tc>
          <w:tcPr>
            <w:tcW w:w="1125" w:type="pct"/>
          </w:tcPr>
          <w:p w:rsidR="007C4016" w:rsidRPr="00D52752"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D52752">
              <w:rPr>
                <w:rFonts w:ascii="ITC Avant Garde" w:hAnsi="ITC Avant Garde"/>
                <w:sz w:val="20"/>
                <w:szCs w:val="20"/>
                <w:lang w:val="es-ES"/>
              </w:rPr>
              <w:t xml:space="preserve"> DH</w:t>
            </w:r>
          </w:p>
        </w:tc>
        <w:tc>
          <w:tcPr>
            <w:tcW w:w="1126"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r w:rsidR="004703D8" w:rsidRPr="00D52752" w:rsidTr="004703D8">
        <w:trPr>
          <w:jc w:val="center"/>
        </w:trPr>
        <w:tc>
          <w:tcPr>
            <w:tcW w:w="2749" w:type="pct"/>
          </w:tcPr>
          <w:p w:rsidR="004703D8" w:rsidRPr="00D52752" w:rsidRDefault="004703D8" w:rsidP="005C782A">
            <w:pPr>
              <w:spacing w:before="240" w:after="0" w:line="240" w:lineRule="auto"/>
              <w:jc w:val="left"/>
              <w:rPr>
                <w:rFonts w:ascii="ITC Avant Garde" w:hAnsi="ITC Avant Garde"/>
                <w:sz w:val="20"/>
                <w:szCs w:val="20"/>
                <w:lang w:val="es-ES"/>
              </w:rPr>
            </w:pPr>
            <w:r w:rsidRPr="00D52752">
              <w:rPr>
                <w:rFonts w:ascii="ITC Avant Garde" w:hAnsi="ITC Avant Garde"/>
                <w:sz w:val="20"/>
                <w:szCs w:val="20"/>
                <w:lang w:val="es-ES"/>
              </w:rPr>
              <w:lastRenderedPageBreak/>
              <w:t>Entrega del Servicio en el tiempo comprometido en la cotización</w:t>
            </w:r>
          </w:p>
        </w:tc>
        <w:tc>
          <w:tcPr>
            <w:tcW w:w="1125" w:type="pct"/>
          </w:tcPr>
          <w:p w:rsidR="004703D8" w:rsidRPr="00D52752" w:rsidRDefault="004703D8"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Dependiente de la complejidad</w:t>
            </w:r>
          </w:p>
        </w:tc>
        <w:tc>
          <w:tcPr>
            <w:tcW w:w="1126" w:type="pct"/>
          </w:tcPr>
          <w:p w:rsidR="004703D8" w:rsidRPr="00D52752" w:rsidRDefault="004703D8" w:rsidP="005C782A">
            <w:pPr>
              <w:spacing w:before="240" w:after="0" w:line="240" w:lineRule="auto"/>
              <w:jc w:val="center"/>
              <w:rPr>
                <w:rFonts w:ascii="ITC Avant Garde" w:hAnsi="ITC Avant Garde"/>
                <w:sz w:val="20"/>
                <w:szCs w:val="20"/>
                <w:lang w:val="es-ES"/>
              </w:rPr>
            </w:pPr>
          </w:p>
        </w:tc>
      </w:tr>
    </w:tbl>
    <w:p w:rsidR="007C4016" w:rsidRPr="00E9455A" w:rsidRDefault="007C4016" w:rsidP="007C4016">
      <w:pPr>
        <w:pStyle w:val="CondicionesFinales"/>
        <w:spacing w:before="240" w:after="0"/>
      </w:pPr>
    </w:p>
    <w:p w:rsidR="007C4016" w:rsidRPr="00D52752" w:rsidRDefault="007C4016" w:rsidP="007C4016">
      <w:pPr>
        <w:pStyle w:val="CondicionesFinales"/>
        <w:spacing w:before="240" w:after="0"/>
        <w:rPr>
          <w:b/>
        </w:rPr>
      </w:pPr>
      <w:r>
        <w:rPr>
          <w:b/>
        </w:rPr>
        <w:t xml:space="preserve">3.2 </w:t>
      </w:r>
      <w:r w:rsidRPr="00D52752">
        <w:rPr>
          <w:b/>
        </w:rPr>
        <w:tab/>
        <w:t>Recuperación de Espacio</w:t>
      </w:r>
    </w:p>
    <w:tbl>
      <w:tblPr>
        <w:tblStyle w:val="Cuadrculadetablaclara1"/>
        <w:tblW w:w="4169" w:type="pct"/>
        <w:jc w:val="center"/>
        <w:tblLook w:val="01E0" w:firstRow="1" w:lastRow="1" w:firstColumn="1" w:lastColumn="1" w:noHBand="0" w:noVBand="0"/>
        <w:tblCaption w:val="Tabla"/>
        <w:tblDescription w:val="Recuperación de Espacio"/>
      </w:tblPr>
      <w:tblGrid>
        <w:gridCol w:w="4048"/>
        <w:gridCol w:w="1656"/>
        <w:gridCol w:w="1658"/>
      </w:tblGrid>
      <w:tr w:rsidR="007C4016" w:rsidRPr="00D52752" w:rsidTr="004703D8">
        <w:trPr>
          <w:trHeight w:val="225"/>
          <w:tblHeader/>
          <w:jc w:val="center"/>
        </w:trPr>
        <w:tc>
          <w:tcPr>
            <w:tcW w:w="2749" w:type="pct"/>
            <w:shd w:val="clear" w:color="auto" w:fill="548DD4" w:themeFill="text2" w:themeFillTint="99"/>
          </w:tcPr>
          <w:p w:rsidR="007C4016" w:rsidRPr="00D52752" w:rsidRDefault="007C4016" w:rsidP="005C782A">
            <w:pPr>
              <w:spacing w:before="240"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Actividad</w:t>
            </w:r>
          </w:p>
        </w:tc>
        <w:tc>
          <w:tcPr>
            <w:tcW w:w="1125" w:type="pct"/>
            <w:shd w:val="clear" w:color="auto" w:fill="548DD4" w:themeFill="text2" w:themeFillTint="99"/>
          </w:tcPr>
          <w:p w:rsidR="007C4016" w:rsidRPr="00D52752" w:rsidRDefault="007C4016" w:rsidP="005C782A">
            <w:pPr>
              <w:spacing w:before="240" w:after="0" w:line="240" w:lineRule="auto"/>
              <w:jc w:val="center"/>
              <w:rPr>
                <w:rFonts w:ascii="ITC Avant Garde" w:hAnsi="ITC Avant Garde"/>
                <w:b/>
                <w:bCs/>
                <w:color w:val="FFFFFF"/>
                <w:sz w:val="20"/>
                <w:szCs w:val="20"/>
              </w:rPr>
            </w:pPr>
            <w:r w:rsidRPr="00D52752">
              <w:rPr>
                <w:rFonts w:ascii="ITC Avant Garde" w:hAnsi="ITC Avant Garde"/>
                <w:b/>
                <w:color w:val="FFFFFF"/>
                <w:sz w:val="20"/>
                <w:szCs w:val="20"/>
                <w:lang w:val="es-ES"/>
              </w:rPr>
              <w:t>Tiempo</w:t>
            </w:r>
          </w:p>
        </w:tc>
        <w:tc>
          <w:tcPr>
            <w:tcW w:w="1126" w:type="pct"/>
            <w:shd w:val="clear" w:color="auto" w:fill="548DD4" w:themeFill="text2" w:themeFillTint="99"/>
          </w:tcPr>
          <w:p w:rsidR="007C4016" w:rsidRPr="00D52752" w:rsidRDefault="007C4016" w:rsidP="005C782A">
            <w:pPr>
              <w:spacing w:before="240"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 Cumplimiento</w:t>
            </w:r>
          </w:p>
        </w:tc>
      </w:tr>
      <w:tr w:rsidR="007C4016" w:rsidRPr="00D52752" w:rsidTr="004703D8">
        <w:trPr>
          <w:jc w:val="center"/>
        </w:trPr>
        <w:tc>
          <w:tcPr>
            <w:tcW w:w="2749" w:type="pct"/>
          </w:tcPr>
          <w:p w:rsidR="007C4016" w:rsidRPr="00D52752" w:rsidRDefault="007C4016" w:rsidP="005C782A">
            <w:pPr>
              <w:spacing w:before="240" w:after="0" w:line="240" w:lineRule="auto"/>
              <w:jc w:val="left"/>
              <w:rPr>
                <w:rFonts w:ascii="ITC Avant Garde" w:hAnsi="ITC Avant Garde"/>
                <w:sz w:val="20"/>
                <w:szCs w:val="20"/>
                <w:lang w:val="es-ES"/>
              </w:rPr>
            </w:pPr>
            <w:r w:rsidRPr="00D52752">
              <w:rPr>
                <w:rFonts w:ascii="ITC Avant Garde" w:hAnsi="ITC Avant Garde"/>
                <w:sz w:val="20"/>
                <w:szCs w:val="20"/>
                <w:lang w:val="es-ES"/>
              </w:rPr>
              <w:t>Entrega de Análisis de Factibilidad y Plan de Trabajo</w:t>
            </w:r>
          </w:p>
        </w:tc>
        <w:tc>
          <w:tcPr>
            <w:tcW w:w="1125" w:type="pct"/>
          </w:tcPr>
          <w:p w:rsidR="007C4016" w:rsidRPr="00D52752" w:rsidRDefault="007C4016" w:rsidP="005C782A">
            <w:pPr>
              <w:spacing w:before="240" w:after="0" w:line="240" w:lineRule="auto"/>
              <w:jc w:val="center"/>
              <w:rPr>
                <w:rFonts w:ascii="ITC Avant Garde" w:hAnsi="ITC Avant Garde"/>
                <w:sz w:val="20"/>
                <w:szCs w:val="20"/>
                <w:lang w:val="es-ES"/>
              </w:rPr>
            </w:pPr>
            <w:r>
              <w:rPr>
                <w:rFonts w:ascii="ITC Avant Garde" w:hAnsi="ITC Avant Garde"/>
                <w:sz w:val="20"/>
                <w:szCs w:val="20"/>
                <w:lang w:val="es-ES"/>
              </w:rPr>
              <w:t>5</w:t>
            </w:r>
            <w:r w:rsidRPr="00D52752">
              <w:rPr>
                <w:rFonts w:ascii="ITC Avant Garde" w:hAnsi="ITC Avant Garde"/>
                <w:sz w:val="20"/>
                <w:szCs w:val="20"/>
                <w:lang w:val="es-ES"/>
              </w:rPr>
              <w:t xml:space="preserve"> DH</w:t>
            </w:r>
          </w:p>
        </w:tc>
        <w:tc>
          <w:tcPr>
            <w:tcW w:w="1126"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r w:rsidR="004703D8" w:rsidRPr="00D52752" w:rsidTr="004703D8">
        <w:trPr>
          <w:jc w:val="center"/>
        </w:trPr>
        <w:tc>
          <w:tcPr>
            <w:tcW w:w="2749" w:type="pct"/>
          </w:tcPr>
          <w:p w:rsidR="004703D8" w:rsidRPr="00D52752" w:rsidRDefault="004703D8" w:rsidP="005C782A">
            <w:pPr>
              <w:spacing w:before="240" w:after="0" w:line="240" w:lineRule="auto"/>
              <w:jc w:val="left"/>
              <w:rPr>
                <w:rFonts w:ascii="ITC Avant Garde" w:hAnsi="ITC Avant Garde"/>
                <w:sz w:val="20"/>
                <w:szCs w:val="20"/>
                <w:lang w:val="es-ES"/>
              </w:rPr>
            </w:pPr>
            <w:r w:rsidRPr="00D52752">
              <w:rPr>
                <w:rFonts w:ascii="ITC Avant Garde" w:hAnsi="ITC Avant Garde"/>
                <w:sz w:val="20"/>
                <w:szCs w:val="20"/>
                <w:lang w:val="es-ES"/>
              </w:rPr>
              <w:t>Entrega del Servicio en el tiempo comprometido en la cotización</w:t>
            </w:r>
          </w:p>
        </w:tc>
        <w:tc>
          <w:tcPr>
            <w:tcW w:w="1125" w:type="pct"/>
          </w:tcPr>
          <w:p w:rsidR="004703D8" w:rsidRPr="00D52752" w:rsidRDefault="004703D8"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Dependiente de la complejidad</w:t>
            </w:r>
          </w:p>
        </w:tc>
        <w:tc>
          <w:tcPr>
            <w:tcW w:w="1126" w:type="pct"/>
          </w:tcPr>
          <w:p w:rsidR="004703D8" w:rsidRPr="00D52752" w:rsidRDefault="004703D8" w:rsidP="005C782A">
            <w:pPr>
              <w:spacing w:before="240" w:after="0" w:line="240" w:lineRule="auto"/>
              <w:jc w:val="center"/>
              <w:rPr>
                <w:rFonts w:ascii="ITC Avant Garde" w:hAnsi="ITC Avant Garde"/>
                <w:sz w:val="20"/>
                <w:szCs w:val="20"/>
                <w:lang w:val="es-ES"/>
              </w:rPr>
            </w:pPr>
          </w:p>
        </w:tc>
      </w:tr>
    </w:tbl>
    <w:p w:rsidR="007C4016" w:rsidRDefault="007C4016" w:rsidP="007C4016">
      <w:pPr>
        <w:pStyle w:val="CondicionesFinales"/>
        <w:spacing w:before="240" w:after="0"/>
      </w:pPr>
    </w:p>
    <w:p w:rsidR="007C4016" w:rsidRPr="00D52752" w:rsidRDefault="007C4016" w:rsidP="007C4016">
      <w:pPr>
        <w:pStyle w:val="CondicionesFinales"/>
        <w:spacing w:before="240" w:after="0"/>
        <w:ind w:left="1276" w:hanging="425"/>
        <w:rPr>
          <w:b/>
        </w:rPr>
      </w:pPr>
      <w:r>
        <w:rPr>
          <w:b/>
        </w:rPr>
        <w:t xml:space="preserve">3.3 </w:t>
      </w:r>
      <w:r w:rsidRPr="00D52752">
        <w:rPr>
          <w:b/>
        </w:rPr>
        <w:t>Solución Correctiva para la Continuidad de los Servicios de Telecomunicaciones</w:t>
      </w:r>
    </w:p>
    <w:tbl>
      <w:tblPr>
        <w:tblStyle w:val="Cuadrculadetablaclara1"/>
        <w:tblW w:w="4169" w:type="pct"/>
        <w:jc w:val="center"/>
        <w:tblLook w:val="01E0" w:firstRow="1" w:lastRow="1" w:firstColumn="1" w:lastColumn="1" w:noHBand="0" w:noVBand="0"/>
        <w:tblCaption w:val="Tabla"/>
        <w:tblDescription w:val="Solución Correctiva para la Continuidad de los Servicios de Telecomunicaciones"/>
      </w:tblPr>
      <w:tblGrid>
        <w:gridCol w:w="4049"/>
        <w:gridCol w:w="1559"/>
        <w:gridCol w:w="1754"/>
      </w:tblGrid>
      <w:tr w:rsidR="007C4016" w:rsidRPr="00D52752" w:rsidTr="00483567">
        <w:trPr>
          <w:trHeight w:val="225"/>
          <w:tblHeader/>
          <w:jc w:val="center"/>
        </w:trPr>
        <w:tc>
          <w:tcPr>
            <w:tcW w:w="2750" w:type="pct"/>
            <w:shd w:val="clear" w:color="auto" w:fill="548DD4" w:themeFill="text2" w:themeFillTint="99"/>
          </w:tcPr>
          <w:p w:rsidR="007C4016" w:rsidRPr="00D52752" w:rsidRDefault="007C4016" w:rsidP="005C782A">
            <w:pPr>
              <w:spacing w:before="240"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Actividad</w:t>
            </w:r>
          </w:p>
        </w:tc>
        <w:tc>
          <w:tcPr>
            <w:tcW w:w="1059" w:type="pct"/>
            <w:shd w:val="clear" w:color="auto" w:fill="548DD4" w:themeFill="text2" w:themeFillTint="99"/>
          </w:tcPr>
          <w:p w:rsidR="007C4016" w:rsidRPr="00D52752" w:rsidRDefault="007C4016" w:rsidP="005C782A">
            <w:pPr>
              <w:spacing w:before="240" w:after="0" w:line="240" w:lineRule="auto"/>
              <w:jc w:val="center"/>
              <w:rPr>
                <w:rFonts w:ascii="ITC Avant Garde" w:hAnsi="ITC Avant Garde"/>
                <w:b/>
                <w:bCs/>
                <w:color w:val="FFFFFF"/>
                <w:sz w:val="20"/>
                <w:szCs w:val="20"/>
              </w:rPr>
            </w:pPr>
            <w:r w:rsidRPr="00D52752">
              <w:rPr>
                <w:rFonts w:ascii="ITC Avant Garde" w:hAnsi="ITC Avant Garde"/>
                <w:b/>
                <w:color w:val="FFFFFF"/>
                <w:sz w:val="20"/>
                <w:szCs w:val="20"/>
                <w:lang w:val="es-ES"/>
              </w:rPr>
              <w:t>Tiempo</w:t>
            </w:r>
          </w:p>
        </w:tc>
        <w:tc>
          <w:tcPr>
            <w:tcW w:w="1191" w:type="pct"/>
            <w:shd w:val="clear" w:color="auto" w:fill="548DD4" w:themeFill="text2" w:themeFillTint="99"/>
          </w:tcPr>
          <w:p w:rsidR="007C4016" w:rsidRPr="00D52752" w:rsidRDefault="007C4016" w:rsidP="005C782A">
            <w:pPr>
              <w:spacing w:before="240"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 Cumplimiento</w:t>
            </w:r>
          </w:p>
        </w:tc>
      </w:tr>
      <w:tr w:rsidR="007C4016" w:rsidRPr="00D52752" w:rsidTr="00483567">
        <w:trPr>
          <w:trHeight w:val="467"/>
          <w:jc w:val="center"/>
        </w:trPr>
        <w:tc>
          <w:tcPr>
            <w:tcW w:w="2750" w:type="pct"/>
          </w:tcPr>
          <w:p w:rsidR="007C4016" w:rsidRPr="00D52752" w:rsidRDefault="007C4016" w:rsidP="005C782A">
            <w:pPr>
              <w:spacing w:before="240" w:after="0" w:line="240" w:lineRule="auto"/>
              <w:jc w:val="left"/>
              <w:rPr>
                <w:rFonts w:ascii="ITC Avant Garde" w:hAnsi="ITC Avant Garde"/>
                <w:sz w:val="20"/>
                <w:szCs w:val="20"/>
              </w:rPr>
            </w:pPr>
            <w:r w:rsidRPr="00D52752">
              <w:rPr>
                <w:rFonts w:ascii="ITC Avant Garde" w:hAnsi="ITC Avant Garde"/>
                <w:sz w:val="20"/>
                <w:szCs w:val="20"/>
                <w:lang w:val="es-ES"/>
              </w:rPr>
              <w:t>Validación de solicitudes</w:t>
            </w:r>
          </w:p>
        </w:tc>
        <w:tc>
          <w:tcPr>
            <w:tcW w:w="1059"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2 DH</w:t>
            </w:r>
          </w:p>
        </w:tc>
        <w:tc>
          <w:tcPr>
            <w:tcW w:w="1191"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r w:rsidR="007C4016" w:rsidRPr="00D52752" w:rsidTr="00483567">
        <w:trPr>
          <w:jc w:val="center"/>
        </w:trPr>
        <w:tc>
          <w:tcPr>
            <w:tcW w:w="2750" w:type="pct"/>
          </w:tcPr>
          <w:p w:rsidR="007C4016" w:rsidRPr="00D52752" w:rsidRDefault="007C4016" w:rsidP="005C782A">
            <w:pPr>
              <w:spacing w:before="240" w:after="0" w:line="240" w:lineRule="auto"/>
              <w:jc w:val="left"/>
              <w:rPr>
                <w:rFonts w:ascii="ITC Avant Garde" w:hAnsi="ITC Avant Garde"/>
                <w:sz w:val="20"/>
                <w:szCs w:val="20"/>
                <w:lang w:val="es-ES"/>
              </w:rPr>
            </w:pPr>
            <w:r w:rsidRPr="00D52752">
              <w:rPr>
                <w:rFonts w:ascii="ITC Avant Garde" w:hAnsi="ITC Avant Garde"/>
                <w:sz w:val="20"/>
                <w:szCs w:val="20"/>
                <w:lang w:val="es-ES"/>
              </w:rPr>
              <w:t xml:space="preserve">Retiro de elemento causante del daño </w:t>
            </w:r>
          </w:p>
        </w:tc>
        <w:tc>
          <w:tcPr>
            <w:tcW w:w="1059"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3 DH</w:t>
            </w:r>
          </w:p>
        </w:tc>
        <w:tc>
          <w:tcPr>
            <w:tcW w:w="1191"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bl>
    <w:p w:rsidR="007C4016" w:rsidRDefault="007C4016" w:rsidP="007C4016">
      <w:pPr>
        <w:pStyle w:val="CondicionesFinales"/>
        <w:spacing w:before="240" w:after="0"/>
      </w:pPr>
    </w:p>
    <w:p w:rsidR="007C4016" w:rsidRPr="00D52752" w:rsidRDefault="007C4016" w:rsidP="007C4016">
      <w:pPr>
        <w:pStyle w:val="CondicionesFinales"/>
        <w:spacing w:before="240" w:after="0"/>
        <w:ind w:left="993" w:hanging="284"/>
        <w:rPr>
          <w:b/>
        </w:rPr>
      </w:pPr>
      <w:r>
        <w:rPr>
          <w:b/>
        </w:rPr>
        <w:t xml:space="preserve">4. </w:t>
      </w:r>
      <w:r w:rsidRPr="00D52752">
        <w:rPr>
          <w:b/>
        </w:rPr>
        <w:t>Parámetros de Calidad para Autorización de Accesos</w:t>
      </w:r>
    </w:p>
    <w:tbl>
      <w:tblPr>
        <w:tblStyle w:val="Cuadrculadetablaclara1"/>
        <w:tblW w:w="4169" w:type="pct"/>
        <w:jc w:val="center"/>
        <w:tblLook w:val="01E0" w:firstRow="1" w:lastRow="1" w:firstColumn="1" w:lastColumn="1" w:noHBand="0" w:noVBand="0"/>
        <w:tblCaption w:val="Tabla"/>
        <w:tblDescription w:val="Parámetros de Calidad para Autorización de Accesos"/>
      </w:tblPr>
      <w:tblGrid>
        <w:gridCol w:w="4049"/>
        <w:gridCol w:w="1559"/>
        <w:gridCol w:w="1754"/>
      </w:tblGrid>
      <w:tr w:rsidR="007C4016" w:rsidRPr="00D52752" w:rsidTr="00483567">
        <w:trPr>
          <w:trHeight w:val="225"/>
          <w:tblHeader/>
          <w:jc w:val="center"/>
        </w:trPr>
        <w:tc>
          <w:tcPr>
            <w:tcW w:w="2750" w:type="pct"/>
            <w:shd w:val="clear" w:color="auto" w:fill="548DD4" w:themeFill="text2" w:themeFillTint="99"/>
          </w:tcPr>
          <w:p w:rsidR="007C4016" w:rsidRPr="00D52752" w:rsidRDefault="007C4016" w:rsidP="005C782A">
            <w:pPr>
              <w:spacing w:before="240"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Actividad</w:t>
            </w:r>
          </w:p>
        </w:tc>
        <w:tc>
          <w:tcPr>
            <w:tcW w:w="1059" w:type="pct"/>
            <w:shd w:val="clear" w:color="auto" w:fill="548DD4" w:themeFill="text2" w:themeFillTint="99"/>
          </w:tcPr>
          <w:p w:rsidR="007C4016" w:rsidRPr="00D52752" w:rsidRDefault="007C4016" w:rsidP="005C782A">
            <w:pPr>
              <w:spacing w:before="240" w:after="0" w:line="240" w:lineRule="auto"/>
              <w:jc w:val="center"/>
              <w:rPr>
                <w:rFonts w:ascii="ITC Avant Garde" w:hAnsi="ITC Avant Garde"/>
                <w:b/>
                <w:bCs/>
                <w:color w:val="FFFFFF"/>
                <w:sz w:val="20"/>
                <w:szCs w:val="20"/>
              </w:rPr>
            </w:pPr>
            <w:r w:rsidRPr="00D52752">
              <w:rPr>
                <w:rFonts w:ascii="ITC Avant Garde" w:hAnsi="ITC Avant Garde"/>
                <w:b/>
                <w:color w:val="FFFFFF"/>
                <w:sz w:val="20"/>
                <w:szCs w:val="20"/>
                <w:lang w:val="es-ES"/>
              </w:rPr>
              <w:t>Tiempo</w:t>
            </w:r>
          </w:p>
        </w:tc>
        <w:tc>
          <w:tcPr>
            <w:tcW w:w="1191" w:type="pct"/>
            <w:shd w:val="clear" w:color="auto" w:fill="548DD4" w:themeFill="text2" w:themeFillTint="99"/>
          </w:tcPr>
          <w:p w:rsidR="007C4016" w:rsidRPr="00D52752" w:rsidRDefault="007C4016" w:rsidP="005C782A">
            <w:pPr>
              <w:spacing w:before="240"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 Cumplimiento</w:t>
            </w:r>
          </w:p>
        </w:tc>
      </w:tr>
      <w:tr w:rsidR="007C4016" w:rsidRPr="00D52752" w:rsidTr="00483567">
        <w:trPr>
          <w:trHeight w:val="467"/>
          <w:jc w:val="center"/>
        </w:trPr>
        <w:tc>
          <w:tcPr>
            <w:tcW w:w="2750" w:type="pct"/>
          </w:tcPr>
          <w:p w:rsidR="007C4016" w:rsidRPr="00D52752" w:rsidRDefault="007C4016" w:rsidP="005C782A">
            <w:pPr>
              <w:spacing w:before="240" w:after="0" w:line="240" w:lineRule="auto"/>
              <w:jc w:val="left"/>
              <w:rPr>
                <w:rFonts w:ascii="ITC Avant Garde" w:hAnsi="ITC Avant Garde"/>
                <w:sz w:val="20"/>
                <w:szCs w:val="20"/>
              </w:rPr>
            </w:pPr>
            <w:r w:rsidRPr="00D52752">
              <w:rPr>
                <w:rFonts w:ascii="ITC Avant Garde" w:hAnsi="ITC Avant Garde"/>
                <w:sz w:val="20"/>
                <w:szCs w:val="20"/>
              </w:rPr>
              <w:t>Acceso por Emergencia</w:t>
            </w:r>
          </w:p>
        </w:tc>
        <w:tc>
          <w:tcPr>
            <w:tcW w:w="1059"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 xml:space="preserve">Inmediato </w:t>
            </w:r>
          </w:p>
        </w:tc>
        <w:tc>
          <w:tcPr>
            <w:tcW w:w="1191"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r w:rsidR="007C4016" w:rsidRPr="00D52752" w:rsidTr="00483567">
        <w:trPr>
          <w:jc w:val="center"/>
        </w:trPr>
        <w:tc>
          <w:tcPr>
            <w:tcW w:w="2750" w:type="pct"/>
          </w:tcPr>
          <w:p w:rsidR="007C4016" w:rsidRPr="00D52752" w:rsidRDefault="007C4016" w:rsidP="005C782A">
            <w:pPr>
              <w:spacing w:before="240" w:after="0" w:line="240" w:lineRule="auto"/>
              <w:jc w:val="left"/>
              <w:rPr>
                <w:rFonts w:ascii="ITC Avant Garde" w:hAnsi="ITC Avant Garde"/>
                <w:sz w:val="20"/>
                <w:szCs w:val="20"/>
                <w:lang w:val="es-ES"/>
              </w:rPr>
            </w:pPr>
            <w:r w:rsidRPr="00D52752">
              <w:rPr>
                <w:rFonts w:ascii="ITC Avant Garde" w:hAnsi="ITC Avant Garde"/>
                <w:sz w:val="20"/>
                <w:szCs w:val="20"/>
                <w:lang w:val="es-ES"/>
              </w:rPr>
              <w:t>Acceso para Mantenimiento Correctivo (Falla )</w:t>
            </w:r>
          </w:p>
        </w:tc>
        <w:tc>
          <w:tcPr>
            <w:tcW w:w="1059"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 xml:space="preserve">3 Horas </w:t>
            </w:r>
          </w:p>
        </w:tc>
        <w:tc>
          <w:tcPr>
            <w:tcW w:w="1191"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r w:rsidR="007C4016" w:rsidRPr="00D52752" w:rsidTr="00483567">
        <w:trPr>
          <w:jc w:val="center"/>
        </w:trPr>
        <w:tc>
          <w:tcPr>
            <w:tcW w:w="2750" w:type="pct"/>
          </w:tcPr>
          <w:p w:rsidR="007C4016" w:rsidRPr="00D52752" w:rsidRDefault="007C4016" w:rsidP="005C782A">
            <w:pPr>
              <w:spacing w:before="240" w:after="0" w:line="240" w:lineRule="auto"/>
              <w:jc w:val="left"/>
              <w:rPr>
                <w:rFonts w:ascii="ITC Avant Garde" w:hAnsi="ITC Avant Garde"/>
                <w:sz w:val="20"/>
                <w:szCs w:val="20"/>
                <w:lang w:val="es-ES"/>
              </w:rPr>
            </w:pPr>
            <w:r w:rsidRPr="00D52752">
              <w:rPr>
                <w:rFonts w:ascii="ITC Avant Garde" w:hAnsi="ITC Avant Garde"/>
                <w:sz w:val="20"/>
                <w:szCs w:val="20"/>
                <w:lang w:val="es-ES"/>
              </w:rPr>
              <w:t xml:space="preserve">Acceso para Mantenimiento Preventivo </w:t>
            </w:r>
          </w:p>
        </w:tc>
        <w:tc>
          <w:tcPr>
            <w:tcW w:w="1059"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3 DH</w:t>
            </w:r>
          </w:p>
        </w:tc>
        <w:tc>
          <w:tcPr>
            <w:tcW w:w="1191" w:type="pct"/>
          </w:tcPr>
          <w:p w:rsidR="007C4016" w:rsidRPr="00D52752" w:rsidRDefault="007C4016" w:rsidP="005C782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bl>
    <w:p w:rsidR="007C4016" w:rsidRDefault="007C4016" w:rsidP="007C4016">
      <w:pPr>
        <w:spacing w:before="240" w:after="0"/>
      </w:pPr>
    </w:p>
    <w:p w:rsidR="007C4016" w:rsidRPr="00D52752" w:rsidRDefault="007C4016" w:rsidP="007C4016">
      <w:pPr>
        <w:pStyle w:val="CondicionesFinales"/>
        <w:numPr>
          <w:ilvl w:val="0"/>
          <w:numId w:val="180"/>
        </w:numPr>
        <w:spacing w:before="240" w:after="0"/>
        <w:rPr>
          <w:b/>
        </w:rPr>
      </w:pPr>
      <w:r w:rsidRPr="00D52752">
        <w:rPr>
          <w:b/>
        </w:rPr>
        <w:t>Penas Convencionales</w:t>
      </w:r>
    </w:p>
    <w:p w:rsidR="007C4016" w:rsidRDefault="007C4016" w:rsidP="007C4016">
      <w:pPr>
        <w:pStyle w:val="CondicionesFinales"/>
        <w:spacing w:before="240" w:after="0"/>
      </w:pPr>
      <w:r>
        <w:t xml:space="preserve">En caso de que Telnor no alcance el indicador de calidad correspondiente a cualquier parámetro de algún Servicio objeto de </w:t>
      </w:r>
      <w:r>
        <w:lastRenderedPageBreak/>
        <w:t>la Oferta de Referencia, los CS tendrán el derecho a requerir y obtener de Telnor el pago de la compensación que corresponda conforme a lo siguiente:</w:t>
      </w:r>
    </w:p>
    <w:p w:rsidR="007C4016" w:rsidRPr="00D52752" w:rsidRDefault="007C4016" w:rsidP="007C4016">
      <w:pPr>
        <w:pStyle w:val="CondicionesFinales"/>
        <w:spacing w:before="240" w:after="0"/>
        <w:rPr>
          <w:b/>
        </w:rPr>
      </w:pPr>
      <w:r w:rsidRPr="00D52752">
        <w:rPr>
          <w:b/>
        </w:rPr>
        <w:t>5.1</w:t>
      </w:r>
      <w:r>
        <w:rPr>
          <w:b/>
        </w:rPr>
        <w:t xml:space="preserve"> </w:t>
      </w:r>
      <w:r w:rsidRPr="00D52752">
        <w:rPr>
          <w:b/>
        </w:rPr>
        <w:tab/>
        <w:t>Bloques</w:t>
      </w:r>
    </w:p>
    <w:p w:rsidR="007C4016" w:rsidRDefault="007C4016" w:rsidP="007C4016">
      <w:pPr>
        <w:pStyle w:val="CondicionesFinales"/>
        <w:spacing w:before="240" w:after="0"/>
      </w:pPr>
      <w:r>
        <w:t>Para cada uno de los Servicios han sido definidos los parámetros e indicadores de calidad. Dichos parámetros serán validados por bloques de 100 (cien) eventos consecutivos, considerando el orden en el que fueron presentadas sus respectivas solicitudes, comenzando por la primera solicitud presentada, en el entendido de que alcanzados tales 100 (cien) eventos consecutivos respecto del mismo parámetro, iniciará la contabilización de un nuevo bloque.</w:t>
      </w:r>
    </w:p>
    <w:p w:rsidR="007C4016" w:rsidRDefault="007C4016" w:rsidP="007C4016">
      <w:pPr>
        <w:pStyle w:val="CondicionesFinales"/>
        <w:spacing w:before="240" w:after="0"/>
      </w:pPr>
      <w:r>
        <w:t>Únicamente en el caso que si cumplido un trimestre de recibida la primera solicitud del Servicio de que se trate correspondiente a un bloque, la cantidad de eventos correspondientes al parámetro de calidad en validación no llegara a 100 (cien), la medición de calidad se realizará con el número de eventos efectivamente alcanzados.</w:t>
      </w:r>
    </w:p>
    <w:p w:rsidR="007C4016" w:rsidRDefault="007C4016" w:rsidP="007C4016">
      <w:pPr>
        <w:pStyle w:val="CondicionesFinales"/>
        <w:spacing w:before="240" w:after="0"/>
      </w:pPr>
      <w:r w:rsidRPr="005075DC">
        <w:t>No contabilizará para cálculo del cumplimiento de los parámetros e indicadores de calidad los hechos, situaciones y/o eventos señalados como limitantes</w:t>
      </w:r>
      <w:r>
        <w:t xml:space="preserve"> de la responsabilidad de Telnor</w:t>
      </w:r>
      <w:r w:rsidRPr="005075DC">
        <w:t>, incluyendo eventos de fuerza mayor o caso fortuito, tales como explosiones, sismos, inundaciones, tormentas, huracanes, incendios y demás fenómenos naturales, ni de aquellos que sean provocados o realizados por terceras personas ajenas a la prestación de los S</w:t>
      </w:r>
      <w:r>
        <w:t>ervicios, aún y cuando se hubies</w:t>
      </w:r>
      <w:r w:rsidRPr="005075DC">
        <w:t>en podido prever, tales como actos del propietario del inmueble donde se encuentra el Sitio o Proyecto de Nueva Obra Civil, actos de autoridades de cualquier clase, actos de agrupaciones, invasión, despojo, robo, huelgas, revueltas civiles, sabotaje o terrorismo, insuficiencia de condiciones de seguridad pública que garanticen la integridad del personal u otras situaciones similares.</w:t>
      </w:r>
    </w:p>
    <w:p w:rsidR="007C4016" w:rsidRPr="00D52752" w:rsidRDefault="007C4016" w:rsidP="007C4016">
      <w:pPr>
        <w:pStyle w:val="CondicionesFinales"/>
        <w:spacing w:before="240" w:after="0"/>
        <w:rPr>
          <w:b/>
        </w:rPr>
      </w:pPr>
      <w:r w:rsidRPr="00D52752">
        <w:rPr>
          <w:b/>
        </w:rPr>
        <w:t>5.2.</w:t>
      </w:r>
      <w:r w:rsidRPr="00D52752">
        <w:rPr>
          <w:b/>
        </w:rPr>
        <w:tab/>
        <w:t>Bases de Cálculo</w:t>
      </w:r>
    </w:p>
    <w:p w:rsidR="007C4016" w:rsidRDefault="007C4016" w:rsidP="007C4016">
      <w:pPr>
        <w:pStyle w:val="CondicionesFinales"/>
        <w:spacing w:before="240" w:after="0"/>
      </w:pPr>
      <w:r w:rsidRPr="006D02AB">
        <w:lastRenderedPageBreak/>
        <w:t xml:space="preserve">La compensación será calculada respecto de los eventos en que, de acuerdo con el orden con el que fueron </w:t>
      </w:r>
      <w:r>
        <w:t>presentadas las solicitudes de s</w:t>
      </w:r>
      <w:r w:rsidRPr="006D02AB">
        <w:t>ervicio respectivas, se encuentren fuera del indicador de calidad correspondiente.</w:t>
      </w:r>
    </w:p>
    <w:p w:rsidR="007C4016" w:rsidRDefault="007C4016" w:rsidP="007C4016">
      <w:pPr>
        <w:pStyle w:val="CondicionesFinales"/>
        <w:spacing w:before="240" w:after="0"/>
      </w:pPr>
      <w:r>
        <w:t>Si en el bloque Telnor alcanza el 90% del cumplimiento de los plazos establecidos, entonces el 10 % restante podrá alcanzarse en un extra de tiempo no mayor al 50% del plazo original sin que esto genere una pena; por lo tanto, s</w:t>
      </w:r>
      <w:r w:rsidRPr="00F94921">
        <w:t>ólo generarán pena los eventos que superen el 150% del plazo original.</w:t>
      </w:r>
    </w:p>
    <w:p w:rsidR="007C4016" w:rsidRDefault="007C4016" w:rsidP="007C4016">
      <w:pPr>
        <w:pStyle w:val="CondicionesFinales"/>
        <w:spacing w:before="240" w:after="0"/>
      </w:pPr>
      <w:r>
        <w:t>Para el cumplimiento, en los casos en que un cálculo arroje números decimales se tomará como válido el número entero inmediato superior.</w:t>
      </w:r>
    </w:p>
    <w:p w:rsidR="007C4016" w:rsidRDefault="007C4016" w:rsidP="007C4016">
      <w:pPr>
        <w:pStyle w:val="CondicionesFinales"/>
        <w:spacing w:before="240" w:after="0"/>
      </w:pPr>
      <w:r>
        <w:t>Queda entendido entre las Partes que todas las compensaciones son por el cumplimiento tardío en las obligaciones a cargo de Telnor respecto de los plazos comprometidos para la realización de un Servicio en específico bajo los términos de la Oferta de Referencia.</w:t>
      </w:r>
    </w:p>
    <w:p w:rsidR="007C4016" w:rsidRDefault="007C4016" w:rsidP="007C4016">
      <w:pPr>
        <w:pStyle w:val="CondicionesFinales"/>
        <w:spacing w:before="240" w:after="0"/>
      </w:pPr>
      <w:r>
        <w:t>Ejemplo: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a"/>
        <w:tblDescription w:val="Entrega de Análisis de Factibilidad"/>
      </w:tblPr>
      <w:tblGrid>
        <w:gridCol w:w="1271"/>
        <w:gridCol w:w="1843"/>
        <w:gridCol w:w="1843"/>
        <w:gridCol w:w="992"/>
      </w:tblGrid>
      <w:tr w:rsidR="007C4016" w:rsidRPr="009B6281" w:rsidTr="005C782A">
        <w:trPr>
          <w:trHeight w:val="471"/>
          <w:tblHeader/>
          <w:jc w:val="center"/>
        </w:trPr>
        <w:tc>
          <w:tcPr>
            <w:tcW w:w="1271" w:type="dxa"/>
            <w:shd w:val="clear" w:color="auto" w:fill="548DD4"/>
            <w:vAlign w:val="center"/>
          </w:tcPr>
          <w:p w:rsidR="007C4016" w:rsidRPr="009B6281" w:rsidRDefault="007C4016" w:rsidP="005C782A">
            <w:pPr>
              <w:spacing w:before="240" w:after="0" w:line="240" w:lineRule="auto"/>
              <w:jc w:val="left"/>
              <w:rPr>
                <w:rFonts w:ascii="ITC Avant Garde" w:hAnsi="ITC Avant Garde"/>
                <w:b/>
                <w:color w:val="FFFFFF"/>
                <w:sz w:val="20"/>
                <w:szCs w:val="20"/>
              </w:rPr>
            </w:pPr>
            <w:r w:rsidRPr="009B6281">
              <w:rPr>
                <w:rFonts w:ascii="ITC Avant Garde" w:hAnsi="ITC Avant Garde"/>
                <w:b/>
                <w:color w:val="FFFFFF"/>
                <w:sz w:val="20"/>
                <w:szCs w:val="20"/>
              </w:rPr>
              <w:t>Actividad:</w:t>
            </w:r>
          </w:p>
        </w:tc>
        <w:tc>
          <w:tcPr>
            <w:tcW w:w="1843" w:type="dxa"/>
            <w:vAlign w:val="center"/>
          </w:tcPr>
          <w:p w:rsidR="007C4016" w:rsidRPr="009B6281" w:rsidRDefault="007C4016" w:rsidP="005C782A">
            <w:pPr>
              <w:spacing w:before="240" w:after="0" w:line="240" w:lineRule="auto"/>
              <w:jc w:val="left"/>
              <w:rPr>
                <w:rFonts w:ascii="ITC Avant Garde" w:hAnsi="ITC Avant Garde"/>
                <w:sz w:val="20"/>
                <w:szCs w:val="20"/>
              </w:rPr>
            </w:pPr>
            <w:r w:rsidRPr="009B6281">
              <w:rPr>
                <w:rFonts w:ascii="ITC Avant Garde" w:hAnsi="ITC Avant Garde"/>
                <w:sz w:val="20"/>
                <w:szCs w:val="20"/>
              </w:rPr>
              <w:t>Entrega de Análisis de Factibilidad</w:t>
            </w:r>
          </w:p>
        </w:tc>
        <w:tc>
          <w:tcPr>
            <w:tcW w:w="1843" w:type="dxa"/>
            <w:shd w:val="clear" w:color="auto" w:fill="548DD4"/>
            <w:vAlign w:val="center"/>
          </w:tcPr>
          <w:p w:rsidR="007C4016" w:rsidRPr="009B6281" w:rsidRDefault="007C4016" w:rsidP="005C782A">
            <w:pPr>
              <w:spacing w:before="240" w:after="0" w:line="240" w:lineRule="auto"/>
              <w:jc w:val="left"/>
              <w:rPr>
                <w:rFonts w:ascii="ITC Avant Garde" w:hAnsi="ITC Avant Garde"/>
                <w:b/>
                <w:color w:val="FFFFFF"/>
                <w:sz w:val="20"/>
                <w:szCs w:val="20"/>
              </w:rPr>
            </w:pPr>
            <w:r w:rsidRPr="009B6281">
              <w:rPr>
                <w:rFonts w:ascii="ITC Avant Garde" w:hAnsi="ITC Avant Garde"/>
                <w:b/>
                <w:color w:val="FFFFFF"/>
                <w:sz w:val="20"/>
                <w:szCs w:val="20"/>
              </w:rPr>
              <w:t>Indicador:</w:t>
            </w:r>
          </w:p>
        </w:tc>
        <w:tc>
          <w:tcPr>
            <w:tcW w:w="992" w:type="dxa"/>
            <w:vAlign w:val="center"/>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90%</w:t>
            </w:r>
          </w:p>
        </w:tc>
      </w:tr>
      <w:tr w:rsidR="007C4016" w:rsidRPr="009B6281" w:rsidTr="005C782A">
        <w:trPr>
          <w:jc w:val="center"/>
        </w:trPr>
        <w:tc>
          <w:tcPr>
            <w:tcW w:w="1271" w:type="dxa"/>
            <w:tcBorders>
              <w:top w:val="nil"/>
              <w:left w:val="nil"/>
              <w:bottom w:val="nil"/>
              <w:right w:val="nil"/>
            </w:tcBorders>
          </w:tcPr>
          <w:p w:rsidR="007C4016" w:rsidRPr="009B6281" w:rsidRDefault="007C4016" w:rsidP="005C782A">
            <w:pPr>
              <w:spacing w:before="240" w:after="0" w:line="240" w:lineRule="auto"/>
              <w:rPr>
                <w:rFonts w:ascii="ITC Avant Garde" w:hAnsi="ITC Avant Garde"/>
                <w:sz w:val="20"/>
                <w:szCs w:val="20"/>
              </w:rPr>
            </w:pPr>
          </w:p>
        </w:tc>
        <w:tc>
          <w:tcPr>
            <w:tcW w:w="1843" w:type="dxa"/>
            <w:tcBorders>
              <w:top w:val="nil"/>
              <w:left w:val="nil"/>
              <w:bottom w:val="nil"/>
              <w:right w:val="nil"/>
            </w:tcBorders>
          </w:tcPr>
          <w:p w:rsidR="007C4016" w:rsidRPr="009B6281" w:rsidRDefault="007C4016" w:rsidP="005C782A">
            <w:pPr>
              <w:spacing w:before="240" w:after="0" w:line="240" w:lineRule="auto"/>
              <w:rPr>
                <w:rFonts w:ascii="ITC Avant Garde" w:hAnsi="ITC Avant Garde"/>
                <w:sz w:val="20"/>
                <w:szCs w:val="20"/>
              </w:rPr>
            </w:pPr>
          </w:p>
        </w:tc>
        <w:tc>
          <w:tcPr>
            <w:tcW w:w="1843" w:type="dxa"/>
            <w:tcBorders>
              <w:top w:val="nil"/>
              <w:left w:val="nil"/>
              <w:bottom w:val="nil"/>
              <w:right w:val="nil"/>
            </w:tcBorders>
          </w:tcPr>
          <w:p w:rsidR="007C4016" w:rsidRPr="009B6281" w:rsidRDefault="007C4016" w:rsidP="005C782A">
            <w:pPr>
              <w:spacing w:before="240" w:after="0" w:line="240" w:lineRule="auto"/>
              <w:rPr>
                <w:rFonts w:ascii="ITC Avant Garde" w:hAnsi="ITC Avant Garde"/>
                <w:sz w:val="20"/>
                <w:szCs w:val="20"/>
              </w:rPr>
            </w:pPr>
          </w:p>
        </w:tc>
        <w:tc>
          <w:tcPr>
            <w:tcW w:w="992" w:type="dxa"/>
            <w:tcBorders>
              <w:top w:val="nil"/>
              <w:left w:val="nil"/>
              <w:bottom w:val="nil"/>
              <w:right w:val="nil"/>
            </w:tcBorders>
          </w:tcPr>
          <w:p w:rsidR="007C4016" w:rsidRPr="009B6281" w:rsidRDefault="007C4016" w:rsidP="005C782A">
            <w:pPr>
              <w:spacing w:before="240" w:after="0" w:line="240" w:lineRule="auto"/>
              <w:rPr>
                <w:rFonts w:ascii="ITC Avant Garde" w:hAnsi="ITC Avant Garde"/>
                <w:sz w:val="20"/>
                <w:szCs w:val="20"/>
              </w:rPr>
            </w:pPr>
          </w:p>
        </w:tc>
      </w:tr>
      <w:tr w:rsidR="007C4016" w:rsidRPr="009B6281" w:rsidTr="005C782A">
        <w:trPr>
          <w:jc w:val="center"/>
        </w:trPr>
        <w:tc>
          <w:tcPr>
            <w:tcW w:w="1271" w:type="dxa"/>
            <w:tcBorders>
              <w:top w:val="nil"/>
              <w:left w:val="nil"/>
              <w:right w:val="nil"/>
            </w:tcBorders>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Bloque:</w:t>
            </w:r>
          </w:p>
        </w:tc>
        <w:tc>
          <w:tcPr>
            <w:tcW w:w="1843" w:type="dxa"/>
            <w:tcBorders>
              <w:top w:val="nil"/>
              <w:left w:val="nil"/>
              <w:right w:val="nil"/>
            </w:tcBorders>
          </w:tcPr>
          <w:p w:rsidR="007C4016" w:rsidRPr="009B6281" w:rsidRDefault="007C4016" w:rsidP="005C782A">
            <w:pPr>
              <w:spacing w:before="240" w:after="0" w:line="240" w:lineRule="auto"/>
              <w:rPr>
                <w:rFonts w:ascii="ITC Avant Garde" w:hAnsi="ITC Avant Garde"/>
                <w:sz w:val="20"/>
                <w:szCs w:val="20"/>
              </w:rPr>
            </w:pPr>
          </w:p>
        </w:tc>
        <w:tc>
          <w:tcPr>
            <w:tcW w:w="1843" w:type="dxa"/>
            <w:tcBorders>
              <w:top w:val="nil"/>
              <w:left w:val="nil"/>
              <w:right w:val="nil"/>
            </w:tcBorders>
          </w:tcPr>
          <w:p w:rsidR="007C4016" w:rsidRPr="009B6281" w:rsidRDefault="007C4016" w:rsidP="005C782A">
            <w:pPr>
              <w:spacing w:before="240" w:after="0" w:line="240" w:lineRule="auto"/>
              <w:rPr>
                <w:rFonts w:ascii="ITC Avant Garde" w:hAnsi="ITC Avant Garde"/>
                <w:sz w:val="20"/>
                <w:szCs w:val="20"/>
              </w:rPr>
            </w:pPr>
          </w:p>
        </w:tc>
        <w:tc>
          <w:tcPr>
            <w:tcW w:w="992" w:type="dxa"/>
            <w:tcBorders>
              <w:top w:val="nil"/>
              <w:left w:val="nil"/>
              <w:right w:val="nil"/>
            </w:tcBorders>
          </w:tcPr>
          <w:p w:rsidR="007C4016" w:rsidRPr="009B6281" w:rsidRDefault="007C4016" w:rsidP="005C782A">
            <w:pPr>
              <w:spacing w:before="240" w:after="0" w:line="240" w:lineRule="auto"/>
              <w:rPr>
                <w:rFonts w:ascii="ITC Avant Garde" w:hAnsi="ITC Avant Garde"/>
                <w:sz w:val="20"/>
                <w:szCs w:val="20"/>
              </w:rPr>
            </w:pPr>
          </w:p>
        </w:tc>
      </w:tr>
      <w:tr w:rsidR="007C4016" w:rsidRPr="009B6281" w:rsidTr="005C782A">
        <w:trPr>
          <w:jc w:val="center"/>
        </w:trPr>
        <w:tc>
          <w:tcPr>
            <w:tcW w:w="1271" w:type="dxa"/>
            <w:shd w:val="clear" w:color="auto" w:fill="548DD4"/>
          </w:tcPr>
          <w:p w:rsidR="007C4016" w:rsidRPr="009B6281" w:rsidRDefault="007C4016" w:rsidP="005C782A">
            <w:pPr>
              <w:spacing w:before="240" w:after="0" w:line="240" w:lineRule="auto"/>
              <w:rPr>
                <w:rFonts w:ascii="ITC Avant Garde" w:hAnsi="ITC Avant Garde"/>
                <w:b/>
                <w:color w:val="FFFFFF"/>
                <w:sz w:val="20"/>
                <w:szCs w:val="20"/>
              </w:rPr>
            </w:pPr>
            <w:r w:rsidRPr="009B6281">
              <w:rPr>
                <w:rFonts w:ascii="ITC Avant Garde" w:hAnsi="ITC Avant Garde"/>
                <w:b/>
                <w:color w:val="FFFFFF"/>
                <w:sz w:val="20"/>
                <w:szCs w:val="20"/>
              </w:rPr>
              <w:t>Mes</w:t>
            </w:r>
          </w:p>
        </w:tc>
        <w:tc>
          <w:tcPr>
            <w:tcW w:w="1843" w:type="dxa"/>
            <w:shd w:val="clear" w:color="auto" w:fill="548DD4"/>
          </w:tcPr>
          <w:p w:rsidR="007C4016" w:rsidRPr="009B6281" w:rsidRDefault="007C4016" w:rsidP="005C782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A tiempo:</w:t>
            </w:r>
          </w:p>
        </w:tc>
        <w:tc>
          <w:tcPr>
            <w:tcW w:w="1843" w:type="dxa"/>
            <w:shd w:val="clear" w:color="auto" w:fill="548DD4"/>
          </w:tcPr>
          <w:p w:rsidR="007C4016" w:rsidRPr="009B6281" w:rsidRDefault="007C4016" w:rsidP="005C782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Tardío</w:t>
            </w:r>
          </w:p>
        </w:tc>
        <w:tc>
          <w:tcPr>
            <w:tcW w:w="992" w:type="dxa"/>
            <w:shd w:val="clear" w:color="auto" w:fill="548DD4"/>
          </w:tcPr>
          <w:p w:rsidR="007C4016" w:rsidRPr="009B6281" w:rsidRDefault="007C4016" w:rsidP="005C782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Total</w:t>
            </w:r>
          </w:p>
        </w:tc>
      </w:tr>
      <w:tr w:rsidR="007C4016" w:rsidRPr="009B6281" w:rsidTr="005C782A">
        <w:trPr>
          <w:jc w:val="center"/>
        </w:trPr>
        <w:tc>
          <w:tcPr>
            <w:tcW w:w="1271" w:type="dxa"/>
            <w:tcBorders>
              <w:left w:val="single" w:sz="4" w:space="0" w:color="BFBFBF"/>
              <w:bottom w:val="single" w:sz="4" w:space="0" w:color="BFBFBF"/>
              <w:right w:val="single" w:sz="4" w:space="0" w:color="BFBFBF"/>
            </w:tcBorders>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Enero</w:t>
            </w:r>
          </w:p>
        </w:tc>
        <w:tc>
          <w:tcPr>
            <w:tcW w:w="1843" w:type="dxa"/>
            <w:tcBorders>
              <w:left w:val="single" w:sz="4" w:space="0" w:color="BFBFBF"/>
              <w:bottom w:val="single" w:sz="4" w:space="0" w:color="BFBFBF"/>
              <w:right w:val="single" w:sz="4" w:space="0" w:color="BFBFBF"/>
            </w:tcBorders>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22</w:t>
            </w:r>
          </w:p>
        </w:tc>
        <w:tc>
          <w:tcPr>
            <w:tcW w:w="1843" w:type="dxa"/>
            <w:tcBorders>
              <w:left w:val="single" w:sz="4" w:space="0" w:color="BFBFBF"/>
              <w:bottom w:val="single" w:sz="4" w:space="0" w:color="BFBFBF"/>
              <w:right w:val="single" w:sz="4" w:space="0" w:color="BFBFBF"/>
            </w:tcBorders>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8</w:t>
            </w:r>
          </w:p>
        </w:tc>
        <w:tc>
          <w:tcPr>
            <w:tcW w:w="992" w:type="dxa"/>
            <w:tcBorders>
              <w:left w:val="single" w:sz="4" w:space="0" w:color="BFBFBF"/>
              <w:bottom w:val="single" w:sz="4" w:space="0" w:color="BFBFBF"/>
              <w:right w:val="single" w:sz="4" w:space="0" w:color="BFBFBF"/>
            </w:tcBorders>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30</w:t>
            </w:r>
          </w:p>
        </w:tc>
      </w:tr>
      <w:tr w:rsidR="007C4016" w:rsidRPr="009B6281" w:rsidTr="005C782A">
        <w:trPr>
          <w:jc w:val="center"/>
        </w:trPr>
        <w:tc>
          <w:tcPr>
            <w:tcW w:w="1271" w:type="dxa"/>
            <w:tcBorders>
              <w:top w:val="single" w:sz="4" w:space="0" w:color="BFBFBF"/>
              <w:left w:val="single" w:sz="4" w:space="0" w:color="BFBFBF"/>
              <w:bottom w:val="single" w:sz="4" w:space="0" w:color="BFBFBF"/>
              <w:right w:val="single" w:sz="4" w:space="0" w:color="BFBFBF"/>
            </w:tcBorders>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Febrero</w:t>
            </w:r>
          </w:p>
        </w:tc>
        <w:tc>
          <w:tcPr>
            <w:tcW w:w="1843" w:type="dxa"/>
            <w:tcBorders>
              <w:top w:val="single" w:sz="4" w:space="0" w:color="BFBFBF"/>
              <w:left w:val="single" w:sz="4" w:space="0" w:color="BFBFBF"/>
              <w:bottom w:val="single" w:sz="4" w:space="0" w:color="BFBFBF"/>
              <w:right w:val="single" w:sz="4" w:space="0" w:color="BFBFBF"/>
            </w:tcBorders>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18</w:t>
            </w:r>
          </w:p>
        </w:tc>
        <w:tc>
          <w:tcPr>
            <w:tcW w:w="1843" w:type="dxa"/>
            <w:tcBorders>
              <w:top w:val="single" w:sz="4" w:space="0" w:color="BFBFBF"/>
              <w:left w:val="single" w:sz="4" w:space="0" w:color="BFBFBF"/>
              <w:bottom w:val="single" w:sz="4" w:space="0" w:color="BFBFBF"/>
              <w:right w:val="single" w:sz="4" w:space="0" w:color="BFBFBF"/>
            </w:tcBorders>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2</w:t>
            </w:r>
          </w:p>
        </w:tc>
        <w:tc>
          <w:tcPr>
            <w:tcW w:w="992" w:type="dxa"/>
            <w:tcBorders>
              <w:top w:val="single" w:sz="4" w:space="0" w:color="BFBFBF"/>
              <w:left w:val="single" w:sz="4" w:space="0" w:color="BFBFBF"/>
              <w:bottom w:val="single" w:sz="4" w:space="0" w:color="BFBFBF"/>
              <w:right w:val="single" w:sz="4" w:space="0" w:color="BFBFBF"/>
            </w:tcBorders>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20</w:t>
            </w:r>
          </w:p>
        </w:tc>
      </w:tr>
      <w:tr w:rsidR="007C4016" w:rsidRPr="009B6281" w:rsidTr="005C782A">
        <w:trPr>
          <w:jc w:val="center"/>
        </w:trPr>
        <w:tc>
          <w:tcPr>
            <w:tcW w:w="1271" w:type="dxa"/>
            <w:tcBorders>
              <w:top w:val="single" w:sz="4" w:space="0" w:color="BFBFBF"/>
              <w:left w:val="single" w:sz="4" w:space="0" w:color="BFBFBF"/>
              <w:bottom w:val="single" w:sz="4" w:space="0" w:color="BFBFBF"/>
              <w:right w:val="single" w:sz="4" w:space="0" w:color="BFBFBF"/>
            </w:tcBorders>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Marzo</w:t>
            </w:r>
          </w:p>
        </w:tc>
        <w:tc>
          <w:tcPr>
            <w:tcW w:w="1843" w:type="dxa"/>
            <w:tcBorders>
              <w:top w:val="single" w:sz="4" w:space="0" w:color="BFBFBF"/>
              <w:left w:val="single" w:sz="4" w:space="0" w:color="BFBFBF"/>
              <w:bottom w:val="single" w:sz="4" w:space="0" w:color="BFBFBF"/>
              <w:right w:val="single" w:sz="4" w:space="0" w:color="BFBFBF"/>
            </w:tcBorders>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15</w:t>
            </w:r>
          </w:p>
        </w:tc>
        <w:tc>
          <w:tcPr>
            <w:tcW w:w="1843" w:type="dxa"/>
            <w:tcBorders>
              <w:top w:val="single" w:sz="4" w:space="0" w:color="BFBFBF"/>
              <w:left w:val="single" w:sz="4" w:space="0" w:color="BFBFBF"/>
              <w:bottom w:val="single" w:sz="4" w:space="0" w:color="BFBFBF"/>
              <w:right w:val="single" w:sz="4" w:space="0" w:color="BFBFBF"/>
            </w:tcBorders>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5</w:t>
            </w:r>
          </w:p>
        </w:tc>
        <w:tc>
          <w:tcPr>
            <w:tcW w:w="992" w:type="dxa"/>
            <w:tcBorders>
              <w:top w:val="single" w:sz="4" w:space="0" w:color="BFBFBF"/>
              <w:left w:val="single" w:sz="4" w:space="0" w:color="BFBFBF"/>
              <w:bottom w:val="single" w:sz="4" w:space="0" w:color="BFBFBF"/>
              <w:right w:val="single" w:sz="4" w:space="0" w:color="BFBFBF"/>
            </w:tcBorders>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20</w:t>
            </w:r>
          </w:p>
        </w:tc>
      </w:tr>
      <w:tr w:rsidR="007C4016" w:rsidRPr="009B6281" w:rsidTr="005C782A">
        <w:trPr>
          <w:jc w:val="center"/>
        </w:trPr>
        <w:tc>
          <w:tcPr>
            <w:tcW w:w="1271" w:type="dxa"/>
            <w:tcBorders>
              <w:top w:val="single" w:sz="4" w:space="0" w:color="BFBFBF"/>
              <w:left w:val="single" w:sz="4" w:space="0" w:color="BFBFBF"/>
              <w:right w:val="single" w:sz="4" w:space="0" w:color="BFBFBF"/>
            </w:tcBorders>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Abril</w:t>
            </w:r>
          </w:p>
        </w:tc>
        <w:tc>
          <w:tcPr>
            <w:tcW w:w="1843" w:type="dxa"/>
            <w:tcBorders>
              <w:top w:val="single" w:sz="4" w:space="0" w:color="BFBFBF"/>
              <w:left w:val="single" w:sz="4" w:space="0" w:color="BFBFBF"/>
              <w:right w:val="single" w:sz="4" w:space="0" w:color="BFBFBF"/>
            </w:tcBorders>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15</w:t>
            </w:r>
          </w:p>
        </w:tc>
        <w:tc>
          <w:tcPr>
            <w:tcW w:w="1843" w:type="dxa"/>
            <w:tcBorders>
              <w:top w:val="single" w:sz="4" w:space="0" w:color="BFBFBF"/>
              <w:left w:val="single" w:sz="4" w:space="0" w:color="BFBFBF"/>
              <w:right w:val="single" w:sz="4" w:space="0" w:color="BFBFBF"/>
            </w:tcBorders>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15</w:t>
            </w:r>
          </w:p>
        </w:tc>
        <w:tc>
          <w:tcPr>
            <w:tcW w:w="992" w:type="dxa"/>
            <w:tcBorders>
              <w:top w:val="single" w:sz="4" w:space="0" w:color="BFBFBF"/>
              <w:left w:val="single" w:sz="4" w:space="0" w:color="BFBFBF"/>
              <w:right w:val="single" w:sz="4" w:space="0" w:color="BFBFBF"/>
            </w:tcBorders>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30</w:t>
            </w:r>
          </w:p>
        </w:tc>
      </w:tr>
      <w:tr w:rsidR="007C4016" w:rsidRPr="009B6281" w:rsidTr="005C782A">
        <w:trPr>
          <w:jc w:val="center"/>
        </w:trPr>
        <w:tc>
          <w:tcPr>
            <w:tcW w:w="1271" w:type="dxa"/>
            <w:tcBorders>
              <w:left w:val="nil"/>
              <w:bottom w:val="nil"/>
              <w:right w:val="nil"/>
            </w:tcBorders>
          </w:tcPr>
          <w:p w:rsidR="007C4016" w:rsidRPr="009B6281" w:rsidRDefault="007C4016" w:rsidP="005C782A">
            <w:pPr>
              <w:spacing w:before="240" w:after="0" w:line="240" w:lineRule="auto"/>
              <w:jc w:val="right"/>
              <w:rPr>
                <w:rFonts w:ascii="ITC Avant Garde" w:hAnsi="ITC Avant Garde"/>
                <w:b/>
                <w:sz w:val="20"/>
                <w:szCs w:val="20"/>
              </w:rPr>
            </w:pPr>
            <w:r w:rsidRPr="009B6281">
              <w:rPr>
                <w:rFonts w:ascii="ITC Avant Garde" w:hAnsi="ITC Avant Garde"/>
                <w:b/>
                <w:sz w:val="20"/>
                <w:szCs w:val="20"/>
              </w:rPr>
              <w:t>Total</w:t>
            </w:r>
          </w:p>
        </w:tc>
        <w:tc>
          <w:tcPr>
            <w:tcW w:w="1843" w:type="dxa"/>
            <w:tcBorders>
              <w:left w:val="nil"/>
              <w:bottom w:val="nil"/>
              <w:right w:val="nil"/>
            </w:tcBorders>
            <w:shd w:val="clear" w:color="auto" w:fill="FFFF00"/>
          </w:tcPr>
          <w:p w:rsidR="007C4016" w:rsidRPr="009B6281" w:rsidRDefault="007C4016" w:rsidP="005C782A">
            <w:pPr>
              <w:spacing w:before="240" w:after="0" w:line="240" w:lineRule="auto"/>
              <w:jc w:val="center"/>
              <w:rPr>
                <w:rFonts w:ascii="ITC Avant Garde" w:hAnsi="ITC Avant Garde"/>
                <w:b/>
                <w:sz w:val="20"/>
                <w:szCs w:val="20"/>
              </w:rPr>
            </w:pPr>
            <w:r w:rsidRPr="009B6281">
              <w:rPr>
                <w:rFonts w:ascii="ITC Avant Garde" w:hAnsi="ITC Avant Garde"/>
                <w:b/>
                <w:sz w:val="20"/>
                <w:szCs w:val="20"/>
              </w:rPr>
              <w:t>70</w:t>
            </w:r>
          </w:p>
        </w:tc>
        <w:tc>
          <w:tcPr>
            <w:tcW w:w="1843" w:type="dxa"/>
            <w:tcBorders>
              <w:left w:val="nil"/>
              <w:bottom w:val="nil"/>
              <w:right w:val="nil"/>
            </w:tcBorders>
            <w:shd w:val="clear" w:color="auto" w:fill="FFFF00"/>
          </w:tcPr>
          <w:p w:rsidR="007C4016" w:rsidRPr="009B6281" w:rsidRDefault="007C4016" w:rsidP="005C782A">
            <w:pPr>
              <w:spacing w:before="240" w:after="0" w:line="240" w:lineRule="auto"/>
              <w:jc w:val="center"/>
              <w:rPr>
                <w:rFonts w:ascii="ITC Avant Garde" w:hAnsi="ITC Avant Garde"/>
                <w:b/>
                <w:sz w:val="20"/>
                <w:szCs w:val="20"/>
              </w:rPr>
            </w:pPr>
            <w:r w:rsidRPr="009B6281">
              <w:rPr>
                <w:rFonts w:ascii="ITC Avant Garde" w:hAnsi="ITC Avant Garde"/>
                <w:b/>
                <w:sz w:val="20"/>
                <w:szCs w:val="20"/>
              </w:rPr>
              <w:t>30</w:t>
            </w:r>
          </w:p>
        </w:tc>
        <w:tc>
          <w:tcPr>
            <w:tcW w:w="992" w:type="dxa"/>
            <w:tcBorders>
              <w:left w:val="nil"/>
              <w:bottom w:val="nil"/>
              <w:right w:val="nil"/>
            </w:tcBorders>
            <w:shd w:val="clear" w:color="auto" w:fill="FFFF00"/>
          </w:tcPr>
          <w:p w:rsidR="007C4016" w:rsidRPr="009B6281" w:rsidRDefault="007C4016" w:rsidP="005C782A">
            <w:pPr>
              <w:spacing w:before="240" w:after="0" w:line="240" w:lineRule="auto"/>
              <w:jc w:val="center"/>
              <w:rPr>
                <w:rFonts w:ascii="ITC Avant Garde" w:hAnsi="ITC Avant Garde"/>
                <w:b/>
                <w:sz w:val="20"/>
                <w:szCs w:val="20"/>
              </w:rPr>
            </w:pPr>
            <w:r w:rsidRPr="009B6281">
              <w:rPr>
                <w:rFonts w:ascii="ITC Avant Garde" w:hAnsi="ITC Avant Garde"/>
                <w:b/>
                <w:sz w:val="20"/>
                <w:szCs w:val="20"/>
              </w:rPr>
              <w:t>100</w:t>
            </w:r>
          </w:p>
        </w:tc>
      </w:tr>
    </w:tbl>
    <w:p w:rsidR="007C4016" w:rsidRDefault="007C4016" w:rsidP="007C4016">
      <w:pPr>
        <w:pStyle w:val="CondicionesFinales"/>
        <w:spacing w:before="240" w:after="0"/>
      </w:pPr>
    </w:p>
    <w:p w:rsidR="007C4016" w:rsidRDefault="007C4016" w:rsidP="007C4016">
      <w:pPr>
        <w:pStyle w:val="CondicionesFinales"/>
        <w:spacing w:before="240" w:after="0"/>
      </w:pPr>
      <w:r>
        <w:t xml:space="preserve">En el ejemplo, el cumplimiento del bloque se encuentra al 70% (setenta por ciento), por lo tanto, la compensación se calcularía respecto del 30% (treinta por ciento) restante. </w:t>
      </w:r>
    </w:p>
    <w:p w:rsidR="007C4016" w:rsidRPr="00D52752" w:rsidRDefault="007C4016" w:rsidP="007C4016">
      <w:pPr>
        <w:pStyle w:val="CondicionesFinales"/>
        <w:numPr>
          <w:ilvl w:val="1"/>
          <w:numId w:val="180"/>
        </w:numPr>
        <w:spacing w:before="240" w:after="0"/>
        <w:rPr>
          <w:b/>
        </w:rPr>
      </w:pPr>
      <w:r w:rsidRPr="00D52752">
        <w:rPr>
          <w:b/>
        </w:rPr>
        <w:t>Valor de las Penas</w:t>
      </w:r>
    </w:p>
    <w:p w:rsidR="007C4016" w:rsidRDefault="007C4016" w:rsidP="007C4016">
      <w:pPr>
        <w:pStyle w:val="CondicionesFinales"/>
        <w:spacing w:before="240" w:after="0"/>
      </w:pPr>
      <w:r>
        <w:lastRenderedPageBreak/>
        <w:t>Salvo indicación diversa, el valor empleado para el cálculo de las compensaciones será el precio pactado por las partes respecto del Servicio respectivo.</w:t>
      </w:r>
    </w:p>
    <w:p w:rsidR="007C4016" w:rsidRDefault="007C4016" w:rsidP="007C4016">
      <w:pPr>
        <w:pStyle w:val="CondicionesFinales"/>
        <w:spacing w:before="240" w:after="0"/>
      </w:pPr>
      <w:r>
        <w:t>Las Partes convienen en que el valor agregado de la totalidad de compensaciones que pudiera aplicarse respecto de un mismo Servicio no podrá exceder el 100% del valor total del mismo y si el Servicio no se entrega en un tiempo extra máximo de 100% del plazo original, sólo tomando en consideración los plazos atribuibles a Telnor, las Partes entenderán que el servicio fue denegado por Telnor, salvo que se acuerde lo contrario.</w:t>
      </w:r>
    </w:p>
    <w:p w:rsidR="007C4016" w:rsidRDefault="007C4016" w:rsidP="007C4016">
      <w:pPr>
        <w:pStyle w:val="CondicionesFinales"/>
        <w:spacing w:before="240" w:after="0"/>
      </w:pPr>
      <w:r>
        <w:t>Para cada uno de los indicadores y parámetros de calidad la pena asociada se calculará por día de retraso. Se tomará como referencia el plazo original plasmado para el indicador dividido en cuatro subperiodos en los cuales, al primero se la aplicara una pena del 10% del valor del servicio, al segundo un 20% del valor del servicio, al tercero un 30% del valor del servicio y al cuarto un 40% del valor del servicio. El valor de la penalización de cada subperiodo se repartirá entre los días que los comprenden, así el cálculo de las penalizaciones por día de retraso se calcularán de la siguiente forma:</w:t>
      </w:r>
    </w:p>
    <w:p w:rsidR="007C4016" w:rsidRPr="00AD1AF9" w:rsidRDefault="007C4016" w:rsidP="007C4016">
      <w:pPr>
        <w:pStyle w:val="CondicionesFinales"/>
        <w:spacing w:before="240" w:after="0"/>
        <w:rPr>
          <w:rFonts w:cs="Helvetica"/>
        </w:rPr>
      </w:pPr>
      <m:oMathPara>
        <m:oMath>
          <m:r>
            <w:rPr>
              <w:rFonts w:ascii="Cambria Math" w:hAnsi="Cambria Math" w:cs="Helvetica"/>
            </w:rPr>
            <m:t xml:space="preserve">Penalización por día hábil de retraso= </m:t>
          </m:r>
          <m:f>
            <m:fPr>
              <m:ctrlPr>
                <w:rPr>
                  <w:rFonts w:ascii="Cambria Math" w:hAnsi="Cambria Math" w:cs="Helvetica"/>
                  <w:i/>
                </w:rPr>
              </m:ctrlPr>
            </m:fPr>
            <m:num>
              <m:sSub>
                <m:sSubPr>
                  <m:ctrlPr>
                    <w:rPr>
                      <w:rFonts w:ascii="Cambria Math" w:hAnsi="Cambria Math" w:cs="Helvetica"/>
                      <w:i/>
                    </w:rPr>
                  </m:ctrlPr>
                </m:sSubPr>
                <m:e>
                  <m:r>
                    <w:rPr>
                      <w:rFonts w:ascii="Cambria Math" w:hAnsi="Cambria Math" w:cs="Helvetica"/>
                    </w:rPr>
                    <m:t>P</m:t>
                  </m:r>
                </m:e>
                <m:sub>
                  <m:r>
                    <w:rPr>
                      <w:rFonts w:ascii="Cambria Math" w:hAnsi="Cambria Math" w:cs="Helvetica"/>
                    </w:rPr>
                    <m:t>i</m:t>
                  </m:r>
                </m:sub>
              </m:sSub>
            </m:num>
            <m:den>
              <m:sSub>
                <m:sSubPr>
                  <m:ctrlPr>
                    <w:rPr>
                      <w:rFonts w:ascii="Cambria Math" w:hAnsi="Cambria Math" w:cs="Helvetica"/>
                      <w:i/>
                    </w:rPr>
                  </m:ctrlPr>
                </m:sSubPr>
                <m:e>
                  <m:r>
                    <w:rPr>
                      <w:rFonts w:ascii="Cambria Math" w:hAnsi="Cambria Math" w:cs="Helvetica"/>
                    </w:rPr>
                    <m:t>t</m:t>
                  </m:r>
                </m:e>
                <m:sub>
                  <m:r>
                    <w:rPr>
                      <w:rFonts w:ascii="Cambria Math" w:hAnsi="Cambria Math" w:cs="Helvetica"/>
                    </w:rPr>
                    <m:t>i</m:t>
                  </m:r>
                </m:sub>
              </m:sSub>
            </m:den>
          </m:f>
          <m:d>
            <m:dPr>
              <m:ctrlPr>
                <w:rPr>
                  <w:rFonts w:ascii="Cambria Math" w:hAnsi="Cambria Math" w:cs="Helvetica"/>
                  <w:i/>
                </w:rPr>
              </m:ctrlPr>
            </m:dPr>
            <m:e>
              <m:r>
                <w:rPr>
                  <w:rFonts w:ascii="Cambria Math" w:hAnsi="Cambria Math" w:cs="Helvetica"/>
                </w:rPr>
                <m:t>Valor del servicio</m:t>
              </m:r>
            </m:e>
          </m:d>
          <m:r>
            <w:rPr>
              <w:rFonts w:ascii="Cambria Math" w:hAnsi="Cambria Math" w:cs="Helvetica"/>
            </w:rPr>
            <m:t xml:space="preserve">   con i=</m:t>
          </m:r>
          <m:d>
            <m:dPr>
              <m:begChr m:val="{"/>
              <m:endChr m:val="}"/>
              <m:ctrlPr>
                <w:rPr>
                  <w:rFonts w:ascii="Cambria Math" w:hAnsi="Cambria Math" w:cs="Helvetica"/>
                  <w:i/>
                </w:rPr>
              </m:ctrlPr>
            </m:dPr>
            <m:e>
              <m:r>
                <w:rPr>
                  <w:rFonts w:ascii="Cambria Math" w:hAnsi="Cambria Math" w:cs="Helvetica"/>
                </w:rPr>
                <m:t>1, 2, 3, 4</m:t>
              </m:r>
            </m:e>
          </m:d>
        </m:oMath>
      </m:oMathPara>
    </w:p>
    <w:p w:rsidR="007C4016" w:rsidRDefault="007C4016" w:rsidP="007C4016">
      <w:pPr>
        <w:pStyle w:val="CondicionesFinales"/>
        <w:spacing w:before="240" w:after="0"/>
      </w:pPr>
      <w:r>
        <w:t>Donde:</w:t>
      </w:r>
    </w:p>
    <w:p w:rsidR="007C4016" w:rsidRDefault="002C04D7" w:rsidP="007C4016">
      <w:pPr>
        <w:pStyle w:val="CondicionesFinales"/>
        <w:spacing w:before="240" w:after="0"/>
        <w:rPr>
          <w:rFonts w:cs="Helvetica"/>
        </w:rPr>
      </w:pPr>
      <m:oMathPara>
        <m:oMath>
          <m:sSub>
            <m:sSubPr>
              <m:ctrlPr>
                <w:rPr>
                  <w:rFonts w:ascii="Cambria Math" w:hAnsi="Cambria Math" w:cs="Helvetica"/>
                  <w:i/>
                </w:rPr>
              </m:ctrlPr>
            </m:sSubPr>
            <m:e>
              <m:r>
                <w:rPr>
                  <w:rFonts w:ascii="Cambria Math" w:hAnsi="Cambria Math" w:cs="Helvetica"/>
                </w:rPr>
                <m:t>P</m:t>
              </m:r>
            </m:e>
            <m:sub>
              <m:r>
                <w:rPr>
                  <w:rFonts w:ascii="Cambria Math" w:hAnsi="Cambria Math" w:cs="Helvetica"/>
                </w:rPr>
                <m:t>1</m:t>
              </m:r>
            </m:sub>
          </m:sSub>
          <m:r>
            <w:rPr>
              <w:rFonts w:ascii="Cambria Math" w:hAnsi="Cambria Math" w:cs="Helvetica"/>
            </w:rPr>
            <m:t xml:space="preserve">=10%; </m:t>
          </m:r>
          <m:sSub>
            <m:sSubPr>
              <m:ctrlPr>
                <w:rPr>
                  <w:rFonts w:ascii="Cambria Math" w:hAnsi="Cambria Math" w:cs="Helvetica"/>
                  <w:i/>
                </w:rPr>
              </m:ctrlPr>
            </m:sSubPr>
            <m:e>
              <m:r>
                <w:rPr>
                  <w:rFonts w:ascii="Cambria Math" w:hAnsi="Cambria Math" w:cs="Helvetica"/>
                </w:rPr>
                <m:t>P</m:t>
              </m:r>
            </m:e>
            <m:sub>
              <m:r>
                <w:rPr>
                  <w:rFonts w:ascii="Cambria Math" w:hAnsi="Cambria Math" w:cs="Helvetica"/>
                </w:rPr>
                <m:t>2</m:t>
              </m:r>
            </m:sub>
          </m:sSub>
          <m:r>
            <w:rPr>
              <w:rFonts w:ascii="Cambria Math" w:hAnsi="Cambria Math" w:cs="Helvetica"/>
            </w:rPr>
            <m:t xml:space="preserve">=20%; </m:t>
          </m:r>
          <m:sSub>
            <m:sSubPr>
              <m:ctrlPr>
                <w:rPr>
                  <w:rFonts w:ascii="Cambria Math" w:hAnsi="Cambria Math" w:cs="Helvetica"/>
                  <w:i/>
                </w:rPr>
              </m:ctrlPr>
            </m:sSubPr>
            <m:e>
              <m:r>
                <w:rPr>
                  <w:rFonts w:ascii="Cambria Math" w:hAnsi="Cambria Math" w:cs="Helvetica"/>
                </w:rPr>
                <m:t>P</m:t>
              </m:r>
            </m:e>
            <m:sub>
              <m:r>
                <w:rPr>
                  <w:rFonts w:ascii="Cambria Math" w:hAnsi="Cambria Math" w:cs="Helvetica"/>
                </w:rPr>
                <m:t>3</m:t>
              </m:r>
            </m:sub>
          </m:sSub>
          <m:r>
            <w:rPr>
              <w:rFonts w:ascii="Cambria Math" w:hAnsi="Cambria Math" w:cs="Helvetica"/>
            </w:rPr>
            <m:t xml:space="preserve">=30%  y  </m:t>
          </m:r>
          <m:sSub>
            <m:sSubPr>
              <m:ctrlPr>
                <w:rPr>
                  <w:rFonts w:ascii="Cambria Math" w:hAnsi="Cambria Math" w:cs="Helvetica"/>
                  <w:i/>
                </w:rPr>
              </m:ctrlPr>
            </m:sSubPr>
            <m:e>
              <m:r>
                <w:rPr>
                  <w:rFonts w:ascii="Cambria Math" w:hAnsi="Cambria Math" w:cs="Helvetica"/>
                </w:rPr>
                <m:t>P</m:t>
              </m:r>
            </m:e>
            <m:sub>
              <m:r>
                <w:rPr>
                  <w:rFonts w:ascii="Cambria Math" w:hAnsi="Cambria Math" w:cs="Helvetica"/>
                </w:rPr>
                <m:t>4</m:t>
              </m:r>
            </m:sub>
          </m:sSub>
          <m:r>
            <w:rPr>
              <w:rFonts w:ascii="Cambria Math" w:hAnsi="Cambria Math" w:cs="Helvetica"/>
            </w:rPr>
            <m:t>=40%</m:t>
          </m:r>
        </m:oMath>
      </m:oMathPara>
    </w:p>
    <w:p w:rsidR="007C4016" w:rsidRDefault="007C4016" w:rsidP="007C4016">
      <w:pPr>
        <w:pStyle w:val="CondicionesFinales"/>
        <w:spacing w:before="240" w:after="0"/>
      </w:pPr>
      <w:r>
        <w:t xml:space="preserve">Así, </w:t>
      </w:r>
    </w:p>
    <w:tbl>
      <w:tblPr>
        <w:tblStyle w:val="Cuadrculadetablaclara1"/>
        <w:tblW w:w="0" w:type="auto"/>
        <w:jc w:val="center"/>
        <w:tblLayout w:type="fixed"/>
        <w:tblLook w:val="00A0" w:firstRow="1" w:lastRow="0" w:firstColumn="1" w:lastColumn="0" w:noHBand="0" w:noVBand="0"/>
        <w:tblCaption w:val="Tabla"/>
        <w:tblDescription w:val="Plazos de indicadores"/>
      </w:tblPr>
      <w:tblGrid>
        <w:gridCol w:w="2593"/>
        <w:gridCol w:w="2296"/>
        <w:gridCol w:w="2316"/>
      </w:tblGrid>
      <w:tr w:rsidR="007C4016" w:rsidRPr="009B6281" w:rsidTr="00483567">
        <w:trPr>
          <w:trHeight w:val="453"/>
          <w:tblHeader/>
          <w:jc w:val="center"/>
        </w:trPr>
        <w:tc>
          <w:tcPr>
            <w:tcW w:w="2593" w:type="dxa"/>
            <w:shd w:val="clear" w:color="auto" w:fill="548DD4" w:themeFill="text2" w:themeFillTint="99"/>
          </w:tcPr>
          <w:p w:rsidR="007C4016" w:rsidRPr="009B6281" w:rsidRDefault="007C4016" w:rsidP="005C782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lang w:eastAsia="es-MX"/>
              </w:rPr>
              <w:t>Plazos de indicadores</w:t>
            </w:r>
          </w:p>
        </w:tc>
        <w:tc>
          <w:tcPr>
            <w:tcW w:w="2296" w:type="dxa"/>
            <w:shd w:val="clear" w:color="auto" w:fill="548DD4" w:themeFill="text2" w:themeFillTint="99"/>
          </w:tcPr>
          <w:p w:rsidR="007C4016" w:rsidRPr="009B6281" w:rsidRDefault="002C04D7" w:rsidP="005C782A">
            <w:pPr>
              <w:spacing w:before="240" w:after="0" w:line="240" w:lineRule="auto"/>
              <w:jc w:val="center"/>
              <w:rPr>
                <w:rFonts w:ascii="ITC Avant Garde" w:hAnsi="ITC Avant Garde"/>
                <w:b/>
                <w:color w:val="FFFFFF"/>
                <w:sz w:val="20"/>
                <w:szCs w:val="20"/>
              </w:rPr>
            </w:pPr>
            <m:oMathPara>
              <m:oMath>
                <m:sSub>
                  <m:sSubPr>
                    <m:ctrlPr>
                      <w:rPr>
                        <w:rFonts w:ascii="Cambria Math" w:hAnsi="Cambria Math"/>
                        <w:b/>
                        <w:i/>
                        <w:color w:val="FFFFFF"/>
                        <w:sz w:val="20"/>
                        <w:szCs w:val="20"/>
                        <w:lang w:eastAsia="es-MX"/>
                      </w:rPr>
                    </m:ctrlPr>
                  </m:sSubPr>
                  <m:e>
                    <m:r>
                      <m:rPr>
                        <m:sty m:val="bi"/>
                      </m:rPr>
                      <w:rPr>
                        <w:rFonts w:ascii="Cambria Math" w:hAnsi="Cambria Math"/>
                        <w:color w:val="FFFFFF"/>
                        <w:sz w:val="20"/>
                        <w:szCs w:val="20"/>
                        <w:lang w:eastAsia="es-MX"/>
                      </w:rPr>
                      <m:t>t</m:t>
                    </m:r>
                  </m:e>
                  <m:sub>
                    <m:r>
                      <m:rPr>
                        <m:sty m:val="bi"/>
                      </m:rPr>
                      <w:rPr>
                        <w:rFonts w:ascii="Cambria Math" w:hAnsi="Cambria Math"/>
                        <w:color w:val="FFFFFF"/>
                        <w:sz w:val="20"/>
                        <w:szCs w:val="20"/>
                        <w:lang w:eastAsia="es-MX"/>
                      </w:rPr>
                      <m:t>1</m:t>
                    </m:r>
                  </m:sub>
                </m:sSub>
                <m:r>
                  <m:rPr>
                    <m:sty m:val="bi"/>
                  </m:rPr>
                  <w:rPr>
                    <w:rFonts w:ascii="Cambria Math" w:hAnsi="Cambria Math"/>
                    <w:color w:val="FFFFFF"/>
                    <w:sz w:val="20"/>
                    <w:szCs w:val="20"/>
                    <w:lang w:eastAsia="es-MX"/>
                  </w:rPr>
                  <m:t>=</m:t>
                </m:r>
                <m:sSub>
                  <m:sSubPr>
                    <m:ctrlPr>
                      <w:rPr>
                        <w:rFonts w:ascii="Cambria Math" w:hAnsi="Cambria Math"/>
                        <w:b/>
                        <w:i/>
                        <w:color w:val="FFFFFF"/>
                        <w:sz w:val="20"/>
                        <w:szCs w:val="20"/>
                        <w:lang w:eastAsia="es-MX"/>
                      </w:rPr>
                    </m:ctrlPr>
                  </m:sSubPr>
                  <m:e>
                    <m:r>
                      <m:rPr>
                        <m:sty m:val="bi"/>
                      </m:rPr>
                      <w:rPr>
                        <w:rFonts w:ascii="Cambria Math" w:hAnsi="Cambria Math"/>
                        <w:color w:val="FFFFFF"/>
                        <w:sz w:val="20"/>
                        <w:szCs w:val="20"/>
                        <w:lang w:eastAsia="es-MX"/>
                      </w:rPr>
                      <m:t>t</m:t>
                    </m:r>
                  </m:e>
                  <m:sub>
                    <m:r>
                      <m:rPr>
                        <m:sty m:val="bi"/>
                      </m:rPr>
                      <w:rPr>
                        <w:rFonts w:ascii="Cambria Math" w:hAnsi="Cambria Math"/>
                        <w:color w:val="FFFFFF"/>
                        <w:sz w:val="20"/>
                        <w:szCs w:val="20"/>
                        <w:lang w:eastAsia="es-MX"/>
                      </w:rPr>
                      <m:t>2</m:t>
                    </m:r>
                  </m:sub>
                </m:sSub>
                <m:r>
                  <m:rPr>
                    <m:sty m:val="bi"/>
                  </m:rPr>
                  <w:rPr>
                    <w:rFonts w:ascii="Cambria Math" w:hAnsi="Cambria Math"/>
                    <w:color w:val="FFFFFF"/>
                    <w:sz w:val="20"/>
                    <w:szCs w:val="20"/>
                    <w:lang w:eastAsia="es-MX"/>
                  </w:rPr>
                  <m:t>=</m:t>
                </m:r>
                <m:sSub>
                  <m:sSubPr>
                    <m:ctrlPr>
                      <w:rPr>
                        <w:rFonts w:ascii="Cambria Math" w:hAnsi="Cambria Math"/>
                        <w:b/>
                        <w:i/>
                        <w:color w:val="FFFFFF"/>
                        <w:sz w:val="20"/>
                        <w:szCs w:val="20"/>
                        <w:lang w:eastAsia="es-MX"/>
                      </w:rPr>
                    </m:ctrlPr>
                  </m:sSubPr>
                  <m:e>
                    <m:r>
                      <m:rPr>
                        <m:sty m:val="bi"/>
                      </m:rPr>
                      <w:rPr>
                        <w:rFonts w:ascii="Cambria Math" w:hAnsi="Cambria Math"/>
                        <w:color w:val="FFFFFF"/>
                        <w:sz w:val="20"/>
                        <w:szCs w:val="20"/>
                        <w:lang w:eastAsia="es-MX"/>
                      </w:rPr>
                      <m:t>t</m:t>
                    </m:r>
                  </m:e>
                  <m:sub>
                    <m:r>
                      <m:rPr>
                        <m:sty m:val="bi"/>
                      </m:rPr>
                      <w:rPr>
                        <w:rFonts w:ascii="Cambria Math" w:hAnsi="Cambria Math"/>
                        <w:color w:val="FFFFFF"/>
                        <w:sz w:val="20"/>
                        <w:szCs w:val="20"/>
                        <w:lang w:eastAsia="es-MX"/>
                      </w:rPr>
                      <m:t>3</m:t>
                    </m:r>
                  </m:sub>
                </m:sSub>
              </m:oMath>
            </m:oMathPara>
          </w:p>
        </w:tc>
        <w:tc>
          <w:tcPr>
            <w:tcW w:w="2316" w:type="dxa"/>
            <w:shd w:val="clear" w:color="auto" w:fill="548DD4" w:themeFill="text2" w:themeFillTint="99"/>
          </w:tcPr>
          <w:p w:rsidR="007C4016" w:rsidRPr="009B6281" w:rsidRDefault="002C04D7" w:rsidP="005C782A">
            <w:pPr>
              <w:spacing w:before="240" w:after="0" w:line="240" w:lineRule="auto"/>
              <w:jc w:val="center"/>
              <w:rPr>
                <w:rFonts w:ascii="ITC Avant Garde" w:hAnsi="ITC Avant Garde"/>
                <w:b/>
                <w:color w:val="FFFFFF"/>
                <w:sz w:val="20"/>
                <w:szCs w:val="20"/>
              </w:rPr>
            </w:pPr>
            <m:oMathPara>
              <m:oMath>
                <m:sSub>
                  <m:sSubPr>
                    <m:ctrlPr>
                      <w:rPr>
                        <w:rFonts w:ascii="Cambria Math" w:hAnsi="Cambria Math"/>
                        <w:b/>
                        <w:i/>
                        <w:color w:val="FFFFFF"/>
                        <w:sz w:val="20"/>
                        <w:szCs w:val="20"/>
                        <w:lang w:eastAsia="es-MX"/>
                      </w:rPr>
                    </m:ctrlPr>
                  </m:sSubPr>
                  <m:e>
                    <m:r>
                      <m:rPr>
                        <m:sty m:val="bi"/>
                      </m:rPr>
                      <w:rPr>
                        <w:rFonts w:ascii="Cambria Math" w:hAnsi="Cambria Math"/>
                        <w:color w:val="FFFFFF"/>
                        <w:sz w:val="20"/>
                        <w:szCs w:val="20"/>
                        <w:lang w:eastAsia="es-MX"/>
                      </w:rPr>
                      <m:t>t</m:t>
                    </m:r>
                  </m:e>
                  <m:sub>
                    <m:r>
                      <m:rPr>
                        <m:sty m:val="bi"/>
                      </m:rPr>
                      <w:rPr>
                        <w:rFonts w:ascii="Cambria Math" w:hAnsi="Cambria Math"/>
                        <w:color w:val="FFFFFF"/>
                        <w:sz w:val="20"/>
                        <w:szCs w:val="20"/>
                        <w:lang w:eastAsia="es-MX"/>
                      </w:rPr>
                      <m:t>4</m:t>
                    </m:r>
                  </m:sub>
                </m:sSub>
              </m:oMath>
            </m:oMathPara>
          </w:p>
        </w:tc>
      </w:tr>
      <w:tr w:rsidR="007C4016" w:rsidRPr="009B6281" w:rsidTr="00483567">
        <w:trPr>
          <w:jc w:val="center"/>
        </w:trPr>
        <w:tc>
          <w:tcPr>
            <w:tcW w:w="2593"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Plazos de 4 días hábiles</w:t>
            </w:r>
          </w:p>
        </w:tc>
        <w:tc>
          <w:tcPr>
            <w:tcW w:w="229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1 día hábil</w:t>
            </w:r>
          </w:p>
        </w:tc>
        <w:tc>
          <w:tcPr>
            <w:tcW w:w="231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1 día hábil</w:t>
            </w:r>
          </w:p>
        </w:tc>
      </w:tr>
      <w:tr w:rsidR="007C4016" w:rsidRPr="009B6281" w:rsidTr="00483567">
        <w:trPr>
          <w:jc w:val="center"/>
        </w:trPr>
        <w:tc>
          <w:tcPr>
            <w:tcW w:w="2593"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Plazos de 5 días hábiles</w:t>
            </w:r>
          </w:p>
        </w:tc>
        <w:tc>
          <w:tcPr>
            <w:tcW w:w="229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1 día hábil</w:t>
            </w:r>
          </w:p>
        </w:tc>
        <w:tc>
          <w:tcPr>
            <w:tcW w:w="231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2 días hábiles</w:t>
            </w:r>
          </w:p>
        </w:tc>
      </w:tr>
      <w:tr w:rsidR="007C4016" w:rsidRPr="009B6281" w:rsidTr="00483567">
        <w:trPr>
          <w:jc w:val="center"/>
        </w:trPr>
        <w:tc>
          <w:tcPr>
            <w:tcW w:w="2593"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Plazos de 8 días hábiles</w:t>
            </w:r>
          </w:p>
        </w:tc>
        <w:tc>
          <w:tcPr>
            <w:tcW w:w="229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2 días hábiles</w:t>
            </w:r>
          </w:p>
        </w:tc>
        <w:tc>
          <w:tcPr>
            <w:tcW w:w="231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2 días hábiles</w:t>
            </w:r>
          </w:p>
        </w:tc>
      </w:tr>
      <w:tr w:rsidR="007C4016" w:rsidRPr="009B6281" w:rsidTr="00483567">
        <w:trPr>
          <w:jc w:val="center"/>
        </w:trPr>
        <w:tc>
          <w:tcPr>
            <w:tcW w:w="2593"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Plazos de 10 días hábiles</w:t>
            </w:r>
          </w:p>
        </w:tc>
        <w:tc>
          <w:tcPr>
            <w:tcW w:w="229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3 días hábiles</w:t>
            </w:r>
          </w:p>
        </w:tc>
        <w:tc>
          <w:tcPr>
            <w:tcW w:w="231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1 día hábil</w:t>
            </w:r>
          </w:p>
        </w:tc>
      </w:tr>
      <w:tr w:rsidR="007C4016" w:rsidRPr="009B6281" w:rsidTr="00483567">
        <w:trPr>
          <w:jc w:val="center"/>
        </w:trPr>
        <w:tc>
          <w:tcPr>
            <w:tcW w:w="2593"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Plazos de 15 días hábiles</w:t>
            </w:r>
          </w:p>
        </w:tc>
        <w:tc>
          <w:tcPr>
            <w:tcW w:w="229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4 días hábiles</w:t>
            </w:r>
          </w:p>
        </w:tc>
        <w:tc>
          <w:tcPr>
            <w:tcW w:w="231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3 días hábiles</w:t>
            </w:r>
          </w:p>
        </w:tc>
      </w:tr>
      <w:tr w:rsidR="007C4016" w:rsidRPr="009B6281" w:rsidTr="00483567">
        <w:trPr>
          <w:jc w:val="center"/>
        </w:trPr>
        <w:tc>
          <w:tcPr>
            <w:tcW w:w="2593"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Plazos de 25 días hábiles</w:t>
            </w:r>
          </w:p>
        </w:tc>
        <w:tc>
          <w:tcPr>
            <w:tcW w:w="229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7 días hábiles</w:t>
            </w:r>
          </w:p>
        </w:tc>
        <w:tc>
          <w:tcPr>
            <w:tcW w:w="231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4 días hábiles</w:t>
            </w:r>
          </w:p>
        </w:tc>
      </w:tr>
      <w:tr w:rsidR="007C4016" w:rsidRPr="009B6281" w:rsidTr="00483567">
        <w:trPr>
          <w:jc w:val="center"/>
        </w:trPr>
        <w:tc>
          <w:tcPr>
            <w:tcW w:w="2593"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Plazos de 30 días hábiles</w:t>
            </w:r>
          </w:p>
        </w:tc>
        <w:tc>
          <w:tcPr>
            <w:tcW w:w="229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8 días hábiles</w:t>
            </w:r>
          </w:p>
        </w:tc>
        <w:tc>
          <w:tcPr>
            <w:tcW w:w="231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6 días hábiles</w:t>
            </w:r>
          </w:p>
        </w:tc>
      </w:tr>
      <w:tr w:rsidR="007C4016" w:rsidRPr="009B6281" w:rsidTr="00483567">
        <w:trPr>
          <w:jc w:val="center"/>
        </w:trPr>
        <w:tc>
          <w:tcPr>
            <w:tcW w:w="2593"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lastRenderedPageBreak/>
              <w:t>Plazo no definido</w:t>
            </w:r>
          </w:p>
        </w:tc>
        <w:tc>
          <w:tcPr>
            <w:tcW w:w="229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Plazo definido/4</w:t>
            </w:r>
          </w:p>
        </w:tc>
        <w:tc>
          <w:tcPr>
            <w:tcW w:w="2316" w:type="dxa"/>
          </w:tcPr>
          <w:p w:rsidR="007C4016" w:rsidRPr="009B6281" w:rsidRDefault="007C4016" w:rsidP="005C782A">
            <w:pPr>
              <w:spacing w:before="240" w:after="0" w:line="240" w:lineRule="auto"/>
              <w:rPr>
                <w:rFonts w:ascii="ITC Avant Garde" w:hAnsi="ITC Avant Garde"/>
                <w:sz w:val="20"/>
                <w:szCs w:val="20"/>
                <w:vertAlign w:val="subscript"/>
              </w:rPr>
            </w:pPr>
            <w:r w:rsidRPr="009B6281">
              <w:rPr>
                <w:rFonts w:ascii="ITC Avant Garde" w:hAnsi="ITC Avant Garde"/>
                <w:sz w:val="20"/>
                <w:szCs w:val="20"/>
              </w:rPr>
              <w:t>Plazo definido – (t</w:t>
            </w:r>
            <w:r w:rsidRPr="009B6281">
              <w:rPr>
                <w:rFonts w:ascii="ITC Avant Garde" w:hAnsi="ITC Avant Garde"/>
                <w:sz w:val="20"/>
                <w:szCs w:val="20"/>
                <w:vertAlign w:val="subscript"/>
              </w:rPr>
              <w:t>1</w:t>
            </w:r>
            <w:r w:rsidRPr="009B6281">
              <w:rPr>
                <w:rFonts w:ascii="ITC Avant Garde" w:hAnsi="ITC Avant Garde"/>
                <w:sz w:val="20"/>
                <w:szCs w:val="20"/>
              </w:rPr>
              <w:t>+t</w:t>
            </w:r>
            <w:r w:rsidRPr="009B6281">
              <w:rPr>
                <w:rFonts w:ascii="ITC Avant Garde" w:hAnsi="ITC Avant Garde"/>
                <w:sz w:val="20"/>
                <w:szCs w:val="20"/>
                <w:vertAlign w:val="subscript"/>
              </w:rPr>
              <w:t>2</w:t>
            </w:r>
            <w:r w:rsidRPr="009B6281">
              <w:rPr>
                <w:rFonts w:ascii="ITC Avant Garde" w:hAnsi="ITC Avant Garde"/>
                <w:sz w:val="20"/>
                <w:szCs w:val="20"/>
              </w:rPr>
              <w:t>+t</w:t>
            </w:r>
            <w:r w:rsidRPr="009B6281">
              <w:rPr>
                <w:rFonts w:ascii="ITC Avant Garde" w:hAnsi="ITC Avant Garde"/>
                <w:sz w:val="20"/>
                <w:szCs w:val="20"/>
                <w:vertAlign w:val="subscript"/>
              </w:rPr>
              <w:t>3</w:t>
            </w:r>
            <w:r w:rsidRPr="009B6281">
              <w:rPr>
                <w:rFonts w:ascii="ITC Avant Garde" w:hAnsi="ITC Avant Garde"/>
                <w:sz w:val="20"/>
                <w:szCs w:val="20"/>
              </w:rPr>
              <w:t>)</w:t>
            </w:r>
          </w:p>
        </w:tc>
      </w:tr>
    </w:tbl>
    <w:p w:rsidR="007C4016" w:rsidRDefault="007C4016" w:rsidP="007C4016">
      <w:pPr>
        <w:pStyle w:val="CondicionesFinales"/>
        <w:spacing w:before="240" w:after="0"/>
      </w:pPr>
      <w:r>
        <w:t>Ejemplo:</w:t>
      </w:r>
    </w:p>
    <w:p w:rsidR="007C4016" w:rsidRDefault="007C4016" w:rsidP="007C4016">
      <w:pPr>
        <w:pStyle w:val="CondicionesFinales"/>
        <w:spacing w:before="240" w:after="0"/>
      </w:pPr>
      <w:r>
        <w:t xml:space="preserve">En un indicador que se debe cumplir en </w:t>
      </w:r>
      <w:r w:rsidRPr="00BB5E95">
        <w:rPr>
          <w:b/>
        </w:rPr>
        <w:t>15 días hábiles</w:t>
      </w:r>
      <w:r>
        <w:t>:</w:t>
      </w:r>
    </w:p>
    <w:p w:rsidR="007C4016" w:rsidRDefault="007C4016" w:rsidP="007C4016">
      <w:pPr>
        <w:pStyle w:val="CondicionesFinales"/>
        <w:numPr>
          <w:ilvl w:val="0"/>
          <w:numId w:val="203"/>
        </w:numPr>
        <w:spacing w:before="240" w:after="0"/>
      </w:pPr>
      <w:r>
        <w:t xml:space="preserve">Los días hábiles 16, 17, 18 y 19 generan una pena por día del 2.5 % del valor del servicio; </w:t>
      </w:r>
    </w:p>
    <w:p w:rsidR="007C4016" w:rsidRDefault="007C4016" w:rsidP="007C4016">
      <w:pPr>
        <w:pStyle w:val="CondicionesFinales"/>
        <w:numPr>
          <w:ilvl w:val="0"/>
          <w:numId w:val="203"/>
        </w:numPr>
        <w:spacing w:after="0"/>
      </w:pPr>
      <w:r>
        <w:t xml:space="preserve">Los días 20, 21, 22 y 23 generan una pena por día del 5 % del valor del servicio, </w:t>
      </w:r>
    </w:p>
    <w:p w:rsidR="007C4016" w:rsidRDefault="007C4016" w:rsidP="007C4016">
      <w:pPr>
        <w:pStyle w:val="CondicionesFinales"/>
        <w:numPr>
          <w:ilvl w:val="0"/>
          <w:numId w:val="203"/>
        </w:numPr>
        <w:spacing w:after="0"/>
      </w:pPr>
      <w:r>
        <w:t xml:space="preserve">Los días 24, 25, 26 y 27 generan una pena por día del 7.5 % del valor del servicio y </w:t>
      </w:r>
    </w:p>
    <w:p w:rsidR="007C4016" w:rsidRDefault="007C4016" w:rsidP="007C4016">
      <w:pPr>
        <w:pStyle w:val="CondicionesFinales"/>
        <w:numPr>
          <w:ilvl w:val="0"/>
          <w:numId w:val="203"/>
        </w:numPr>
        <w:spacing w:after="0"/>
      </w:pPr>
      <w:r>
        <w:t xml:space="preserve">Los días 28, 29 y 30 generan una pena de 13.33% del valor del servicio. </w:t>
      </w:r>
    </w:p>
    <w:p w:rsidR="007C4016" w:rsidRDefault="007C4016" w:rsidP="007C4016">
      <w:pPr>
        <w:pStyle w:val="CondicionesFinales"/>
        <w:spacing w:before="240" w:after="0"/>
      </w:pPr>
      <w:r>
        <w:t>Esta formulación de penas se aplicará para todos los indicadores y parámetros de calidad con excepción de los siguientes:</w:t>
      </w:r>
    </w:p>
    <w:tbl>
      <w:tblPr>
        <w:tblStyle w:val="Cuadrculadetablaclara1"/>
        <w:tblW w:w="7132" w:type="dxa"/>
        <w:jc w:val="center"/>
        <w:tblLook w:val="00A0" w:firstRow="1" w:lastRow="0" w:firstColumn="1" w:lastColumn="0" w:noHBand="0" w:noVBand="0"/>
        <w:tblCaption w:val="Tabla"/>
        <w:tblDescription w:val="Esta formulación de penas se aplicará para todos los indicadores y parámetros de calidad con excepción de los siguientes:"/>
      </w:tblPr>
      <w:tblGrid>
        <w:gridCol w:w="1369"/>
        <w:gridCol w:w="2766"/>
        <w:gridCol w:w="2997"/>
      </w:tblGrid>
      <w:tr w:rsidR="007C4016" w:rsidRPr="009B6281" w:rsidTr="00483567">
        <w:trPr>
          <w:tblHeader/>
          <w:jc w:val="center"/>
        </w:trPr>
        <w:tc>
          <w:tcPr>
            <w:tcW w:w="1369" w:type="dxa"/>
            <w:tcBorders>
              <w:bottom w:val="single" w:sz="4" w:space="0" w:color="BFBFBF" w:themeColor="background1" w:themeShade="BF"/>
            </w:tcBorders>
            <w:shd w:val="clear" w:color="auto" w:fill="548DD4" w:themeFill="text2" w:themeFillTint="99"/>
          </w:tcPr>
          <w:p w:rsidR="007C4016" w:rsidRPr="009B6281" w:rsidRDefault="007C4016" w:rsidP="005C782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Servicio</w:t>
            </w:r>
          </w:p>
        </w:tc>
        <w:tc>
          <w:tcPr>
            <w:tcW w:w="2766" w:type="dxa"/>
            <w:shd w:val="clear" w:color="auto" w:fill="548DD4" w:themeFill="text2" w:themeFillTint="99"/>
          </w:tcPr>
          <w:p w:rsidR="007C4016" w:rsidRPr="009B6281" w:rsidRDefault="007C4016" w:rsidP="005C782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Rango disponibilidad trimestral sin redundancia.</w:t>
            </w:r>
          </w:p>
        </w:tc>
        <w:tc>
          <w:tcPr>
            <w:tcW w:w="2997" w:type="dxa"/>
            <w:shd w:val="clear" w:color="auto" w:fill="548DD4" w:themeFill="text2" w:themeFillTint="99"/>
          </w:tcPr>
          <w:p w:rsidR="007C4016" w:rsidRPr="009B6281" w:rsidRDefault="007C4016" w:rsidP="005C782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Porcentaje de la renta trimestral del servicio con falla.</w:t>
            </w:r>
          </w:p>
        </w:tc>
      </w:tr>
      <w:tr w:rsidR="00483567" w:rsidRPr="009B6281" w:rsidTr="00483567">
        <w:trPr>
          <w:jc w:val="center"/>
        </w:trPr>
        <w:tc>
          <w:tcPr>
            <w:tcW w:w="1369" w:type="dxa"/>
            <w:tcBorders>
              <w:bottom w:val="nil"/>
            </w:tcBorders>
          </w:tcPr>
          <w:p w:rsidR="00483567" w:rsidRPr="009B6281" w:rsidRDefault="00483567" w:rsidP="00483567">
            <w:pPr>
              <w:spacing w:before="240" w:after="0" w:line="240" w:lineRule="auto"/>
              <w:jc w:val="left"/>
              <w:rPr>
                <w:rFonts w:ascii="ITC Avant Garde" w:hAnsi="ITC Avant Garde"/>
                <w:sz w:val="20"/>
                <w:szCs w:val="20"/>
              </w:rPr>
            </w:pPr>
            <w:r w:rsidRPr="009B6281">
              <w:rPr>
                <w:rFonts w:ascii="ITC Avant Garde" w:hAnsi="ITC Avant Garde"/>
                <w:sz w:val="20"/>
                <w:szCs w:val="20"/>
              </w:rPr>
              <w:t xml:space="preserve">Canales Ópticos de Alta </w:t>
            </w:r>
          </w:p>
        </w:tc>
        <w:tc>
          <w:tcPr>
            <w:tcW w:w="2766" w:type="dxa"/>
          </w:tcPr>
          <w:p w:rsidR="00483567" w:rsidRPr="009B6281" w:rsidRDefault="00483567"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99% a 99.5%</w:t>
            </w:r>
          </w:p>
        </w:tc>
        <w:tc>
          <w:tcPr>
            <w:tcW w:w="2997" w:type="dxa"/>
          </w:tcPr>
          <w:p w:rsidR="00483567" w:rsidRPr="009B6281" w:rsidRDefault="00483567"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0.5%</w:t>
            </w:r>
          </w:p>
        </w:tc>
      </w:tr>
      <w:tr w:rsidR="00483567" w:rsidRPr="009B6281" w:rsidTr="00483567">
        <w:trPr>
          <w:jc w:val="center"/>
        </w:trPr>
        <w:tc>
          <w:tcPr>
            <w:tcW w:w="1369" w:type="dxa"/>
            <w:tcBorders>
              <w:top w:val="nil"/>
              <w:bottom w:val="nil"/>
            </w:tcBorders>
          </w:tcPr>
          <w:p w:rsidR="00483567" w:rsidRPr="009B6281" w:rsidRDefault="00483567" w:rsidP="00483567">
            <w:pPr>
              <w:spacing w:before="240" w:after="0" w:line="240" w:lineRule="auto"/>
              <w:jc w:val="center"/>
              <w:rPr>
                <w:rFonts w:ascii="ITC Avant Garde" w:hAnsi="ITC Avant Garde"/>
                <w:sz w:val="20"/>
                <w:szCs w:val="20"/>
              </w:rPr>
            </w:pPr>
            <w:r w:rsidRPr="009B6281">
              <w:rPr>
                <w:rFonts w:ascii="ITC Avant Garde" w:hAnsi="ITC Avant Garde"/>
                <w:sz w:val="20"/>
                <w:szCs w:val="20"/>
              </w:rPr>
              <w:t xml:space="preserve">Capacidad de </w:t>
            </w:r>
          </w:p>
        </w:tc>
        <w:tc>
          <w:tcPr>
            <w:tcW w:w="2766" w:type="dxa"/>
          </w:tcPr>
          <w:p w:rsidR="00483567" w:rsidRPr="009B6281" w:rsidRDefault="00483567"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98% a &lt;99%</w:t>
            </w:r>
          </w:p>
        </w:tc>
        <w:tc>
          <w:tcPr>
            <w:tcW w:w="2997" w:type="dxa"/>
          </w:tcPr>
          <w:p w:rsidR="00483567" w:rsidRPr="009B6281" w:rsidRDefault="00483567"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0.8%</w:t>
            </w:r>
          </w:p>
        </w:tc>
      </w:tr>
      <w:tr w:rsidR="00483567" w:rsidRPr="009B6281" w:rsidTr="00483567">
        <w:trPr>
          <w:jc w:val="center"/>
        </w:trPr>
        <w:tc>
          <w:tcPr>
            <w:tcW w:w="1369" w:type="dxa"/>
            <w:tcBorders>
              <w:top w:val="nil"/>
            </w:tcBorders>
          </w:tcPr>
          <w:p w:rsidR="00483567" w:rsidRPr="009B6281" w:rsidRDefault="00483567"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Transporte</w:t>
            </w:r>
          </w:p>
        </w:tc>
        <w:tc>
          <w:tcPr>
            <w:tcW w:w="2766" w:type="dxa"/>
          </w:tcPr>
          <w:p w:rsidR="00483567" w:rsidRPr="009B6281" w:rsidRDefault="00483567"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&lt; 98%</w:t>
            </w:r>
          </w:p>
        </w:tc>
        <w:tc>
          <w:tcPr>
            <w:tcW w:w="2997" w:type="dxa"/>
          </w:tcPr>
          <w:p w:rsidR="00483567" w:rsidRPr="009B6281" w:rsidRDefault="00483567"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1.2%</w:t>
            </w:r>
          </w:p>
        </w:tc>
      </w:tr>
    </w:tbl>
    <w:p w:rsidR="007C4016" w:rsidRDefault="007C4016" w:rsidP="007C4016">
      <w:pPr>
        <w:pStyle w:val="CondicionesFinales"/>
        <w:spacing w:before="240" w:after="0"/>
      </w:pPr>
    </w:p>
    <w:p w:rsidR="007C4016" w:rsidRDefault="007C4016" w:rsidP="007C4016">
      <w:pPr>
        <w:pStyle w:val="CondicionesFinales"/>
        <w:spacing w:before="240" w:after="0"/>
      </w:pPr>
      <w:r>
        <w:t>Para los siguientes casos, la</w:t>
      </w:r>
      <w:r w:rsidRPr="00205813">
        <w:t xml:space="preserve"> pena </w:t>
      </w:r>
      <w:r>
        <w:t xml:space="preserve">será </w:t>
      </w:r>
      <w:r w:rsidRPr="00205813">
        <w:t xml:space="preserve">plana por cada día de retraso </w:t>
      </w:r>
      <w:r>
        <w:t>hasta sumar el 50% del valor de la actividad de apoyo asociada:</w:t>
      </w:r>
    </w:p>
    <w:tbl>
      <w:tblPr>
        <w:tblStyle w:val="Cuadrculadetablaclara1"/>
        <w:tblW w:w="0" w:type="auto"/>
        <w:jc w:val="center"/>
        <w:tblLook w:val="00A0" w:firstRow="1" w:lastRow="0" w:firstColumn="1" w:lastColumn="0" w:noHBand="0" w:noVBand="0"/>
        <w:tblCaption w:val="Tabla"/>
        <w:tblDescription w:val="Para los siguientes casos, la pena será plana por cada día de retraso hasta sumar el 50% del valor de la actividad de apoyo asociada:"/>
      </w:tblPr>
      <w:tblGrid>
        <w:gridCol w:w="3456"/>
        <w:gridCol w:w="3773"/>
      </w:tblGrid>
      <w:tr w:rsidR="007C4016" w:rsidRPr="009B6281" w:rsidTr="00483567">
        <w:trPr>
          <w:tblHeader/>
          <w:jc w:val="center"/>
        </w:trPr>
        <w:tc>
          <w:tcPr>
            <w:tcW w:w="3456" w:type="dxa"/>
            <w:shd w:val="clear" w:color="auto" w:fill="548DD4" w:themeFill="text2" w:themeFillTint="99"/>
          </w:tcPr>
          <w:p w:rsidR="007C4016" w:rsidRPr="009B6281" w:rsidRDefault="007C4016" w:rsidP="005C782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Parámetro</w:t>
            </w:r>
          </w:p>
        </w:tc>
        <w:tc>
          <w:tcPr>
            <w:tcW w:w="3773" w:type="dxa"/>
            <w:shd w:val="clear" w:color="auto" w:fill="548DD4" w:themeFill="text2" w:themeFillTint="99"/>
          </w:tcPr>
          <w:p w:rsidR="007C4016" w:rsidRPr="009B6281" w:rsidRDefault="007C4016" w:rsidP="005C782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Compensación</w:t>
            </w:r>
          </w:p>
        </w:tc>
      </w:tr>
      <w:tr w:rsidR="007C4016" w:rsidRPr="009B6281" w:rsidTr="00483567">
        <w:trPr>
          <w:jc w:val="center"/>
        </w:trPr>
        <w:tc>
          <w:tcPr>
            <w:tcW w:w="345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 xml:space="preserve">Respuesta a solicitudes ingresadas </w:t>
            </w:r>
          </w:p>
        </w:tc>
        <w:tc>
          <w:tcPr>
            <w:tcW w:w="3773" w:type="dxa"/>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5% del precio del Análisis de Factibilidad</w:t>
            </w:r>
          </w:p>
        </w:tc>
      </w:tr>
      <w:tr w:rsidR="007C4016" w:rsidRPr="009B6281" w:rsidTr="00483567">
        <w:trPr>
          <w:jc w:val="center"/>
        </w:trPr>
        <w:tc>
          <w:tcPr>
            <w:tcW w:w="3456" w:type="dxa"/>
          </w:tcPr>
          <w:p w:rsidR="007C4016" w:rsidRPr="009B6281" w:rsidRDefault="007C4016" w:rsidP="005C782A">
            <w:pPr>
              <w:spacing w:before="240" w:after="0" w:line="240" w:lineRule="auto"/>
              <w:rPr>
                <w:rFonts w:ascii="ITC Avant Garde" w:hAnsi="ITC Avant Garde"/>
                <w:sz w:val="20"/>
                <w:szCs w:val="20"/>
              </w:rPr>
            </w:pPr>
            <w:r w:rsidRPr="009B6281">
              <w:rPr>
                <w:rFonts w:ascii="ITC Avant Garde" w:hAnsi="ITC Avant Garde"/>
                <w:sz w:val="20"/>
                <w:szCs w:val="20"/>
              </w:rPr>
              <w:t>Envío de Información Técnica Relevante</w:t>
            </w:r>
          </w:p>
        </w:tc>
        <w:tc>
          <w:tcPr>
            <w:tcW w:w="3773" w:type="dxa"/>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5% del precio del Análisis de Factibilidad</w:t>
            </w:r>
          </w:p>
        </w:tc>
      </w:tr>
    </w:tbl>
    <w:p w:rsidR="007C4016" w:rsidRDefault="007C4016" w:rsidP="007C4016">
      <w:pPr>
        <w:pStyle w:val="CondicionesFinales"/>
        <w:spacing w:before="240" w:after="0"/>
      </w:pPr>
    </w:p>
    <w:p w:rsidR="007C4016" w:rsidRDefault="007C4016" w:rsidP="007C4016">
      <w:pPr>
        <w:pStyle w:val="CondicionesFinales"/>
        <w:spacing w:before="240" w:after="0"/>
      </w:pPr>
      <w:r>
        <w:lastRenderedPageBreak/>
        <w:t>Para los accesos y reparación de fallas y/o averías, la</w:t>
      </w:r>
      <w:r w:rsidRPr="00205813">
        <w:t xml:space="preserve"> pena </w:t>
      </w:r>
      <w:r>
        <w:t xml:space="preserve">será </w:t>
      </w:r>
      <w:r w:rsidRPr="00205813">
        <w:t xml:space="preserve">plana por cada día de retraso </w:t>
      </w:r>
      <w:r>
        <w:t>hasta sumar el 50% del valor de la renta mensual del servicio asociado. D</w:t>
      </w:r>
      <w:r w:rsidRPr="00205813">
        <w:t>e alcanzar esta suma y no haber cumplido con el evento</w:t>
      </w:r>
      <w:r>
        <w:t>,</w:t>
      </w:r>
      <w:r w:rsidRPr="00205813">
        <w:t xml:space="preserve"> </w:t>
      </w:r>
      <w:r>
        <w:t>las Partes entenderán que Telnor</w:t>
      </w:r>
      <w:r w:rsidRPr="00205813">
        <w:t xml:space="preserve"> ha incumplido con la correcta prestación de los servicios, salvo que se acuerde lo contrario.</w:t>
      </w:r>
    </w:p>
    <w:p w:rsidR="00483567" w:rsidRDefault="00483567" w:rsidP="007C4016">
      <w:pPr>
        <w:pStyle w:val="CondicionesFinales"/>
        <w:spacing w:before="240" w:after="0"/>
      </w:pPr>
    </w:p>
    <w:tbl>
      <w:tblPr>
        <w:tblStyle w:val="Cuadrculadetablaclara1"/>
        <w:tblW w:w="0" w:type="auto"/>
        <w:jc w:val="center"/>
        <w:tblLook w:val="00A0" w:firstRow="1" w:lastRow="0" w:firstColumn="1" w:lastColumn="0" w:noHBand="0" w:noVBand="0"/>
        <w:tblCaption w:val="Tabla"/>
        <w:tblDescription w:val="Para los accesos y reparación de fallas y/o averías"/>
      </w:tblPr>
      <w:tblGrid>
        <w:gridCol w:w="4423"/>
        <w:gridCol w:w="2948"/>
      </w:tblGrid>
      <w:tr w:rsidR="007C4016" w:rsidRPr="009B6281" w:rsidTr="00483567">
        <w:trPr>
          <w:tblHeader/>
          <w:jc w:val="center"/>
        </w:trPr>
        <w:tc>
          <w:tcPr>
            <w:tcW w:w="4423" w:type="dxa"/>
            <w:shd w:val="clear" w:color="auto" w:fill="548DD4" w:themeFill="text2" w:themeFillTint="99"/>
          </w:tcPr>
          <w:p w:rsidR="007C4016" w:rsidRPr="009B6281" w:rsidRDefault="007C4016" w:rsidP="005C782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Parámetro</w:t>
            </w:r>
          </w:p>
        </w:tc>
        <w:tc>
          <w:tcPr>
            <w:tcW w:w="2948" w:type="dxa"/>
            <w:shd w:val="clear" w:color="auto" w:fill="548DD4" w:themeFill="text2" w:themeFillTint="99"/>
          </w:tcPr>
          <w:p w:rsidR="007C4016" w:rsidRPr="009B6281" w:rsidRDefault="007C4016" w:rsidP="005C782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Compensación</w:t>
            </w:r>
          </w:p>
        </w:tc>
      </w:tr>
      <w:tr w:rsidR="007C4016" w:rsidRPr="009B6281" w:rsidTr="00483567">
        <w:trPr>
          <w:jc w:val="center"/>
        </w:trPr>
        <w:tc>
          <w:tcPr>
            <w:tcW w:w="4423" w:type="dxa"/>
          </w:tcPr>
          <w:p w:rsidR="007C4016" w:rsidRPr="009B6281" w:rsidRDefault="007C4016" w:rsidP="005C782A">
            <w:pPr>
              <w:spacing w:before="240" w:after="0" w:line="240" w:lineRule="auto"/>
              <w:jc w:val="left"/>
              <w:rPr>
                <w:rFonts w:ascii="ITC Avant Garde" w:hAnsi="ITC Avant Garde"/>
                <w:sz w:val="20"/>
                <w:szCs w:val="20"/>
              </w:rPr>
            </w:pPr>
            <w:r w:rsidRPr="009B6281">
              <w:rPr>
                <w:rFonts w:ascii="ITC Avant Garde" w:hAnsi="ITC Avant Garde"/>
                <w:sz w:val="20"/>
                <w:szCs w:val="20"/>
              </w:rPr>
              <w:t xml:space="preserve">Acceso por Emergencia </w:t>
            </w:r>
          </w:p>
        </w:tc>
        <w:tc>
          <w:tcPr>
            <w:tcW w:w="2948" w:type="dxa"/>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5%</w:t>
            </w:r>
          </w:p>
        </w:tc>
      </w:tr>
      <w:tr w:rsidR="007C4016" w:rsidRPr="009B6281" w:rsidTr="00483567">
        <w:trPr>
          <w:jc w:val="center"/>
        </w:trPr>
        <w:tc>
          <w:tcPr>
            <w:tcW w:w="4423" w:type="dxa"/>
          </w:tcPr>
          <w:p w:rsidR="007C4016" w:rsidRPr="009B6281" w:rsidRDefault="007C4016" w:rsidP="005C782A">
            <w:pPr>
              <w:spacing w:before="240" w:after="0" w:line="240" w:lineRule="auto"/>
              <w:jc w:val="left"/>
              <w:rPr>
                <w:rFonts w:ascii="ITC Avant Garde" w:hAnsi="ITC Avant Garde"/>
                <w:sz w:val="20"/>
                <w:szCs w:val="20"/>
              </w:rPr>
            </w:pPr>
            <w:r w:rsidRPr="009B6281">
              <w:rPr>
                <w:rFonts w:ascii="ITC Avant Garde" w:hAnsi="ITC Avant Garde"/>
                <w:sz w:val="20"/>
                <w:szCs w:val="20"/>
                <w:lang w:val="es-ES"/>
              </w:rPr>
              <w:t>Acceso para Mantenimiento Correctivo (Falla)</w:t>
            </w:r>
          </w:p>
        </w:tc>
        <w:tc>
          <w:tcPr>
            <w:tcW w:w="2948" w:type="dxa"/>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5%</w:t>
            </w:r>
          </w:p>
        </w:tc>
      </w:tr>
      <w:tr w:rsidR="007C4016" w:rsidRPr="009B6281" w:rsidTr="00483567">
        <w:trPr>
          <w:jc w:val="center"/>
        </w:trPr>
        <w:tc>
          <w:tcPr>
            <w:tcW w:w="4423" w:type="dxa"/>
          </w:tcPr>
          <w:p w:rsidR="007C4016" w:rsidRPr="009B6281" w:rsidRDefault="007C4016" w:rsidP="005C782A">
            <w:pPr>
              <w:spacing w:before="240" w:after="0" w:line="240" w:lineRule="auto"/>
              <w:jc w:val="left"/>
              <w:rPr>
                <w:rFonts w:ascii="ITC Avant Garde" w:hAnsi="ITC Avant Garde"/>
                <w:sz w:val="20"/>
                <w:szCs w:val="20"/>
              </w:rPr>
            </w:pPr>
            <w:r w:rsidRPr="009B6281">
              <w:rPr>
                <w:rFonts w:ascii="ITC Avant Garde" w:hAnsi="ITC Avant Garde"/>
                <w:sz w:val="20"/>
                <w:szCs w:val="20"/>
                <w:lang w:val="es-ES"/>
              </w:rPr>
              <w:t xml:space="preserve">Acceso para Mantenimiento Preventivo </w:t>
            </w:r>
          </w:p>
        </w:tc>
        <w:tc>
          <w:tcPr>
            <w:tcW w:w="2948" w:type="dxa"/>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5%</w:t>
            </w:r>
          </w:p>
        </w:tc>
      </w:tr>
      <w:tr w:rsidR="007C4016" w:rsidRPr="009B6281" w:rsidTr="00483567">
        <w:trPr>
          <w:jc w:val="center"/>
        </w:trPr>
        <w:tc>
          <w:tcPr>
            <w:tcW w:w="4423" w:type="dxa"/>
          </w:tcPr>
          <w:p w:rsidR="007C4016" w:rsidRPr="009B6281" w:rsidRDefault="007C4016" w:rsidP="005C782A">
            <w:pPr>
              <w:spacing w:before="240" w:after="0" w:line="240" w:lineRule="auto"/>
              <w:jc w:val="left"/>
              <w:rPr>
                <w:rFonts w:ascii="ITC Avant Garde" w:hAnsi="ITC Avant Garde"/>
                <w:sz w:val="20"/>
                <w:szCs w:val="20"/>
                <w:lang w:val="es-ES"/>
              </w:rPr>
            </w:pPr>
            <w:r w:rsidRPr="009B6281">
              <w:rPr>
                <w:rFonts w:ascii="ITC Avant Garde" w:hAnsi="ITC Avant Garde"/>
                <w:sz w:val="20"/>
                <w:szCs w:val="20"/>
                <w:lang w:val="es-ES"/>
              </w:rPr>
              <w:t xml:space="preserve">Reparación de fallas atribuidas a </w:t>
            </w:r>
            <w:r>
              <w:rPr>
                <w:rFonts w:ascii="ITC Avant Garde" w:hAnsi="ITC Avant Garde"/>
                <w:sz w:val="20"/>
                <w:szCs w:val="20"/>
                <w:lang w:val="es-ES"/>
              </w:rPr>
              <w:t>Telnor</w:t>
            </w:r>
          </w:p>
        </w:tc>
        <w:tc>
          <w:tcPr>
            <w:tcW w:w="2948" w:type="dxa"/>
          </w:tcPr>
          <w:p w:rsidR="007C4016" w:rsidRPr="009B6281" w:rsidRDefault="007C4016" w:rsidP="005C782A">
            <w:pPr>
              <w:spacing w:before="240" w:after="0" w:line="240" w:lineRule="auto"/>
              <w:jc w:val="center"/>
              <w:rPr>
                <w:rFonts w:ascii="ITC Avant Garde" w:hAnsi="ITC Avant Garde"/>
                <w:sz w:val="20"/>
                <w:szCs w:val="20"/>
              </w:rPr>
            </w:pPr>
            <w:r w:rsidRPr="009B6281">
              <w:rPr>
                <w:rFonts w:ascii="ITC Avant Garde" w:hAnsi="ITC Avant Garde"/>
                <w:sz w:val="20"/>
                <w:szCs w:val="20"/>
              </w:rPr>
              <w:t>5%</w:t>
            </w:r>
          </w:p>
        </w:tc>
      </w:tr>
    </w:tbl>
    <w:p w:rsidR="007C4016" w:rsidRDefault="007C4016" w:rsidP="007C4016">
      <w:pPr>
        <w:pStyle w:val="CondicionesFinales"/>
        <w:spacing w:before="240" w:after="0"/>
      </w:pPr>
    </w:p>
    <w:p w:rsidR="007C4016" w:rsidRPr="002C6EC9" w:rsidRDefault="007C4016" w:rsidP="007C4016">
      <w:pPr>
        <w:pStyle w:val="CondicionesFinales"/>
        <w:spacing w:before="240" w:after="0"/>
        <w:rPr>
          <w:b/>
        </w:rPr>
      </w:pPr>
      <w:r w:rsidRPr="002C6EC9">
        <w:rPr>
          <w:b/>
        </w:rPr>
        <w:t>5.4.</w:t>
      </w:r>
      <w:r w:rsidRPr="002C6EC9">
        <w:rPr>
          <w:b/>
        </w:rPr>
        <w:tab/>
        <w:t xml:space="preserve">Procedimiento de Conciliación y Aplicación de Penas Convencionales </w:t>
      </w:r>
    </w:p>
    <w:p w:rsidR="007C4016" w:rsidRPr="00FF76E6" w:rsidRDefault="007C4016" w:rsidP="007C4016">
      <w:pPr>
        <w:pStyle w:val="CondicionesFinales"/>
        <w:spacing w:before="240" w:after="0"/>
        <w:rPr>
          <w:color w:val="auto"/>
          <w:sz w:val="24"/>
          <w:szCs w:val="24"/>
          <w:lang w:val="es-ES" w:eastAsia="en-US"/>
        </w:rPr>
      </w:pPr>
      <w:r w:rsidRPr="002C6EC9">
        <w:t xml:space="preserve">El cumplimiento de </w:t>
      </w:r>
      <w:r w:rsidRPr="00FF76E6">
        <w:rPr>
          <w:color w:val="auto"/>
          <w:sz w:val="24"/>
          <w:szCs w:val="24"/>
          <w:lang w:val="es-ES" w:eastAsia="en-US"/>
        </w:rPr>
        <w:t>los parámetros de calidad será validado trimestralmente y las penas convencionales serán aplicadas para los servicios en los que los parámetros de calidad no hayan sido cumplidos.</w:t>
      </w:r>
    </w:p>
    <w:p w:rsidR="007C4016" w:rsidRPr="00FF76E6" w:rsidRDefault="007C4016" w:rsidP="007C4016">
      <w:pPr>
        <w:pStyle w:val="CondicionesFinales"/>
        <w:spacing w:before="240" w:after="0"/>
        <w:rPr>
          <w:color w:val="auto"/>
          <w:sz w:val="24"/>
          <w:szCs w:val="24"/>
          <w:lang w:val="es-ES" w:eastAsia="en-US"/>
        </w:rPr>
      </w:pPr>
      <w:r w:rsidRPr="002C6EC9">
        <w:t>El análisis de indicadores para el cálculo de penalizaciones se realizará de la siguiente forma:</w:t>
      </w:r>
    </w:p>
    <w:p w:rsidR="007C4016" w:rsidRPr="00FF76E6" w:rsidRDefault="007C4016" w:rsidP="007C4016">
      <w:pPr>
        <w:pStyle w:val="CondicionesFinales"/>
        <w:numPr>
          <w:ilvl w:val="0"/>
          <w:numId w:val="204"/>
        </w:numPr>
        <w:spacing w:before="240" w:after="0"/>
        <w:rPr>
          <w:color w:val="auto"/>
          <w:sz w:val="24"/>
          <w:szCs w:val="24"/>
          <w:lang w:val="es-ES" w:eastAsia="en-US"/>
        </w:rPr>
      </w:pPr>
      <w:r w:rsidRPr="00094D64">
        <w:rPr>
          <w:lang w:eastAsia="en-US"/>
        </w:rPr>
        <w:t xml:space="preserve">Enero: análisis de periodo Octubre – Diciembre </w:t>
      </w:r>
      <w:r w:rsidRPr="00FF76E6">
        <w:rPr>
          <w:color w:val="auto"/>
          <w:sz w:val="24"/>
          <w:szCs w:val="24"/>
          <w:lang w:val="es-ES" w:eastAsia="en-US"/>
        </w:rPr>
        <w:t>del año anterior</w:t>
      </w:r>
    </w:p>
    <w:p w:rsidR="007C4016" w:rsidRPr="00FF76E6" w:rsidRDefault="007C4016" w:rsidP="007C4016">
      <w:pPr>
        <w:pStyle w:val="CondicionesFinales"/>
        <w:numPr>
          <w:ilvl w:val="0"/>
          <w:numId w:val="204"/>
        </w:numPr>
        <w:spacing w:after="0"/>
        <w:rPr>
          <w:color w:val="auto"/>
          <w:sz w:val="24"/>
          <w:szCs w:val="24"/>
          <w:lang w:val="es-ES" w:eastAsia="en-US"/>
        </w:rPr>
      </w:pPr>
      <w:r w:rsidRPr="00094D64">
        <w:rPr>
          <w:lang w:eastAsia="en-US"/>
        </w:rPr>
        <w:t>Abril: análisis de periodo Enero – Marzo del año en curso</w:t>
      </w:r>
    </w:p>
    <w:p w:rsidR="007C4016" w:rsidRPr="00FF76E6" w:rsidRDefault="007C4016" w:rsidP="007C4016">
      <w:pPr>
        <w:pStyle w:val="CondicionesFinales"/>
        <w:numPr>
          <w:ilvl w:val="0"/>
          <w:numId w:val="204"/>
        </w:numPr>
        <w:spacing w:after="0"/>
        <w:rPr>
          <w:color w:val="auto"/>
          <w:sz w:val="24"/>
          <w:szCs w:val="24"/>
          <w:lang w:val="es-ES" w:eastAsia="en-US"/>
        </w:rPr>
      </w:pPr>
      <w:r w:rsidRPr="00094D64">
        <w:rPr>
          <w:lang w:eastAsia="en-US"/>
        </w:rPr>
        <w:t>Julio: análisis de periodo Abril – Junio del año en curso</w:t>
      </w:r>
    </w:p>
    <w:p w:rsidR="007C4016" w:rsidRPr="00FF76E6" w:rsidRDefault="007C4016" w:rsidP="007C4016">
      <w:pPr>
        <w:pStyle w:val="CondicionesFinales"/>
        <w:numPr>
          <w:ilvl w:val="0"/>
          <w:numId w:val="204"/>
        </w:numPr>
        <w:spacing w:after="0"/>
        <w:rPr>
          <w:color w:val="auto"/>
          <w:sz w:val="24"/>
          <w:szCs w:val="24"/>
          <w:lang w:val="es-ES" w:eastAsia="en-US"/>
        </w:rPr>
      </w:pPr>
      <w:r w:rsidRPr="00094D64">
        <w:rPr>
          <w:lang w:eastAsia="en-US"/>
        </w:rPr>
        <w:t>Octubre: análisis de periodo Julio – Septiembre del año en curso</w:t>
      </w:r>
    </w:p>
    <w:p w:rsidR="007C4016" w:rsidRPr="00FF76E6" w:rsidRDefault="007C4016" w:rsidP="007C4016">
      <w:pPr>
        <w:pStyle w:val="CondicionesFinales"/>
        <w:spacing w:before="240" w:after="0"/>
        <w:rPr>
          <w:color w:val="auto"/>
          <w:sz w:val="24"/>
          <w:szCs w:val="24"/>
          <w:lang w:val="es-ES" w:eastAsia="en-US"/>
        </w:rPr>
      </w:pPr>
      <w:r w:rsidRPr="00094D64">
        <w:rPr>
          <w:lang w:eastAsia="en-US"/>
        </w:rPr>
        <w:t xml:space="preserve">Trimestralmente </w:t>
      </w:r>
      <w:r>
        <w:rPr>
          <w:color w:val="auto"/>
          <w:sz w:val="24"/>
          <w:szCs w:val="24"/>
          <w:lang w:val="es-ES" w:eastAsia="en-US"/>
        </w:rPr>
        <w:t>Telnor</w:t>
      </w:r>
      <w:r w:rsidRPr="00FF76E6">
        <w:rPr>
          <w:color w:val="auto"/>
          <w:sz w:val="24"/>
          <w:szCs w:val="24"/>
          <w:lang w:val="es-ES" w:eastAsia="en-US"/>
        </w:rPr>
        <w:t xml:space="preserve"> elaborará un reporte de cumplimiento de cada uno de los servicios y actividades de acuerdo a lo señalado en este documento dentro de los primeros 10 días hábiles al trimestre que concluyó. </w:t>
      </w:r>
    </w:p>
    <w:p w:rsidR="007C4016" w:rsidRPr="00FF76E6" w:rsidRDefault="007C4016" w:rsidP="007C4016">
      <w:pPr>
        <w:pStyle w:val="CondicionesFinales"/>
        <w:spacing w:before="240" w:after="0"/>
        <w:rPr>
          <w:color w:val="auto"/>
          <w:sz w:val="24"/>
          <w:szCs w:val="24"/>
          <w:lang w:val="es-ES" w:eastAsia="en-US"/>
        </w:rPr>
      </w:pPr>
      <w:r w:rsidRPr="00094D64">
        <w:rPr>
          <w:lang w:eastAsia="en-US"/>
        </w:rPr>
        <w:lastRenderedPageBreak/>
        <w:t xml:space="preserve">Con base en este, se realizará el cálculo de las penalizaciones a las cuales </w:t>
      </w:r>
      <w:r>
        <w:rPr>
          <w:color w:val="auto"/>
          <w:sz w:val="24"/>
          <w:szCs w:val="24"/>
          <w:lang w:val="es-ES" w:eastAsia="en-US"/>
        </w:rPr>
        <w:t>Telnor</w:t>
      </w:r>
      <w:r w:rsidRPr="00FF76E6">
        <w:rPr>
          <w:color w:val="auto"/>
          <w:sz w:val="24"/>
          <w:szCs w:val="24"/>
          <w:lang w:val="es-ES" w:eastAsia="en-US"/>
        </w:rPr>
        <w:t xml:space="preserve"> se hace acreedor y por las que elaborará una Nota de Crédito que se enviará al CS.</w:t>
      </w:r>
    </w:p>
    <w:p w:rsidR="007C4016" w:rsidRPr="00FF76E6" w:rsidRDefault="007C4016" w:rsidP="007C4016">
      <w:pPr>
        <w:pStyle w:val="CondicionesFinales"/>
        <w:spacing w:before="240" w:after="0"/>
        <w:rPr>
          <w:color w:val="auto"/>
          <w:sz w:val="24"/>
          <w:szCs w:val="24"/>
          <w:lang w:val="es-ES" w:eastAsia="en-US"/>
        </w:rPr>
      </w:pPr>
      <w:r w:rsidRPr="00094D64">
        <w:rPr>
          <w:lang w:eastAsia="en-US"/>
        </w:rPr>
        <w:t xml:space="preserve">El CS contará con un plazo de 10 días hábiles para verificar y aceptar las penalizaciones correspondientes, en cuyo caso la Nota de Crédito se aceptará y utilizará en el pago de la siguiente facturación del servicio. En caso contrario, enviará a </w:t>
      </w:r>
      <w:r>
        <w:rPr>
          <w:color w:val="auto"/>
          <w:sz w:val="24"/>
          <w:szCs w:val="24"/>
          <w:lang w:val="es-ES" w:eastAsia="en-US"/>
        </w:rPr>
        <w:t>Telnor</w:t>
      </w:r>
      <w:r w:rsidRPr="00FF76E6">
        <w:rPr>
          <w:color w:val="auto"/>
          <w:sz w:val="24"/>
          <w:szCs w:val="24"/>
          <w:lang w:val="es-ES" w:eastAsia="en-US"/>
        </w:rPr>
        <w:t xml:space="preserve"> una nota aclaratoria con el debido sustento (notificaciones de entrega de los servicios) y con base en ello se realizará el cálculo de las penas correspondientes. </w:t>
      </w:r>
    </w:p>
    <w:p w:rsidR="007C4016" w:rsidRDefault="007C4016" w:rsidP="007C4016">
      <w:pPr>
        <w:pStyle w:val="CondicionesFinales"/>
        <w:spacing w:before="240" w:after="0"/>
      </w:pPr>
      <w:r w:rsidRPr="00094D64">
        <w:rPr>
          <w:lang w:eastAsia="en-US"/>
        </w:rPr>
        <w:t xml:space="preserve">Una vez que </w:t>
      </w:r>
      <w:r>
        <w:rPr>
          <w:lang w:eastAsia="en-US"/>
        </w:rPr>
        <w:t>Telnor</w:t>
      </w:r>
      <w:r w:rsidRPr="00094D64">
        <w:rPr>
          <w:lang w:eastAsia="en-US"/>
        </w:rPr>
        <w:t xml:space="preserve"> haya recibido la aclaración por parte del CS, contará con 10 días hábiles para verificar y validar la información. En caso de aceptación del nuevo cálculo de las penas, </w:t>
      </w:r>
      <w:r>
        <w:rPr>
          <w:lang w:eastAsia="en-US"/>
        </w:rPr>
        <w:t>Telnor</w:t>
      </w:r>
      <w:r w:rsidRPr="00094D64">
        <w:rPr>
          <w:lang w:eastAsia="en-US"/>
        </w:rPr>
        <w:t xml:space="preserve"> elaborará una nueva Nota de Crédito en un plazo máximo de 3 días hábiles que el CS podrá utilizar en su siguiente facturación. En caso contrario, </w:t>
      </w:r>
      <w:r>
        <w:rPr>
          <w:lang w:eastAsia="en-US"/>
        </w:rPr>
        <w:t>Telnor</w:t>
      </w:r>
      <w:r w:rsidRPr="00094D64">
        <w:rPr>
          <w:lang w:eastAsia="en-US"/>
        </w:rPr>
        <w:t xml:space="preserve"> deberá presentar la información que sustente el cálculo de las penas al IFT, quien tendrá la potestad de resolver dicho desacuerdo.</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ANEXO 5 DIAGRAMAS DE FLUJO DE LOS SERVICIOS</w:t>
      </w:r>
    </w:p>
    <w:p w:rsidR="007C4016" w:rsidRPr="00E33083" w:rsidRDefault="007C4016" w:rsidP="007C4016">
      <w:pPr>
        <w:pStyle w:val="IFTnormal"/>
        <w:spacing w:before="240" w:after="0"/>
        <w:rPr>
          <w:b/>
        </w:rPr>
      </w:pPr>
      <w:r>
        <w:rPr>
          <w:b/>
        </w:rPr>
        <w:t>Consideraciones del Instituto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pPr>
      <w:r>
        <w:t xml:space="preserve">El Instituto considera que el ANEXO 5 “DIAGRAMAS DE FLUJO”, no aporta condiciones diferentes o favorables a la Oferta de Referencia Vigente. Al respecto el Instituto considera que si bien los procedimientos contenidos en cada una de las secciones de la Oferta de Referencia y los diagramas de flujo siguen un orden o secuencia de actividades, actualmente es complejo el seguimiento de las actividades en ambas referencias. Se presenta un riesgo de posible interpretación que opere en contradicción entre ambas fuentes de información y en consecuencia una posible inhibición a la competencia atentando contra </w:t>
      </w:r>
      <w:r>
        <w:rPr>
          <w:lang w:val="es-ES"/>
        </w:rPr>
        <w:t xml:space="preserve">la multicitada Medida CUADRAGÉSIMA PRIMERA de las Medidas Fijas. </w:t>
      </w:r>
      <w:r>
        <w:t xml:space="preserve">En este sentido y con la finalidad de evitar confusión en los procedimientos desarrollados en el presente documento, el Instituto determina eliminar el Anexo 5 con los Diagramas </w:t>
      </w:r>
      <w:r>
        <w:lastRenderedPageBreak/>
        <w:t>de Flujo de los Servicios de la Propuesta de Oferta de Referencia presentada por el AEP, en razón de evitar confusiones e imprecisiones innecesarias que actúen en contra de un ambiente de competencia en el sector.</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ANEXO 6 RESTRICCIONES Y POLÍTICAS DE USO PARA LOS SERVICIOS</w:t>
      </w:r>
    </w:p>
    <w:p w:rsidR="007C4016" w:rsidRPr="005A6E22" w:rsidRDefault="007C4016" w:rsidP="007C4016">
      <w:pPr>
        <w:pStyle w:val="IFTnormal"/>
        <w:spacing w:before="240" w:after="0"/>
        <w:rPr>
          <w:b/>
        </w:rPr>
      </w:pPr>
      <w:r w:rsidRPr="005A6E22">
        <w:rPr>
          <w:b/>
        </w:rPr>
        <w:t>Consideraciones del Instituto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rPr>
          <w:lang w:val="es-ES"/>
        </w:rPr>
      </w:pPr>
      <w:r>
        <w:t xml:space="preserve">El Instituto considera que el ANEXO 6 “RESTRICCIONES Y POLITICAS DE USO PARA LOS SERVICIOS”, no aporta condiciones favorables a la Oferta de Referencia Vigente, además de ser reiterativo con el contenido de cada una de las secciones que conforman la Oferta de Referencia, y en algunos casos establece limitantes o restricciones que podrían atentar contra la eficiente prestación de los servicios. En este sentido y con la finalidad de evitar una posible interpretación, duplicidad, confusión y restricciones innecesarias en las actividades y servicios contenidos en la Oferta de Referencia de Compartición de Infraestructura, el Instituto determina eliminar de la Propuesta de Oferta de Referencia presentada por el AEP este Anexo, por no cumplir con condiciones que estén acordes a </w:t>
      </w:r>
      <w:r>
        <w:rPr>
          <w:lang w:val="es-ES"/>
        </w:rPr>
        <w:t>la Medida CUADRAGÉSIMA PRIMERA citada reiteradamente en el presente documento.</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ANEXO 7 CONVENIO</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DECLARACIONES</w:t>
      </w:r>
    </w:p>
    <w:p w:rsidR="007C4016" w:rsidRPr="00BF4959" w:rsidRDefault="007C4016" w:rsidP="007C4016">
      <w:pPr>
        <w:pStyle w:val="IFTnormal"/>
        <w:spacing w:before="240" w:after="0"/>
        <w:rPr>
          <w:b/>
        </w:rPr>
      </w:pPr>
      <w:r w:rsidRPr="00BF4959">
        <w:rPr>
          <w:b/>
        </w:rPr>
        <w:t>Consideraciones del Instituto</w:t>
      </w:r>
    </w:p>
    <w:p w:rsidR="007C4016" w:rsidRDefault="007C4016" w:rsidP="007C4016">
      <w:pPr>
        <w:pStyle w:val="IFTnormal"/>
        <w:spacing w:before="240" w:after="0"/>
        <w:rPr>
          <w:b/>
          <w:lang w:val="es-ES"/>
        </w:rPr>
      </w:pPr>
      <w:r w:rsidRPr="00F44994">
        <w:rPr>
          <w:b/>
          <w:lang w:val="es-ES"/>
        </w:rPr>
        <w:t>CASO 1</w:t>
      </w:r>
      <w:r>
        <w:rPr>
          <w:b/>
          <w:lang w:val="es-ES"/>
        </w:rPr>
        <w:t xml:space="preserve"> </w:t>
      </w:r>
      <w:r w:rsidRPr="002802DB">
        <w:rPr>
          <w:b/>
        </w:rPr>
        <w:t>Cambio</w:t>
      </w:r>
      <w:r>
        <w:rPr>
          <w:b/>
        </w:rPr>
        <w:t xml:space="preserve">s que recuperan la redacción del Convenio de </w:t>
      </w:r>
      <w:r w:rsidRPr="002802DB">
        <w:rPr>
          <w:b/>
        </w:rPr>
        <w:t>la Oferta de Referencia Vigente</w:t>
      </w:r>
      <w:r w:rsidRPr="002802DB">
        <w:rPr>
          <w:b/>
          <w:lang w:val="es-ES"/>
        </w:rPr>
        <w:t>.</w:t>
      </w:r>
    </w:p>
    <w:p w:rsidR="007C4016" w:rsidRPr="00F0621F" w:rsidRDefault="007C4016" w:rsidP="007C4016">
      <w:pPr>
        <w:pStyle w:val="IFTnormal"/>
        <w:spacing w:before="240" w:after="0"/>
        <w:rPr>
          <w:b/>
          <w:lang w:val="es-ES"/>
        </w:rPr>
      </w:pPr>
      <w:r w:rsidRPr="00F0621F">
        <w:rPr>
          <w:lang w:val="es-ES"/>
        </w:rPr>
        <w:t xml:space="preserve">Dentro de las Declaraciones </w:t>
      </w:r>
      <w:r>
        <w:rPr>
          <w:lang w:val="es-ES"/>
        </w:rPr>
        <w:t xml:space="preserve">de la Propuesta de Convenio de la Oferta de Referencia, </w:t>
      </w:r>
      <w:r w:rsidRPr="00F0621F">
        <w:rPr>
          <w:lang w:val="es-ES"/>
        </w:rPr>
        <w:t>en el numeral I “</w:t>
      </w:r>
      <w:r w:rsidRPr="00F0621F">
        <w:rPr>
          <w:i/>
          <w:lang w:val="es-ES"/>
        </w:rPr>
        <w:t>Declara el CONCESIONARIO SOLICITANTE</w:t>
      </w:r>
      <w:r w:rsidRPr="00F0621F">
        <w:rPr>
          <w:lang w:val="es-ES"/>
        </w:rPr>
        <w:t>”</w:t>
      </w:r>
      <w:r>
        <w:rPr>
          <w:rFonts w:eastAsiaTheme="minorHAnsi" w:cs="Arial"/>
          <w:lang w:val="es-ES"/>
        </w:rPr>
        <w:t>,</w:t>
      </w:r>
      <w:r w:rsidRPr="00F44994">
        <w:rPr>
          <w:rFonts w:eastAsiaTheme="minorHAnsi" w:cs="Arial"/>
          <w:lang w:val="es-ES"/>
        </w:rPr>
        <w:t xml:space="preserve"> el AEP </w:t>
      </w:r>
      <w:r>
        <w:rPr>
          <w:rFonts w:eastAsiaTheme="minorHAnsi" w:cs="Arial"/>
          <w:lang w:val="es-ES"/>
        </w:rPr>
        <w:t>elimina el inciso c) respecto del contenido del convenio vigente.</w:t>
      </w:r>
    </w:p>
    <w:p w:rsidR="007C4016" w:rsidRPr="00A71EE7" w:rsidRDefault="007C4016" w:rsidP="007C4016">
      <w:pPr>
        <w:pStyle w:val="IFTnormal"/>
        <w:spacing w:before="240" w:after="0"/>
        <w:rPr>
          <w:b/>
          <w:u w:val="single"/>
        </w:rPr>
      </w:pPr>
      <w:r w:rsidRPr="00A71EE7">
        <w:rPr>
          <w:b/>
          <w:u w:val="single"/>
        </w:rPr>
        <w:t>Análisis de la Propuesta de Convenio</w:t>
      </w:r>
    </w:p>
    <w:p w:rsidR="007C4016" w:rsidRDefault="007C4016" w:rsidP="007C4016">
      <w:pPr>
        <w:pStyle w:val="IFTnormal"/>
        <w:spacing w:before="240" w:after="0"/>
        <w:rPr>
          <w:lang w:val="es-ES"/>
        </w:rPr>
      </w:pPr>
      <w:r w:rsidRPr="00F44994">
        <w:rPr>
          <w:lang w:val="es-ES"/>
        </w:rPr>
        <w:t xml:space="preserve">El Instituto considera </w:t>
      </w:r>
      <w:r>
        <w:rPr>
          <w:lang w:val="es-ES"/>
        </w:rPr>
        <w:t xml:space="preserve">que la eliminación del inciso c) dentro de la Propuesta de Convenio respecto del convenio vigente no es procedente, ya que se establece la </w:t>
      </w:r>
      <w:r>
        <w:rPr>
          <w:lang w:val="es-ES"/>
        </w:rPr>
        <w:lastRenderedPageBreak/>
        <w:t xml:space="preserve">relación del objeto social de las partes con la prestación de los servicios establecidos dentro de la Oferta de Referencia. </w:t>
      </w:r>
    </w:p>
    <w:p w:rsidR="007C4016" w:rsidRDefault="007C4016" w:rsidP="007C4016">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 de las “DECLARACIONES” se recupera del Convenio de la Oferta de Referencia vigente.</w:t>
      </w:r>
    </w:p>
    <w:p w:rsidR="007C4016" w:rsidRPr="00F44994" w:rsidRDefault="007C4016" w:rsidP="007C4016">
      <w:pPr>
        <w:pStyle w:val="IFTnormal"/>
        <w:spacing w:before="240" w:after="0"/>
        <w:rPr>
          <w:b/>
          <w:lang w:val="es-ES"/>
        </w:rPr>
      </w:pPr>
      <w:r w:rsidRPr="00F44994">
        <w:rPr>
          <w:b/>
          <w:lang w:val="es-ES"/>
        </w:rPr>
        <w:t>Redacción Definitiva</w:t>
      </w:r>
    </w:p>
    <w:p w:rsidR="007C4016" w:rsidRPr="00805C28" w:rsidRDefault="007C4016" w:rsidP="007C4016">
      <w:pPr>
        <w:pStyle w:val="CondicionesFinales"/>
        <w:spacing w:before="240" w:after="0"/>
      </w:pPr>
      <w:r w:rsidRPr="00805C28">
        <w:t>DECLARACIONES</w:t>
      </w:r>
    </w:p>
    <w:p w:rsidR="007C4016" w:rsidRPr="000B76EC" w:rsidRDefault="007C4016" w:rsidP="007C4016">
      <w:pPr>
        <w:pStyle w:val="CondicionesFinales"/>
        <w:spacing w:before="240" w:after="0"/>
        <w:rPr>
          <w:lang w:val="es-MX"/>
        </w:rPr>
      </w:pPr>
      <w:r w:rsidRPr="000B76EC">
        <w:rPr>
          <w:lang w:val="es-MX"/>
        </w:rPr>
        <w:t>I.- Declara el CONCESIONARIO SOLICITANTE</w:t>
      </w:r>
      <w:r>
        <w:rPr>
          <w:lang w:val="es-MX"/>
        </w:rPr>
        <w:t xml:space="preserve"> que:</w:t>
      </w:r>
    </w:p>
    <w:p w:rsidR="007C4016" w:rsidRPr="000B76EC" w:rsidRDefault="007C4016" w:rsidP="007C4016">
      <w:pPr>
        <w:pStyle w:val="CondicionesFinales"/>
        <w:spacing w:before="240" w:after="0"/>
        <w:rPr>
          <w:lang w:val="es-MX"/>
        </w:rPr>
      </w:pPr>
      <w:r w:rsidRPr="000B76EC">
        <w:rPr>
          <w:lang w:val="es-MX"/>
        </w:rPr>
        <w:t>[…]</w:t>
      </w:r>
    </w:p>
    <w:p w:rsidR="007C4016" w:rsidRPr="000B76EC" w:rsidRDefault="007C4016" w:rsidP="007C4016">
      <w:pPr>
        <w:pStyle w:val="CondicionesFinales"/>
        <w:spacing w:before="240" w:after="0"/>
        <w:rPr>
          <w:lang w:val="es-MX"/>
        </w:rPr>
      </w:pPr>
      <w:r w:rsidRPr="000B76EC">
        <w:rPr>
          <w:lang w:val="es-MX"/>
        </w:rPr>
        <w:tab/>
        <w:t>c)</w:t>
      </w:r>
      <w:r w:rsidRPr="000B76EC">
        <w:rPr>
          <w:lang w:val="es-MX"/>
        </w:rPr>
        <w:tab/>
        <w:t>Dentro de su objeto social, está incluida la celebración del presente CONVENIO.</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DECLARACIONES</w:t>
      </w:r>
    </w:p>
    <w:p w:rsidR="007C4016" w:rsidRPr="00F44994" w:rsidRDefault="007C4016" w:rsidP="007C4016">
      <w:pPr>
        <w:pStyle w:val="IFTnormal"/>
        <w:spacing w:before="240" w:after="0"/>
        <w:rPr>
          <w:b/>
          <w:lang w:val="es-ES"/>
        </w:rPr>
      </w:pPr>
      <w:r w:rsidRPr="00F44994">
        <w:rPr>
          <w:b/>
          <w:lang w:val="es-ES"/>
        </w:rPr>
        <w:t>Consideraciones del Instituto</w:t>
      </w:r>
    </w:p>
    <w:p w:rsidR="007C4016" w:rsidRDefault="007C4016" w:rsidP="007C4016">
      <w:pPr>
        <w:pStyle w:val="IFTnormal"/>
        <w:spacing w:before="240" w:after="0"/>
        <w:rPr>
          <w:b/>
          <w:lang w:val="es-ES"/>
        </w:rPr>
      </w:pPr>
      <w:r w:rsidRPr="00F44994">
        <w:rPr>
          <w:b/>
          <w:lang w:val="es-ES"/>
        </w:rPr>
        <w:t xml:space="preserve">CASO 1.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Default="007C4016" w:rsidP="007C4016">
      <w:pPr>
        <w:pStyle w:val="IFTnormal"/>
        <w:spacing w:before="240" w:after="0"/>
        <w:rPr>
          <w:b/>
        </w:rPr>
      </w:pPr>
      <w:r w:rsidRPr="00F0621F">
        <w:rPr>
          <w:lang w:val="es-ES"/>
        </w:rPr>
        <w:t>Dentro de las Declaraciones en el numeral I “</w:t>
      </w:r>
      <w:r w:rsidRPr="00F0621F">
        <w:rPr>
          <w:i/>
          <w:lang w:val="es-ES"/>
        </w:rPr>
        <w:t>Declara el CONCESIONARIO SOLICITANTE</w:t>
      </w:r>
      <w:r w:rsidRPr="00F0621F">
        <w:rPr>
          <w:lang w:val="es-ES"/>
        </w:rPr>
        <w:t>”</w:t>
      </w:r>
      <w:r>
        <w:rPr>
          <w:rFonts w:eastAsiaTheme="minorHAnsi" w:cs="Arial"/>
          <w:lang w:val="es-ES"/>
        </w:rPr>
        <w:t>,</w:t>
      </w:r>
      <w:r w:rsidRPr="00F44994">
        <w:rPr>
          <w:rFonts w:eastAsiaTheme="minorHAnsi" w:cs="Arial"/>
          <w:lang w:val="es-ES"/>
        </w:rPr>
        <w:t xml:space="preserve"> el AEP en su </w:t>
      </w:r>
      <w:r>
        <w:rPr>
          <w:rFonts w:eastAsiaTheme="minorHAnsi" w:cs="Arial"/>
          <w:lang w:val="es-ES"/>
        </w:rPr>
        <w:t>Propuesta</w:t>
      </w:r>
      <w:r w:rsidRPr="00F44994">
        <w:rPr>
          <w:rFonts w:eastAsiaTheme="minorHAnsi" w:cs="Arial"/>
          <w:lang w:val="es-ES"/>
        </w:rPr>
        <w:t xml:space="preserve"> de </w:t>
      </w:r>
      <w:r>
        <w:rPr>
          <w:rFonts w:eastAsiaTheme="minorHAnsi" w:cs="Arial"/>
          <w:lang w:val="es-ES"/>
        </w:rPr>
        <w:t>Convenio de la Oferta de Referencia</w:t>
      </w:r>
      <w:r w:rsidRPr="00F44994">
        <w:rPr>
          <w:rFonts w:eastAsiaTheme="minorHAnsi" w:cs="Arial"/>
          <w:lang w:val="es-ES"/>
        </w:rPr>
        <w:t xml:space="preserve"> </w:t>
      </w:r>
      <w:r>
        <w:rPr>
          <w:rFonts w:eastAsiaTheme="minorHAnsi" w:cs="Arial"/>
          <w:lang w:val="es-ES"/>
        </w:rPr>
        <w:t xml:space="preserve">en su inciso C) modifica el contenido de dicho inciso respecto del </w:t>
      </w:r>
      <w:r>
        <w:rPr>
          <w:lang w:val="es-ES"/>
        </w:rPr>
        <w:t>Convenio de la Oferta de Referencia vigente de la siguiente manera</w:t>
      </w:r>
      <w:r>
        <w:rPr>
          <w:rFonts w:eastAsiaTheme="minorHAnsi" w:cs="Arial"/>
          <w:lang w:val="es-ES"/>
        </w:rPr>
        <w:t>:</w:t>
      </w:r>
      <w:r w:rsidRPr="00F44994">
        <w:rPr>
          <w:b/>
        </w:rPr>
        <w:t xml:space="preserve"> </w:t>
      </w:r>
    </w:p>
    <w:p w:rsidR="007C4016" w:rsidRPr="00360C2D" w:rsidRDefault="007C4016" w:rsidP="007C4016">
      <w:pPr>
        <w:pStyle w:val="IFTcita"/>
        <w:spacing w:before="240" w:after="0"/>
        <w:rPr>
          <w:b w:val="0"/>
        </w:rPr>
      </w:pPr>
      <w:r w:rsidRPr="00360C2D">
        <w:rPr>
          <w:b w:val="0"/>
        </w:rPr>
        <w:t>“[…]</w:t>
      </w:r>
    </w:p>
    <w:p w:rsidR="007C4016" w:rsidRPr="00B4285E" w:rsidRDefault="007C4016" w:rsidP="007C4016">
      <w:pPr>
        <w:pStyle w:val="IFTcita"/>
        <w:spacing w:before="240" w:after="0"/>
        <w:rPr>
          <w:b w:val="0"/>
        </w:rPr>
      </w:pPr>
      <w:r w:rsidRPr="00B4285E">
        <w:rPr>
          <w:b w:val="0"/>
        </w:rPr>
        <w:t>c) 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CONVENIO”</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Default="007C4016" w:rsidP="007C4016">
      <w:pPr>
        <w:pStyle w:val="IFTnormal"/>
        <w:spacing w:before="240" w:after="0"/>
        <w:rPr>
          <w:lang w:val="es-ES"/>
        </w:rPr>
      </w:pPr>
      <w:r>
        <w:lastRenderedPageBreak/>
        <w:t xml:space="preserve">De la propuesta realizada por el AEP se advierte que la modificación realizada limita y restringe a los CS el derecho </w:t>
      </w:r>
      <w:r w:rsidRPr="00127D26">
        <w:t>a ejercer acciones legales en caso de considerarlas pertinentes</w:t>
      </w:r>
      <w:r>
        <w:t xml:space="preserve">, cuartando el derecho a presentar inconformidades o quejas relacionadas al servicio proporcionado por el AEP; por lo que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correspondiente de las “DECLARACIONES” se recupera del Convenio de la Oferta de Referencia vigente.</w:t>
      </w:r>
    </w:p>
    <w:p w:rsidR="007C4016" w:rsidRDefault="007C4016" w:rsidP="007C4016">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 de las “DECLARACIONES” se recupera del Convenio de la Oferta de Referencia vigente.</w:t>
      </w:r>
    </w:p>
    <w:p w:rsidR="007C4016" w:rsidRPr="00D138E3" w:rsidRDefault="007C4016" w:rsidP="007C4016">
      <w:pPr>
        <w:pStyle w:val="IFTnormal"/>
        <w:spacing w:before="240" w:after="0"/>
        <w:rPr>
          <w:b/>
        </w:rPr>
      </w:pPr>
      <w:r w:rsidRPr="00D138E3">
        <w:rPr>
          <w:b/>
        </w:rPr>
        <w:t>Redacción definitiva</w:t>
      </w:r>
    </w:p>
    <w:p w:rsidR="007C4016" w:rsidRPr="00805C28" w:rsidRDefault="007C4016" w:rsidP="007C4016">
      <w:pPr>
        <w:pStyle w:val="CondicionesFinales"/>
        <w:spacing w:before="240" w:after="0"/>
      </w:pPr>
      <w:r w:rsidRPr="00805C28">
        <w:t>DECLARACIONES</w:t>
      </w:r>
    </w:p>
    <w:p w:rsidR="007C4016" w:rsidRDefault="007C4016" w:rsidP="007C4016">
      <w:pPr>
        <w:pStyle w:val="CondicionesFinales"/>
        <w:spacing w:before="240" w:after="0"/>
      </w:pPr>
      <w:r w:rsidRPr="00597A7A">
        <w:t>I.- Declara el CONCE</w:t>
      </w:r>
      <w:r>
        <w:t>SIONARIO SOLICITANTE que:</w:t>
      </w:r>
    </w:p>
    <w:p w:rsidR="007C4016" w:rsidRDefault="007C4016" w:rsidP="007C4016">
      <w:pPr>
        <w:pStyle w:val="CondicionesFinales"/>
        <w:spacing w:before="240" w:after="0"/>
      </w:pPr>
      <w:r>
        <w:t>[…]</w:t>
      </w:r>
    </w:p>
    <w:p w:rsidR="007C4016" w:rsidRDefault="007C4016" w:rsidP="007C4016">
      <w:pPr>
        <w:pStyle w:val="CondicionesFinales"/>
        <w:spacing w:before="240" w:after="0"/>
      </w:pPr>
      <w:r>
        <w:t xml:space="preserve">d) </w:t>
      </w:r>
      <w:r w:rsidRPr="00597A7A">
        <w:t>Utilizará los servicios objeto de</w:t>
      </w:r>
      <w:r>
        <w:t xml:space="preserve"> la Oferta de Referencia</w:t>
      </w:r>
      <w:r w:rsidRPr="00597A7A">
        <w:t xml:space="preserve"> los fines que en cada caso se establezcan en </w:t>
      </w:r>
      <w:r>
        <w:t>el</w:t>
      </w:r>
      <w:r w:rsidRPr="00597A7A">
        <w:t xml:space="preserve"> Anexo correspondiente, </w:t>
      </w:r>
      <w:r>
        <w:t>el cual</w:t>
      </w:r>
      <w:r w:rsidRPr="00597A7A">
        <w:t xml:space="preserve"> firmado por </w:t>
      </w:r>
      <w:r>
        <w:t>TELNOR</w:t>
      </w:r>
      <w:r w:rsidRPr="00597A7A">
        <w:t xml:space="preserve"> y el CONCESIONARIO SOLICITANTE se agregan al presente instrumento, como si a la letra se insertasen</w:t>
      </w:r>
      <w:r>
        <w:t>.</w:t>
      </w:r>
    </w:p>
    <w:p w:rsidR="007C4016" w:rsidRPr="00BF4959" w:rsidRDefault="007C4016" w:rsidP="007C4016">
      <w:pPr>
        <w:pStyle w:val="IFTnormal"/>
        <w:spacing w:before="240" w:after="0"/>
        <w:rPr>
          <w:b/>
        </w:rPr>
      </w:pPr>
      <w:r w:rsidRPr="00BF4959">
        <w:rPr>
          <w:b/>
        </w:rPr>
        <w:t>Consideraciones del Instituto</w:t>
      </w:r>
    </w:p>
    <w:p w:rsidR="007C4016" w:rsidRPr="007044D8" w:rsidRDefault="007C4016" w:rsidP="007C4016">
      <w:pPr>
        <w:pStyle w:val="IFTnormal"/>
        <w:spacing w:before="240" w:after="0"/>
        <w:rPr>
          <w:b/>
        </w:rPr>
      </w:pPr>
      <w:r w:rsidRPr="00F44994">
        <w:rPr>
          <w:b/>
          <w:lang w:val="es-ES"/>
        </w:rPr>
        <w:t xml:space="preserve">CASO </w:t>
      </w:r>
      <w:r>
        <w:rPr>
          <w:b/>
          <w:lang w:val="es-ES"/>
        </w:rPr>
        <w:t xml:space="preserve">2 </w:t>
      </w:r>
      <w:r w:rsidRPr="002802DB">
        <w:rPr>
          <w:b/>
          <w:lang w:val="es-ES"/>
        </w:rPr>
        <w:t xml:space="preserve">Cambios que </w:t>
      </w:r>
      <w:r w:rsidRPr="002802DB">
        <w:rPr>
          <w:b/>
        </w:rPr>
        <w:t>modifican la redacción de</w:t>
      </w:r>
      <w:r>
        <w:rPr>
          <w:b/>
        </w:rPr>
        <w:t>l Convenio de</w:t>
      </w:r>
      <w:r w:rsidRPr="002802DB">
        <w:rPr>
          <w:b/>
        </w:rPr>
        <w:t xml:space="preserve"> la Propuesta de Oferta de Referencia.</w:t>
      </w:r>
    </w:p>
    <w:p w:rsidR="007C4016" w:rsidRDefault="007C4016" w:rsidP="007C4016">
      <w:pPr>
        <w:pStyle w:val="IFTnormal"/>
        <w:spacing w:before="240" w:after="0"/>
        <w:rPr>
          <w:rFonts w:eastAsiaTheme="minorHAnsi" w:cs="Arial"/>
          <w:lang w:val="es-ES"/>
        </w:rPr>
      </w:pPr>
      <w:r w:rsidRPr="00F0621F">
        <w:rPr>
          <w:lang w:val="es-ES"/>
        </w:rPr>
        <w:t>Dentro de las Declaraciones en el numeral I “</w:t>
      </w:r>
      <w:r w:rsidRPr="00F0621F">
        <w:rPr>
          <w:i/>
          <w:lang w:val="es-ES"/>
        </w:rPr>
        <w:t>Declara el CONCESIONARIO SOLICITANTE</w:t>
      </w:r>
      <w:r w:rsidRPr="00F0621F">
        <w:rPr>
          <w:lang w:val="es-ES"/>
        </w:rPr>
        <w:t>”</w:t>
      </w:r>
      <w:r>
        <w:rPr>
          <w:rFonts w:eastAsiaTheme="minorHAnsi" w:cs="Arial"/>
          <w:lang w:val="es-ES"/>
        </w:rPr>
        <w:t>,</w:t>
      </w:r>
      <w:r w:rsidRPr="00F44994">
        <w:rPr>
          <w:rFonts w:eastAsiaTheme="minorHAnsi" w:cs="Arial"/>
          <w:lang w:val="es-ES"/>
        </w:rPr>
        <w:t xml:space="preserve"> 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w:t>
      </w:r>
      <w:r w:rsidRPr="00F44994">
        <w:rPr>
          <w:rFonts w:eastAsiaTheme="minorHAnsi" w:cs="Arial"/>
          <w:lang w:val="es-ES"/>
        </w:rPr>
        <w:t xml:space="preserve"> </w:t>
      </w:r>
      <w:r>
        <w:rPr>
          <w:rFonts w:eastAsiaTheme="minorHAnsi" w:cs="Arial"/>
          <w:lang w:val="es-ES"/>
        </w:rPr>
        <w:t>agrega el inciso d) el cual establece lo siguiente:</w:t>
      </w:r>
    </w:p>
    <w:p w:rsidR="007C4016" w:rsidRPr="004F48C0" w:rsidRDefault="007C4016" w:rsidP="007C4016">
      <w:pPr>
        <w:pStyle w:val="IFTcita"/>
        <w:spacing w:before="240" w:after="0"/>
        <w:rPr>
          <w:rFonts w:cs="Arial"/>
          <w:b w:val="0"/>
        </w:rPr>
      </w:pPr>
      <w:r w:rsidRPr="004F48C0">
        <w:rPr>
          <w:b w:val="0"/>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rsidR="007C4016" w:rsidRPr="00B27D5E" w:rsidRDefault="007C4016" w:rsidP="007C4016">
      <w:pPr>
        <w:pStyle w:val="IFTnormal"/>
        <w:spacing w:before="240" w:after="0"/>
        <w:rPr>
          <w:b/>
          <w:lang w:val="es-ES"/>
        </w:rPr>
      </w:pPr>
      <w:r w:rsidRPr="00B27D5E">
        <w:rPr>
          <w:b/>
          <w:lang w:val="es-ES"/>
        </w:rPr>
        <w:lastRenderedPageBreak/>
        <w:t xml:space="preserve">Análisis de la Propuesta </w:t>
      </w:r>
      <w:r>
        <w:rPr>
          <w:b/>
          <w:lang w:val="es-ES"/>
        </w:rPr>
        <w:t>de Convenio</w:t>
      </w:r>
    </w:p>
    <w:p w:rsidR="007C4016" w:rsidRDefault="007C4016" w:rsidP="007C4016">
      <w:pPr>
        <w:pStyle w:val="IFTnormal"/>
        <w:spacing w:before="240" w:after="0"/>
      </w:pPr>
      <w:r>
        <w:t>Del análisis realizado a la Propuesta de Convenio de la Oferta de Referencia se desprende que la información agregada por el AEP no versa sobre los servicios contenidos dentro de la Oferta de Referencia y podría inhibir la competencia o</w:t>
      </w:r>
      <w:r w:rsidRPr="00DA1903">
        <w:t xml:space="preserve"> </w:t>
      </w:r>
      <w:r>
        <w:t>atentar contra</w:t>
      </w:r>
      <w:r w:rsidRPr="00DA1903">
        <w:t xml:space="preserve"> la correcta y eficiente prestación de los servicios</w:t>
      </w:r>
      <w:r>
        <w:t>.</w:t>
      </w:r>
      <w:r w:rsidRPr="00DA1903">
        <w:t xml:space="preserve"> </w:t>
      </w:r>
    </w:p>
    <w:p w:rsidR="007C4016" w:rsidRDefault="007C4016" w:rsidP="007C4016">
      <w:pPr>
        <w:pStyle w:val="IFTnormal"/>
        <w:spacing w:before="240" w:after="0"/>
      </w:pPr>
      <w:r>
        <w:t xml:space="preserve">De igual forma las relaciones laborales del CS no son reguladas por el Instituto y se rigen por ordenamientos distintos a los contemplados en la </w:t>
      </w:r>
      <w:r w:rsidDel="00931D01">
        <w:t>LFTyR</w:t>
      </w:r>
      <w:r>
        <w:t>,</w:t>
      </w:r>
      <w:r w:rsidRPr="00ED0825">
        <w:t xml:space="preserve"> </w:t>
      </w:r>
      <w:r>
        <w:t>por lo que no debe formar parte del Convenio.</w:t>
      </w:r>
    </w:p>
    <w:p w:rsidR="007C4016" w:rsidRPr="00D138E3" w:rsidRDefault="007C4016" w:rsidP="007C4016">
      <w:pPr>
        <w:pStyle w:val="IFTnormal"/>
        <w:spacing w:before="240" w:after="0"/>
        <w:rPr>
          <w:b/>
        </w:rPr>
      </w:pPr>
      <w:r w:rsidRPr="00D138E3">
        <w:rPr>
          <w:b/>
        </w:rPr>
        <w:t>Redacción definitiva</w:t>
      </w:r>
    </w:p>
    <w:p w:rsidR="007C4016" w:rsidRPr="00EF35B0" w:rsidRDefault="007C4016" w:rsidP="007C4016">
      <w:pPr>
        <w:pStyle w:val="IFTnormal"/>
        <w:spacing w:before="240" w:after="0"/>
      </w:pPr>
      <w:r w:rsidRPr="00EF35B0">
        <w:t>Derivado del análisis previo, el Instituto acuerda eliminar el apartado en comento del Convenio.</w:t>
      </w:r>
    </w:p>
    <w:p w:rsidR="007C4016" w:rsidRPr="00BF4959" w:rsidRDefault="007C4016" w:rsidP="007C4016">
      <w:pPr>
        <w:pStyle w:val="IFTnormal"/>
        <w:spacing w:before="240" w:after="0"/>
        <w:rPr>
          <w:b/>
        </w:rPr>
      </w:pPr>
      <w:r w:rsidRPr="00BF4959">
        <w:rPr>
          <w:b/>
        </w:rPr>
        <w:t>Consideraciones del Instituto</w:t>
      </w:r>
    </w:p>
    <w:p w:rsidR="007C4016" w:rsidRDefault="007C4016" w:rsidP="007C4016">
      <w:pPr>
        <w:pStyle w:val="IFTnormal"/>
        <w:spacing w:before="240" w:after="0"/>
        <w:rPr>
          <w:b/>
          <w:lang w:val="es-ES"/>
        </w:rPr>
      </w:pPr>
      <w:r w:rsidRPr="00F44994">
        <w:rPr>
          <w:b/>
          <w:lang w:val="es-ES"/>
        </w:rPr>
        <w:t>CASO 1</w:t>
      </w:r>
      <w:r>
        <w:rPr>
          <w:b/>
          <w:lang w:val="es-ES"/>
        </w:rPr>
        <w:t xml:space="preserve"> </w:t>
      </w:r>
      <w:r w:rsidRPr="002802DB">
        <w:rPr>
          <w:b/>
        </w:rPr>
        <w:t>Cambios que recuperan la redacción de</w:t>
      </w:r>
      <w:r>
        <w:rPr>
          <w:b/>
        </w:rPr>
        <w:t>l Convenio de</w:t>
      </w:r>
      <w:r w:rsidRPr="002802DB">
        <w:rPr>
          <w:b/>
        </w:rPr>
        <w:t xml:space="preserve"> la Oferta de Referencia Vigente</w:t>
      </w:r>
      <w:r>
        <w:rPr>
          <w:b/>
          <w:lang w:val="es-ES"/>
        </w:rPr>
        <w:t>.</w:t>
      </w:r>
    </w:p>
    <w:p w:rsidR="007C4016" w:rsidRDefault="007C4016" w:rsidP="007C4016">
      <w:pPr>
        <w:pStyle w:val="IFTnormal"/>
        <w:spacing w:before="240" w:after="0"/>
        <w:rPr>
          <w:rFonts w:eastAsiaTheme="minorHAnsi" w:cs="Arial"/>
          <w:lang w:val="es-ES"/>
        </w:rPr>
      </w:pPr>
      <w:r w:rsidRPr="00F0621F">
        <w:rPr>
          <w:lang w:val="es-ES"/>
        </w:rPr>
        <w:t>Dentro de las Declaraciones en el numeral I “</w:t>
      </w:r>
      <w:r w:rsidRPr="00F0621F">
        <w:rPr>
          <w:i/>
          <w:lang w:val="es-ES"/>
        </w:rPr>
        <w:t>Declara el CONCESIONARIO SOLICITANTE</w:t>
      </w:r>
      <w:r w:rsidRPr="00F0621F">
        <w:rPr>
          <w:lang w:val="es-ES"/>
        </w:rPr>
        <w:t>”</w:t>
      </w:r>
      <w:r>
        <w:rPr>
          <w:rFonts w:eastAsiaTheme="minorHAnsi" w:cs="Arial"/>
          <w:lang w:val="es-ES"/>
        </w:rPr>
        <w:t>,</w:t>
      </w:r>
      <w:r w:rsidRPr="00F44994">
        <w:rPr>
          <w:rFonts w:eastAsiaTheme="minorHAnsi" w:cs="Arial"/>
          <w:lang w:val="es-ES"/>
        </w:rPr>
        <w:t xml:space="preserve"> 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w:t>
      </w:r>
      <w:r w:rsidRPr="00F44994">
        <w:rPr>
          <w:rFonts w:eastAsiaTheme="minorHAnsi" w:cs="Arial"/>
          <w:lang w:val="es-ES"/>
        </w:rPr>
        <w:t xml:space="preserve"> </w:t>
      </w:r>
      <w:r>
        <w:rPr>
          <w:rFonts w:eastAsiaTheme="minorHAnsi" w:cs="Arial"/>
          <w:lang w:val="es-ES"/>
        </w:rPr>
        <w:t>eliminó el inciso e) del Convenio de la Oferta de Referencia Vigente.</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Default="007C4016" w:rsidP="007C4016">
      <w:pPr>
        <w:pStyle w:val="IFTnormal"/>
        <w:spacing w:before="240" w:after="0"/>
        <w:rPr>
          <w:rFonts w:eastAsiaTheme="minorHAnsi" w:cs="Arial"/>
          <w:lang w:val="es-ES"/>
        </w:rPr>
      </w:pPr>
      <w:r>
        <w:rPr>
          <w:rFonts w:eastAsiaTheme="minorHAnsi" w:cs="Arial"/>
          <w:lang w:val="es-ES"/>
        </w:rPr>
        <w:t xml:space="preserve">Del análisis realizado se desprende que el inciso e) del Convenio de la Oferta de Referencia Vigente debe formar parte del Convenio ya que es importante que las partes conozcan el domicilio fiscal de las empresas relacionadas con la prestación de los servicios, </w:t>
      </w:r>
      <w:r>
        <w:t xml:space="preserve">por lo que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correspondiente de las “DECLARACIONES” se recupera del Convenio de la Oferta de Referencia vigente</w:t>
      </w:r>
      <w:r>
        <w:rPr>
          <w:rFonts w:eastAsiaTheme="minorHAnsi" w:cs="Arial"/>
          <w:lang w:val="es-ES"/>
        </w:rPr>
        <w:t>.</w:t>
      </w:r>
    </w:p>
    <w:p w:rsidR="007C4016" w:rsidRPr="00C65A3B" w:rsidRDefault="007C4016" w:rsidP="007C4016">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 de las “DECLARACIONES” se recupera del Convenio de la Oferta de Referencia vigente.</w:t>
      </w:r>
    </w:p>
    <w:p w:rsidR="007C4016" w:rsidRPr="00D138E3" w:rsidRDefault="007C4016" w:rsidP="007C4016">
      <w:pPr>
        <w:pStyle w:val="IFTnormal"/>
        <w:spacing w:before="240" w:after="0"/>
        <w:rPr>
          <w:b/>
        </w:rPr>
      </w:pPr>
      <w:r w:rsidRPr="00D138E3">
        <w:rPr>
          <w:b/>
        </w:rPr>
        <w:lastRenderedPageBreak/>
        <w:t>Redacción definitiva</w:t>
      </w:r>
    </w:p>
    <w:p w:rsidR="007C4016" w:rsidRPr="00805C28" w:rsidRDefault="007C4016" w:rsidP="007C4016">
      <w:pPr>
        <w:pStyle w:val="CondicionesFinales"/>
        <w:spacing w:before="240" w:after="0"/>
      </w:pPr>
      <w:r w:rsidRPr="00805C28">
        <w:t>DECLARACIONES</w:t>
      </w:r>
    </w:p>
    <w:p w:rsidR="007C4016" w:rsidRDefault="007C4016" w:rsidP="007C4016">
      <w:pPr>
        <w:pStyle w:val="CondicionesFinales"/>
        <w:spacing w:before="240" w:after="0"/>
      </w:pPr>
      <w:r w:rsidRPr="00597A7A">
        <w:t>I.- Declara el CONCE</w:t>
      </w:r>
      <w:r>
        <w:t>SIONARIO SOLICITANTE que:</w:t>
      </w:r>
    </w:p>
    <w:p w:rsidR="007C4016" w:rsidRDefault="007C4016" w:rsidP="007C4016">
      <w:pPr>
        <w:pStyle w:val="CondicionesFinales"/>
        <w:spacing w:before="240" w:after="0"/>
      </w:pPr>
      <w:r>
        <w:t>[…]</w:t>
      </w:r>
    </w:p>
    <w:p w:rsidR="007C4016" w:rsidRPr="00F26459" w:rsidRDefault="007C4016" w:rsidP="007C4016">
      <w:pPr>
        <w:pStyle w:val="CondicionesFinales"/>
        <w:spacing w:before="240" w:after="0"/>
      </w:pPr>
      <w:r>
        <w:t xml:space="preserve">e) </w:t>
      </w:r>
      <w:r w:rsidRPr="00F26459">
        <w:t>Tiene su domicilio en XXXXXXXXXXXXXXXXXXXXXXXXXXXXXXXX.</w:t>
      </w:r>
    </w:p>
    <w:p w:rsidR="007C4016" w:rsidRPr="00BF4959" w:rsidRDefault="007C4016" w:rsidP="007C4016">
      <w:pPr>
        <w:pStyle w:val="IFTnormal"/>
        <w:spacing w:before="240" w:after="0"/>
        <w:rPr>
          <w:b/>
        </w:rPr>
      </w:pPr>
      <w:r w:rsidRPr="00BF4959">
        <w:rPr>
          <w:b/>
        </w:rPr>
        <w:t>Consideraciones del Instituto</w:t>
      </w:r>
    </w:p>
    <w:p w:rsidR="007C4016" w:rsidRDefault="007C4016" w:rsidP="007C4016">
      <w:pPr>
        <w:pStyle w:val="IFTnormal"/>
        <w:spacing w:before="240" w:after="0"/>
        <w:rPr>
          <w:b/>
          <w:lang w:val="es-ES"/>
        </w:rPr>
      </w:pPr>
      <w:r w:rsidRPr="00F44994">
        <w:rPr>
          <w:b/>
          <w:lang w:val="es-ES"/>
        </w:rPr>
        <w:t>CASO 1</w:t>
      </w:r>
      <w:r>
        <w:rPr>
          <w:b/>
          <w:lang w:val="es-ES"/>
        </w:rPr>
        <w:t xml:space="preserve">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Default="007C4016" w:rsidP="007C4016">
      <w:pPr>
        <w:pStyle w:val="IFTnormal"/>
        <w:spacing w:before="240" w:after="0"/>
        <w:rPr>
          <w:rFonts w:eastAsiaTheme="minorHAnsi" w:cs="Arial"/>
          <w:lang w:val="es-ES"/>
        </w:rPr>
      </w:pPr>
      <w:r w:rsidRPr="00F0621F">
        <w:rPr>
          <w:lang w:val="es-ES"/>
        </w:rPr>
        <w:t>Dentro de las Declaraciones</w:t>
      </w:r>
      <w:r>
        <w:rPr>
          <w:lang w:val="es-ES"/>
        </w:rPr>
        <w:t>,</w:t>
      </w:r>
      <w:r w:rsidRPr="00F0621F">
        <w:rPr>
          <w:lang w:val="es-ES"/>
        </w:rPr>
        <w:t xml:space="preserve"> en el numeral I</w:t>
      </w:r>
      <w:r>
        <w:rPr>
          <w:lang w:val="es-ES"/>
        </w:rPr>
        <w:t>I</w:t>
      </w:r>
      <w:r w:rsidRPr="00F0621F">
        <w:rPr>
          <w:lang w:val="es-ES"/>
        </w:rPr>
        <w:t xml:space="preserve"> “</w:t>
      </w:r>
      <w:r w:rsidRPr="00F0621F">
        <w:rPr>
          <w:i/>
          <w:lang w:val="es-ES"/>
        </w:rPr>
        <w:t>Declara</w:t>
      </w:r>
      <w:r>
        <w:rPr>
          <w:i/>
          <w:lang w:val="es-ES"/>
        </w:rPr>
        <w:t xml:space="preserve"> TELNOR</w:t>
      </w:r>
      <w:r w:rsidRPr="00F0621F">
        <w:rPr>
          <w:lang w:val="es-ES"/>
        </w:rPr>
        <w:t>”</w:t>
      </w:r>
      <w:r>
        <w:rPr>
          <w:rFonts w:eastAsiaTheme="minorHAnsi" w:cs="Arial"/>
          <w:lang w:val="es-ES"/>
        </w:rPr>
        <w:t>,</w:t>
      </w:r>
      <w:r w:rsidRPr="00F44994">
        <w:rPr>
          <w:rFonts w:eastAsiaTheme="minorHAnsi" w:cs="Arial"/>
          <w:lang w:val="es-ES"/>
        </w:rPr>
        <w:t xml:space="preserve"> 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w:t>
      </w:r>
      <w:r w:rsidRPr="00F44994">
        <w:rPr>
          <w:rFonts w:eastAsiaTheme="minorHAnsi" w:cs="Arial"/>
          <w:lang w:val="es-ES"/>
        </w:rPr>
        <w:t xml:space="preserve"> </w:t>
      </w:r>
      <w:r>
        <w:rPr>
          <w:rFonts w:eastAsiaTheme="minorHAnsi" w:cs="Arial"/>
          <w:lang w:val="es-ES"/>
        </w:rPr>
        <w:t>eliminó el inciso e) del Convenio de la Oferta de Referencia Vigente.</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Default="007C4016" w:rsidP="007C4016">
      <w:pPr>
        <w:pStyle w:val="IFTnormal"/>
        <w:spacing w:before="240" w:after="0"/>
        <w:rPr>
          <w:rFonts w:eastAsiaTheme="minorHAnsi" w:cs="Arial"/>
          <w:lang w:val="es-ES"/>
        </w:rPr>
      </w:pPr>
      <w:r>
        <w:rPr>
          <w:rFonts w:eastAsiaTheme="minorHAnsi" w:cs="Arial"/>
          <w:lang w:val="es-ES"/>
        </w:rPr>
        <w:t xml:space="preserve">Del análisis realizado se desprende que el inciso e) del Convenio de la Oferta de Referencia Vigente debe formar parte del Convenio ya que es importante que las partes conozcan el domicilio fiscal de las empresas relacionadas con la prestación de los servicios, </w:t>
      </w:r>
      <w:r>
        <w:t xml:space="preserve">por lo que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correspondiente de las “DECLARACIONES” se recupera del Convenio de la Oferta de Referencia vigente</w:t>
      </w:r>
      <w:r>
        <w:rPr>
          <w:rFonts w:eastAsiaTheme="minorHAnsi" w:cs="Arial"/>
          <w:lang w:val="es-ES"/>
        </w:rPr>
        <w:t>.</w:t>
      </w:r>
    </w:p>
    <w:p w:rsidR="007C4016" w:rsidRPr="00C65A3B" w:rsidRDefault="007C4016" w:rsidP="007C4016">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 de las “DECLARACIONES” se recupera del Convenio de la Oferta de Referencia vigente.</w:t>
      </w:r>
    </w:p>
    <w:p w:rsidR="007C4016" w:rsidRPr="00D138E3" w:rsidRDefault="007C4016" w:rsidP="007C4016">
      <w:pPr>
        <w:pStyle w:val="IFTnormal"/>
        <w:spacing w:before="240" w:after="0"/>
        <w:rPr>
          <w:b/>
        </w:rPr>
      </w:pPr>
      <w:r w:rsidRPr="00D138E3">
        <w:rPr>
          <w:b/>
        </w:rPr>
        <w:t>Redacción definitiva</w:t>
      </w:r>
    </w:p>
    <w:p w:rsidR="007C4016" w:rsidRPr="00805C28" w:rsidRDefault="007C4016" w:rsidP="007C4016">
      <w:pPr>
        <w:pStyle w:val="CondicionesFinales"/>
        <w:spacing w:before="240" w:after="0"/>
      </w:pPr>
      <w:r w:rsidRPr="00805C28">
        <w:t>DECLARACIONES</w:t>
      </w:r>
    </w:p>
    <w:p w:rsidR="007C4016" w:rsidRDefault="007C4016" w:rsidP="007C4016">
      <w:pPr>
        <w:pStyle w:val="CondicionesFinales"/>
        <w:spacing w:before="240" w:after="0"/>
      </w:pPr>
      <w:r w:rsidRPr="00597A7A">
        <w:t>I</w:t>
      </w:r>
      <w:r>
        <w:t>I</w:t>
      </w:r>
      <w:r w:rsidRPr="00597A7A">
        <w:t xml:space="preserve">.- Declara </w:t>
      </w:r>
      <w:r>
        <w:t>TELNOR</w:t>
      </w:r>
    </w:p>
    <w:p w:rsidR="007C4016" w:rsidRPr="00F26459" w:rsidRDefault="007C4016" w:rsidP="007C4016">
      <w:pPr>
        <w:pStyle w:val="CondicionesFinales"/>
        <w:spacing w:before="240" w:after="0"/>
      </w:pPr>
      <w:r>
        <w:lastRenderedPageBreak/>
        <w:t xml:space="preserve">e) </w:t>
      </w:r>
      <w:r w:rsidRPr="00597A7A">
        <w:t xml:space="preserve">Tiene su domicilio en </w:t>
      </w:r>
      <w:r w:rsidRPr="00F26459">
        <w:t>XXXXXXXXXXXXXXXXXXXXXXXXXXXXXXXX.</w:t>
      </w:r>
    </w:p>
    <w:p w:rsidR="007C4016" w:rsidRPr="00BF4959" w:rsidRDefault="007C4016" w:rsidP="007C4016">
      <w:pPr>
        <w:pStyle w:val="IFTnormal"/>
        <w:spacing w:before="240" w:after="0"/>
        <w:rPr>
          <w:b/>
        </w:rPr>
      </w:pPr>
      <w:r w:rsidRPr="00BF4959">
        <w:rPr>
          <w:b/>
        </w:rPr>
        <w:t>Consideraciones del Instituto</w:t>
      </w:r>
    </w:p>
    <w:p w:rsidR="007C4016" w:rsidRPr="007044D8" w:rsidRDefault="007C4016" w:rsidP="007C4016">
      <w:pPr>
        <w:pStyle w:val="IFTnormal"/>
        <w:spacing w:before="240" w:after="0"/>
        <w:rPr>
          <w:b/>
        </w:rPr>
      </w:pPr>
      <w:r w:rsidRPr="00F44994">
        <w:rPr>
          <w:b/>
          <w:lang w:val="es-ES"/>
        </w:rPr>
        <w:t xml:space="preserve">CASO </w:t>
      </w:r>
      <w:r>
        <w:rPr>
          <w:b/>
          <w:lang w:val="es-ES"/>
        </w:rPr>
        <w:t xml:space="preserve">2 </w:t>
      </w:r>
      <w:r w:rsidRPr="002802DB">
        <w:rPr>
          <w:b/>
          <w:lang w:val="es-ES"/>
        </w:rPr>
        <w:t xml:space="preserve">Cambios que </w:t>
      </w:r>
      <w:r w:rsidRPr="002802DB">
        <w:rPr>
          <w:b/>
        </w:rPr>
        <w:t>modifican la redacción de</w:t>
      </w:r>
      <w:r>
        <w:rPr>
          <w:b/>
        </w:rPr>
        <w:t>l Convenio de</w:t>
      </w:r>
      <w:r w:rsidRPr="002802DB">
        <w:rPr>
          <w:b/>
        </w:rPr>
        <w:t xml:space="preserve"> la Propuesta de Oferta de Referencia.</w:t>
      </w:r>
    </w:p>
    <w:p w:rsidR="007C4016" w:rsidRDefault="007C4016" w:rsidP="007C4016">
      <w:pPr>
        <w:pStyle w:val="IFTnormal"/>
        <w:spacing w:before="240" w:after="0"/>
        <w:rPr>
          <w:rFonts w:eastAsiaTheme="minorHAnsi" w:cs="Arial"/>
          <w:lang w:val="es-ES"/>
        </w:rPr>
      </w:pPr>
      <w:r w:rsidRPr="00F0621F">
        <w:rPr>
          <w:lang w:val="es-ES"/>
        </w:rPr>
        <w:t>Dentro de las Declaraciones en el numeral I</w:t>
      </w:r>
      <w:r>
        <w:rPr>
          <w:lang w:val="es-ES"/>
        </w:rPr>
        <w:t>I</w:t>
      </w:r>
      <w:r w:rsidRPr="00F0621F">
        <w:rPr>
          <w:lang w:val="es-ES"/>
        </w:rPr>
        <w:t xml:space="preserve"> “</w:t>
      </w:r>
      <w:r w:rsidRPr="00F0621F">
        <w:rPr>
          <w:i/>
          <w:lang w:val="es-ES"/>
        </w:rPr>
        <w:t>Declara</w:t>
      </w:r>
      <w:r>
        <w:rPr>
          <w:i/>
          <w:lang w:val="es-ES"/>
        </w:rPr>
        <w:t xml:space="preserve"> TELNOR</w:t>
      </w:r>
      <w:r w:rsidRPr="00F0621F">
        <w:rPr>
          <w:lang w:val="es-ES"/>
        </w:rPr>
        <w:t>”</w:t>
      </w:r>
      <w:r>
        <w:rPr>
          <w:rFonts w:eastAsiaTheme="minorHAnsi" w:cs="Arial"/>
          <w:lang w:val="es-ES"/>
        </w:rPr>
        <w:t>,</w:t>
      </w:r>
      <w:r w:rsidRPr="00F44994">
        <w:rPr>
          <w:rFonts w:eastAsiaTheme="minorHAnsi" w:cs="Arial"/>
          <w:lang w:val="es-ES"/>
        </w:rPr>
        <w:t xml:space="preserve"> 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w:t>
      </w:r>
      <w:r w:rsidRPr="00F44994">
        <w:rPr>
          <w:rFonts w:eastAsiaTheme="minorHAnsi" w:cs="Arial"/>
          <w:lang w:val="es-ES"/>
        </w:rPr>
        <w:t xml:space="preserve"> </w:t>
      </w:r>
      <w:r>
        <w:rPr>
          <w:rFonts w:eastAsiaTheme="minorHAnsi" w:cs="Arial"/>
          <w:lang w:val="es-ES"/>
        </w:rPr>
        <w:t>agregó un inciso e) para quedar de la siguiente manera:</w:t>
      </w:r>
    </w:p>
    <w:p w:rsidR="007C4016" w:rsidRPr="00D529D9" w:rsidRDefault="007C4016" w:rsidP="007C4016">
      <w:pPr>
        <w:pStyle w:val="IFTcita"/>
        <w:spacing w:before="240" w:after="0"/>
        <w:rPr>
          <w:b w:val="0"/>
          <w:i w:val="0"/>
        </w:rPr>
      </w:pPr>
      <w:r w:rsidRPr="00D529D9">
        <w:rPr>
          <w:b w:val="0"/>
          <w:i w:val="0"/>
        </w:rPr>
        <w:t>“[…]</w:t>
      </w:r>
    </w:p>
    <w:p w:rsidR="007C4016" w:rsidRPr="00D529D9" w:rsidRDefault="007C4016" w:rsidP="007C4016">
      <w:pPr>
        <w:pStyle w:val="IFTcita"/>
        <w:spacing w:before="240" w:after="0"/>
        <w:rPr>
          <w:b w:val="0"/>
        </w:rPr>
      </w:pPr>
      <w:r w:rsidRPr="00D529D9">
        <w:rPr>
          <w:b w:val="0"/>
        </w:rPr>
        <w:t xml:space="preserve">e) La celebración del presente CONVENIO no implica consentimiento alguno al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ni a la "Resolución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 (en lo sucesivo la "Resolución Bienal"), determinada mediante Acuerdo P/IFT/EXT/270217/119 de fecha 27 de febrero de 2017, mediante la cual el Instituto suprime, modifica y adiciona diversas medidas de preponderancia, en virtud de que mis mandantes promovieron los medios de impugnación correspondientes en contra de la Ley y de la Resolución Bienal, los cuales se encuentran pendientes de resolución a esta fecha, ni de cualquier norma, resolución, plan, lineamiento general, acuerdo o cualquier otro acto de autoridad, presente o futuro, ni sobre cualquier otra ley, resolución, plan, lineamiento general, acuerdo o cualquier otro acto de autoridad que de ellos deriven o que pudiera resultar de los términos y condiciones ofrecidos por </w:t>
      </w:r>
      <w:r>
        <w:rPr>
          <w:b w:val="0"/>
        </w:rPr>
        <w:t>TELNOR</w:t>
      </w:r>
      <w:r w:rsidRPr="00D529D9">
        <w:rPr>
          <w:b w:val="0"/>
        </w:rPr>
        <w:t>, toda vez que esta resolución y la Ley han sido impugnadas en tiempo y forma por mi mandante.</w:t>
      </w:r>
      <w:r w:rsidRPr="00D529D9">
        <w:rPr>
          <w:b w:val="0"/>
          <w:i w:val="0"/>
        </w:rPr>
        <w:t>”</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Pr="00A07AD1" w:rsidRDefault="007C4016" w:rsidP="007C4016">
      <w:pPr>
        <w:pStyle w:val="IFTTexto"/>
        <w:spacing w:before="240" w:after="0"/>
        <w:rPr>
          <w:color w:val="auto"/>
          <w:sz w:val="20"/>
          <w:szCs w:val="20"/>
        </w:rPr>
      </w:pPr>
      <w:r w:rsidRPr="00A07AD1">
        <w:rPr>
          <w:color w:val="auto"/>
        </w:rPr>
        <w:t>Del estudio de la propuesta presentada por el AEP, el Instituto considera que la “declaración” señalada por el AEP no cumple con la naturaleza jurídica del modelo de Convenio, en virtud de que no refleja lo establecido en la Oferta de Referencia ni en las medidas fijas, en específico lo contenido en la Medida CUADRAGÉSIMA TERCERA que enuncia que el convenio deberá contener todas aquellas condiciones existentes para la prestación de los servicios contratados.</w:t>
      </w:r>
    </w:p>
    <w:p w:rsidR="007C4016" w:rsidRDefault="007C4016" w:rsidP="007C4016">
      <w:pPr>
        <w:pStyle w:val="IFTTexto"/>
        <w:spacing w:before="240" w:after="0"/>
        <w:rPr>
          <w:color w:val="auto"/>
        </w:rPr>
      </w:pPr>
      <w:r w:rsidRPr="00A07AD1">
        <w:rPr>
          <w:color w:val="auto"/>
        </w:rPr>
        <w:t xml:space="preserve">Por lo anterior el Instituto elimina dicha “declaración” en razón de lo expuesto en el párrafo anterior, además de tener un fin meramente informativo respecto de una </w:t>
      </w:r>
      <w:r w:rsidRPr="00A07AD1">
        <w:rPr>
          <w:color w:val="auto"/>
        </w:rPr>
        <w:lastRenderedPageBreak/>
        <w:t>situación jurídica contractual del AEP, sin que la misma sea materia de las Ofertas de Referencia.</w:t>
      </w:r>
    </w:p>
    <w:p w:rsidR="007C4016" w:rsidRPr="00D138E3" w:rsidRDefault="007C4016" w:rsidP="007C4016">
      <w:pPr>
        <w:pStyle w:val="IFTnormal"/>
        <w:spacing w:before="240" w:after="0"/>
        <w:rPr>
          <w:b/>
        </w:rPr>
      </w:pPr>
      <w:r w:rsidRPr="00D138E3">
        <w:rPr>
          <w:b/>
        </w:rPr>
        <w:t>Redacción definitiva</w:t>
      </w:r>
    </w:p>
    <w:p w:rsidR="007C4016" w:rsidRDefault="007C4016" w:rsidP="007C4016">
      <w:pPr>
        <w:pStyle w:val="IFTnormal"/>
        <w:spacing w:before="240" w:after="0"/>
      </w:pPr>
      <w:r w:rsidRPr="00EF35B0">
        <w:t>Derivado del análisis previo, el Instituto acuerda eliminar el apartado en c</w:t>
      </w:r>
      <w:r>
        <w:t>omento del Modelo de Convenio.</w:t>
      </w:r>
    </w:p>
    <w:p w:rsidR="007C4016" w:rsidRDefault="007C4016" w:rsidP="007C4016">
      <w:pPr>
        <w:pStyle w:val="IFTnormal"/>
        <w:spacing w:before="240" w:after="0"/>
        <w:rPr>
          <w:b/>
          <w:bCs w:val="0"/>
        </w:rPr>
      </w:pPr>
      <w:r>
        <w:rPr>
          <w:b/>
        </w:rPr>
        <w:t>CLÁUSULA PRIMERA DEFINICIONES</w:t>
      </w:r>
    </w:p>
    <w:p w:rsidR="007C4016" w:rsidRDefault="007C4016" w:rsidP="007C4016">
      <w:pPr>
        <w:pStyle w:val="IFTnormal"/>
        <w:spacing w:before="240" w:after="0"/>
        <w:rPr>
          <w:b/>
          <w:bCs w:val="0"/>
          <w:sz w:val="20"/>
          <w:szCs w:val="20"/>
          <w:lang w:eastAsia="es-MX"/>
        </w:rPr>
      </w:pPr>
      <w:r>
        <w:rPr>
          <w:b/>
        </w:rPr>
        <w:t>Consideraciones del Instituto</w:t>
      </w:r>
    </w:p>
    <w:p w:rsidR="007C4016" w:rsidRDefault="007C4016" w:rsidP="007C4016">
      <w:pPr>
        <w:pStyle w:val="IFTnormal"/>
        <w:spacing w:before="240" w:after="0"/>
        <w:rPr>
          <w:b/>
          <w:bCs w:val="0"/>
          <w:lang w:val="es-ES"/>
        </w:rPr>
      </w:pPr>
      <w:r>
        <w:rPr>
          <w:b/>
        </w:rPr>
        <w:t>CASO 1 Cambios que recuperan la redacción del Convenio de la Oferta de Referencia Vigente</w:t>
      </w:r>
      <w:r>
        <w:rPr>
          <w:b/>
          <w:lang w:val="es-ES"/>
        </w:rPr>
        <w:t>.</w:t>
      </w:r>
    </w:p>
    <w:p w:rsidR="007C4016" w:rsidRDefault="007C4016" w:rsidP="007C4016">
      <w:pPr>
        <w:pStyle w:val="IFTnormal"/>
        <w:spacing w:before="240" w:after="0"/>
        <w:rPr>
          <w:sz w:val="20"/>
          <w:szCs w:val="20"/>
          <w:lang w:val="es-ES" w:eastAsia="es-MX"/>
        </w:rPr>
      </w:pPr>
      <w:r>
        <w:rPr>
          <w:lang w:val="es-ES"/>
        </w:rPr>
        <w:t xml:space="preserve">Dentro de la Cláusula PRIMERA </w:t>
      </w:r>
      <w:r>
        <w:t>“DEFINICIONES”</w:t>
      </w:r>
      <w:r>
        <w:rPr>
          <w:lang w:val="es-ES"/>
        </w:rPr>
        <w:t>, el AEP en su Propuesta de Convenio de la de Oferta de Referencia modifica la redacción en el numeral 7) relativo Infraestructura Pasiva de la siguiente manera:</w:t>
      </w:r>
    </w:p>
    <w:p w:rsidR="007C4016" w:rsidRDefault="007C4016" w:rsidP="007C4016">
      <w:pPr>
        <w:pStyle w:val="CitaIFT"/>
        <w:spacing w:before="240" w:after="0"/>
        <w:rPr>
          <w:lang w:val="es-ES"/>
        </w:rPr>
      </w:pPr>
      <w:r>
        <w:rPr>
          <w:b/>
        </w:rPr>
        <w:t xml:space="preserve">7) Infraestructura Pasiva: </w:t>
      </w:r>
      <w:r>
        <w:t>Elementos no electrónicos al servicio de las redes públicas de telecomunicaciones que incluyen, de forma enunciativa más no limitativa, los derechos de vía, conductos, mástiles, zanjas, torres, postes, instalaciones de equipo y de alimentaciones conexas, seguridad, equipos auxiliares, sitios, predios, espacios físicos, ductos y canalizaciones así como fuentes de energía y sistemas de aire acondicionado.</w:t>
      </w:r>
      <w:r>
        <w:rPr>
          <w:lang w:val="es-ES"/>
        </w:rPr>
        <w:t xml:space="preserve"> Análisis de la Propuesta de Convenio.</w:t>
      </w:r>
    </w:p>
    <w:p w:rsidR="007C4016" w:rsidRDefault="007C4016" w:rsidP="007C4016">
      <w:pPr>
        <w:pStyle w:val="IFTnormal"/>
        <w:spacing w:before="240" w:after="0"/>
        <w:rPr>
          <w:b/>
          <w:bCs w:val="0"/>
          <w:lang w:val="es-ES"/>
        </w:rPr>
      </w:pPr>
      <w:r>
        <w:rPr>
          <w:b/>
          <w:lang w:val="es-ES"/>
        </w:rPr>
        <w:t>Análisis de la Propuesta de Convenio</w:t>
      </w:r>
    </w:p>
    <w:p w:rsidR="007C4016" w:rsidRDefault="007C4016" w:rsidP="007C4016">
      <w:pPr>
        <w:pStyle w:val="IFTnormal"/>
        <w:spacing w:before="240" w:after="0"/>
      </w:pPr>
      <w:r>
        <w:t>Del estudio de la redacción propuesta por el AEP respecto de la definición del servicio de “</w:t>
      </w:r>
      <w:r>
        <w:rPr>
          <w:lang w:val="es-ES"/>
        </w:rPr>
        <w:t>Infraestructura Pasiva</w:t>
      </w:r>
      <w:r>
        <w:t>”, el Instituto considera que se deberá modificar, toda vez que no es acorde a lo establecido en el artículo 3, fracción XXVII de la LFTyR, mismo que señala lo siguiente:</w:t>
      </w:r>
    </w:p>
    <w:p w:rsidR="007C4016" w:rsidRDefault="007C4016" w:rsidP="007C4016">
      <w:pPr>
        <w:pStyle w:val="IFTnormal"/>
        <w:spacing w:before="240" w:after="0"/>
        <w:ind w:left="851" w:right="758"/>
        <w:rPr>
          <w:i/>
          <w:iCs/>
        </w:rPr>
      </w:pPr>
      <w:r w:rsidRPr="00051634">
        <w:rPr>
          <w:iCs/>
        </w:rPr>
        <w:t>“</w:t>
      </w:r>
      <w:r>
        <w:rPr>
          <w:b/>
          <w:i/>
          <w:iCs/>
        </w:rPr>
        <w:t>Artículo 3.</w:t>
      </w:r>
      <w:r>
        <w:rPr>
          <w:i/>
          <w:iCs/>
        </w:rPr>
        <w:t xml:space="preserve"> Para los efectos de esta Ley se entenderá por:</w:t>
      </w:r>
    </w:p>
    <w:p w:rsidR="007C4016" w:rsidRPr="00051634" w:rsidRDefault="007C4016" w:rsidP="007C4016">
      <w:pPr>
        <w:pStyle w:val="IFTnormal"/>
        <w:spacing w:before="240" w:after="0"/>
        <w:ind w:left="851" w:right="758"/>
        <w:rPr>
          <w:iCs/>
        </w:rPr>
      </w:pPr>
      <w:r w:rsidRPr="00051634">
        <w:rPr>
          <w:iCs/>
        </w:rPr>
        <w:t>[…]</w:t>
      </w:r>
    </w:p>
    <w:p w:rsidR="007C4016" w:rsidRDefault="007C4016" w:rsidP="007C4016">
      <w:pPr>
        <w:pStyle w:val="IFTnormal"/>
        <w:spacing w:before="240" w:after="0"/>
        <w:ind w:left="851" w:right="758"/>
        <w:rPr>
          <w:i/>
          <w:iCs/>
        </w:rPr>
      </w:pPr>
      <w:r>
        <w:rPr>
          <w:i/>
          <w:iCs/>
        </w:rPr>
        <w:t xml:space="preserve">XXVII. Infraestructura pasiva: Elementos accesorios que proporcionan soporte a la infraestructura activa, entre otros, bastidores, cableado subterráneo y aéreo, canalizaciones, construcciones, ductos, obras, postes, sistemas de suministro y respaldo de energía eléctrica, sistemas de climatización, sitios, torres </w:t>
      </w:r>
      <w:r>
        <w:rPr>
          <w:i/>
          <w:iCs/>
        </w:rPr>
        <w:lastRenderedPageBreak/>
        <w:t>y demás aditamentos, incluyendo derechos de vía, que sean necesarios para la instalación y operación de las redes, así como para la prestación de servicios de telecomunicaciones y radiodifusión;</w:t>
      </w:r>
    </w:p>
    <w:p w:rsidR="007C4016" w:rsidRDefault="007C4016" w:rsidP="007C4016">
      <w:pPr>
        <w:pStyle w:val="IFTnormal"/>
        <w:spacing w:before="240" w:after="0"/>
      </w:pPr>
      <w:r>
        <w:t xml:space="preserve">En ese sentido, a efecto de dar mayor certeza jurídica a las partes, además de homologar los catálogos de definiciones, se </w:t>
      </w:r>
      <w:r>
        <w:rPr>
          <w:lang w:val="es-ES"/>
        </w:rPr>
        <w:t xml:space="preserve">tomará en consideración la definición establecida en la LFTyR para </w:t>
      </w:r>
      <w:r>
        <w:t>“</w:t>
      </w:r>
      <w:r>
        <w:rPr>
          <w:lang w:val="es-ES"/>
        </w:rPr>
        <w:t>Infraestructura Pasiva</w:t>
      </w:r>
      <w:r>
        <w:t xml:space="preserve">”, </w:t>
      </w:r>
    </w:p>
    <w:p w:rsidR="007C4016" w:rsidRDefault="007C4016" w:rsidP="007C4016">
      <w:pPr>
        <w:pStyle w:val="IFTnormal"/>
        <w:spacing w:before="240" w:after="0"/>
        <w:rPr>
          <w:b/>
          <w:bCs w:val="0"/>
        </w:rPr>
      </w:pPr>
      <w:r>
        <w:rPr>
          <w:b/>
        </w:rPr>
        <w:t>Redacción definitiva</w:t>
      </w:r>
    </w:p>
    <w:p w:rsidR="007C4016" w:rsidRDefault="007C4016" w:rsidP="007C4016">
      <w:pPr>
        <w:pStyle w:val="Prrafodelista"/>
        <w:numPr>
          <w:ilvl w:val="0"/>
          <w:numId w:val="242"/>
        </w:numPr>
        <w:suppressAutoHyphens w:val="0"/>
        <w:spacing w:before="240" w:after="0" w:line="252" w:lineRule="auto"/>
        <w:ind w:right="51"/>
        <w:contextualSpacing w:val="0"/>
        <w:rPr>
          <w:rFonts w:ascii="ITC Avant Garde" w:hAnsi="ITC Avant Garde"/>
          <w:color w:val="000000"/>
          <w:sz w:val="22"/>
          <w:szCs w:val="22"/>
          <w:lang w:val="es-ES"/>
        </w:rPr>
      </w:pPr>
      <w:r>
        <w:rPr>
          <w:rFonts w:ascii="ITC Avant Garde" w:hAnsi="ITC Avant Garde"/>
          <w:b/>
          <w:bCs/>
          <w:color w:val="000000"/>
          <w:sz w:val="22"/>
          <w:szCs w:val="22"/>
          <w:lang w:val="es-ES"/>
        </w:rPr>
        <w:t>Infraestructura Pasiva:</w:t>
      </w:r>
      <w:r>
        <w:rPr>
          <w:rFonts w:ascii="ITC Avant Garde" w:hAnsi="ITC Avant Garde"/>
          <w:color w:val="000000"/>
          <w:sz w:val="22"/>
          <w:szCs w:val="22"/>
          <w:lang w:val="es-ES"/>
        </w:rPr>
        <w:t xml:space="preserve"> Elementos accesorios que proporcionan soporte a la infraestructura activa, entre otros, bastidores, cableado subterráneo y aéreo, canalizaciones, construcciones, ductos, obras, postes, sistemas de suministro y respaldo de energía eléctrica, sistemas de climatización, sitios, torres y demás aditamentos, incluyendo derechos de vía, que sean necesarios para la instalación y operación de las redes, así como para la prestación de servicios de telecomunicaciones y radiodifusión. </w:t>
      </w:r>
    </w:p>
    <w:p w:rsidR="007C4016" w:rsidRPr="00BF4959" w:rsidRDefault="007C4016" w:rsidP="007C4016">
      <w:pPr>
        <w:pStyle w:val="IFTnormal"/>
        <w:spacing w:before="240" w:after="0"/>
        <w:rPr>
          <w:b/>
        </w:rPr>
      </w:pPr>
      <w:r w:rsidRPr="00BF4959">
        <w:rPr>
          <w:b/>
        </w:rPr>
        <w:t>Consideraciones del Instituto</w:t>
      </w:r>
    </w:p>
    <w:p w:rsidR="007C4016" w:rsidRPr="00B778D8" w:rsidRDefault="007C4016" w:rsidP="007C4016">
      <w:pPr>
        <w:pStyle w:val="IFTnormal"/>
        <w:spacing w:before="240" w:after="0"/>
        <w:rPr>
          <w:b/>
          <w:lang w:val="es-ES"/>
        </w:rPr>
      </w:pPr>
      <w:r w:rsidRPr="001C56F3">
        <w:rPr>
          <w:b/>
        </w:rPr>
        <w:t>CASO 1</w:t>
      </w:r>
      <w:r>
        <w:rPr>
          <w:b/>
        </w:rPr>
        <w:t xml:space="preserve">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PRIMERA </w:t>
      </w:r>
      <w:r w:rsidRPr="00337046">
        <w:t>“DEFINICIONES”</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w:t>
      </w:r>
      <w:r w:rsidRPr="00F44994">
        <w:rPr>
          <w:rFonts w:eastAsiaTheme="minorHAnsi" w:cs="Arial"/>
          <w:lang w:val="es-ES"/>
        </w:rPr>
        <w:t xml:space="preserve"> </w:t>
      </w:r>
      <w:r>
        <w:rPr>
          <w:rFonts w:eastAsiaTheme="minorHAnsi" w:cs="Arial"/>
          <w:lang w:val="es-ES"/>
        </w:rPr>
        <w:t>contempla el numeral 8) relativo a Inspección de la siguiente manera:</w:t>
      </w:r>
    </w:p>
    <w:p w:rsidR="007C4016" w:rsidRPr="001275E8" w:rsidRDefault="007C4016" w:rsidP="007C4016">
      <w:pPr>
        <w:pStyle w:val="CitaIFT"/>
        <w:spacing w:before="240" w:after="0"/>
      </w:pPr>
      <w:r>
        <w:rPr>
          <w:b/>
        </w:rPr>
        <w:t xml:space="preserve">8) </w:t>
      </w:r>
      <w:r w:rsidRPr="001275E8">
        <w:rPr>
          <w:b/>
        </w:rPr>
        <w:t>Inspección:</w:t>
      </w:r>
      <w:r w:rsidRPr="001275E8">
        <w:t xml:space="preserve"> La actividad de revisión subsecuente a la Verificación, que se realiza en forma conjunta entre </w:t>
      </w:r>
      <w:r>
        <w:t>TELNOR</w:t>
      </w:r>
      <w:r w:rsidRPr="001275E8">
        <w:t xml:space="preserve"> y el CONCESIONARIO SOLICITANTE, y se realiza cuando el CONCESIONARIO SOLICITANTE haya implementado los cambios y ajustes para que se considere como satisfactoria la instalación. También puede realizarse después de una Inspección previa en el caso de que no hayan sido atendidas las correcciones de </w:t>
      </w:r>
      <w:r>
        <w:t>TELNOR</w:t>
      </w:r>
      <w:r w:rsidRPr="001275E8">
        <w:t xml:space="preserve">. Su carácter es obligatorio hasta que se hayan atendido todos los ajustes de conformidad con lo señalado por </w:t>
      </w:r>
      <w:r>
        <w:t>TELNOR</w:t>
      </w:r>
      <w:r w:rsidRPr="001275E8">
        <w:t>.</w:t>
      </w:r>
    </w:p>
    <w:p w:rsidR="007C4016" w:rsidRPr="00B27D5E" w:rsidRDefault="007C4016" w:rsidP="007C4016">
      <w:pPr>
        <w:pStyle w:val="IFTnormal"/>
        <w:spacing w:before="240" w:after="0"/>
        <w:rPr>
          <w:b/>
          <w:lang w:val="es-ES"/>
        </w:rPr>
      </w:pPr>
      <w:r w:rsidRPr="000B718B">
        <w:rPr>
          <w:b/>
          <w:lang w:val="es-ES"/>
        </w:rPr>
        <w:t>Análisis de la Propuesta de Convenio</w:t>
      </w:r>
    </w:p>
    <w:p w:rsidR="007C4016" w:rsidRDefault="007C4016" w:rsidP="007C4016">
      <w:pPr>
        <w:pStyle w:val="IFTnormal"/>
        <w:spacing w:before="240" w:after="0"/>
      </w:pPr>
      <w:r w:rsidRPr="00A07AD1">
        <w:t xml:space="preserve">Del estudio de la propuesta presentada por el AEP, el Instituto considera que </w:t>
      </w:r>
      <w:r>
        <w:t>el servicio de “Inspección</w:t>
      </w:r>
      <w:r w:rsidRPr="00A07AD1">
        <w:t>”</w:t>
      </w:r>
      <w:r>
        <w:t xml:space="preserve"> comprende actividades con costo adicional que antes no existían y que pudieran afectar negativamente los procesos contratación, </w:t>
      </w:r>
      <w:r>
        <w:lastRenderedPageBreak/>
        <w:t>modificación o baja del servicio, por lo que es necesario eliminar dicha definición del presente Convenio.</w:t>
      </w:r>
    </w:p>
    <w:p w:rsidR="007C4016" w:rsidRPr="00EF35B0" w:rsidRDefault="007C4016" w:rsidP="007C4016">
      <w:pPr>
        <w:pStyle w:val="IFTnormal"/>
        <w:spacing w:before="240" w:after="0"/>
      </w:pPr>
      <w:r>
        <w:t xml:space="preserve">Todo lo relativo a inspección a </w:t>
      </w:r>
      <w:r w:rsidRPr="00B0766B">
        <w:t>efectos de facilitar la lectura del presente Acuerdo y evitar repeticiones, el Instituto considera que el análisis a los procedimientos y sus determinaciones son aplicables a los demás servicios contemplados en la Propuesta de Oferta de Referencia</w:t>
      </w:r>
      <w:r>
        <w:t xml:space="preserve"> y al Convenio</w:t>
      </w:r>
      <w:r w:rsidRPr="00B0766B">
        <w:t>, con excepción de aquellos temas particul</w:t>
      </w:r>
      <w:r>
        <w:t>ares que deban tratarse en sus s</w:t>
      </w:r>
      <w:r w:rsidRPr="00B0766B">
        <w:t xml:space="preserve">ecciones respectiva y cuyos resultados se reflejaran en las redacciones finales </w:t>
      </w:r>
      <w:r>
        <w:t xml:space="preserve">de </w:t>
      </w:r>
      <w:r w:rsidRPr="00B0766B">
        <w:t>los procedimientos correspondientes.</w:t>
      </w:r>
    </w:p>
    <w:p w:rsidR="007C4016" w:rsidRPr="00D138E3" w:rsidRDefault="007C4016" w:rsidP="007C4016">
      <w:pPr>
        <w:pStyle w:val="IFTnormal"/>
        <w:spacing w:before="240" w:after="0"/>
        <w:rPr>
          <w:b/>
        </w:rPr>
      </w:pPr>
      <w:r w:rsidRPr="00D138E3">
        <w:rPr>
          <w:b/>
        </w:rPr>
        <w:t>Redacción definitiva</w:t>
      </w:r>
    </w:p>
    <w:p w:rsidR="007C4016" w:rsidRDefault="007C4016" w:rsidP="007C4016">
      <w:pPr>
        <w:pStyle w:val="IFTnormal"/>
        <w:spacing w:before="240" w:after="0"/>
      </w:pPr>
      <w:r w:rsidRPr="00EF35B0">
        <w:t xml:space="preserve">Derivado del análisis previo, el Instituto acuerda eliminar </w:t>
      </w:r>
      <w:r>
        <w:t>la definición</w:t>
      </w:r>
      <w:r w:rsidRPr="00EF35B0">
        <w:t xml:space="preserve"> en comento del Modelo de Convenio</w:t>
      </w:r>
    </w:p>
    <w:p w:rsidR="007C4016" w:rsidRPr="00BF4959" w:rsidRDefault="007C4016" w:rsidP="007C4016">
      <w:pPr>
        <w:pStyle w:val="IFTnormal"/>
        <w:spacing w:before="240" w:after="0"/>
        <w:rPr>
          <w:b/>
        </w:rPr>
      </w:pPr>
      <w:r w:rsidRPr="00BF4959">
        <w:rPr>
          <w:b/>
        </w:rPr>
        <w:t>Consideraciones del Instituto</w:t>
      </w:r>
    </w:p>
    <w:p w:rsidR="007C4016" w:rsidRPr="00B778D8" w:rsidRDefault="007C4016" w:rsidP="007C4016">
      <w:pPr>
        <w:pStyle w:val="IFTnormal"/>
        <w:spacing w:before="240" w:after="0"/>
        <w:rPr>
          <w:b/>
          <w:lang w:val="es-ES"/>
        </w:rPr>
      </w:pPr>
      <w:r w:rsidRPr="001C56F3">
        <w:rPr>
          <w:b/>
        </w:rPr>
        <w:t>CASO 1</w:t>
      </w:r>
      <w:r>
        <w:rPr>
          <w:b/>
        </w:rPr>
        <w:t xml:space="preserve">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PRIMERA </w:t>
      </w:r>
      <w:r w:rsidRPr="00337046">
        <w:t>“DEFINICIONES”</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w:t>
      </w:r>
      <w:r w:rsidRPr="00F44994">
        <w:rPr>
          <w:rFonts w:eastAsiaTheme="minorHAnsi" w:cs="Arial"/>
          <w:lang w:val="es-ES"/>
        </w:rPr>
        <w:t xml:space="preserve"> </w:t>
      </w:r>
      <w:r>
        <w:rPr>
          <w:rFonts w:eastAsiaTheme="minorHAnsi" w:cs="Arial"/>
          <w:lang w:val="es-ES"/>
        </w:rPr>
        <w:t>eliminó el numeral 12) relativo a SERVICIOS: Servicio de Solución Correctiva</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Default="007C4016" w:rsidP="007C4016">
      <w:pPr>
        <w:pStyle w:val="IFTnormal"/>
        <w:spacing w:before="240" w:after="0"/>
      </w:pPr>
      <w:r>
        <w:t xml:space="preserve">Del análisis realizado a la Propuesta de Convenio de la Oferta de Referencia se desprende que no resulta aplicable eliminar lo relativo al Servicio de Solución Correctiva ya que se deben contemplar soluciones alternativas correctivas </w:t>
      </w:r>
      <w:r w:rsidRPr="0000154D">
        <w:t>que permitan la continuidad de los servicios de telecomunicaciones, sin dejar de mencionar que en el caso de existir un mal manejo u omisión por parte del AEP y que esto afecte la instalación del CS, para evitar un trato discriminatorio ambas partes deberán proveerse soluciones que permitan restablecer, regularizar y garantizar la continuidad y calidad de los servicios.</w:t>
      </w:r>
    </w:p>
    <w:p w:rsidR="007C4016" w:rsidRPr="00186734" w:rsidRDefault="007C4016" w:rsidP="007C4016">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la redacción de las Cláusula PRIMERA “DEFINICIONES” 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7C4016" w:rsidRPr="00D138E3" w:rsidRDefault="007C4016" w:rsidP="007C4016">
      <w:pPr>
        <w:pStyle w:val="IFTnormal"/>
        <w:spacing w:before="240" w:after="0"/>
        <w:rPr>
          <w:b/>
        </w:rPr>
      </w:pPr>
      <w:r w:rsidRPr="00D138E3">
        <w:rPr>
          <w:b/>
        </w:rPr>
        <w:lastRenderedPageBreak/>
        <w:t>Redacción definitiva</w:t>
      </w:r>
    </w:p>
    <w:p w:rsidR="007C4016" w:rsidRDefault="007C4016" w:rsidP="007C4016">
      <w:pPr>
        <w:pStyle w:val="CondicionesFinales"/>
        <w:spacing w:before="240" w:after="0"/>
      </w:pPr>
      <w:r>
        <w:t>PRIMERA. DEFINICIONES</w:t>
      </w:r>
    </w:p>
    <w:p w:rsidR="007C4016" w:rsidRDefault="007C4016" w:rsidP="007C4016">
      <w:pPr>
        <w:pStyle w:val="CondicionesFinales"/>
        <w:spacing w:before="240" w:after="0"/>
      </w:pPr>
      <w:r>
        <w:t>[…]</w:t>
      </w:r>
    </w:p>
    <w:p w:rsidR="007C4016" w:rsidRPr="00201047" w:rsidRDefault="007C4016" w:rsidP="007C4016">
      <w:pPr>
        <w:pStyle w:val="CondicionesFinales"/>
        <w:spacing w:before="240" w:after="0"/>
        <w:rPr>
          <w:b/>
        </w:rPr>
      </w:pPr>
      <w:r>
        <w:rPr>
          <w:b/>
        </w:rPr>
        <w:t xml:space="preserve">12) </w:t>
      </w:r>
      <w:r w:rsidRPr="00201047">
        <w:rPr>
          <w:b/>
        </w:rPr>
        <w:t xml:space="preserve">Servicios: </w:t>
      </w:r>
      <w:r w:rsidRPr="00201047">
        <w:t>Aquellos que constituyen el objeto del presente CONVENIO, y que se listan a continuación:</w:t>
      </w:r>
    </w:p>
    <w:p w:rsidR="007C4016" w:rsidRPr="00201047" w:rsidRDefault="007C4016" w:rsidP="007C4016">
      <w:pPr>
        <w:pStyle w:val="CondicionesFinales"/>
        <w:spacing w:before="240" w:after="0"/>
      </w:pPr>
      <w:r w:rsidRPr="00201047">
        <w:t>Servicio de Acceso y Uso Compartido de Obra Civil.</w:t>
      </w:r>
    </w:p>
    <w:p w:rsidR="007C4016" w:rsidRPr="00201047" w:rsidRDefault="007C4016" w:rsidP="007C4016">
      <w:pPr>
        <w:pStyle w:val="CondicionesFinales"/>
        <w:spacing w:before="240" w:after="0"/>
      </w:pPr>
      <w:r w:rsidRPr="00201047">
        <w:t>Servicio de Acceso y Uso Compartido de Torres.</w:t>
      </w:r>
    </w:p>
    <w:p w:rsidR="007C4016" w:rsidRPr="00201047" w:rsidRDefault="007C4016" w:rsidP="007C4016">
      <w:pPr>
        <w:pStyle w:val="CondicionesFinales"/>
        <w:spacing w:before="240" w:after="0"/>
      </w:pPr>
      <w:r w:rsidRPr="00201047">
        <w:t>Servicio de Uso de Sitios, Predios y Espacios Físicos</w:t>
      </w:r>
    </w:p>
    <w:p w:rsidR="007C4016" w:rsidRPr="00201047" w:rsidRDefault="007C4016" w:rsidP="007C4016">
      <w:pPr>
        <w:pStyle w:val="CondicionesFinales"/>
        <w:spacing w:before="240" w:after="0"/>
      </w:pPr>
      <w:r w:rsidRPr="00201047">
        <w:t>Servicio de Tendido de Cable sobre Infraestructura Desagregada.</w:t>
      </w:r>
    </w:p>
    <w:p w:rsidR="007C4016" w:rsidRPr="00201047" w:rsidRDefault="007C4016" w:rsidP="007C4016">
      <w:pPr>
        <w:pStyle w:val="CondicionesFinales"/>
        <w:spacing w:before="240" w:after="0"/>
      </w:pPr>
      <w:r w:rsidRPr="00201047">
        <w:t>Servicio de Canales Ópticos de Alta Capacidad de Transporte</w:t>
      </w:r>
    </w:p>
    <w:p w:rsidR="007C4016" w:rsidRPr="00103B44" w:rsidRDefault="007C4016" w:rsidP="007C4016">
      <w:pPr>
        <w:pStyle w:val="CondicionesFinales"/>
        <w:spacing w:before="240" w:after="0"/>
      </w:pPr>
      <w:r w:rsidRPr="00201047">
        <w:t>Actividades de Apoyo para la Compartición de Infraestructura Pasiva.</w:t>
      </w:r>
    </w:p>
    <w:p w:rsidR="007C4016" w:rsidRPr="00201047" w:rsidRDefault="007C4016" w:rsidP="007C4016">
      <w:pPr>
        <w:pStyle w:val="CondicionesFinales"/>
        <w:spacing w:before="240" w:after="0"/>
      </w:pPr>
      <w:r w:rsidRPr="00201047">
        <w:t>Visita Técnica;</w:t>
      </w:r>
    </w:p>
    <w:p w:rsidR="007C4016" w:rsidRPr="00201047" w:rsidRDefault="007C4016" w:rsidP="007C4016">
      <w:pPr>
        <w:pStyle w:val="CondicionesFinales"/>
        <w:spacing w:before="240" w:after="0"/>
      </w:pPr>
      <w:r w:rsidRPr="00201047">
        <w:t xml:space="preserve">Análisis de Factibilidad, e </w:t>
      </w:r>
    </w:p>
    <w:p w:rsidR="007C4016" w:rsidRPr="00201047" w:rsidRDefault="007C4016" w:rsidP="007C4016">
      <w:pPr>
        <w:pStyle w:val="CondicionesFinales"/>
        <w:spacing w:before="240" w:after="0"/>
      </w:pPr>
      <w:r w:rsidRPr="00201047">
        <w:t>Trabajos Especiales asociados a los servicios de Acceso y Uso Compartido de la Infraestructura Pasiva.</w:t>
      </w:r>
    </w:p>
    <w:p w:rsidR="007C4016" w:rsidRPr="00201047" w:rsidRDefault="007C4016" w:rsidP="007C4016">
      <w:pPr>
        <w:pStyle w:val="CondicionesFinales"/>
        <w:spacing w:before="240" w:after="0"/>
      </w:pPr>
      <w:r w:rsidRPr="00201047">
        <w:t>Servicio de Instalación de Infraestructura del CS en Despliegue de Nueva Obra Civil;</w:t>
      </w:r>
    </w:p>
    <w:p w:rsidR="007C4016" w:rsidRPr="00201047" w:rsidRDefault="007C4016" w:rsidP="007C4016">
      <w:pPr>
        <w:pStyle w:val="CondicionesFinales"/>
        <w:spacing w:before="240" w:after="0"/>
      </w:pPr>
      <w:r w:rsidRPr="00201047">
        <w:t>Acondicionamiento de la infraestructura;</w:t>
      </w:r>
    </w:p>
    <w:p w:rsidR="007C4016" w:rsidRPr="00201047" w:rsidRDefault="007C4016" w:rsidP="007C4016">
      <w:pPr>
        <w:pStyle w:val="CondicionesFinales"/>
        <w:spacing w:before="240" w:after="0"/>
      </w:pPr>
      <w:r w:rsidRPr="00201047">
        <w:t>Servicio de Recuperación de Espacio, y</w:t>
      </w:r>
    </w:p>
    <w:p w:rsidR="007C4016" w:rsidRPr="00201047" w:rsidRDefault="007C4016" w:rsidP="007C4016">
      <w:pPr>
        <w:pStyle w:val="CondicionesFinales"/>
        <w:spacing w:before="240" w:after="0"/>
      </w:pPr>
      <w:r w:rsidRPr="00201047">
        <w:t>Servicio de Solución Correctiva.</w:t>
      </w:r>
    </w:p>
    <w:p w:rsidR="007C4016" w:rsidRPr="00C75838" w:rsidRDefault="007C4016" w:rsidP="007C4016">
      <w:pPr>
        <w:pStyle w:val="IFTnormal"/>
        <w:spacing w:before="240" w:after="0"/>
        <w:rPr>
          <w:b/>
        </w:rPr>
      </w:pPr>
      <w:r w:rsidRPr="00C75838">
        <w:rPr>
          <w:b/>
        </w:rPr>
        <w:t>CLÁUSULA TERCERA PRECIOS Y CONDICIONES DE PAGO</w:t>
      </w:r>
    </w:p>
    <w:p w:rsidR="007C4016" w:rsidRPr="00BF4959" w:rsidRDefault="007C4016" w:rsidP="007C4016">
      <w:pPr>
        <w:pStyle w:val="IFTnormal"/>
        <w:spacing w:before="240" w:after="0"/>
        <w:rPr>
          <w:b/>
        </w:rPr>
      </w:pPr>
      <w:r w:rsidRPr="00BF4959">
        <w:rPr>
          <w:b/>
        </w:rPr>
        <w:t>Consideraciones del Instituto</w:t>
      </w:r>
    </w:p>
    <w:p w:rsidR="007C4016" w:rsidRPr="00B778D8" w:rsidRDefault="007C4016" w:rsidP="007C4016">
      <w:pPr>
        <w:pStyle w:val="IFTnormal"/>
        <w:spacing w:before="240" w:after="0"/>
        <w:rPr>
          <w:b/>
          <w:lang w:val="es-ES"/>
        </w:rPr>
      </w:pPr>
      <w:r w:rsidRPr="001C56F3">
        <w:rPr>
          <w:b/>
        </w:rPr>
        <w:lastRenderedPageBreak/>
        <w:t>CASO 1</w:t>
      </w:r>
      <w:r>
        <w:rPr>
          <w:b/>
        </w:rPr>
        <w:t xml:space="preserve">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Default="007C4016" w:rsidP="007C4016">
      <w:pPr>
        <w:pStyle w:val="IFTnormal"/>
        <w:spacing w:before="240" w:after="0"/>
      </w:pPr>
      <w:r w:rsidRPr="00F0621F">
        <w:rPr>
          <w:lang w:val="es-ES"/>
        </w:rPr>
        <w:t xml:space="preserve">Dentro de </w:t>
      </w:r>
      <w:r>
        <w:rPr>
          <w:lang w:val="es-ES"/>
        </w:rPr>
        <w:t xml:space="preserve">la Cláusula TERCERA </w:t>
      </w:r>
      <w:r w:rsidRPr="00337046">
        <w:t>“</w:t>
      </w:r>
      <w:r w:rsidRPr="00FA581E">
        <w:t>PRECIOS Y CONDICIONES DE PAGO</w:t>
      </w:r>
      <w:r w:rsidRPr="00337046">
        <w:t>”</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agregó en el inciso a) numer</w:t>
      </w:r>
      <w:r w:rsidRPr="00DD4133">
        <w:t>al 1</w:t>
      </w:r>
      <w:r>
        <w:t>, que los pagos por</w:t>
      </w:r>
      <w:r w:rsidRPr="00DD4133">
        <w:t xml:space="preserve"> cargos recurrentes se deberán efectuar dentro de los 18 días naturales posteriores a la entrega de la factura</w:t>
      </w:r>
      <w:r>
        <w:t>; de la manera siguiente:</w:t>
      </w:r>
    </w:p>
    <w:p w:rsidR="007C4016" w:rsidRDefault="007C4016" w:rsidP="007C4016">
      <w:pPr>
        <w:pStyle w:val="CitaIFT"/>
        <w:spacing w:before="240" w:after="0"/>
        <w:rPr>
          <w:b/>
        </w:rPr>
      </w:pPr>
      <w:r w:rsidRPr="00D36405">
        <w:rPr>
          <w:rFonts w:eastAsia="MS Mincho"/>
          <w:b/>
        </w:rPr>
        <w:t>“</w:t>
      </w:r>
      <w:r w:rsidRPr="00D36405">
        <w:rPr>
          <w:b/>
        </w:rPr>
        <w:t>TERCERA.</w:t>
      </w:r>
      <w:r w:rsidRPr="00D36405">
        <w:rPr>
          <w:b/>
        </w:rPr>
        <w:tab/>
        <w:t>PRECIO Y CONDICIONES DE PAGO.</w:t>
      </w:r>
    </w:p>
    <w:p w:rsidR="007C4016" w:rsidRDefault="007C4016" w:rsidP="007C4016">
      <w:pPr>
        <w:pStyle w:val="CitaIFT"/>
        <w:numPr>
          <w:ilvl w:val="0"/>
          <w:numId w:val="208"/>
        </w:numPr>
        <w:spacing w:before="240" w:after="0"/>
        <w:rPr>
          <w:b/>
          <w:lang w:val="es-ES_tradnl"/>
        </w:rPr>
      </w:pPr>
      <w:r w:rsidRPr="00D36405">
        <w:rPr>
          <w:b/>
          <w:lang w:val="es-ES_tradnl"/>
        </w:rPr>
        <w:t>Pago de los SERVICIOS:</w:t>
      </w:r>
    </w:p>
    <w:p w:rsidR="007C4016" w:rsidRDefault="007C4016" w:rsidP="007C4016">
      <w:pPr>
        <w:pStyle w:val="CitaIFT"/>
        <w:spacing w:before="240" w:after="0"/>
        <w:rPr>
          <w:lang w:val="es-ES_tradnl"/>
        </w:rPr>
      </w:pPr>
      <w:r w:rsidRPr="00597A7A">
        <w:rPr>
          <w:lang w:val="es-ES_tradnl"/>
        </w:rPr>
        <w:t xml:space="preserve">El CONCESIONARIO SOLICITANTE se obliga a pagar a </w:t>
      </w:r>
      <w:r>
        <w:rPr>
          <w:lang w:val="es-ES_tradnl"/>
        </w:rPr>
        <w:t>TELNOR</w:t>
      </w:r>
      <w:r w:rsidRPr="00597A7A">
        <w:rPr>
          <w:lang w:val="es-ES_tradnl"/>
        </w:rPr>
        <w:t xml:space="preserve"> por la prestación de cada uno de los SERVICIOS las tarifas establecidas en el Anexo </w:t>
      </w:r>
      <w:r>
        <w:rPr>
          <w:lang w:val="es-ES_tradnl"/>
        </w:rPr>
        <w:t>A</w:t>
      </w:r>
      <w:r w:rsidRPr="00597A7A">
        <w:rPr>
          <w:lang w:val="es-ES_tradnl"/>
        </w:rPr>
        <w:t xml:space="preserve"> del presente CONVENIO, de conformidad con los términos y condiciones en el mismo establecidas. El</w:t>
      </w:r>
      <w:r w:rsidRPr="00597A7A">
        <w:rPr>
          <w:color w:val="0000FF"/>
          <w:vertAlign w:val="subscript"/>
          <w:lang w:val="es-ES_tradnl"/>
        </w:rPr>
        <w:t xml:space="preserve"> </w:t>
      </w:r>
      <w:r w:rsidRPr="00597A7A">
        <w:rPr>
          <w:lang w:val="es-ES_tradnl"/>
        </w:rPr>
        <w:t>pago de los SERVICIOS deberá ser efectuado por el CONCESIONARIO SOLICITANTE de conformidad con los siguientes plazos:</w:t>
      </w:r>
    </w:p>
    <w:p w:rsidR="007C4016" w:rsidRDefault="007C4016" w:rsidP="007C4016">
      <w:pPr>
        <w:pStyle w:val="CitaIFT"/>
        <w:numPr>
          <w:ilvl w:val="0"/>
          <w:numId w:val="209"/>
        </w:numPr>
        <w:spacing w:before="240" w:after="0"/>
        <w:rPr>
          <w:lang w:val="es-ES_tradnl"/>
        </w:rPr>
      </w:pPr>
      <w:r w:rsidRPr="002D0CB8">
        <w:rPr>
          <w:lang w:val="es-ES_tradnl"/>
        </w:rPr>
        <w:t>Cargos Recurrentes mensuales anticipados, los cuales se deberán efectuar dentro de los 18 (dieciocho) días</w:t>
      </w:r>
      <w:r>
        <w:rPr>
          <w:lang w:val="es-ES_tradnl"/>
        </w:rPr>
        <w:t xml:space="preserve"> </w:t>
      </w:r>
      <w:r w:rsidRPr="001B6B6B">
        <w:rPr>
          <w:b/>
          <w:u w:val="single"/>
          <w:lang w:val="es-ES_tradnl"/>
        </w:rPr>
        <w:t>naturales</w:t>
      </w:r>
      <w:r w:rsidRPr="002D0CB8">
        <w:rPr>
          <w:lang w:val="es-ES_tradnl"/>
        </w:rPr>
        <w:t xml:space="preserve"> posteriores a la entrega de la factura correspondiente.</w:t>
      </w:r>
    </w:p>
    <w:p w:rsidR="007C4016" w:rsidRPr="001B6B6B" w:rsidRDefault="007C4016" w:rsidP="007C4016">
      <w:pPr>
        <w:pStyle w:val="CitaIFT"/>
        <w:spacing w:before="240" w:after="0"/>
        <w:jc w:val="right"/>
        <w:rPr>
          <w:i w:val="0"/>
          <w:lang w:val="es-ES_tradnl"/>
        </w:rPr>
      </w:pPr>
      <w:r w:rsidRPr="001B6B6B">
        <w:rPr>
          <w:i w:val="0"/>
          <w:lang w:val="es-ES_tradnl"/>
        </w:rPr>
        <w:t>[Énfasis añadido]</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Default="007C4016" w:rsidP="007C4016">
      <w:pPr>
        <w:pStyle w:val="IFTnormal"/>
        <w:spacing w:before="240" w:after="0"/>
      </w:pPr>
      <w:r>
        <w:t xml:space="preserve">Del análisis realizado a la Cláusula TERCERA de la Propuesta de Convenio de la Oferta de Referencia </w:t>
      </w:r>
      <w:r w:rsidRPr="00DD4133">
        <w:t>el Instituto considera pertinente hacer la precisión respecto a que los días son hábiles por consistencia con todos los plazos manejados dentro de la Oferta de Referencia</w:t>
      </w:r>
      <w:r>
        <w:t>.</w:t>
      </w:r>
    </w:p>
    <w:p w:rsidR="007C4016" w:rsidRDefault="007C4016" w:rsidP="007C4016">
      <w:pPr>
        <w:pStyle w:val="IFTnormal"/>
        <w:spacing w:before="240" w:after="0"/>
      </w:pPr>
      <w:r>
        <w:t>De igual forma, la determinación de días hábiles da certeza a los CS respecto de los días en los que debe realizar el pago correspondiente ante la institución bancaria designada por el AEP.</w:t>
      </w:r>
    </w:p>
    <w:p w:rsidR="007C4016" w:rsidRPr="00C65A3B" w:rsidRDefault="007C4016" w:rsidP="007C4016">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 de las “PRECIOS Y CONDICIONES DE PAGO” se recupera del Convenio de la Oferta de Referencia vigente.</w:t>
      </w:r>
    </w:p>
    <w:p w:rsidR="007C4016" w:rsidRDefault="007C4016" w:rsidP="007C4016">
      <w:pPr>
        <w:pStyle w:val="IFTnormal"/>
        <w:spacing w:before="240" w:after="0"/>
        <w:rPr>
          <w:b/>
        </w:rPr>
      </w:pPr>
      <w:r w:rsidRPr="00D138E3">
        <w:rPr>
          <w:b/>
        </w:rPr>
        <w:t>Redacción definitiva</w:t>
      </w:r>
    </w:p>
    <w:p w:rsidR="007C4016" w:rsidRDefault="007C4016" w:rsidP="007C4016">
      <w:pPr>
        <w:pStyle w:val="CondicionesFinales"/>
        <w:spacing w:before="240" w:after="0"/>
      </w:pPr>
      <w:r>
        <w:t xml:space="preserve">TERCERA. PRECIO Y CONDICIONES DE PAGO </w:t>
      </w:r>
    </w:p>
    <w:p w:rsidR="007C4016" w:rsidRDefault="007C4016" w:rsidP="007C4016">
      <w:pPr>
        <w:pStyle w:val="CondicionesFinales"/>
        <w:numPr>
          <w:ilvl w:val="0"/>
          <w:numId w:val="214"/>
        </w:numPr>
        <w:spacing w:before="240" w:after="0"/>
      </w:pPr>
      <w:r>
        <w:t xml:space="preserve">Pago de los servicios </w:t>
      </w:r>
    </w:p>
    <w:p w:rsidR="007C4016" w:rsidRDefault="007C4016" w:rsidP="007C4016">
      <w:pPr>
        <w:pStyle w:val="CondicionesFinales"/>
        <w:numPr>
          <w:ilvl w:val="0"/>
          <w:numId w:val="215"/>
        </w:numPr>
        <w:spacing w:before="240" w:after="0"/>
      </w:pPr>
      <w:r w:rsidRPr="00A4451F">
        <w:lastRenderedPageBreak/>
        <w:t xml:space="preserve">Cargos Recurrentes mensuales anticipados, los cuales se deberán efectuar dentro de los 18 (dieciocho) días </w:t>
      </w:r>
      <w:r>
        <w:t xml:space="preserve">hábiles </w:t>
      </w:r>
      <w:r w:rsidRPr="00A4451F">
        <w:t>posteriores a la entrega de la factura correspondiente.</w:t>
      </w:r>
    </w:p>
    <w:p w:rsidR="007C4016" w:rsidRPr="00BF4959" w:rsidRDefault="007C4016" w:rsidP="007C4016">
      <w:pPr>
        <w:pStyle w:val="IFTnormal"/>
        <w:spacing w:before="240" w:after="0"/>
        <w:rPr>
          <w:b/>
        </w:rPr>
      </w:pPr>
      <w:r w:rsidRPr="00BF4959">
        <w:rPr>
          <w:b/>
        </w:rPr>
        <w:t>Consideraciones del Instituto</w:t>
      </w:r>
    </w:p>
    <w:p w:rsidR="007C4016" w:rsidRPr="001C56F3" w:rsidRDefault="007C4016" w:rsidP="007C4016">
      <w:pPr>
        <w:pStyle w:val="IFTnormal"/>
        <w:spacing w:before="240" w:after="0"/>
        <w:rPr>
          <w:b/>
        </w:rPr>
      </w:pPr>
      <w:r w:rsidRPr="001C56F3">
        <w:rPr>
          <w:b/>
        </w:rPr>
        <w:t>CASO 2</w:t>
      </w:r>
      <w:r>
        <w:rPr>
          <w:b/>
        </w:rPr>
        <w:t xml:space="preserve"> </w:t>
      </w:r>
      <w:r w:rsidRPr="002802DB">
        <w:rPr>
          <w:b/>
          <w:lang w:val="es-ES"/>
        </w:rPr>
        <w:t xml:space="preserve">Cambios que </w:t>
      </w:r>
      <w:r w:rsidRPr="002802DB">
        <w:rPr>
          <w:b/>
        </w:rPr>
        <w:t>modifican la redacción de</w:t>
      </w:r>
      <w:r>
        <w:rPr>
          <w:b/>
        </w:rPr>
        <w:t>l Convenio de</w:t>
      </w:r>
      <w:r w:rsidRPr="002802DB">
        <w:rPr>
          <w:b/>
        </w:rPr>
        <w:t xml:space="preserve"> la Propuesta de Oferta de Referencia.</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TERCERA </w:t>
      </w:r>
      <w:r w:rsidRPr="00337046">
        <w:t>“</w:t>
      </w:r>
      <w:r w:rsidRPr="00FA581E">
        <w:t>PRECIOS Y CONDICIONES DE PAGO</w:t>
      </w:r>
      <w:r w:rsidRPr="00337046">
        <w:t>”</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agregó en el inciso a) pago de los servicios un párrafo que a la letra dice:</w:t>
      </w:r>
    </w:p>
    <w:p w:rsidR="007C4016" w:rsidRDefault="007C4016" w:rsidP="007C4016">
      <w:pPr>
        <w:pStyle w:val="CitaIFT"/>
        <w:spacing w:before="240" w:after="0"/>
      </w:pPr>
      <w:r>
        <w:rPr>
          <w:i w:val="0"/>
        </w:rPr>
        <w:t>“</w:t>
      </w:r>
      <w:r w:rsidRPr="00B357D7">
        <w:t xml:space="preserve">TERCERA. PRECIO Y CONDICIONES DE PAGO </w:t>
      </w:r>
    </w:p>
    <w:p w:rsidR="007C4016" w:rsidRPr="00B357D7" w:rsidRDefault="007C4016" w:rsidP="007C4016">
      <w:pPr>
        <w:pStyle w:val="CitaIFT"/>
        <w:numPr>
          <w:ilvl w:val="0"/>
          <w:numId w:val="210"/>
        </w:numPr>
        <w:spacing w:before="240" w:after="0"/>
      </w:pPr>
      <w:r w:rsidRPr="00B357D7">
        <w:t>Pago de los servicios</w:t>
      </w:r>
    </w:p>
    <w:p w:rsidR="007C4016" w:rsidRPr="00C339D0" w:rsidRDefault="007C4016" w:rsidP="007C4016">
      <w:pPr>
        <w:pStyle w:val="CitaIFT"/>
        <w:spacing w:before="240" w:after="0"/>
        <w:ind w:left="1211"/>
        <w:rPr>
          <w:b/>
        </w:rPr>
      </w:pPr>
      <w:r w:rsidRPr="00C339D0">
        <w:rPr>
          <w:b/>
        </w:rPr>
        <w:t xml:space="preserve"> </w:t>
      </w:r>
    </w:p>
    <w:p w:rsidR="007C4016" w:rsidRDefault="007C4016" w:rsidP="007C4016">
      <w:pPr>
        <w:pStyle w:val="CitaIFT"/>
        <w:spacing w:before="240" w:after="0"/>
      </w:pPr>
      <w:r>
        <w:t>[…]</w:t>
      </w:r>
    </w:p>
    <w:p w:rsidR="007C4016" w:rsidRDefault="007C4016" w:rsidP="007C4016">
      <w:pPr>
        <w:pStyle w:val="CitaIFT"/>
        <w:spacing w:before="240" w:after="0"/>
        <w:rPr>
          <w:lang w:val="es-ES_tradnl"/>
        </w:rPr>
      </w:pPr>
      <w:r w:rsidRPr="007D05AE">
        <w:rPr>
          <w:lang w:val="es-ES_tradnl"/>
        </w:rPr>
        <w:t xml:space="preserve">Bajo ninguna circunstancia el CONCESIONARIO SOLICITANTE tendrá derecho a reducir, deducir o compensar cantidad alguna contra las cantidades que por concepto de contraprestaciones, intereses moratorios o cualquier otro deba pagar a </w:t>
      </w:r>
      <w:r>
        <w:rPr>
          <w:lang w:val="es-ES_tradnl"/>
        </w:rPr>
        <w:t>TELNOR</w:t>
      </w:r>
      <w:r w:rsidRPr="007D05AE">
        <w:rPr>
          <w:lang w:val="es-ES_tradnl"/>
        </w:rPr>
        <w:t xml:space="preserve"> bajo el presente CONVENIO, salvo pacto en contrario.</w:t>
      </w:r>
      <w:r>
        <w:rPr>
          <w:lang w:val="es-ES_tradnl"/>
        </w:rPr>
        <w:t>”</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Default="007C4016" w:rsidP="007C4016">
      <w:pPr>
        <w:pStyle w:val="IFTnormal"/>
        <w:spacing w:before="240" w:after="0"/>
      </w:pPr>
      <w:r>
        <w:t>Del análisis realizado a la Cláusula TERCERA de la Propuesta de Convenio de la Oferta de Referencia se deprende que el párrafo añadido por el AEP ya se encuentra contemplado dentro de la misma cláusula TERCERA en el Convenio Vigente; por lo que, resulta ocioso repetir la redacción del mismo precepto.</w:t>
      </w:r>
    </w:p>
    <w:p w:rsidR="007C4016" w:rsidRDefault="007C4016" w:rsidP="007C4016">
      <w:pPr>
        <w:pStyle w:val="IFTnormal"/>
        <w:spacing w:before="240" w:after="0"/>
        <w:rPr>
          <w:b/>
        </w:rPr>
      </w:pPr>
      <w:r w:rsidRPr="00D138E3">
        <w:rPr>
          <w:b/>
        </w:rPr>
        <w:t>Redacción definitiva</w:t>
      </w:r>
    </w:p>
    <w:p w:rsidR="007C4016" w:rsidRPr="00EF35B0" w:rsidRDefault="007C4016" w:rsidP="007C4016">
      <w:pPr>
        <w:pStyle w:val="IFTnormal"/>
        <w:spacing w:before="240" w:after="0"/>
      </w:pPr>
      <w:r w:rsidRPr="00EF35B0">
        <w:t xml:space="preserve">Derivado del análisis previo, el Instituto acuerda eliminar el </w:t>
      </w:r>
      <w:r>
        <w:t>párrafo</w:t>
      </w:r>
      <w:r w:rsidRPr="00EF35B0">
        <w:t xml:space="preserve"> en comento del Modelo de Convenio.</w:t>
      </w:r>
    </w:p>
    <w:p w:rsidR="007C4016" w:rsidRPr="00BF4959" w:rsidRDefault="007C4016" w:rsidP="007C4016">
      <w:pPr>
        <w:pStyle w:val="IFTnormal"/>
        <w:spacing w:before="240" w:after="0"/>
        <w:rPr>
          <w:b/>
        </w:rPr>
      </w:pPr>
      <w:r w:rsidRPr="00BF4959">
        <w:rPr>
          <w:b/>
        </w:rPr>
        <w:t>Consideraciones del Instituto</w:t>
      </w:r>
    </w:p>
    <w:p w:rsidR="007C4016" w:rsidRPr="001C56F3" w:rsidRDefault="007C4016" w:rsidP="007C4016">
      <w:pPr>
        <w:pStyle w:val="IFTnormal"/>
        <w:spacing w:before="240" w:after="0"/>
        <w:rPr>
          <w:b/>
        </w:rPr>
      </w:pPr>
      <w:r w:rsidRPr="001C56F3">
        <w:rPr>
          <w:b/>
        </w:rPr>
        <w:t>CASO 2</w:t>
      </w:r>
      <w:r>
        <w:rPr>
          <w:b/>
        </w:rPr>
        <w:t xml:space="preserve"> </w:t>
      </w:r>
      <w:r w:rsidRPr="002802DB">
        <w:rPr>
          <w:b/>
          <w:lang w:val="es-ES"/>
        </w:rPr>
        <w:t xml:space="preserve">Cambios que </w:t>
      </w:r>
      <w:r w:rsidRPr="002802DB">
        <w:rPr>
          <w:b/>
        </w:rPr>
        <w:t>modifican la redacción de</w:t>
      </w:r>
      <w:r>
        <w:rPr>
          <w:b/>
        </w:rPr>
        <w:t>l Convenio de</w:t>
      </w:r>
      <w:r w:rsidRPr="002802DB">
        <w:rPr>
          <w:b/>
        </w:rPr>
        <w:t xml:space="preserve"> la Propuesta de Oferta de Referencia.</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TERCERA </w:t>
      </w:r>
      <w:r w:rsidRPr="00337046">
        <w:t>“</w:t>
      </w:r>
      <w:r w:rsidRPr="00FA581E">
        <w:t>PRECIOS Y CONDICIONES DE PAGO</w:t>
      </w:r>
      <w:r w:rsidRPr="00337046">
        <w:t>”</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agregó en el inciso a) pago de los servicios un párrafo que a la letra dice:</w:t>
      </w:r>
    </w:p>
    <w:p w:rsidR="007C4016" w:rsidRDefault="007C4016" w:rsidP="007C4016">
      <w:pPr>
        <w:pStyle w:val="CitaIFT"/>
        <w:spacing w:before="240" w:after="0"/>
        <w:rPr>
          <w:b/>
        </w:rPr>
      </w:pPr>
      <w:r>
        <w:rPr>
          <w:i w:val="0"/>
        </w:rPr>
        <w:lastRenderedPageBreak/>
        <w:t>“</w:t>
      </w:r>
      <w:r w:rsidRPr="00C339D0">
        <w:rPr>
          <w:b/>
        </w:rPr>
        <w:t xml:space="preserve">TERCERA. PRECIO Y CONDICIONES DE PAGO </w:t>
      </w:r>
    </w:p>
    <w:p w:rsidR="007C4016" w:rsidRDefault="007C4016" w:rsidP="007C4016">
      <w:pPr>
        <w:pStyle w:val="CitaIFT"/>
        <w:numPr>
          <w:ilvl w:val="0"/>
          <w:numId w:val="211"/>
        </w:numPr>
        <w:spacing w:before="240" w:after="0"/>
        <w:rPr>
          <w:b/>
        </w:rPr>
      </w:pPr>
      <w:r w:rsidRPr="00C339D0">
        <w:rPr>
          <w:b/>
        </w:rPr>
        <w:t>Pago de los servicios</w:t>
      </w:r>
    </w:p>
    <w:p w:rsidR="007C4016" w:rsidRDefault="007C4016" w:rsidP="007C4016">
      <w:pPr>
        <w:pStyle w:val="CitaIFT"/>
        <w:spacing w:before="240" w:after="0"/>
        <w:rPr>
          <w:lang w:val="es-ES_tradnl"/>
        </w:rPr>
      </w:pPr>
      <w:r>
        <w:rPr>
          <w:lang w:val="es-ES_tradnl"/>
        </w:rPr>
        <w:t>[…]</w:t>
      </w:r>
    </w:p>
    <w:p w:rsidR="007C4016" w:rsidRPr="008321DA" w:rsidRDefault="007C4016" w:rsidP="007C4016">
      <w:pPr>
        <w:pStyle w:val="CitaIFT"/>
        <w:spacing w:before="240" w:after="0"/>
        <w:rPr>
          <w:lang w:val="es-ES_tradnl"/>
        </w:rPr>
      </w:pPr>
      <w:r>
        <w:rPr>
          <w:lang w:val="es-ES_tradnl"/>
        </w:rPr>
        <w:t>TELNOR</w:t>
      </w:r>
      <w:r w:rsidRPr="008321DA">
        <w:rPr>
          <w:lang w:val="es-ES_tradnl"/>
        </w:rPr>
        <w:t xml:space="preserve"> y el CONCESIONARIO SOLICITANTE acuerdan que en el evento de que éste último incumpla con cualesquiera de las obligaciones de pago a su cargo bajo el presente C</w:t>
      </w:r>
      <w:r w:rsidRPr="00E91B87">
        <w:rPr>
          <w:lang w:val="es-ES_tradnl"/>
        </w:rPr>
        <w:t>ONVENIO</w:t>
      </w:r>
      <w:r w:rsidRPr="008321DA">
        <w:rPr>
          <w:lang w:val="es-ES_tradnl"/>
        </w:rPr>
        <w:t xml:space="preserve">, </w:t>
      </w:r>
      <w:r>
        <w:rPr>
          <w:lang w:val="es-ES_tradnl"/>
        </w:rPr>
        <w:t>TELNOR</w:t>
      </w:r>
      <w:r w:rsidRPr="008321DA">
        <w:rPr>
          <w:lang w:val="es-ES_tradnl"/>
        </w:rPr>
        <w:t xml:space="preserve"> estará debidamente facultado para: (i) suspender, sin responsabilidad alguna, la prestación de los Servicios, previa notificación al </w:t>
      </w:r>
      <w:r>
        <w:rPr>
          <w:lang w:val="es-ES_tradnl"/>
        </w:rPr>
        <w:t>CONCESIONARIO SOLICITANTE</w:t>
      </w:r>
      <w:r w:rsidRPr="008321DA">
        <w:rPr>
          <w:lang w:val="es-ES_tradnl"/>
        </w:rPr>
        <w:t xml:space="preserve"> o; (ii) rescindir el presente </w:t>
      </w:r>
      <w:r w:rsidRPr="00E91B87">
        <w:rPr>
          <w:lang w:val="es-ES_tradnl"/>
        </w:rPr>
        <w:t>CONVENIO</w:t>
      </w:r>
      <w:r w:rsidRPr="008321DA">
        <w:rPr>
          <w:lang w:val="es-ES_tradnl"/>
        </w:rPr>
        <w:t xml:space="preserve"> en observancia a lo dispuesto en la cláusula Décima Tercera. Rescisión del C</w:t>
      </w:r>
      <w:r w:rsidRPr="00E91B87">
        <w:rPr>
          <w:lang w:val="es-ES_tradnl"/>
        </w:rPr>
        <w:t>ONVENIO</w:t>
      </w:r>
      <w:r w:rsidRPr="008321DA">
        <w:rPr>
          <w:lang w:val="es-ES_tradnl"/>
        </w:rPr>
        <w:t xml:space="preserve">. En ambos casos </w:t>
      </w:r>
      <w:r>
        <w:rPr>
          <w:lang w:val="es-ES_tradnl"/>
        </w:rPr>
        <w:t>TELNOR</w:t>
      </w:r>
      <w:r w:rsidRPr="008321DA">
        <w:rPr>
          <w:lang w:val="es-ES_tradnl"/>
        </w:rPr>
        <w:t xml:space="preserve"> podrá exigir el pago de daños y perjuicios.</w:t>
      </w:r>
      <w:r>
        <w:rPr>
          <w:lang w:val="es-ES_tradnl"/>
        </w:rPr>
        <w:t>”</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Default="007C4016" w:rsidP="007C4016">
      <w:pPr>
        <w:pStyle w:val="IFTnormal"/>
        <w:spacing w:before="240" w:after="0"/>
      </w:pPr>
      <w:r>
        <w:t>Del análisis realizado a la Cláusula TERCERA de la Propuesta de Convenio de la Oferta de Referencia se desprende que el párrafo añadido por el AEP no resulta procedente; en virtud, de que los supuestos de suspensión del servicio por falta de pago ya se encuentran contemplados a los largo del Convenio en específico en las cláusulas de “Terminación Anticipada” y “Rescisión”. De igual forma cabe destacar que existe una cláusula la cual contiene la obligación de proporcionar una garantía misma que puede ser ejecutada en caso pertinente.</w:t>
      </w:r>
    </w:p>
    <w:p w:rsidR="007C4016" w:rsidRPr="003B5275" w:rsidRDefault="007C4016" w:rsidP="007C4016">
      <w:pPr>
        <w:pStyle w:val="IFTnormal"/>
        <w:spacing w:before="240" w:after="0"/>
      </w:pPr>
      <w:r>
        <w:t xml:space="preserve">Finalmente este Instituto contempló dentro del Convenio vigente que </w:t>
      </w:r>
      <w:r w:rsidRPr="003B5275">
        <w:t>para otorgar mayor certeza y seguridad jurídica a las partes firmantes del Convenio</w:t>
      </w:r>
      <w:r>
        <w:rPr>
          <w:rFonts w:ascii="Segoe UI" w:hAnsi="Segoe UI" w:cs="Segoe UI"/>
          <w:color w:val="1A1A1A"/>
          <w:sz w:val="20"/>
          <w:szCs w:val="20"/>
        </w:rPr>
        <w:t xml:space="preserve"> </w:t>
      </w:r>
      <w:r w:rsidRPr="003B5275">
        <w:t>en</w:t>
      </w:r>
      <w:r>
        <w:rPr>
          <w:rFonts w:ascii="Segoe UI" w:hAnsi="Segoe UI" w:cs="Segoe UI"/>
          <w:color w:val="1A1A1A"/>
          <w:sz w:val="20"/>
          <w:szCs w:val="20"/>
        </w:rPr>
        <w:t xml:space="preserve"> </w:t>
      </w:r>
      <w:r>
        <w:t xml:space="preserve">los supuestos que implique una suspensión de cualquier forma a los servicios materia de la presente Oferta se debe dar aviso al Instituto para que previa aprobación se lleve a cabo el procedimiento de suspensión anulando </w:t>
      </w:r>
      <w:r w:rsidRPr="003B5275">
        <w:t>la posibilidad de que el AEP de forma unilateral deje de prestar el servicio.</w:t>
      </w:r>
    </w:p>
    <w:p w:rsidR="007C4016" w:rsidRPr="00120F65" w:rsidRDefault="007C4016" w:rsidP="007C4016">
      <w:pPr>
        <w:pStyle w:val="IFTnormal"/>
        <w:spacing w:before="240" w:after="0"/>
        <w:rPr>
          <w:b/>
        </w:rPr>
      </w:pPr>
      <w:r w:rsidRPr="00120F65">
        <w:rPr>
          <w:b/>
        </w:rPr>
        <w:t>Redacción definitiva</w:t>
      </w:r>
    </w:p>
    <w:p w:rsidR="007C4016" w:rsidRDefault="007C4016" w:rsidP="007C4016">
      <w:pPr>
        <w:pStyle w:val="IFTnormal"/>
        <w:spacing w:before="240" w:after="0"/>
      </w:pPr>
      <w:r w:rsidRPr="00120F65">
        <w:t>Derivado del análisis previo, el Instituto acuerda eliminar el párrafo en comento del Modelo de Convenio.</w:t>
      </w:r>
    </w:p>
    <w:p w:rsidR="007C4016" w:rsidRPr="00BF4959" w:rsidRDefault="007C4016" w:rsidP="007C4016">
      <w:pPr>
        <w:pStyle w:val="IFTnormal"/>
        <w:spacing w:before="240" w:after="0"/>
        <w:rPr>
          <w:b/>
        </w:rPr>
      </w:pPr>
      <w:r w:rsidRPr="00BF4959">
        <w:rPr>
          <w:b/>
        </w:rPr>
        <w:t>Consideraciones del Instituto</w:t>
      </w:r>
    </w:p>
    <w:p w:rsidR="007C4016" w:rsidRPr="00B778D8" w:rsidRDefault="007C4016" w:rsidP="007C4016">
      <w:pPr>
        <w:pStyle w:val="IFTnormal"/>
        <w:spacing w:before="240" w:after="0"/>
        <w:rPr>
          <w:b/>
          <w:lang w:val="es-ES"/>
        </w:rPr>
      </w:pPr>
      <w:r w:rsidRPr="001C56F3">
        <w:rPr>
          <w:b/>
        </w:rPr>
        <w:t>CASO 1</w:t>
      </w:r>
      <w:r>
        <w:rPr>
          <w:b/>
        </w:rPr>
        <w:t xml:space="preserve">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TERCERA </w:t>
      </w:r>
      <w:r w:rsidRPr="00337046">
        <w:t>“</w:t>
      </w:r>
      <w:r w:rsidRPr="00FA581E">
        <w:t>PRECIOS Y CONDICIONES DE PAGO</w:t>
      </w:r>
      <w:r w:rsidRPr="00337046">
        <w:t>”</w:t>
      </w:r>
      <w:r>
        <w:t xml:space="preserve"> inciso d) inconformidades</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eliminó lo siguiente:</w:t>
      </w:r>
    </w:p>
    <w:p w:rsidR="007C4016" w:rsidRDefault="007C4016" w:rsidP="007C4016">
      <w:pPr>
        <w:pStyle w:val="Citaift0"/>
        <w:spacing w:before="240" w:after="0"/>
        <w:rPr>
          <w:rFonts w:eastAsiaTheme="minorHAnsi"/>
        </w:rPr>
      </w:pPr>
      <w:r>
        <w:rPr>
          <w:rFonts w:eastAsiaTheme="minorHAnsi"/>
        </w:rPr>
        <w:lastRenderedPageBreak/>
        <w:t>“[…]</w:t>
      </w:r>
    </w:p>
    <w:p w:rsidR="007C4016" w:rsidRDefault="007C4016" w:rsidP="007C4016">
      <w:pPr>
        <w:pStyle w:val="CitaIFT"/>
        <w:spacing w:before="240" w:after="0"/>
      </w:pPr>
      <w:r w:rsidRPr="00120F65">
        <w:t xml:space="preserve">La inconformidad deberá ser notificada por correo electrónico a la dirección que será provista por </w:t>
      </w:r>
      <w:r>
        <w:t>TELNOR</w:t>
      </w:r>
      <w:r w:rsidRPr="00120F65">
        <w:t>, al firmar este convenio.</w:t>
      </w:r>
      <w:r>
        <w:t>”</w:t>
      </w:r>
    </w:p>
    <w:p w:rsidR="007C4016" w:rsidRDefault="007C4016" w:rsidP="007C4016">
      <w:pPr>
        <w:pStyle w:val="IFTnormal"/>
        <w:spacing w:before="240" w:after="0"/>
      </w:pPr>
      <w:r>
        <w:t>Asimismo, agregó un párrafo que a la letra dice:</w:t>
      </w:r>
    </w:p>
    <w:p w:rsidR="007C4016" w:rsidRPr="00120F65" w:rsidRDefault="007C4016" w:rsidP="007C4016">
      <w:pPr>
        <w:pStyle w:val="Citaift0"/>
        <w:spacing w:before="240" w:after="0"/>
        <w:rPr>
          <w:rFonts w:eastAsiaTheme="minorHAnsi"/>
        </w:rPr>
      </w:pPr>
      <w:r>
        <w:rPr>
          <w:rFonts w:eastAsiaTheme="minorHAnsi"/>
        </w:rPr>
        <w:t>“[…]</w:t>
      </w:r>
    </w:p>
    <w:p w:rsidR="007C4016" w:rsidRPr="00120F65" w:rsidRDefault="007C4016" w:rsidP="007C4016">
      <w:pPr>
        <w:pStyle w:val="CitaIFT"/>
        <w:spacing w:before="240" w:after="0"/>
      </w:pPr>
      <w:r w:rsidRPr="00120F65">
        <w:t xml:space="preserve">La inconformidad deberá ser notificada por escrito al domicilio señalado por </w:t>
      </w:r>
      <w:r>
        <w:t>TELNOR</w:t>
      </w:r>
      <w:r w:rsidRPr="00120F65">
        <w:t xml:space="preserve"> en la Cláusula Vigésima Primera del presente CONVENIO.</w:t>
      </w:r>
      <w:r>
        <w:t>”</w:t>
      </w:r>
    </w:p>
    <w:p w:rsidR="007C4016" w:rsidRDefault="007C4016" w:rsidP="007C4016">
      <w:pPr>
        <w:pStyle w:val="IFTnormal"/>
        <w:spacing w:before="240" w:after="0"/>
        <w:rPr>
          <w:b/>
          <w:lang w:val="es-ES"/>
        </w:rPr>
      </w:pPr>
      <w:r w:rsidRPr="006F4B15">
        <w:rPr>
          <w:b/>
          <w:lang w:val="es-ES"/>
        </w:rPr>
        <w:t>Análisis de la Propuesta de Convenio</w:t>
      </w:r>
    </w:p>
    <w:p w:rsidR="007C4016" w:rsidRDefault="007C4016" w:rsidP="007C4016">
      <w:pPr>
        <w:pStyle w:val="IFTnormal"/>
        <w:spacing w:before="240" w:after="0"/>
      </w:pPr>
      <w:r>
        <w:t>Del análisis realizado a la Cláusula TERCERA de la Propuesta de Convenio de la Oferta de Referencia se desprende que eliminó una sección y agregó otra, sin embargo para efectos de la presente cláusula i) se considera que la eliminación no resulta procedente y ii) la redacción propuesta resulta procedente toda vez que complementa los medios idóneos para que el CS presente las inconformidades en las facturas.</w:t>
      </w:r>
    </w:p>
    <w:p w:rsidR="007C4016" w:rsidRDefault="007C4016" w:rsidP="007C4016">
      <w:pPr>
        <w:pStyle w:val="IFTnormal"/>
        <w:spacing w:before="240" w:after="0"/>
      </w:pPr>
      <w:r>
        <w:t>El inciso d) inconformidades debe contemplar los dos mecanismos es decir, vía correo electrónico o por escrito, esto para hacer eficiente la reclamación y en su caso agilizar el proceso de pago, otorgando certeza a las partes en la continuidad de la prestación de los servicios.</w:t>
      </w:r>
    </w:p>
    <w:p w:rsidR="007C4016" w:rsidRPr="00E8350F" w:rsidRDefault="007C4016" w:rsidP="007C4016">
      <w:pPr>
        <w:pStyle w:val="IFTnormal"/>
        <w:spacing w:before="240" w:after="0"/>
      </w:pPr>
      <w:r>
        <w:t xml:space="preserve">Aunado a esto dentro de la Consulta Pública diversos operadores señalaron que las </w:t>
      </w:r>
      <w:r>
        <w:rPr>
          <w:sz w:val="21"/>
          <w:szCs w:val="21"/>
        </w:rPr>
        <w:t xml:space="preserve">inconformidades </w:t>
      </w:r>
      <w:r>
        <w:t xml:space="preserve">deben poder </w:t>
      </w:r>
      <w:r>
        <w:rPr>
          <w:sz w:val="21"/>
          <w:szCs w:val="21"/>
        </w:rPr>
        <w:t xml:space="preserve">enviarse </w:t>
      </w:r>
      <w:r>
        <w:rPr>
          <w:sz w:val="20"/>
          <w:szCs w:val="20"/>
        </w:rPr>
        <w:t xml:space="preserve">por </w:t>
      </w:r>
      <w:r>
        <w:rPr>
          <w:sz w:val="21"/>
          <w:szCs w:val="21"/>
        </w:rPr>
        <w:t xml:space="preserve">correo electrónico para poder resolverse de manera expedita </w:t>
      </w:r>
      <w:r w:rsidRPr="00E8350F">
        <w:t>y eficiente.</w:t>
      </w:r>
    </w:p>
    <w:p w:rsidR="007C4016" w:rsidRDefault="007C4016" w:rsidP="007C4016">
      <w:pPr>
        <w:pStyle w:val="IFTnormal"/>
        <w:spacing w:before="240" w:after="0"/>
        <w:rPr>
          <w:rFonts w:eastAsiaTheme="minorHAnsi" w:cs="Arial"/>
          <w:lang w:val="es-ES"/>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TERCERA </w:t>
      </w:r>
      <w:r w:rsidRPr="00337046">
        <w:t>“</w:t>
      </w:r>
      <w:r w:rsidRPr="00FA581E">
        <w:t>PRECIOS Y CONDICIONES DE PAGO</w:t>
      </w:r>
      <w:r w:rsidRPr="00337046">
        <w:t>”</w:t>
      </w:r>
      <w:r>
        <w:rPr>
          <w:lang w:val="es-ES"/>
        </w:rPr>
        <w:t xml:space="preserve"> se recupera del Convenio de la Oferta de Referencia vigente</w:t>
      </w:r>
      <w:r>
        <w:rPr>
          <w:rFonts w:eastAsiaTheme="minorHAnsi" w:cs="Arial"/>
          <w:lang w:val="es-ES"/>
        </w:rPr>
        <w:t>.</w:t>
      </w:r>
    </w:p>
    <w:p w:rsidR="007C4016" w:rsidRDefault="007C4016" w:rsidP="007C4016">
      <w:pPr>
        <w:pStyle w:val="IFTnormal"/>
        <w:spacing w:before="240" w:after="0"/>
        <w:rPr>
          <w:b/>
        </w:rPr>
      </w:pPr>
      <w:r w:rsidRPr="00D138E3">
        <w:rPr>
          <w:b/>
        </w:rPr>
        <w:t>Redacción definitiva</w:t>
      </w:r>
    </w:p>
    <w:p w:rsidR="007C4016" w:rsidRPr="00597A7A" w:rsidRDefault="007C4016" w:rsidP="007C4016">
      <w:pPr>
        <w:pStyle w:val="CondicionesFinales"/>
        <w:spacing w:before="240" w:after="0"/>
      </w:pPr>
      <w:r w:rsidRPr="00597A7A">
        <w:t>TERCER</w:t>
      </w:r>
      <w:r>
        <w:t>A.</w:t>
      </w:r>
      <w:r>
        <w:tab/>
        <w:t>PRECIO Y CONDICIONES DE PAGO</w:t>
      </w:r>
    </w:p>
    <w:p w:rsidR="007C4016" w:rsidRDefault="007C4016" w:rsidP="007C4016">
      <w:pPr>
        <w:pStyle w:val="CondicionesFinales"/>
        <w:spacing w:before="240" w:after="0"/>
      </w:pPr>
      <w:r>
        <w:t>[…]</w:t>
      </w:r>
    </w:p>
    <w:p w:rsidR="007C4016" w:rsidRDefault="007C4016" w:rsidP="007C4016">
      <w:pPr>
        <w:pStyle w:val="CondicionesFinales"/>
        <w:spacing w:before="240" w:after="0"/>
      </w:pPr>
      <w:r>
        <w:lastRenderedPageBreak/>
        <w:t xml:space="preserve">d) </w:t>
      </w:r>
      <w:r w:rsidRPr="00597A7A">
        <w:t>Inconformidades</w:t>
      </w:r>
    </w:p>
    <w:p w:rsidR="007C4016" w:rsidRPr="00597A7A" w:rsidRDefault="007C4016" w:rsidP="007C4016">
      <w:pPr>
        <w:pStyle w:val="CondicionesFinales"/>
        <w:spacing w:before="240" w:after="0"/>
      </w:pPr>
      <w:r>
        <w:t>[…]</w:t>
      </w:r>
    </w:p>
    <w:p w:rsidR="007C4016" w:rsidRDefault="007C4016" w:rsidP="007C4016">
      <w:pPr>
        <w:pStyle w:val="CondicionesFinales"/>
        <w:spacing w:before="240" w:after="0"/>
        <w:rPr>
          <w:i/>
        </w:rPr>
      </w:pPr>
      <w:r w:rsidRPr="00AB2BBE">
        <w:t>La inconformidad deberá ser notificada por correo electrónico a la direcc</w:t>
      </w:r>
      <w:r>
        <w:t>ión que será provista por TELNOR,</w:t>
      </w:r>
      <w:r w:rsidRPr="00AB2BBE">
        <w:t xml:space="preserve"> al firmar este convenio</w:t>
      </w:r>
      <w:r>
        <w:rPr>
          <w:i/>
        </w:rPr>
        <w:t xml:space="preserve"> </w:t>
      </w:r>
      <w:r w:rsidRPr="00931B4D">
        <w:t>o por</w:t>
      </w:r>
      <w:r>
        <w:rPr>
          <w:i/>
        </w:rPr>
        <w:t xml:space="preserve"> </w:t>
      </w:r>
      <w:r w:rsidRPr="00202C12">
        <w:t xml:space="preserve">escrito al domicilio señalado por </w:t>
      </w:r>
      <w:r>
        <w:t>TELNOR</w:t>
      </w:r>
      <w:r w:rsidRPr="00202C12">
        <w:t xml:space="preserve"> en la Cláusula Vigésima Primera del presente CONVENIO</w:t>
      </w:r>
      <w:r w:rsidRPr="00AB2BBE">
        <w:t>.</w:t>
      </w:r>
    </w:p>
    <w:p w:rsidR="007C4016" w:rsidRPr="00BF4959" w:rsidRDefault="007C4016" w:rsidP="007C4016">
      <w:pPr>
        <w:pStyle w:val="IFTnormal"/>
        <w:spacing w:before="240" w:after="0"/>
        <w:rPr>
          <w:b/>
        </w:rPr>
      </w:pPr>
      <w:r w:rsidRPr="00BF4959">
        <w:rPr>
          <w:b/>
        </w:rPr>
        <w:t>Consideraciones del Instituto</w:t>
      </w:r>
    </w:p>
    <w:p w:rsidR="007C4016" w:rsidRPr="00B778D8" w:rsidRDefault="007C4016" w:rsidP="007C4016">
      <w:pPr>
        <w:pStyle w:val="IFTnormal"/>
        <w:spacing w:before="240" w:after="0"/>
        <w:rPr>
          <w:b/>
          <w:lang w:val="es-ES"/>
        </w:rPr>
      </w:pPr>
      <w:r w:rsidRPr="001C56F3">
        <w:rPr>
          <w:b/>
        </w:rPr>
        <w:t>CASO 1</w:t>
      </w:r>
      <w:r>
        <w:rPr>
          <w:b/>
        </w:rPr>
        <w:t xml:space="preserve">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TERCERA </w:t>
      </w:r>
      <w:r w:rsidRPr="00337046">
        <w:t>“</w:t>
      </w:r>
      <w:r w:rsidRPr="00FA581E">
        <w:t>PRECIOS Y CONDICIONES DE PAGO</w:t>
      </w:r>
      <w:r w:rsidRPr="00337046">
        <w:t>”</w:t>
      </w:r>
      <w:r>
        <w:t xml:space="preserve"> inciso d) inconformidades</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eliminó los siguientes párrafos:</w:t>
      </w:r>
    </w:p>
    <w:p w:rsidR="007C4016" w:rsidRDefault="007C4016" w:rsidP="007C4016">
      <w:pPr>
        <w:pStyle w:val="Citaift0"/>
        <w:spacing w:before="240" w:after="0"/>
        <w:rPr>
          <w:rFonts w:eastAsiaTheme="minorHAnsi"/>
        </w:rPr>
      </w:pPr>
      <w:r>
        <w:rPr>
          <w:rFonts w:eastAsiaTheme="minorHAnsi"/>
        </w:rPr>
        <w:t>“[…]</w:t>
      </w:r>
    </w:p>
    <w:p w:rsidR="007C4016" w:rsidRPr="00BF5725" w:rsidRDefault="007C4016" w:rsidP="007C4016">
      <w:pPr>
        <w:pStyle w:val="Citaift0"/>
        <w:spacing w:before="240" w:after="0"/>
        <w:rPr>
          <w:rFonts w:eastAsiaTheme="minorHAnsi"/>
        </w:rPr>
      </w:pPr>
      <w:r w:rsidRPr="00BF5725">
        <w:rPr>
          <w:rFonts w:eastAsiaTheme="minorHAnsi"/>
        </w:rPr>
        <w:t xml:space="preserve">Una vez notificada la inconformidad, </w:t>
      </w:r>
      <w:r>
        <w:rPr>
          <w:rFonts w:eastAsiaTheme="minorHAnsi"/>
        </w:rPr>
        <w:t>TELNOR</w:t>
      </w:r>
      <w:r w:rsidRPr="00BF5725">
        <w:rPr>
          <w:rFonts w:eastAsiaTheme="minorHAnsi"/>
        </w:rPr>
        <w:t xml:space="preserve"> revisará si todos los requisitos se han cumplido, en caso contrario avisará al CONCESIONARIO SOLICITANTE la razón por la que la notificación es incorrecta. El CONCESIONARIO SOLICITANTE podrá volver a enviar la inconformidad cumpliendo con todos los requisitos. </w:t>
      </w:r>
      <w:r>
        <w:rPr>
          <w:rFonts w:eastAsiaTheme="minorHAnsi"/>
        </w:rPr>
        <w:t>TELNOR</w:t>
      </w:r>
      <w:r w:rsidRPr="00BF5725">
        <w:rPr>
          <w:rFonts w:eastAsiaTheme="minorHAnsi"/>
        </w:rPr>
        <w:t xml:space="preserve"> revisará si existe un error en la factura, procederá a corregirla y la enviará al CONCESIONARIO SOLICITANTE. De no haber error se le notificará al CONCESIONARIO SOLICITANTE que la inconformidad no es procedente.</w:t>
      </w:r>
    </w:p>
    <w:p w:rsidR="007C4016" w:rsidRDefault="007C4016" w:rsidP="007C4016">
      <w:pPr>
        <w:pStyle w:val="Citaift0"/>
        <w:spacing w:before="240" w:after="0"/>
        <w:rPr>
          <w:rFonts w:eastAsiaTheme="minorHAnsi"/>
        </w:rPr>
      </w:pPr>
      <w:r w:rsidRPr="00BF5725">
        <w:rPr>
          <w:rFonts w:eastAsiaTheme="minorHAnsi"/>
        </w:rPr>
        <w:t xml:space="preserve">Lo anterior no implica una renuncia a los derechos de la parte objetante respecto de aquellas tarifas que sean determinadas administrativamente por la autoridad competente. La inconformidad que reúna los requisitos precedentes será evaluada por </w:t>
      </w:r>
      <w:r>
        <w:rPr>
          <w:rFonts w:eastAsiaTheme="minorHAnsi"/>
        </w:rPr>
        <w:t>TELNOR</w:t>
      </w:r>
      <w:r w:rsidRPr="00BF5725">
        <w:rPr>
          <w:rFonts w:eastAsiaTheme="minorHAnsi"/>
        </w:rPr>
        <w:t>, misma que deberá ser resuelta dentro de los 18 días naturales posteriores a la fecha de notificación de la misma.</w:t>
      </w:r>
    </w:p>
    <w:p w:rsidR="007C4016" w:rsidRDefault="007C4016" w:rsidP="007C4016">
      <w:pPr>
        <w:pStyle w:val="IFTnormal"/>
        <w:spacing w:before="240" w:after="0"/>
      </w:pPr>
      <w:r>
        <w:t>Asimismo, agregó un párrafo que a la letra dice:</w:t>
      </w:r>
    </w:p>
    <w:p w:rsidR="007C4016" w:rsidRPr="00A64220" w:rsidRDefault="007C4016" w:rsidP="007C4016">
      <w:pPr>
        <w:pStyle w:val="Citaift0"/>
        <w:spacing w:before="240" w:after="0"/>
      </w:pPr>
      <w:r w:rsidRPr="00A64220">
        <w:t>“[…]</w:t>
      </w:r>
    </w:p>
    <w:p w:rsidR="007C4016" w:rsidRDefault="007C4016" w:rsidP="007C4016">
      <w:pPr>
        <w:pStyle w:val="Citaift0"/>
        <w:spacing w:before="240" w:after="0"/>
      </w:pPr>
      <w:r w:rsidRPr="001E6BA9">
        <w:t xml:space="preserve">Aquellas </w:t>
      </w:r>
      <w:r>
        <w:t xml:space="preserve"> </w:t>
      </w:r>
      <w:r w:rsidRPr="001E6BA9">
        <w:t xml:space="preserve">facturas que el CONCESIONARIO SOLICITANTE hubiese objetado, serán revisadas por </w:t>
      </w:r>
      <w:r>
        <w:t>TELNOR</w:t>
      </w:r>
      <w:r w:rsidRPr="001E6BA9">
        <w:t xml:space="preserve"> para determinar el monto efectivo a pagar dentro de un plazo que no excederá de 60 (sesenta) días naturales contados a partir de la recepción de la notificación por escrito de la objeción correspondiente, misma que no procederá si no es realizada dentro de los 18 (dieciocho) días naturales </w:t>
      </w:r>
      <w:r w:rsidRPr="001E6BA9">
        <w:lastRenderedPageBreak/>
        <w:t xml:space="preserve">siguientes a la fecha de recepción de la factura de que se trate y de acuerdo con los demás términos y condiciones previstos en el presente inciso. </w:t>
      </w:r>
    </w:p>
    <w:p w:rsidR="007C4016" w:rsidRPr="001E6BA9" w:rsidRDefault="007C4016" w:rsidP="007C4016">
      <w:pPr>
        <w:pStyle w:val="Citaift0"/>
        <w:spacing w:before="240" w:after="0"/>
        <w:rPr>
          <w:lang w:val="es-ES_tradnl"/>
        </w:rPr>
      </w:pPr>
      <w:r w:rsidRPr="001E6BA9">
        <w:t xml:space="preserve">Una vez concluido el plazo de 60 </w:t>
      </w:r>
      <w:r>
        <w:t xml:space="preserve">(sesenta) </w:t>
      </w:r>
      <w:r w:rsidRPr="001E6BA9">
        <w:t xml:space="preserve">días al que alude el presente numeral, sin que la objeción haya sido resuelta, la factura será exigible por </w:t>
      </w:r>
      <w:r>
        <w:t>Telnor</w:t>
      </w:r>
      <w:r w:rsidRPr="001E6BA9">
        <w:t xml:space="preserve"> en su totalidad, obligándose [</w:t>
      </w:r>
      <w:r>
        <w:t xml:space="preserve"> </w:t>
      </w:r>
      <w:r w:rsidRPr="001E6BA9">
        <w:t xml:space="preserve">] al pago de la misma dentro de los 5 </w:t>
      </w:r>
      <w:r>
        <w:t xml:space="preserve">(cinco) </w:t>
      </w:r>
      <w:r w:rsidRPr="001E6BA9">
        <w:t>días hábiles siguientes. Transcurrido dicho plazo sin que [</w:t>
      </w:r>
      <w:r>
        <w:t xml:space="preserve"> </w:t>
      </w:r>
      <w:r w:rsidRPr="001E6BA9">
        <w:t>] haya efectuado el pago de la factura correspondiente, la misma se sujetará al procedimiento al que alude la Cláusula Cuarta siguiente</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Default="007C4016" w:rsidP="007C4016">
      <w:pPr>
        <w:pStyle w:val="IFTnormal"/>
        <w:spacing w:before="240" w:after="0"/>
        <w:rPr>
          <w:lang w:val="es-ES"/>
        </w:rPr>
      </w:pPr>
      <w:r>
        <w:t>Del análisis realizado a la Cláusula TERCERA de la Propuesta de Convenio de la Oferta de Referencia se desprende los párrafos eliminados y la redacción propuesta por el AEP no generan certeza jurídica a los Concesionarios Solicitantes por el contrario es desproporcionada ya que el AEP establece plazos amplios para dar respuesta a la inconformidad de una factura.</w:t>
      </w:r>
    </w:p>
    <w:p w:rsidR="007C4016" w:rsidRDefault="007C4016" w:rsidP="007C4016">
      <w:pPr>
        <w:pStyle w:val="IFTnormal"/>
        <w:spacing w:before="240" w:after="0"/>
        <w:rPr>
          <w:rFonts w:eastAsiaTheme="minorHAnsi" w:cs="Arial"/>
          <w:lang w:val="es-ES"/>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TERCERA </w:t>
      </w:r>
      <w:r w:rsidRPr="00337046">
        <w:t>“</w:t>
      </w:r>
      <w:r w:rsidRPr="00FA581E">
        <w:t>PRECIOS Y CONDICIONES DE PAGO</w:t>
      </w:r>
      <w:r w:rsidRPr="00337046">
        <w:t>”</w:t>
      </w:r>
      <w:r>
        <w:rPr>
          <w:lang w:val="es-ES"/>
        </w:rPr>
        <w:t xml:space="preserve"> se recupera del Convenio de la Oferta de Referencia vigente</w:t>
      </w:r>
      <w:r>
        <w:rPr>
          <w:rFonts w:eastAsiaTheme="minorHAnsi" w:cs="Arial"/>
          <w:lang w:val="es-ES"/>
        </w:rPr>
        <w:t>.</w:t>
      </w:r>
    </w:p>
    <w:p w:rsidR="007C4016" w:rsidRDefault="007C4016" w:rsidP="007C4016">
      <w:pPr>
        <w:pStyle w:val="IFTnormal"/>
        <w:spacing w:before="240" w:after="0"/>
        <w:rPr>
          <w:b/>
        </w:rPr>
      </w:pPr>
      <w:r w:rsidRPr="00D138E3">
        <w:rPr>
          <w:b/>
        </w:rPr>
        <w:t>Redacción definitiva</w:t>
      </w:r>
    </w:p>
    <w:p w:rsidR="007C4016" w:rsidRPr="00597A7A" w:rsidRDefault="007C4016" w:rsidP="007C4016">
      <w:pPr>
        <w:pStyle w:val="CondicionesFinales"/>
        <w:spacing w:before="240" w:after="0"/>
      </w:pPr>
      <w:r w:rsidRPr="00597A7A">
        <w:t>TERCER</w:t>
      </w:r>
      <w:r>
        <w:t>A.</w:t>
      </w:r>
      <w:r>
        <w:tab/>
        <w:t>PRECIO Y CONDICIONES DE PAGO</w:t>
      </w:r>
    </w:p>
    <w:p w:rsidR="007C4016" w:rsidRDefault="007C4016" w:rsidP="007C4016">
      <w:pPr>
        <w:pStyle w:val="CondicionesFinales"/>
        <w:spacing w:before="240" w:after="0"/>
      </w:pPr>
      <w:r>
        <w:t>[…]</w:t>
      </w:r>
    </w:p>
    <w:p w:rsidR="007C4016" w:rsidRDefault="007C4016" w:rsidP="007C4016">
      <w:pPr>
        <w:pStyle w:val="CondicionesFinales"/>
        <w:spacing w:before="240" w:after="0"/>
      </w:pPr>
      <w:r>
        <w:t xml:space="preserve">d) </w:t>
      </w:r>
      <w:r w:rsidRPr="00597A7A">
        <w:t>Inconformidades</w:t>
      </w:r>
    </w:p>
    <w:p w:rsidR="007C4016" w:rsidRPr="00597A7A" w:rsidRDefault="007C4016" w:rsidP="007C4016">
      <w:pPr>
        <w:pStyle w:val="CondicionesFinales"/>
        <w:spacing w:before="240" w:after="0"/>
      </w:pPr>
      <w:r>
        <w:t>[…]</w:t>
      </w:r>
    </w:p>
    <w:p w:rsidR="007C4016" w:rsidRPr="00AB2BBE" w:rsidRDefault="007C4016" w:rsidP="007C4016">
      <w:pPr>
        <w:pStyle w:val="CondicionesFinales"/>
        <w:spacing w:before="240" w:after="0"/>
        <w:rPr>
          <w:i/>
        </w:rPr>
      </w:pPr>
      <w:r w:rsidRPr="00AB2BBE">
        <w:t xml:space="preserve">Una vez notificada la inconformidad, </w:t>
      </w:r>
      <w:r>
        <w:t>TELNOR</w:t>
      </w:r>
      <w:r w:rsidRPr="00AB2BBE">
        <w:t xml:space="preserve"> revisará si todos los requisitos se han cumplido, en caso contrario avisará al CONCESIONARIO SOLICITANTE la razón por la que la notificación es incorrecta. El CONCESIONARIO SOLICITANTE podrá volver a enviar la inconformidad cumpliendo con todos los requisitos. </w:t>
      </w:r>
      <w:r>
        <w:t>TELNOR</w:t>
      </w:r>
      <w:r w:rsidRPr="00AB2BBE">
        <w:t xml:space="preserve"> revisará si existe un error en la factura, procederá a corregirla y la enviará al CONCESIONARIO SOLICITANTE. De no haber error se le notificará al </w:t>
      </w:r>
      <w:r w:rsidRPr="00AB2BBE">
        <w:lastRenderedPageBreak/>
        <w:t>CONCESIONARIO SOLICITANTE que la inconformidad no es procedente.</w:t>
      </w:r>
    </w:p>
    <w:p w:rsidR="007C4016" w:rsidRPr="00AB2BBE" w:rsidRDefault="007C4016" w:rsidP="007C4016">
      <w:pPr>
        <w:pStyle w:val="CondicionesFinales"/>
        <w:spacing w:before="240" w:after="0"/>
        <w:rPr>
          <w:i/>
        </w:rPr>
      </w:pPr>
      <w:r w:rsidRPr="00AB2BBE">
        <w:t xml:space="preserve">Lo anterior no implica una renuncia a los derechos de la parte objetante respecto de aquellas tarifas que sean determinadas administrativamente por la autoridad competente. La inconformidad que reúna los requisitos precedentes será evaluada por </w:t>
      </w:r>
      <w:r>
        <w:t>TELNOR</w:t>
      </w:r>
      <w:r w:rsidRPr="00AB2BBE">
        <w:t xml:space="preserve">, misma que deberá ser resuelta dentro de los 18 días </w:t>
      </w:r>
      <w:r>
        <w:t xml:space="preserve">naturales </w:t>
      </w:r>
      <w:r w:rsidRPr="00AB2BBE">
        <w:t>posteriores a la fecha de notificación de la misma.</w:t>
      </w:r>
    </w:p>
    <w:p w:rsidR="007C4016" w:rsidRDefault="007C4016" w:rsidP="007C4016">
      <w:pPr>
        <w:pStyle w:val="IFTnormal"/>
        <w:spacing w:before="240" w:after="0"/>
        <w:rPr>
          <w:b/>
        </w:rPr>
      </w:pPr>
      <w:r>
        <w:rPr>
          <w:b/>
        </w:rPr>
        <w:t>CLÁUSULA CUARTA INTERESES MORATORIOS</w:t>
      </w:r>
    </w:p>
    <w:p w:rsidR="007C4016" w:rsidRPr="00BF4959" w:rsidRDefault="007C4016" w:rsidP="007C4016">
      <w:pPr>
        <w:pStyle w:val="IFTnormal"/>
        <w:spacing w:before="240" w:after="0"/>
        <w:rPr>
          <w:b/>
        </w:rPr>
      </w:pPr>
      <w:r w:rsidRPr="00BF4959">
        <w:rPr>
          <w:b/>
        </w:rPr>
        <w:t>Consideraciones del Instituto</w:t>
      </w:r>
    </w:p>
    <w:p w:rsidR="007C4016" w:rsidRPr="00B778D8" w:rsidRDefault="007C4016" w:rsidP="007C4016">
      <w:pPr>
        <w:pStyle w:val="IFTnormal"/>
        <w:spacing w:before="240" w:after="0"/>
        <w:rPr>
          <w:b/>
          <w:lang w:val="es-ES"/>
        </w:rPr>
      </w:pPr>
      <w:r w:rsidRPr="001C56F3">
        <w:rPr>
          <w:b/>
        </w:rPr>
        <w:t>CASO 1</w:t>
      </w:r>
      <w:r>
        <w:rPr>
          <w:b/>
        </w:rPr>
        <w:t xml:space="preserve">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CUARTA </w:t>
      </w:r>
      <w:r w:rsidRPr="00337046">
        <w:t>“</w:t>
      </w:r>
      <w:r>
        <w:t>INTERESES MORATORIOS</w:t>
      </w:r>
      <w:r w:rsidRPr="00337046">
        <w:t>”</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modificó la redacción quedando de la siguiente manera:</w:t>
      </w:r>
    </w:p>
    <w:p w:rsidR="007C4016" w:rsidRDefault="007C4016" w:rsidP="007C4016">
      <w:pPr>
        <w:pStyle w:val="CitaIFT"/>
        <w:spacing w:before="240" w:after="0"/>
        <w:rPr>
          <w:b/>
        </w:rPr>
      </w:pPr>
      <w:r>
        <w:rPr>
          <w:b/>
        </w:rPr>
        <w:t>“</w:t>
      </w:r>
      <w:r w:rsidRPr="00671F16">
        <w:rPr>
          <w:b/>
        </w:rPr>
        <w:t>CUARTA.</w:t>
      </w:r>
      <w:r w:rsidRPr="00671F16">
        <w:rPr>
          <w:b/>
        </w:rPr>
        <w:tab/>
        <w:t>INTERESES MORATORIOS</w:t>
      </w:r>
    </w:p>
    <w:p w:rsidR="007C4016" w:rsidRDefault="007C4016" w:rsidP="007C4016">
      <w:pPr>
        <w:pStyle w:val="CitaIFT"/>
        <w:spacing w:before="240" w:after="0"/>
        <w:rPr>
          <w:lang w:val="es-ES_tradnl"/>
        </w:rPr>
      </w:pPr>
      <w:r w:rsidRPr="008321DA">
        <w:rPr>
          <w:lang w:val="es-ES_tradnl"/>
        </w:rPr>
        <w:t>En caso de incumplimiento por parte del CONCESIONARIO SOLICITANTE de cualesquiera de sus obligaciones de pago contenidas en el presente C</w:t>
      </w:r>
      <w:r w:rsidRPr="003D1AFA">
        <w:rPr>
          <w:lang w:val="es-ES_tradnl"/>
        </w:rPr>
        <w:t>ONVENIO</w:t>
      </w:r>
      <w:r w:rsidRPr="008321DA">
        <w:rPr>
          <w:lang w:val="es-ES_tradnl"/>
        </w:rPr>
        <w:t xml:space="preserve"> y en la Oferta de Referencia, deberá pagar, en adición a las cantidades adeudadas, y desde la fecha de vencimiento de su obligación de pago hasta la fecha en que queden totalmente pagadas, intereses moratorios sobre saldos insolutos a una tasa anual que será igual a la Tasa de Interés lnterbancaria de Equilibrio (TIIE) vigente a plazo de 28 (veintiocho) días más reciente en relación con la fecha en que ocurra el incumplimiento de pago, multiplicada a razón de 3 (tres) veces, sobre bases de cálculos mensuales.</w:t>
      </w:r>
    </w:p>
    <w:p w:rsidR="007C4016" w:rsidRDefault="007C4016" w:rsidP="007C4016">
      <w:pPr>
        <w:pStyle w:val="CitaIFT"/>
        <w:spacing w:before="240" w:after="0"/>
        <w:rPr>
          <w:lang w:val="es-ES_tradnl"/>
        </w:rPr>
      </w:pPr>
      <w:r w:rsidRPr="008321DA">
        <w:rPr>
          <w:lang w:val="es-ES_tradnl"/>
        </w:rPr>
        <w:t>La tasa base para efectos del cálculo de intereses moratorios en el primer período mensual será la TIIE vigente a la fecha de vencimiento de la obligación de pago correspondiente. Dicha tasa base se ajustará mensualmente empleando la TIIE vigente en la fecha en que inicie cada período mensual subsecuente, contado a partir de la fecha de vencimiento de las contraprestaciones correspondientes.</w:t>
      </w:r>
    </w:p>
    <w:p w:rsidR="007C4016" w:rsidRDefault="007C4016" w:rsidP="007C4016">
      <w:pPr>
        <w:pStyle w:val="CitaIFT"/>
        <w:spacing w:before="240" w:after="0"/>
        <w:rPr>
          <w:lang w:val="es-ES_tradnl"/>
        </w:rPr>
      </w:pPr>
      <w:r w:rsidRPr="008321DA">
        <w:rPr>
          <w:lang w:val="es-ES_tradnl"/>
        </w:rPr>
        <w:t xml:space="preserve">Los intereses moratorios se calcularán sobre las cantidades adeudadas y se computarán por días calendario sobre la base de 1 (un) año comercial de 360 (trescientos sesenta) días por el número de días efectivamente transcurridos desde la fecha de vencimiento de la obligación de pago, hasta la fecha en que se liquiden en su totalidad los saldos insolutos a </w:t>
      </w:r>
      <w:r>
        <w:rPr>
          <w:lang w:val="es-ES_tradnl"/>
        </w:rPr>
        <w:t>TELNOR</w:t>
      </w:r>
      <w:r w:rsidRPr="008321DA">
        <w:rPr>
          <w:lang w:val="es-ES_tradnl"/>
        </w:rPr>
        <w:t>, en la inteligencia de que los intereses moratorios variarán mensualmente junto con las variaciones que sufra la tasa de referencia durante el período en que subsista el incumplimiento.</w:t>
      </w:r>
    </w:p>
    <w:p w:rsidR="007C4016" w:rsidRPr="008321DA" w:rsidRDefault="007C4016" w:rsidP="007C4016">
      <w:pPr>
        <w:pStyle w:val="CitaIFT"/>
        <w:spacing w:before="240" w:after="0"/>
        <w:rPr>
          <w:lang w:val="es-ES_tradnl"/>
        </w:rPr>
      </w:pPr>
      <w:r w:rsidRPr="008321DA">
        <w:rPr>
          <w:lang w:val="es-ES_tradnl"/>
        </w:rPr>
        <w:lastRenderedPageBreak/>
        <w:t>Para el supuesto en que desaparezca la TIIE, la tasa de interés que servirá como base para determinar los intereses moratorios no podrá ser menor a la tasa de interés más alta del bono o instrumento que el Gobierno Federal coloque en el mercado de dinero que se aproxime al plazo de 28 (veintiocho) días.</w:t>
      </w:r>
      <w:r>
        <w:rPr>
          <w:lang w:val="es-ES_tradnl"/>
        </w:rPr>
        <w:t>”</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Default="007C4016" w:rsidP="007C4016">
      <w:pPr>
        <w:pStyle w:val="IFTnormal"/>
        <w:spacing w:before="240" w:after="0"/>
      </w:pPr>
      <w:r>
        <w:t>Del análisis realizado a la Cláusula CUARTA de la Propuesta de Convenio de la Oferta de Referencia se desprende no genera certidumbre a los CS y resulta ventajosa para el AEP, toda vez que el cálculo que se realiza para los intereses moratorios es excesivo y desproporcionado.</w:t>
      </w:r>
    </w:p>
    <w:p w:rsidR="007C4016" w:rsidRDefault="007C4016" w:rsidP="007C4016">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CUARTA </w:t>
      </w:r>
      <w:r w:rsidRPr="00337046">
        <w:t>“</w:t>
      </w:r>
      <w:r>
        <w:t>INTERESES MORATORIOS</w:t>
      </w:r>
      <w:r>
        <w:rPr>
          <w:lang w:val="es-ES"/>
        </w:rPr>
        <w:t xml:space="preserve"> 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7C4016" w:rsidRDefault="007C4016" w:rsidP="007C4016">
      <w:pPr>
        <w:pStyle w:val="IFTnormal"/>
        <w:spacing w:before="240" w:after="0"/>
        <w:rPr>
          <w:b/>
        </w:rPr>
      </w:pPr>
      <w:r w:rsidRPr="00D138E3">
        <w:rPr>
          <w:b/>
        </w:rPr>
        <w:t>Redacción definitiva</w:t>
      </w:r>
    </w:p>
    <w:p w:rsidR="007C4016" w:rsidRDefault="007C4016" w:rsidP="007C4016">
      <w:pPr>
        <w:pStyle w:val="CondicionesFinales"/>
        <w:spacing w:before="240" w:after="0"/>
      </w:pPr>
      <w:r w:rsidRPr="00671F16">
        <w:t>CUARTA.</w:t>
      </w:r>
      <w:r w:rsidRPr="00671F16">
        <w:tab/>
        <w:t>INTERESES MORATORIOS</w:t>
      </w:r>
      <w:r w:rsidRPr="00FE24F2">
        <w:t xml:space="preserve"> </w:t>
      </w:r>
    </w:p>
    <w:p w:rsidR="007C4016" w:rsidRDefault="007C4016" w:rsidP="007C4016">
      <w:pPr>
        <w:pStyle w:val="CondicionesFinales"/>
        <w:spacing w:before="240" w:after="0"/>
      </w:pPr>
      <w:r w:rsidRPr="00FE24F2">
        <w:t xml:space="preserve">En caso de falta de pago oportuno por parte del CONCESIONARIO SOLICITANTE de la contraprestación de los SERVICIOS, conforme a los plazos, términos y condiciones establecidos en el CONVENIO, sin perjuicio de cualquier otra acción que </w:t>
      </w:r>
      <w:r>
        <w:t>TELNOR</w:t>
      </w:r>
      <w:r w:rsidRPr="00FE24F2">
        <w:t xml:space="preserve"> tuviera derecho a ejercitar por el incumplimiento, las cantidades insolutas causarán intereses moratorios a favor de </w:t>
      </w:r>
      <w:r>
        <w:t>TELNOR</w:t>
      </w:r>
      <w:r w:rsidRPr="00FE24F2">
        <w:t>. La tasa base para efectos del cálculo de intereses moratorios en el primer período mensual será la Tasa de Interés lnterbancaria de Equilibrio vigente en la fecha de vencimiento de las contraprestaciones o reembolsos correspondientes. Dicha tasa base se ajustará mensualmente empleando la Tasa de Interés lnterbancaria de Equilibrio vigente en la fecha en que inicie cada período mensual subsecuente, contado a partir de la fecha de vencimiento de las contraprestaciones o reembolsos correspondientes.</w:t>
      </w:r>
    </w:p>
    <w:p w:rsidR="007C4016" w:rsidRPr="007819C3" w:rsidRDefault="007C4016" w:rsidP="007C4016">
      <w:pPr>
        <w:pStyle w:val="IFTnormal"/>
        <w:spacing w:before="240" w:after="0"/>
        <w:rPr>
          <w:rFonts w:eastAsiaTheme="minorHAnsi" w:cs="Arial"/>
          <w:b/>
          <w:lang w:val="es-ES"/>
        </w:rPr>
      </w:pPr>
      <w:r w:rsidRPr="007819C3">
        <w:rPr>
          <w:rFonts w:eastAsiaTheme="minorHAnsi" w:cs="Arial"/>
          <w:b/>
          <w:lang w:val="es-ES"/>
        </w:rPr>
        <w:t>CLAUSULA QUINTA RESPONSABILIDADES</w:t>
      </w:r>
    </w:p>
    <w:p w:rsidR="007C4016" w:rsidRPr="00BF4959" w:rsidRDefault="007C4016" w:rsidP="007C4016">
      <w:pPr>
        <w:pStyle w:val="IFTnormal"/>
        <w:spacing w:before="240" w:after="0"/>
        <w:rPr>
          <w:b/>
        </w:rPr>
      </w:pPr>
      <w:r w:rsidRPr="00BF4959">
        <w:rPr>
          <w:b/>
        </w:rPr>
        <w:t>Consideraciones del Instituto</w:t>
      </w:r>
    </w:p>
    <w:p w:rsidR="007C4016" w:rsidRPr="001C56F3" w:rsidRDefault="007C4016" w:rsidP="007C4016">
      <w:pPr>
        <w:pStyle w:val="IFTnormal"/>
        <w:spacing w:before="240" w:after="0"/>
        <w:rPr>
          <w:b/>
        </w:rPr>
      </w:pPr>
      <w:r w:rsidRPr="001C56F3">
        <w:rPr>
          <w:b/>
        </w:rPr>
        <w:lastRenderedPageBreak/>
        <w:t>CASO 2</w:t>
      </w:r>
      <w:r>
        <w:rPr>
          <w:b/>
        </w:rPr>
        <w:t xml:space="preserve"> </w:t>
      </w:r>
      <w:r w:rsidRPr="002802DB">
        <w:rPr>
          <w:b/>
          <w:lang w:val="es-ES"/>
        </w:rPr>
        <w:t xml:space="preserve">Cambios que </w:t>
      </w:r>
      <w:r w:rsidRPr="002802DB">
        <w:rPr>
          <w:b/>
        </w:rPr>
        <w:t>modifican la redacción de</w:t>
      </w:r>
      <w:r>
        <w:rPr>
          <w:b/>
        </w:rPr>
        <w:t>l Convenio de</w:t>
      </w:r>
      <w:r w:rsidRPr="002802DB">
        <w:rPr>
          <w:b/>
        </w:rPr>
        <w:t xml:space="preserve"> la Propuesta de Oferta de Referencia.</w:t>
      </w:r>
    </w:p>
    <w:p w:rsidR="007C4016" w:rsidRPr="00936F59" w:rsidRDefault="007C4016" w:rsidP="007C4016">
      <w:pPr>
        <w:pStyle w:val="IFTnormal"/>
        <w:spacing w:before="240" w:after="0"/>
        <w:rPr>
          <w:rFonts w:eastAsiaTheme="minorHAnsi" w:cs="Arial"/>
          <w:lang w:val="es-ES"/>
        </w:rPr>
      </w:pPr>
      <w:r w:rsidRPr="00936F59">
        <w:rPr>
          <w:lang w:val="es-ES"/>
        </w:rPr>
        <w:t xml:space="preserve">Dentro de la Cláusula QUINTA </w:t>
      </w:r>
      <w:r w:rsidRPr="00936F59">
        <w:t>“RESPONSABILIDAD”</w:t>
      </w:r>
      <w:r w:rsidRPr="00936F59">
        <w:rPr>
          <w:lang w:val="es-ES"/>
        </w:rPr>
        <w:t xml:space="preserve">, </w:t>
      </w:r>
      <w:r w:rsidRPr="00936F59">
        <w:rPr>
          <w:rFonts w:eastAsiaTheme="minorHAnsi" w:cs="Arial"/>
          <w:lang w:val="es-ES"/>
        </w:rPr>
        <w:t>el AEP en su Propuesta de Convenio de la de Oferta de Referencia presentó los siguientes párrafos.</w:t>
      </w:r>
    </w:p>
    <w:p w:rsidR="007C4016" w:rsidRPr="00936F59" w:rsidRDefault="007C4016" w:rsidP="007C4016">
      <w:pPr>
        <w:pStyle w:val="Citaift0"/>
        <w:spacing w:before="240" w:after="0"/>
        <w:rPr>
          <w:rFonts w:eastAsiaTheme="minorHAnsi"/>
          <w:lang w:val="es-ES"/>
        </w:rPr>
      </w:pPr>
      <w:r w:rsidRPr="00936F59">
        <w:rPr>
          <w:rFonts w:eastAsiaTheme="minorHAnsi"/>
          <w:lang w:val="es-ES"/>
        </w:rPr>
        <w:t>“[…]</w:t>
      </w:r>
    </w:p>
    <w:p w:rsidR="007C4016" w:rsidRPr="0082261F" w:rsidRDefault="007C4016" w:rsidP="007C4016">
      <w:pPr>
        <w:pStyle w:val="IFTcita"/>
        <w:spacing w:before="240" w:after="0"/>
      </w:pPr>
      <w:r w:rsidRPr="00936F59">
        <w:rPr>
          <w:b w:val="0"/>
        </w:rPr>
        <w:t xml:space="preserve">Si con motivo de la instalación de los equipos, cables o cualquier elemento que haya sido detallado en el anteproyecto presentado a </w:t>
      </w:r>
      <w:r>
        <w:rPr>
          <w:b w:val="0"/>
        </w:rPr>
        <w:t>TELNOR</w:t>
      </w:r>
      <w:r w:rsidRPr="00936F59">
        <w:rPr>
          <w:b w:val="0"/>
        </w:rPr>
        <w:t xml:space="preserve"> y aprobado por ésta en el Análisis de Factibilidad Técnica del CONCESIONARIO SOLICITANTE, el personal de éste causa algún daño, robo, destrucción o extravío a las instalaciones, infraestructura y equipos  propiedad de </w:t>
      </w:r>
      <w:r>
        <w:rPr>
          <w:b w:val="0"/>
        </w:rPr>
        <w:t>TELNOR</w:t>
      </w:r>
      <w:r w:rsidRPr="00936F59">
        <w:rPr>
          <w:b w:val="0"/>
        </w:rPr>
        <w:t xml:space="preserve">, el CONCESIONARIO SOLICITANTE se obliga a indemnizar a </w:t>
      </w:r>
      <w:r>
        <w:rPr>
          <w:b w:val="0"/>
        </w:rPr>
        <w:t>TELNOR</w:t>
      </w:r>
      <w:r w:rsidRPr="00936F59">
        <w:rPr>
          <w:b w:val="0"/>
        </w:rPr>
        <w:t xml:space="preserve"> las cantidades que resulten de la cuantificación de los daños y perjuicios ocasionados por tales circunstancias. </w:t>
      </w:r>
      <w:r>
        <w:rPr>
          <w:b w:val="0"/>
          <w:lang w:val="es-MX"/>
        </w:rPr>
        <w:t>TELNOR</w:t>
      </w:r>
      <w:r w:rsidRPr="00936F59">
        <w:rPr>
          <w:b w:val="0"/>
          <w:lang w:val="es-MX"/>
        </w:rPr>
        <w:t xml:space="preserve"> y el CONCESIONARIO SOLICITANTE</w:t>
      </w:r>
      <w:r w:rsidRPr="00936F59">
        <w:rPr>
          <w:b w:val="0"/>
        </w:rPr>
        <w:t xml:space="preserve"> procederán a la elaboración del acta administrativa correspondiente, con la finalidad de establecer en forma clara y detallada la cuantificación de los daños y perjuicios antes mencionados. De igual forma, el CONCESIONARIO SOLICITANTE será responsable de aquellas fallas que pudieran presentarse en los servicios que </w:t>
      </w:r>
      <w:r>
        <w:rPr>
          <w:b w:val="0"/>
        </w:rPr>
        <w:t>TELNOR</w:t>
      </w:r>
      <w:r w:rsidRPr="00936F59">
        <w:rPr>
          <w:b w:val="0"/>
        </w:rPr>
        <w:t xml:space="preserve"> proporciona a sus usuarios finales si las mismas son ocasionadas por causas imputables directamente a su personal o terceros contratados por él mismo durante cualquier trabajo relacionado con la prestación de los SERVICIOS. En tal virtud, el CONCESIONARIO SOLICITANTE se obliga a pagar a </w:t>
      </w:r>
      <w:r>
        <w:rPr>
          <w:b w:val="0"/>
        </w:rPr>
        <w:t>TELNOR</w:t>
      </w:r>
      <w:r w:rsidRPr="00936F59">
        <w:rPr>
          <w:b w:val="0"/>
        </w:rPr>
        <w:t xml:space="preserve"> los daños y perjuicios que </w:t>
      </w:r>
      <w:r>
        <w:rPr>
          <w:b w:val="0"/>
        </w:rPr>
        <w:t>TELNOR</w:t>
      </w:r>
      <w:r w:rsidRPr="00936F59">
        <w:rPr>
          <w:b w:val="0"/>
        </w:rPr>
        <w:t xml:space="preserve"> le cuantifique y notifique que hayan sido ocasionados por tales circunstancias.”</w:t>
      </w:r>
    </w:p>
    <w:p w:rsidR="007C4016" w:rsidRPr="00936F59" w:rsidRDefault="007C4016" w:rsidP="007C4016">
      <w:pPr>
        <w:pStyle w:val="IFTcita"/>
        <w:spacing w:before="240" w:after="0"/>
      </w:pPr>
      <w:r w:rsidRPr="00936F59">
        <w:rPr>
          <w:b w:val="0"/>
        </w:rPr>
        <w:t xml:space="preserve">Si durante el proceso de instalación de los equipos, cables o cualquier elemento que haya sido detallado en el anteproyecto presentado a </w:t>
      </w:r>
      <w:r>
        <w:rPr>
          <w:b w:val="0"/>
        </w:rPr>
        <w:t>TELNOR</w:t>
      </w:r>
      <w:r w:rsidRPr="00936F59">
        <w:rPr>
          <w:b w:val="0"/>
        </w:rPr>
        <w:t xml:space="preserve"> y aprobado por ésta en el Análisis de Factibilidad, el personal del CONCESIONARIO SOLICITANTE o las personas contratadas por éste, ocasionan cualquier daño a los sitios, espacios, instalaciones o infraestructura de </w:t>
      </w:r>
      <w:r>
        <w:rPr>
          <w:b w:val="0"/>
        </w:rPr>
        <w:t>TELNOR</w:t>
      </w:r>
      <w:r w:rsidRPr="00936F59">
        <w:rPr>
          <w:b w:val="0"/>
        </w:rPr>
        <w:t xml:space="preserve">, por no haberse ajustado a la normatividad definida por </w:t>
      </w:r>
      <w:r>
        <w:rPr>
          <w:b w:val="0"/>
        </w:rPr>
        <w:t>TELNOR</w:t>
      </w:r>
      <w:r w:rsidRPr="00936F59">
        <w:rPr>
          <w:b w:val="0"/>
        </w:rPr>
        <w:t xml:space="preserve"> o instrucciones del personal asignado para la Inspección , el CONCESIONARIO SOLICITANTE se obliga a indemnizar a </w:t>
      </w:r>
      <w:r>
        <w:rPr>
          <w:b w:val="0"/>
        </w:rPr>
        <w:t>TELNOR</w:t>
      </w:r>
      <w:r w:rsidRPr="00936F59">
        <w:rPr>
          <w:b w:val="0"/>
        </w:rPr>
        <w:t xml:space="preserve"> por las cantidades que resulten de la cuantificación de los daños y perjuicios ocasionados por tales circunstancias, mismos que serán cuantificados y notificados por </w:t>
      </w:r>
      <w:r>
        <w:rPr>
          <w:b w:val="0"/>
        </w:rPr>
        <w:t>TELNOR</w:t>
      </w:r>
      <w:r w:rsidRPr="00936F59">
        <w:t xml:space="preserve">. </w:t>
      </w:r>
    </w:p>
    <w:p w:rsidR="007C4016" w:rsidRDefault="007C4016" w:rsidP="007C4016">
      <w:pPr>
        <w:pStyle w:val="IFTcita"/>
        <w:spacing w:before="240" w:after="0"/>
      </w:pPr>
      <w:r w:rsidRPr="00936F59">
        <w:rPr>
          <w:b w:val="0"/>
        </w:rPr>
        <w:t>[…]”</w:t>
      </w:r>
    </w:p>
    <w:p w:rsidR="007C4016" w:rsidRPr="00936F59" w:rsidRDefault="007C4016" w:rsidP="007C4016">
      <w:pPr>
        <w:pStyle w:val="IFTnormal"/>
        <w:spacing w:before="240" w:after="0"/>
        <w:rPr>
          <w:b/>
          <w:lang w:val="es-ES"/>
        </w:rPr>
      </w:pPr>
      <w:r w:rsidRPr="00936F59">
        <w:rPr>
          <w:b/>
          <w:lang w:val="es-ES"/>
        </w:rPr>
        <w:t>Análisis de la Propuesta de Convenio</w:t>
      </w:r>
    </w:p>
    <w:p w:rsidR="007C4016" w:rsidRPr="00936F59" w:rsidRDefault="007C4016" w:rsidP="007C4016">
      <w:pPr>
        <w:pStyle w:val="IFTnormal"/>
        <w:spacing w:before="240" w:after="0"/>
      </w:pPr>
      <w:r w:rsidRPr="009D174C">
        <w:t xml:space="preserve">Del análisis realizado a la Cláusula QUINTA de la Propuesta de Convenio de la Oferta de Referencia se desprende que la cláusula </w:t>
      </w:r>
      <w:r>
        <w:t>en</w:t>
      </w:r>
      <w:r w:rsidRPr="009D174C">
        <w:t xml:space="preserve"> análisis omite brindar certeza al CS para el pago que resulte respecto de los daños causados por acciones u omisiones, ya sean culposas o dolosas y que produzcan una afectación a la infraestructura pasiva</w:t>
      </w:r>
      <w:r>
        <w:t xml:space="preserve"> de Telnor</w:t>
      </w:r>
      <w:r w:rsidRPr="00936F59">
        <w:t>.</w:t>
      </w:r>
    </w:p>
    <w:p w:rsidR="007C4016" w:rsidRPr="00936F59" w:rsidRDefault="007C4016" w:rsidP="007C4016">
      <w:pPr>
        <w:pStyle w:val="IFTnormal"/>
        <w:spacing w:before="240" w:after="0"/>
      </w:pPr>
      <w:r w:rsidRPr="00936F59">
        <w:lastRenderedPageBreak/>
        <w:t>En ese sentido, de conformidad con la Medida VIGÉSIMA QUINTA de las Medidas Fijas, y a efecto de dar mayor c</w:t>
      </w:r>
      <w:r w:rsidRPr="009D174C">
        <w:t>erteza respecto de la cuantificación de pago que resulte por los daños y perjuicios ocasionados</w:t>
      </w:r>
      <w:r w:rsidRPr="00936F59">
        <w:t xml:space="preserve"> y con la finalidad de brindar proporcionalidad a las responsabilidad que les correspondan, </w:t>
      </w:r>
      <w:r>
        <w:t>Telnor</w:t>
      </w:r>
      <w:r w:rsidRPr="00936F59">
        <w:t xml:space="preserve"> deberá documentar los gastos generados por la reparación de los daños y perjuicios ocasionados.</w:t>
      </w:r>
    </w:p>
    <w:p w:rsidR="007C4016" w:rsidRDefault="007C4016" w:rsidP="007C4016">
      <w:pPr>
        <w:pStyle w:val="IFTnormal"/>
        <w:spacing w:before="240" w:after="0"/>
        <w:rPr>
          <w:b/>
        </w:rPr>
      </w:pPr>
      <w:r w:rsidRPr="00D138E3">
        <w:rPr>
          <w:b/>
        </w:rPr>
        <w:t>Redacción definitiva</w:t>
      </w:r>
    </w:p>
    <w:p w:rsidR="007C4016" w:rsidRDefault="007C4016" w:rsidP="007C4016">
      <w:pPr>
        <w:pStyle w:val="CondicionesFinales"/>
        <w:spacing w:before="240" w:after="0"/>
        <w:rPr>
          <w:b/>
        </w:rPr>
      </w:pPr>
      <w:r w:rsidRPr="00975DF2">
        <w:t>QUINTA.</w:t>
      </w:r>
      <w:r w:rsidRPr="00975DF2">
        <w:tab/>
        <w:t>RESPONSABILIDAD.</w:t>
      </w:r>
    </w:p>
    <w:p w:rsidR="007C4016" w:rsidRPr="00975DF2" w:rsidRDefault="007C4016" w:rsidP="007C4016">
      <w:pPr>
        <w:pStyle w:val="CondicionesFinales"/>
        <w:spacing w:before="240" w:after="0"/>
      </w:pPr>
      <w:r w:rsidRPr="00975DF2">
        <w:t>[…]</w:t>
      </w:r>
    </w:p>
    <w:p w:rsidR="007C4016" w:rsidRDefault="007C4016" w:rsidP="007C4016">
      <w:pPr>
        <w:pStyle w:val="CondicionesFinales"/>
        <w:spacing w:before="240" w:after="0"/>
      </w:pPr>
      <w:r>
        <w:t xml:space="preserve">Si con motivo de la instalación de los equipos, cables o cualquier elemento que haya sido detallado en el anteproyecto presentado a TELNOR y aprobado por ésta en el Análisis de Factibilidad Técnica del CONCESIONARIO SOLICITANTE, el personal de éste causa algún daño, robo, destrucción o extravío a las instalaciones, infraestructura y equipos  propiedad de TELNOR, el CONCESIONARIO SOLICITANTE se obliga a indemnizar a TELNOR las cantidades que resulten de la cuantificación de los daños y perjuicios ocasionados por tales circunstancias </w:t>
      </w:r>
      <w:r w:rsidRPr="00936F59">
        <w:t xml:space="preserve">los cuales deberán ser debidamente documentados por </w:t>
      </w:r>
      <w:r>
        <w:t>TELNOR</w:t>
      </w:r>
      <w:r w:rsidRPr="00936F59">
        <w:t xml:space="preserve"> para el pago correspondiente</w:t>
      </w:r>
      <w:r>
        <w:t>. TELNOR y el CONCESIONARIO SOLICITANTE procederán a la elaboración del acta administrativa correspondiente, con la finalidad de establecer en forma clara y detallada la cuantificación de los daños y perjuicios antes mencionados. De igual forma, el CONCESIONARIO SOLICITANTE será responsable de aquellas fallas que pudieran presentarse en los servicios que TELNOR proporciona a sus usuarios finales si las mismas son ocasionadas por causas imputables directamente a su personal o terceros contratados por él mismo durante cualquier trabajo relacionado con la prestación de los SERVICIOS. En tal virtud, el CONCESIONARIO SOLICITANTE se obliga a pagar a TELNOR los daños y perjuicios que TELNOR</w:t>
      </w:r>
      <w:r w:rsidRPr="00936F59">
        <w:t xml:space="preserve"> le cuantifique, los cuales deberán ser debidamente documentados por </w:t>
      </w:r>
      <w:r>
        <w:t>TELNOR</w:t>
      </w:r>
      <w:r w:rsidRPr="00936F59">
        <w:t xml:space="preserve"> para el pago correspondiente.</w:t>
      </w:r>
    </w:p>
    <w:p w:rsidR="007C4016" w:rsidRDefault="007C4016" w:rsidP="007C4016">
      <w:pPr>
        <w:pStyle w:val="CondicionesFinales"/>
        <w:spacing w:before="240" w:after="0"/>
        <w:rPr>
          <w:bCs w:val="0"/>
        </w:rPr>
      </w:pPr>
      <w:r w:rsidRPr="004720D1">
        <w:t xml:space="preserve">Si durante el proceso de instalación de los equipos, cables o cualquier elemento que haya sido detallado en el anteproyecto </w:t>
      </w:r>
      <w:r w:rsidRPr="004720D1">
        <w:lastRenderedPageBreak/>
        <w:t xml:space="preserve">presentado a </w:t>
      </w:r>
      <w:r>
        <w:t>TELNOR</w:t>
      </w:r>
      <w:r w:rsidRPr="004720D1">
        <w:t xml:space="preserve"> y aprobado por ésta en el Análisis de Factibilidad, el personal del CONCESIONARIO SOLICITANTE o las personas contratadas por éste, ocasionan cualquier daño a los sitios, espacios, instalaciones o infraestructura de </w:t>
      </w:r>
      <w:r>
        <w:t>TELNOR</w:t>
      </w:r>
      <w:r w:rsidRPr="004720D1">
        <w:t xml:space="preserve">, por no haberse ajustado a la normatividad definida por </w:t>
      </w:r>
      <w:r>
        <w:t>TELNOR</w:t>
      </w:r>
      <w:r w:rsidRPr="004720D1">
        <w:t xml:space="preserve"> o instrucciones del personal asignado, el CONCESIONARIO SOLICITANTE se obliga a indemnizar a </w:t>
      </w:r>
      <w:r>
        <w:t>TELNOR</w:t>
      </w:r>
      <w:r w:rsidRPr="004720D1">
        <w:t xml:space="preserve"> por las cantidades que resulten de la cuantificación de los daños y perjuicios ocasionados por tales circunstancias, </w:t>
      </w:r>
      <w:r w:rsidRPr="00936F59">
        <w:t xml:space="preserve">los cuales deberán ser debidamente documentados por </w:t>
      </w:r>
      <w:r>
        <w:t>TELNOR</w:t>
      </w:r>
      <w:r w:rsidRPr="00936F59">
        <w:t xml:space="preserve"> para el pago correspondiente.</w:t>
      </w:r>
    </w:p>
    <w:p w:rsidR="007C4016" w:rsidRDefault="007C4016" w:rsidP="007C4016">
      <w:pPr>
        <w:pStyle w:val="CondicionesFinales"/>
        <w:spacing w:before="240" w:after="0"/>
      </w:pPr>
      <w:r w:rsidRPr="00975DF2">
        <w:t>[…]</w:t>
      </w:r>
    </w:p>
    <w:p w:rsidR="007C4016" w:rsidRDefault="007C4016" w:rsidP="007C4016">
      <w:pPr>
        <w:pStyle w:val="IFTnormal"/>
        <w:spacing w:before="240" w:after="0"/>
        <w:rPr>
          <w:b/>
        </w:rPr>
      </w:pPr>
      <w:r>
        <w:rPr>
          <w:b/>
        </w:rPr>
        <w:t>CLÁUSULA SEXTA GARANTÍAS DEL CONVENIO</w:t>
      </w:r>
    </w:p>
    <w:p w:rsidR="007C4016" w:rsidRPr="00BF4959" w:rsidRDefault="007C4016" w:rsidP="007C4016">
      <w:pPr>
        <w:pStyle w:val="IFTnormal"/>
        <w:spacing w:before="240" w:after="0"/>
        <w:rPr>
          <w:b/>
        </w:rPr>
      </w:pPr>
      <w:r w:rsidRPr="00BF4959">
        <w:rPr>
          <w:b/>
        </w:rPr>
        <w:t>Consideraciones del Instituto</w:t>
      </w:r>
    </w:p>
    <w:p w:rsidR="007C4016" w:rsidRPr="00B778D8" w:rsidRDefault="007C4016" w:rsidP="007C4016">
      <w:pPr>
        <w:pStyle w:val="IFTnormal"/>
        <w:spacing w:before="240" w:after="0"/>
        <w:rPr>
          <w:b/>
          <w:lang w:val="es-ES"/>
        </w:rPr>
      </w:pPr>
      <w:r w:rsidRPr="001C56F3">
        <w:rPr>
          <w:b/>
        </w:rPr>
        <w:t>CASO 1</w:t>
      </w:r>
      <w:r>
        <w:rPr>
          <w:b/>
        </w:rPr>
        <w:t xml:space="preserve">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SEXTA </w:t>
      </w:r>
      <w:r w:rsidRPr="00337046">
        <w:t>“</w:t>
      </w:r>
      <w:r>
        <w:t>GARANTÍAS DEL CONVENIO</w:t>
      </w:r>
      <w:r w:rsidRPr="00337046">
        <w:t>”</w:t>
      </w:r>
      <w:r>
        <w:rPr>
          <w:lang w:val="es-ES"/>
        </w:rPr>
        <w:t xml:space="preserve">, incisos 6.1 y 6.2.3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modificó la redacción quedando de la siguiente manera:</w:t>
      </w:r>
    </w:p>
    <w:p w:rsidR="007C4016" w:rsidRDefault="007C4016" w:rsidP="007C4016">
      <w:pPr>
        <w:pStyle w:val="CitaIFT"/>
        <w:spacing w:before="240" w:after="0"/>
        <w:rPr>
          <w:b/>
        </w:rPr>
      </w:pPr>
      <w:r>
        <w:rPr>
          <w:b/>
        </w:rPr>
        <w:t>“</w:t>
      </w:r>
      <w:r w:rsidRPr="008B09C9">
        <w:rPr>
          <w:b/>
        </w:rPr>
        <w:t>SEXTA.</w:t>
      </w:r>
      <w:r w:rsidRPr="008B09C9">
        <w:rPr>
          <w:b/>
        </w:rPr>
        <w:tab/>
        <w:t>GARANTÍAS DEL CONVENIO</w:t>
      </w:r>
    </w:p>
    <w:p w:rsidR="007C4016" w:rsidRDefault="007C4016" w:rsidP="007C4016">
      <w:pPr>
        <w:pStyle w:val="CitaIFT"/>
        <w:spacing w:before="240" w:after="0"/>
        <w:rPr>
          <w:b/>
        </w:rPr>
      </w:pPr>
      <w:r w:rsidRPr="008B09C9">
        <w:rPr>
          <w:b/>
        </w:rPr>
        <w:t>6.1 FIANZA PARA EL PAGO DE LAS CONTRAPRESTACIONES.</w:t>
      </w:r>
    </w:p>
    <w:p w:rsidR="007C4016" w:rsidRPr="00EF2BC2" w:rsidRDefault="007C4016" w:rsidP="007C4016">
      <w:pPr>
        <w:pStyle w:val="CitaIFT"/>
        <w:spacing w:before="240" w:after="0"/>
      </w:pPr>
      <w:r w:rsidRPr="00874D78">
        <w:t>Mientras esté vigente este CONVENIO, el CONCESIONARIO SOLICITANTE mantendrá constituida una fianza o car</w:t>
      </w:r>
      <w:r w:rsidRPr="00597A7A">
        <w:t xml:space="preserve">ta de crédito, a su elección, en garantía del pago de las contraprestaciones a su cargo en los términos de este CONVENIO, por un monto que cubra por lo menos un estimado de contraprestaciones </w:t>
      </w:r>
      <w:r>
        <w:t xml:space="preserve">equivalente al 120% de tres </w:t>
      </w:r>
      <w:r w:rsidRPr="00EF2BC2">
        <w:t xml:space="preserve">meses de SERVICIOS, incluyendo accesorios y cualquier otro cargo. </w:t>
      </w:r>
    </w:p>
    <w:p w:rsidR="007C4016" w:rsidRDefault="007C4016" w:rsidP="007C4016">
      <w:pPr>
        <w:pStyle w:val="CitaIFT"/>
        <w:spacing w:before="240" w:after="0"/>
      </w:pPr>
      <w:r w:rsidRPr="006817FE">
        <w:t xml:space="preserve">El monto de la fianza o carta de crédito inicial que el CONCESIONARIO SOLICITANTE constituirá en favor de </w:t>
      </w:r>
      <w:r>
        <w:t>TELNOR</w:t>
      </w:r>
      <w:r w:rsidRPr="006817FE">
        <w:t xml:space="preserve"> asciende a la cantidad de $</w:t>
      </w:r>
      <w:r>
        <w:t>XXXXXXXXXX</w:t>
      </w:r>
      <w:r w:rsidRPr="006817FE">
        <w:t xml:space="preserve"> (</w:t>
      </w:r>
      <w:r>
        <w:t>XXXXXXXXXX</w:t>
      </w:r>
      <w:r w:rsidRPr="006817FE">
        <w:t xml:space="preserve"> pesos 00/100 M.N.) que deberán ser expedidos por una Institución de Fianzas o una Institución Bancaria, según sea el caso, de los Estados Unidos Mexicanos. </w:t>
      </w:r>
    </w:p>
    <w:p w:rsidR="007C4016" w:rsidRDefault="007C4016" w:rsidP="007C4016">
      <w:pPr>
        <w:pStyle w:val="CitaIFT"/>
        <w:spacing w:before="240" w:after="0"/>
      </w:pPr>
      <w:r w:rsidRPr="00B0197C">
        <w:t>[…]</w:t>
      </w:r>
    </w:p>
    <w:p w:rsidR="007C4016" w:rsidRDefault="007C4016" w:rsidP="007C4016">
      <w:pPr>
        <w:pStyle w:val="CitaIFT"/>
        <w:spacing w:before="240" w:after="0"/>
      </w:pPr>
      <w:r w:rsidRPr="00142650">
        <w:rPr>
          <w:b/>
        </w:rPr>
        <w:t>6.2.3</w:t>
      </w:r>
      <w:r w:rsidRPr="00142650">
        <w:tab/>
        <w:t xml:space="preserve">Para cancelar la fianza, será requisito que el fiado presente a la Institución de Fianzas la autorización por escrito de </w:t>
      </w:r>
      <w:r>
        <w:t>TELNOR</w:t>
      </w:r>
      <w:r w:rsidRPr="00142650">
        <w:t>.</w:t>
      </w:r>
    </w:p>
    <w:p w:rsidR="007C4016" w:rsidRPr="00142650" w:rsidRDefault="007C4016" w:rsidP="007C4016">
      <w:pPr>
        <w:pStyle w:val="CitaIFT"/>
        <w:spacing w:before="240" w:after="0"/>
      </w:pPr>
      <w:r w:rsidRPr="00142650">
        <w:t xml:space="preserve">Se otorgará una nueva garantía anualmente por una cantidad equivalente al </w:t>
      </w:r>
      <w:r w:rsidRPr="003E4222">
        <w:t>1</w:t>
      </w:r>
      <w:r>
        <w:t>2</w:t>
      </w:r>
      <w:r w:rsidRPr="003E4222">
        <w:t>0</w:t>
      </w:r>
      <w:r w:rsidRPr="00142650">
        <w:t xml:space="preserve">% del importe total de los SERVICIOS objeto de este CONVENIO facturados por </w:t>
      </w:r>
      <w:r>
        <w:t>TELNOR</w:t>
      </w:r>
      <w:r w:rsidRPr="00142650">
        <w:t xml:space="preserve"> al CONCESIONARIO SOLICITANTE durante </w:t>
      </w:r>
      <w:r>
        <w:t>3</w:t>
      </w:r>
      <w:r w:rsidRPr="00142650">
        <w:t xml:space="preserve"> (dos) meses del año calendario </w:t>
      </w:r>
      <w:r w:rsidRPr="00142650">
        <w:lastRenderedPageBreak/>
        <w:t xml:space="preserve">inmediato anterior o el estimado de SERVICIOS correspondientes a </w:t>
      </w:r>
      <w:r>
        <w:t>3</w:t>
      </w:r>
      <w:r w:rsidRPr="00142650">
        <w:t xml:space="preserve"> (dos) meses del siguiente año, el monto que resulte mayor.</w:t>
      </w:r>
      <w:r>
        <w:t>”</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Default="007C4016" w:rsidP="007C4016">
      <w:pPr>
        <w:pStyle w:val="IFTTexto"/>
        <w:spacing w:before="240" w:after="0"/>
        <w:rPr>
          <w:color w:val="auto"/>
        </w:rPr>
      </w:pPr>
      <w:r w:rsidRPr="003764EC">
        <w:t xml:space="preserve">Del análisis realizado a la Cláusula SEXTA </w:t>
      </w:r>
      <w:r w:rsidRPr="00C671DD">
        <w:t>Inciso 6.2.3</w:t>
      </w:r>
      <w:r>
        <w:t xml:space="preserve"> </w:t>
      </w:r>
      <w:r w:rsidRPr="003764EC">
        <w:t>de la Propuesta de Convenio de la Oferta de Referencia se desprende</w:t>
      </w:r>
      <w:r>
        <w:rPr>
          <w:color w:val="auto"/>
        </w:rPr>
        <w:t xml:space="preserve"> que la redacción modificada </w:t>
      </w:r>
      <w:r w:rsidRPr="009A59A6">
        <w:rPr>
          <w:color w:val="auto"/>
        </w:rPr>
        <w:t>no favorece la competencia en el sector, al ser una condición que pudiera representar una barrera a la entrada en la contratación de los servicios, lo que contraviene lo dispuesto en la Medida SEGUNDA de las Medidas Fija</w:t>
      </w:r>
      <w:r>
        <w:rPr>
          <w:color w:val="auto"/>
        </w:rPr>
        <w:t>s, la cual establece lo siguiente:</w:t>
      </w:r>
    </w:p>
    <w:p w:rsidR="007C4016" w:rsidRPr="00C528DE" w:rsidRDefault="007C4016" w:rsidP="007C4016">
      <w:pPr>
        <w:pStyle w:val="CitaIFT"/>
        <w:spacing w:before="240" w:after="0"/>
      </w:pPr>
      <w:r w:rsidRPr="003764EC">
        <w:rPr>
          <w:b/>
        </w:rPr>
        <w:t xml:space="preserve">“SEGUNDA.- </w:t>
      </w:r>
      <w:r w:rsidRPr="003764EC">
        <w:t>El presente instrumento tiene  por  objeto establecer  las  medidas relacionadas con información, oferta y calidad de servicios, acuerdos en exclusiva, limitaciones al uso de equipos terminales entre redes, regulación asimétrica en tarifas e infraestructura de red, incluyendo la desagregación de sus elementos esenciales al Agente</w:t>
      </w:r>
      <w:r>
        <w:t xml:space="preserve"> Económico Preponderante en </w:t>
      </w:r>
      <w:r w:rsidRPr="003764EC">
        <w:t>lo</w:t>
      </w:r>
      <w:r>
        <w:t>s</w:t>
      </w:r>
      <w:r w:rsidRPr="003764EC">
        <w:t xml:space="preserve"> servicios de telecomunicaciones fijos a </w:t>
      </w:r>
      <w:r w:rsidRPr="00C528DE">
        <w:t>efecto de evitar que se afecte la competencia y la libre concurrencia y con ello a los usuarios finales.”</w:t>
      </w:r>
    </w:p>
    <w:p w:rsidR="007C4016" w:rsidRDefault="007C4016" w:rsidP="007C4016">
      <w:pPr>
        <w:pStyle w:val="IFTTexto"/>
        <w:spacing w:before="240" w:after="0"/>
        <w:rPr>
          <w:color w:val="auto"/>
        </w:rPr>
      </w:pPr>
      <w:r w:rsidRPr="00374C76">
        <w:rPr>
          <w:color w:val="auto"/>
        </w:rPr>
        <w:t>Por lo anterior</w:t>
      </w:r>
      <w:r>
        <w:rPr>
          <w:color w:val="auto"/>
        </w:rPr>
        <w:t xml:space="preserve">, no resulta procedente la modificación que propone el </w:t>
      </w:r>
      <w:r w:rsidRPr="00CD6894">
        <w:rPr>
          <w:color w:val="auto"/>
        </w:rPr>
        <w:t>AEP</w:t>
      </w:r>
      <w:r>
        <w:rPr>
          <w:color w:val="auto"/>
        </w:rPr>
        <w:t xml:space="preserve"> en virtud de que no se otorga una </w:t>
      </w:r>
      <w:r w:rsidRPr="00CD6894">
        <w:rPr>
          <w:color w:val="auto"/>
        </w:rPr>
        <w:t>certeza para las partes obligadas en cuanto a condiciones y proporcionalidad de los mismos.</w:t>
      </w:r>
    </w:p>
    <w:p w:rsidR="007C4016" w:rsidRDefault="007C4016" w:rsidP="007C4016">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SEXTA </w:t>
      </w:r>
      <w:r>
        <w:t>“GARANTÍAS DEL CONVENIO”</w:t>
      </w:r>
      <w:r>
        <w:rPr>
          <w:lang w:val="es-ES"/>
        </w:rPr>
        <w:t xml:space="preserve">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7C4016" w:rsidRDefault="007C4016" w:rsidP="007C4016">
      <w:pPr>
        <w:pStyle w:val="IFTnormal"/>
        <w:spacing w:before="240" w:after="0"/>
        <w:rPr>
          <w:b/>
        </w:rPr>
      </w:pPr>
      <w:r w:rsidRPr="00D138E3">
        <w:rPr>
          <w:b/>
        </w:rPr>
        <w:t>Redacción definitiva</w:t>
      </w:r>
    </w:p>
    <w:p w:rsidR="007C4016" w:rsidRPr="00CB1229" w:rsidRDefault="007C4016" w:rsidP="007C4016">
      <w:pPr>
        <w:pStyle w:val="CondicionesFinales"/>
        <w:spacing w:before="240" w:after="0"/>
      </w:pPr>
      <w:r w:rsidRPr="00CB1229">
        <w:t>SEXTA.</w:t>
      </w:r>
      <w:r w:rsidRPr="00CB1229">
        <w:tab/>
        <w:t>GARANTÍAS DEL CONVENIO.</w:t>
      </w:r>
    </w:p>
    <w:p w:rsidR="007C4016" w:rsidRPr="00CB1229" w:rsidRDefault="007C4016" w:rsidP="007C4016">
      <w:pPr>
        <w:pStyle w:val="CondicionesFinales"/>
        <w:spacing w:before="240" w:after="0"/>
      </w:pPr>
      <w:r w:rsidRPr="00CB1229">
        <w:rPr>
          <w:u w:val="single"/>
        </w:rPr>
        <w:t>6.1 FIANZA PARA EL PAGO DE LAS CONTRAPRESTACIONES</w:t>
      </w:r>
      <w:r w:rsidRPr="00874D78">
        <w:rPr>
          <w:u w:val="single"/>
        </w:rPr>
        <w:t>.</w:t>
      </w:r>
      <w:r w:rsidRPr="00874D78">
        <w:t xml:space="preserve"> Mientras esté vigente este CONVENIO, el CONCESIONARIO SOLICITANTE mantendrá constituida una fianza o car</w:t>
      </w:r>
      <w:r w:rsidRPr="00597A7A">
        <w:t xml:space="preserve">ta de crédito, a su elección, en garantía del pago de las contraprestaciones a su cargo en los términos de este CONVENIO, por un monto que cubra por lo menos un estimado de contraprestaciones por dos meses de SERVICIOS, incluyendo accesorios y cualquier otro </w:t>
      </w:r>
      <w:r w:rsidRPr="006817FE">
        <w:t xml:space="preserve">cargo. El monto de la fianza </w:t>
      </w:r>
      <w:r w:rsidRPr="006817FE">
        <w:lastRenderedPageBreak/>
        <w:t xml:space="preserve">o carta de crédito inicial que el CONCESIONARIO SOLICITANTE constituirá en favor de </w:t>
      </w:r>
      <w:r>
        <w:t>TELNOR</w:t>
      </w:r>
      <w:r w:rsidRPr="006817FE">
        <w:t xml:space="preserve"> asciende a la cantidad de $</w:t>
      </w:r>
      <w:r>
        <w:t>XXXXXXXXXX</w:t>
      </w:r>
      <w:r w:rsidRPr="006817FE">
        <w:t xml:space="preserve"> (</w:t>
      </w:r>
      <w:r>
        <w:t>XXXXXXXXXX</w:t>
      </w:r>
      <w:r w:rsidRPr="006817FE">
        <w:t xml:space="preserve"> pesos 00/100 M.N.) que deberán ser expedidos por una Institución de Fianzas o una Institución Bancaria, según sea el caso, de los Estados Unidos Mexicanos. La fianza o carta de crédito se sujetarán a los términos de la Legislación vigente en la materia, en lo no previsto por ésta, a lo dispuesto en el Título Decimotercero</w:t>
      </w:r>
      <w:r w:rsidRPr="00597A7A">
        <w:t xml:space="preserve"> del Código Civil Federal, garantizando la Institución correspondiente el pago de las contraprestaciones que se pactan en este CONVENIO a cargo del CONCESIONARIO SOLICITANTE, y todos y cada uno de los gastos en que incurra </w:t>
      </w:r>
      <w:r>
        <w:t>TELNOR</w:t>
      </w:r>
      <w:r w:rsidRPr="00597A7A">
        <w:t xml:space="preserve"> al exigir dicho derecho conforme a este CONVENIO.</w:t>
      </w:r>
    </w:p>
    <w:p w:rsidR="007C4016" w:rsidRDefault="007C4016" w:rsidP="007C4016">
      <w:pPr>
        <w:pStyle w:val="CondicionesFinales"/>
        <w:spacing w:before="240" w:after="0"/>
      </w:pPr>
      <w:r w:rsidRPr="00CB1229">
        <w:t>[…]</w:t>
      </w:r>
    </w:p>
    <w:p w:rsidR="007C4016" w:rsidRPr="00CB1229" w:rsidRDefault="007C4016" w:rsidP="007C4016">
      <w:pPr>
        <w:pStyle w:val="CondicionesFinales"/>
        <w:spacing w:before="240" w:after="0"/>
      </w:pPr>
      <w:r w:rsidRPr="00CB1229">
        <w:t xml:space="preserve">6.2.3 Para cancelar la fianza, será requisito que el fiado presente a la Institución de Fianzas la autorización por escrito de </w:t>
      </w:r>
      <w:r>
        <w:t>TELNOR</w:t>
      </w:r>
      <w:r w:rsidRPr="00CB1229">
        <w:t>.</w:t>
      </w:r>
    </w:p>
    <w:p w:rsidR="007C4016" w:rsidRPr="00CB1229" w:rsidRDefault="007C4016" w:rsidP="007C4016">
      <w:pPr>
        <w:pStyle w:val="CondicionesFinales"/>
        <w:spacing w:before="240" w:after="0"/>
      </w:pPr>
      <w:r w:rsidRPr="00CB1229">
        <w:t xml:space="preserve">Se otorgará una nueva garantía anualmente por una cantidad equivalente al 100% del importe total de los SERVICIOS objeto de este CONVENIO facturados por </w:t>
      </w:r>
      <w:r>
        <w:t>TELNOR</w:t>
      </w:r>
      <w:r w:rsidRPr="00CB1229">
        <w:t xml:space="preserve"> al CONCESIONARIO SOLICITANTE durante 2 (dos) meses del año calendario inmediato anterior o el estimado de SERVICIOS correspondientes a 2 (dos) meses del siguiente año, el monto que resulte mayor.</w:t>
      </w:r>
    </w:p>
    <w:p w:rsidR="007C4016" w:rsidRDefault="007C4016" w:rsidP="007C4016">
      <w:pPr>
        <w:pStyle w:val="CondicionesFinales"/>
        <w:spacing w:before="240" w:after="0"/>
      </w:pPr>
      <w:r>
        <w:t>[…]</w:t>
      </w:r>
    </w:p>
    <w:p w:rsidR="007C4016" w:rsidRPr="00BF4959" w:rsidRDefault="007C4016" w:rsidP="007C4016">
      <w:pPr>
        <w:pStyle w:val="IFTnormal"/>
        <w:spacing w:before="240" w:after="0"/>
        <w:rPr>
          <w:b/>
        </w:rPr>
      </w:pPr>
      <w:r w:rsidRPr="00BF4959">
        <w:rPr>
          <w:b/>
        </w:rPr>
        <w:t>Consideraciones del Instituto</w:t>
      </w:r>
    </w:p>
    <w:p w:rsidR="007C4016" w:rsidRPr="00B778D8" w:rsidRDefault="007C4016" w:rsidP="007C4016">
      <w:pPr>
        <w:pStyle w:val="IFTnormal"/>
        <w:spacing w:before="240" w:after="0"/>
        <w:rPr>
          <w:b/>
          <w:lang w:val="es-ES"/>
        </w:rPr>
      </w:pPr>
      <w:r w:rsidRPr="001C56F3">
        <w:rPr>
          <w:b/>
        </w:rPr>
        <w:t>CASO 1</w:t>
      </w:r>
      <w:r>
        <w:rPr>
          <w:b/>
        </w:rPr>
        <w:t xml:space="preserve">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SEXTA </w:t>
      </w:r>
      <w:r w:rsidRPr="00337046">
        <w:t>“</w:t>
      </w:r>
      <w:r>
        <w:t>GARANTÍAS DEL CONVENIO</w:t>
      </w:r>
      <w:r w:rsidRPr="00337046">
        <w:t>”</w:t>
      </w:r>
      <w:r>
        <w:rPr>
          <w:lang w:val="es-ES"/>
        </w:rPr>
        <w:t xml:space="preserve">, inciso 6.3 “MODIFICACIÓN DE LAS GARANTÍAS”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modificó la redacción quedando de la siguiente manera:</w:t>
      </w:r>
    </w:p>
    <w:p w:rsidR="007C4016" w:rsidRDefault="007C4016" w:rsidP="007C4016">
      <w:pPr>
        <w:pStyle w:val="CitaIFT"/>
        <w:spacing w:before="240" w:after="0"/>
        <w:rPr>
          <w:b/>
        </w:rPr>
      </w:pPr>
      <w:r>
        <w:rPr>
          <w:b/>
        </w:rPr>
        <w:t>“</w:t>
      </w:r>
      <w:r w:rsidRPr="008B09C9">
        <w:rPr>
          <w:b/>
        </w:rPr>
        <w:t>SEXTA.</w:t>
      </w:r>
      <w:r w:rsidRPr="008B09C9">
        <w:rPr>
          <w:b/>
        </w:rPr>
        <w:tab/>
        <w:t>GARANTÍAS DEL CONVENIO</w:t>
      </w:r>
      <w:r w:rsidRPr="006817FE">
        <w:t xml:space="preserve"> </w:t>
      </w:r>
    </w:p>
    <w:p w:rsidR="007C4016" w:rsidRDefault="007C4016" w:rsidP="007C4016">
      <w:pPr>
        <w:pStyle w:val="CitaIFT"/>
        <w:spacing w:before="240" w:after="0"/>
      </w:pPr>
      <w:r>
        <w:t>[…]</w:t>
      </w:r>
    </w:p>
    <w:p w:rsidR="007C4016" w:rsidRDefault="007C4016" w:rsidP="007C4016">
      <w:pPr>
        <w:pStyle w:val="CitaIFT"/>
        <w:spacing w:before="240" w:after="0"/>
      </w:pPr>
      <w:r w:rsidRPr="00370A04">
        <w:t xml:space="preserve">6.3 </w:t>
      </w:r>
      <w:r>
        <w:t>MODIFICACIÓN DE LAS GARANTÍAS</w:t>
      </w:r>
    </w:p>
    <w:p w:rsidR="007C4016" w:rsidRPr="00370A04" w:rsidRDefault="007C4016" w:rsidP="007C4016">
      <w:pPr>
        <w:pStyle w:val="CitaIFT"/>
        <w:spacing w:before="240" w:after="0"/>
      </w:pPr>
      <w:r w:rsidRPr="00370A04">
        <w:t xml:space="preserve">No obstante lo anterior, el CONCESIONARIO SOLICITANTE deberá, a solicitud de </w:t>
      </w:r>
      <w:r>
        <w:t>TELNOR</w:t>
      </w:r>
      <w:r w:rsidRPr="00370A04">
        <w:t xml:space="preserve"> y en el momento en el que éste así lo solicite, actualizar la garantía a que </w:t>
      </w:r>
      <w:r w:rsidRPr="00370A04">
        <w:lastRenderedPageBreak/>
        <w:t>hace referencia esta Cláusula Sexta con la finalidad de que (i) sea equivalente a al 120% del valor de los 3 (tres) meses del año calendario inmediato anterior de mayor consumo y; (ii) refleje la solvencia y el comportamiento crediticio del CONCESIONARIO SOLICITANTE</w:t>
      </w:r>
      <w:r>
        <w:t>”</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Pr="00991EAD" w:rsidRDefault="007C4016" w:rsidP="007C4016">
      <w:pPr>
        <w:pStyle w:val="IFTTexto"/>
        <w:spacing w:before="240" w:after="0"/>
        <w:rPr>
          <w:color w:val="auto"/>
        </w:rPr>
      </w:pPr>
      <w:r>
        <w:rPr>
          <w:color w:val="auto"/>
        </w:rPr>
        <w:t xml:space="preserve">En ese orden de ideas, </w:t>
      </w:r>
      <w:r w:rsidRPr="003764EC">
        <w:t>la Cláusula SEXTA</w:t>
      </w:r>
      <w:r>
        <w:t xml:space="preserve"> numeral</w:t>
      </w:r>
      <w:r w:rsidRPr="003764EC">
        <w:t xml:space="preserve"> </w:t>
      </w:r>
      <w:r w:rsidRPr="00C671DD">
        <w:t>6.3</w:t>
      </w:r>
      <w:r>
        <w:t xml:space="preserve"> </w:t>
      </w:r>
      <w:r w:rsidRPr="003764EC">
        <w:t>de la Propuesta de Convenio de la Oferta de Referencia se desprende</w:t>
      </w:r>
      <w:r>
        <w:rPr>
          <w:color w:val="auto"/>
        </w:rPr>
        <w:t xml:space="preserve"> que la redacción propuesta por el AEP no resulta adecuada ni fomenta la </w:t>
      </w:r>
      <w:r w:rsidRPr="009A59A6">
        <w:rPr>
          <w:color w:val="auto"/>
        </w:rPr>
        <w:t>competencia en el sector</w:t>
      </w:r>
      <w:r>
        <w:rPr>
          <w:color w:val="auto"/>
        </w:rPr>
        <w:t xml:space="preserve">, en virtud de que no puede quedar al arbitrio de una de las partes la actualización de la garantía, Sin dejar de observar, que en relación al porcentaje y meses establecidos para cubrir los servicios objeto no resulta procedente la modificación que propone el </w:t>
      </w:r>
      <w:r w:rsidRPr="00CD6894">
        <w:rPr>
          <w:color w:val="auto"/>
        </w:rPr>
        <w:t>AEP</w:t>
      </w:r>
      <w:r>
        <w:rPr>
          <w:color w:val="auto"/>
        </w:rPr>
        <w:t xml:space="preserve"> en virtud de que no se otorga una </w:t>
      </w:r>
      <w:r w:rsidRPr="00CD6894">
        <w:rPr>
          <w:color w:val="auto"/>
        </w:rPr>
        <w:t>certeza para las partes obligadas en cuanto a condiciones y proporcionalidad de los mismos</w:t>
      </w:r>
    </w:p>
    <w:p w:rsidR="007C4016" w:rsidRDefault="007C4016" w:rsidP="007C4016">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SEXTA </w:t>
      </w:r>
      <w:r>
        <w:t>“GARANTÍAS DEL CONVENIO”</w:t>
      </w:r>
      <w:r>
        <w:rPr>
          <w:lang w:val="es-ES"/>
        </w:rPr>
        <w:t xml:space="preserve">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7C4016" w:rsidRDefault="007C4016" w:rsidP="007C4016">
      <w:pPr>
        <w:pStyle w:val="IFTnormal"/>
        <w:spacing w:before="240" w:after="0"/>
        <w:rPr>
          <w:b/>
        </w:rPr>
      </w:pPr>
      <w:r w:rsidRPr="00D138E3">
        <w:rPr>
          <w:b/>
        </w:rPr>
        <w:t>Redacción definitiva</w:t>
      </w:r>
    </w:p>
    <w:p w:rsidR="007C4016" w:rsidRDefault="007C4016" w:rsidP="007C4016">
      <w:pPr>
        <w:pStyle w:val="CondicionesFinales"/>
        <w:spacing w:before="240" w:after="0"/>
      </w:pPr>
      <w:r w:rsidRPr="0094256D">
        <w:t>SEXTA.</w:t>
      </w:r>
      <w:r w:rsidRPr="0094256D">
        <w:tab/>
        <w:t>GARANTÍAS DEL CONVENIO.</w:t>
      </w:r>
    </w:p>
    <w:p w:rsidR="007C4016" w:rsidRPr="0094256D" w:rsidRDefault="007C4016" w:rsidP="007C4016">
      <w:pPr>
        <w:pStyle w:val="CondicionesFinales"/>
        <w:spacing w:before="240" w:after="0"/>
      </w:pPr>
      <w:r>
        <w:t>[…]</w:t>
      </w:r>
    </w:p>
    <w:p w:rsidR="007C4016" w:rsidRPr="0094256D" w:rsidRDefault="007C4016" w:rsidP="007C4016">
      <w:pPr>
        <w:pStyle w:val="CondicionesFinales"/>
        <w:spacing w:before="240" w:after="0"/>
      </w:pPr>
      <w:r w:rsidRPr="0094256D">
        <w:rPr>
          <w:u w:val="single"/>
        </w:rPr>
        <w:t>6.3 MODIFICACIÓN DE LAS GARANTÍAS.</w:t>
      </w:r>
      <w:r w:rsidRPr="0094256D">
        <w:t xml:space="preserve"> No obstante lo anterior, </w:t>
      </w:r>
      <w:r>
        <w:t>TELNOR</w:t>
      </w:r>
      <w:r w:rsidRPr="0094256D">
        <w:t xml:space="preserve"> y el CONCESIONARIO SOLICITANTE podrán, de tiempo en tiempo, renegociar las características de la garantía a que se refiere esta Cláusula Novena, a fin de reflejar el valor real de las obligaciones que garantizarán, así como la solvencia y el comportamiento crediticio del CONCESIONARIO SOLICITANTE.</w:t>
      </w:r>
    </w:p>
    <w:p w:rsidR="007C4016" w:rsidRPr="007819C3" w:rsidRDefault="007C4016" w:rsidP="007C4016">
      <w:pPr>
        <w:pStyle w:val="IFTnormal"/>
        <w:spacing w:before="240" w:after="0"/>
        <w:rPr>
          <w:rFonts w:eastAsiaTheme="minorHAnsi" w:cs="Arial"/>
          <w:b/>
          <w:lang w:val="es-ES"/>
        </w:rPr>
      </w:pPr>
      <w:r w:rsidRPr="007819C3">
        <w:rPr>
          <w:rFonts w:eastAsiaTheme="minorHAnsi" w:cs="Arial"/>
          <w:b/>
          <w:lang w:val="es-ES"/>
        </w:rPr>
        <w:t>C</w:t>
      </w:r>
      <w:r>
        <w:rPr>
          <w:rFonts w:eastAsiaTheme="minorHAnsi" w:cs="Arial"/>
          <w:b/>
          <w:lang w:val="es-ES"/>
        </w:rPr>
        <w:t>LAUSULA SÉPTIMA OBLIGACIONES A CARGO DE TELNOR Y EL CONCESIONARIO SOLICITANTE</w:t>
      </w:r>
    </w:p>
    <w:p w:rsidR="007C4016" w:rsidRPr="00BF4959" w:rsidRDefault="007C4016" w:rsidP="007C4016">
      <w:pPr>
        <w:pStyle w:val="IFTnormal"/>
        <w:spacing w:before="240" w:after="0"/>
        <w:rPr>
          <w:b/>
        </w:rPr>
      </w:pPr>
      <w:r w:rsidRPr="00BF4959">
        <w:rPr>
          <w:b/>
        </w:rPr>
        <w:t>Consideraciones del Instituto</w:t>
      </w:r>
    </w:p>
    <w:p w:rsidR="007C4016" w:rsidRPr="001C56F3" w:rsidRDefault="007C4016" w:rsidP="007C4016">
      <w:pPr>
        <w:pStyle w:val="IFTnormal"/>
        <w:spacing w:before="240" w:after="0"/>
        <w:rPr>
          <w:b/>
        </w:rPr>
      </w:pPr>
      <w:r w:rsidRPr="001C56F3">
        <w:rPr>
          <w:b/>
        </w:rPr>
        <w:lastRenderedPageBreak/>
        <w:t>CASO 2</w:t>
      </w:r>
      <w:r>
        <w:rPr>
          <w:b/>
        </w:rPr>
        <w:t xml:space="preserve"> </w:t>
      </w:r>
      <w:r w:rsidRPr="002802DB">
        <w:rPr>
          <w:b/>
          <w:lang w:val="es-ES"/>
        </w:rPr>
        <w:t xml:space="preserve">Cambios que </w:t>
      </w:r>
      <w:r w:rsidRPr="002802DB">
        <w:rPr>
          <w:b/>
        </w:rPr>
        <w:t>modifican la redacción de</w:t>
      </w:r>
      <w:r>
        <w:rPr>
          <w:b/>
        </w:rPr>
        <w:t>l Convenio de</w:t>
      </w:r>
      <w:r w:rsidRPr="002802DB">
        <w:rPr>
          <w:b/>
        </w:rPr>
        <w:t xml:space="preserve"> la Propuesta de Oferta de Referencia.</w:t>
      </w:r>
    </w:p>
    <w:p w:rsidR="007C4016" w:rsidRPr="00B3104B"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SÉPTIMA </w:t>
      </w:r>
      <w:r w:rsidRPr="00337046">
        <w:t>“</w:t>
      </w:r>
      <w:r w:rsidRPr="009D2C24">
        <w:rPr>
          <w:rFonts w:eastAsiaTheme="minorHAnsi" w:cs="Arial"/>
          <w:lang w:val="es-ES"/>
        </w:rPr>
        <w:t xml:space="preserve">OBLIGACIONES A CARGO DE </w:t>
      </w:r>
      <w:r>
        <w:rPr>
          <w:rFonts w:eastAsiaTheme="minorHAnsi" w:cs="Arial"/>
          <w:lang w:val="es-ES"/>
        </w:rPr>
        <w:t>TELNOR</w:t>
      </w:r>
      <w:r w:rsidRPr="009D2C24">
        <w:rPr>
          <w:rFonts w:eastAsiaTheme="minorHAnsi" w:cs="Arial"/>
          <w:lang w:val="es-ES"/>
        </w:rPr>
        <w:t xml:space="preserve"> Y EL CONCESIONARIO SOLICITANTE</w:t>
      </w:r>
      <w:r w:rsidRPr="00337046">
        <w:t>”</w:t>
      </w:r>
      <w:r>
        <w:rPr>
          <w:lang w:val="es-ES"/>
        </w:rPr>
        <w:t xml:space="preserve">, en el inciso 7.2.1 “Licencias y Permisos a cargo de Telnor”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eliminó el siguiente párrafo de la redacción del Convenio de la Oferta de Referencia Vigente.</w:t>
      </w:r>
    </w:p>
    <w:p w:rsidR="007C4016" w:rsidRDefault="007C4016" w:rsidP="007C4016">
      <w:pPr>
        <w:pStyle w:val="Citaift0"/>
        <w:spacing w:before="240" w:after="0"/>
        <w:rPr>
          <w:rFonts w:eastAsiaTheme="minorHAnsi"/>
          <w:lang w:val="es-ES"/>
        </w:rPr>
      </w:pPr>
      <w:r>
        <w:rPr>
          <w:rFonts w:eastAsiaTheme="minorHAnsi"/>
          <w:lang w:val="es-ES"/>
        </w:rPr>
        <w:t>“[…]</w:t>
      </w:r>
    </w:p>
    <w:p w:rsidR="007C4016" w:rsidRDefault="007C4016" w:rsidP="007C4016">
      <w:pPr>
        <w:pStyle w:val="Citaift0"/>
        <w:spacing w:before="240" w:after="0"/>
        <w:rPr>
          <w:rFonts w:eastAsiaTheme="minorHAnsi"/>
          <w:lang w:val="es-ES"/>
        </w:rPr>
      </w:pPr>
      <w:r w:rsidRPr="006D564B">
        <w:rPr>
          <w:rFonts w:eastAsiaTheme="minorHAnsi"/>
          <w:lang w:val="es-ES"/>
        </w:rPr>
        <w:t xml:space="preserve">De acuerdo con el permiso solicitado </w:t>
      </w:r>
      <w:r>
        <w:rPr>
          <w:rFonts w:eastAsiaTheme="minorHAnsi"/>
          <w:lang w:val="es-ES"/>
        </w:rPr>
        <w:t>TELNOR</w:t>
      </w:r>
      <w:r w:rsidRPr="006D564B">
        <w:rPr>
          <w:rFonts w:eastAsiaTheme="minorHAnsi"/>
          <w:lang w:val="es-ES"/>
        </w:rPr>
        <w:t xml:space="preserve"> proveerá al CONCESIONARIO SOLICITANTE con un listado de las licencias, permisos y autorizaciones requeridas dependiendo del servicio que se esté contratando, especificando si </w:t>
      </w:r>
      <w:r>
        <w:rPr>
          <w:rFonts w:eastAsiaTheme="minorHAnsi"/>
          <w:lang w:val="es-ES"/>
        </w:rPr>
        <w:t>TELNOR</w:t>
      </w:r>
      <w:r w:rsidRPr="006D564B">
        <w:rPr>
          <w:rFonts w:eastAsiaTheme="minorHAnsi"/>
          <w:lang w:val="es-ES"/>
        </w:rPr>
        <w:t xml:space="preserve"> ya cuenta con alguno de ellos. Ya que </w:t>
      </w:r>
      <w:r>
        <w:rPr>
          <w:rFonts w:eastAsiaTheme="minorHAnsi"/>
          <w:lang w:val="es-ES"/>
        </w:rPr>
        <w:t>TELNOR</w:t>
      </w:r>
      <w:r w:rsidRPr="006D564B">
        <w:rPr>
          <w:rFonts w:eastAsiaTheme="minorHAnsi"/>
          <w:lang w:val="es-ES"/>
        </w:rPr>
        <w:t xml:space="preserve"> se encontrará mejor posicionado para tramitar varios de ellos, debido a la información y documentación con la que cuenta, estos trámites serán parte del servicio sí el CONCESIONARIO SOLICITANTE así lo requiere.</w:t>
      </w:r>
    </w:p>
    <w:p w:rsidR="007C4016" w:rsidRPr="00B3104B" w:rsidRDefault="007C4016" w:rsidP="007C4016">
      <w:pPr>
        <w:pStyle w:val="Citaift0"/>
        <w:spacing w:before="240" w:after="0"/>
        <w:rPr>
          <w:rFonts w:eastAsiaTheme="minorHAnsi"/>
          <w:lang w:val="es-ES"/>
        </w:rPr>
      </w:pPr>
      <w:r>
        <w:rPr>
          <w:rFonts w:eastAsiaTheme="minorHAnsi"/>
          <w:lang w:val="es-ES"/>
        </w:rPr>
        <w:t>[…]”</w:t>
      </w:r>
      <w:r w:rsidRPr="006D564B">
        <w:rPr>
          <w:rFonts w:eastAsiaTheme="minorHAnsi"/>
          <w:lang w:val="es-ES"/>
        </w:rPr>
        <w:t xml:space="preserve">  </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Pr="00910E6B" w:rsidRDefault="007C4016" w:rsidP="007C4016">
      <w:pPr>
        <w:pStyle w:val="IFTnormal"/>
        <w:spacing w:before="240" w:after="0"/>
      </w:pPr>
      <w:r>
        <w:t>Del análisis realizado a la Cláusula SÉPTIMA de la Propuesta de Convenio de la Oferta de Referencia este Instituto considera que no es procedente eliminar el párrafo en cuestión, ya que el AEP está mejor posicionado que el CS para la tramitación de los permisos</w:t>
      </w:r>
      <w:r w:rsidRPr="00910E6B">
        <w:t xml:space="preserve"> </w:t>
      </w:r>
      <w:r w:rsidRPr="005A5288">
        <w:t xml:space="preserve">por ser el propietario de la Infraestructura Pasiva, tiene </w:t>
      </w:r>
      <w:r>
        <w:t>mejor</w:t>
      </w:r>
      <w:r w:rsidRPr="005A5288">
        <w:t xml:space="preserve"> acceso a los sitios y a toda la información y documentación correspondiente a éstos, </w:t>
      </w:r>
      <w:r>
        <w:t xml:space="preserve">por lo que </w:t>
      </w:r>
      <w:r w:rsidRPr="005A5288">
        <w:t>la tramitación de los permisos y licencias debe</w:t>
      </w:r>
      <w:r>
        <w:t xml:space="preserve"> </w:t>
      </w:r>
      <w:r w:rsidRPr="005A5288">
        <w:t xml:space="preserve">ser parte del servicio que en su momento requiera el </w:t>
      </w:r>
      <w:r>
        <w:t>CS</w:t>
      </w:r>
      <w:r w:rsidRPr="005A5288">
        <w:t xml:space="preserve">. </w:t>
      </w:r>
    </w:p>
    <w:p w:rsidR="007C4016" w:rsidRDefault="007C4016" w:rsidP="007C4016">
      <w:pPr>
        <w:pStyle w:val="IFTnormal"/>
        <w:spacing w:before="240" w:after="0"/>
        <w:rPr>
          <w:sz w:val="24"/>
          <w:szCs w:val="24"/>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w:t>
      </w:r>
      <w:r w:rsidRPr="0043542A">
        <w:rPr>
          <w:lang w:val="es-ES"/>
        </w:rPr>
        <w:t xml:space="preserve">SÉPTIMA </w:t>
      </w:r>
      <w:r>
        <w:rPr>
          <w:lang w:val="es-ES"/>
        </w:rPr>
        <w:t>“</w:t>
      </w:r>
      <w:r w:rsidRPr="0043542A">
        <w:rPr>
          <w:lang w:val="es-ES"/>
        </w:rPr>
        <w:t xml:space="preserve">OBLIGACIONES A CARGO DE </w:t>
      </w:r>
      <w:r>
        <w:rPr>
          <w:lang w:val="es-ES"/>
        </w:rPr>
        <w:t>TELNOR</w:t>
      </w:r>
      <w:r w:rsidRPr="0043542A">
        <w:rPr>
          <w:lang w:val="es-ES"/>
        </w:rPr>
        <w:t xml:space="preserve"> Y EL CONCESIONARIO SOLICITANTE</w:t>
      </w:r>
      <w:r>
        <w:rPr>
          <w:lang w:val="es-ES"/>
        </w:rPr>
        <w:t>”</w:t>
      </w:r>
      <w:r w:rsidRPr="0043542A">
        <w:rPr>
          <w:lang w:val="es-ES"/>
        </w:rPr>
        <w:t xml:space="preserve"> </w:t>
      </w:r>
      <w:r>
        <w:rPr>
          <w:lang w:val="es-ES"/>
        </w:rPr>
        <w:t xml:space="preserve">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7C4016" w:rsidRDefault="007C4016" w:rsidP="007C4016">
      <w:pPr>
        <w:pStyle w:val="IFTnormal"/>
        <w:spacing w:before="240" w:after="0"/>
        <w:rPr>
          <w:b/>
        </w:rPr>
      </w:pPr>
      <w:r w:rsidRPr="00D138E3">
        <w:rPr>
          <w:b/>
        </w:rPr>
        <w:t>Redacción definitiva</w:t>
      </w:r>
    </w:p>
    <w:p w:rsidR="007C4016" w:rsidRPr="00975DF2" w:rsidRDefault="007C4016" w:rsidP="007C4016">
      <w:pPr>
        <w:pStyle w:val="CondicionesFinales"/>
        <w:spacing w:before="240" w:after="0"/>
      </w:pPr>
      <w:r w:rsidRPr="002A262A">
        <w:t xml:space="preserve">SÉPTIMA. OBLIGACIONES A CARGO DE </w:t>
      </w:r>
      <w:r>
        <w:t>TELNOR</w:t>
      </w:r>
      <w:r w:rsidRPr="002A262A">
        <w:t xml:space="preserve"> Y EL CONCESIONARIO SOLICITANTE</w:t>
      </w:r>
      <w:r w:rsidRPr="00975DF2">
        <w:t xml:space="preserve"> […]</w:t>
      </w:r>
    </w:p>
    <w:p w:rsidR="007C4016" w:rsidRPr="00F6732D" w:rsidRDefault="007C4016" w:rsidP="007C4016">
      <w:pPr>
        <w:pStyle w:val="CondicionesFinales"/>
        <w:spacing w:before="240" w:after="0"/>
        <w:rPr>
          <w:b/>
        </w:rPr>
      </w:pPr>
      <w:r w:rsidRPr="00F6732D">
        <w:lastRenderedPageBreak/>
        <w:t xml:space="preserve">7.2.1 Licencias y Permisos a cargo de </w:t>
      </w:r>
      <w:r>
        <w:t>TELNOR</w:t>
      </w:r>
    </w:p>
    <w:p w:rsidR="007C4016" w:rsidRPr="00F6732D" w:rsidRDefault="007C4016" w:rsidP="007C4016">
      <w:pPr>
        <w:pStyle w:val="CondicionesFinales"/>
        <w:spacing w:before="240" w:after="0"/>
      </w:pPr>
      <w:r w:rsidRPr="00F6732D">
        <w:t xml:space="preserve">De acuerdo con el permiso solicitado </w:t>
      </w:r>
      <w:r>
        <w:t>TELNOR</w:t>
      </w:r>
      <w:r w:rsidRPr="00F6732D">
        <w:t xml:space="preserve"> proveerá al CONCESIONARIO SOLICITANTE con un listado de las licencias, permisos y autorizaciones requeridas dependiendo del servicio que se esté contratando, especificando si </w:t>
      </w:r>
      <w:r>
        <w:t>TELNOR</w:t>
      </w:r>
      <w:r w:rsidRPr="00F6732D">
        <w:t xml:space="preserve"> ya cuenta con alguno de ellos. Ya que </w:t>
      </w:r>
      <w:r>
        <w:t>TELNOR</w:t>
      </w:r>
      <w:r w:rsidRPr="00F6732D">
        <w:t xml:space="preserve"> se encontrará mejor posicionado para tramitar varios de ellos, debido a la información y documentación con la que cuenta, estos trámites serán parte del servicio sí el CONCESIONARIO SOLICITANTE así lo requiere. </w:t>
      </w:r>
    </w:p>
    <w:p w:rsidR="007C4016" w:rsidRPr="007F668B" w:rsidRDefault="007C4016" w:rsidP="007C4016">
      <w:pPr>
        <w:pStyle w:val="CondicionesFinales"/>
        <w:spacing w:before="240" w:after="0"/>
      </w:pPr>
      <w:r>
        <w:t>[…]</w:t>
      </w:r>
    </w:p>
    <w:p w:rsidR="007C4016" w:rsidRPr="00BF4959" w:rsidRDefault="007C4016" w:rsidP="007C4016">
      <w:pPr>
        <w:pStyle w:val="IFTnormal"/>
        <w:spacing w:before="240" w:after="0"/>
        <w:rPr>
          <w:b/>
        </w:rPr>
      </w:pPr>
      <w:r w:rsidRPr="00BF4959">
        <w:rPr>
          <w:b/>
        </w:rPr>
        <w:t>Consideraciones del Instituto</w:t>
      </w:r>
    </w:p>
    <w:p w:rsidR="007C4016" w:rsidRPr="001C56F3" w:rsidRDefault="007C4016" w:rsidP="007C4016">
      <w:pPr>
        <w:pStyle w:val="IFTnormal"/>
        <w:spacing w:before="240" w:after="0"/>
        <w:rPr>
          <w:b/>
        </w:rPr>
      </w:pPr>
      <w:r w:rsidRPr="001C56F3">
        <w:rPr>
          <w:b/>
        </w:rPr>
        <w:t>CASO 2</w:t>
      </w:r>
      <w:r>
        <w:rPr>
          <w:b/>
        </w:rPr>
        <w:t xml:space="preserve"> </w:t>
      </w:r>
      <w:r w:rsidRPr="002802DB">
        <w:rPr>
          <w:b/>
          <w:lang w:val="es-ES"/>
        </w:rPr>
        <w:t xml:space="preserve">Cambios que </w:t>
      </w:r>
      <w:r w:rsidRPr="002802DB">
        <w:rPr>
          <w:b/>
        </w:rPr>
        <w:t>modifican la redacción de</w:t>
      </w:r>
      <w:r>
        <w:rPr>
          <w:b/>
        </w:rPr>
        <w:t>l Convenio de</w:t>
      </w:r>
      <w:r w:rsidRPr="002802DB">
        <w:rPr>
          <w:b/>
        </w:rPr>
        <w:t xml:space="preserve"> la Propuesta de Oferta de Referencia.</w:t>
      </w:r>
    </w:p>
    <w:p w:rsidR="007C4016" w:rsidRDefault="007C4016" w:rsidP="007C4016">
      <w:pPr>
        <w:pStyle w:val="IFTnormal"/>
        <w:spacing w:before="240" w:after="0"/>
        <w:rPr>
          <w:rFonts w:eastAsiaTheme="minorHAnsi" w:cs="Arial"/>
          <w:i/>
          <w:lang w:val="es-ES"/>
        </w:rPr>
      </w:pPr>
      <w:r w:rsidRPr="00F0621F">
        <w:rPr>
          <w:lang w:val="es-ES"/>
        </w:rPr>
        <w:t xml:space="preserve">Dentro de </w:t>
      </w:r>
      <w:r>
        <w:rPr>
          <w:lang w:val="es-ES"/>
        </w:rPr>
        <w:t xml:space="preserve">la Cláusula SÉPTIMA </w:t>
      </w:r>
      <w:r w:rsidRPr="00337046">
        <w:t>“</w:t>
      </w:r>
      <w:r w:rsidRPr="009D2C24">
        <w:rPr>
          <w:rFonts w:eastAsiaTheme="minorHAnsi" w:cs="Arial"/>
          <w:lang w:val="es-ES"/>
        </w:rPr>
        <w:t xml:space="preserve">OBLIGACIONES A CARGO DE </w:t>
      </w:r>
      <w:r>
        <w:rPr>
          <w:rFonts w:eastAsiaTheme="minorHAnsi" w:cs="Arial"/>
          <w:lang w:val="es-ES"/>
        </w:rPr>
        <w:t>TELNOR</w:t>
      </w:r>
      <w:r w:rsidRPr="009D2C24">
        <w:rPr>
          <w:rFonts w:eastAsiaTheme="minorHAnsi" w:cs="Arial"/>
          <w:lang w:val="es-ES"/>
        </w:rPr>
        <w:t xml:space="preserve"> Y EL CONCESIONARIO SOLICITANTE</w:t>
      </w:r>
      <w:r w:rsidRPr="00337046">
        <w:t>”</w:t>
      </w:r>
      <w:r>
        <w:rPr>
          <w:lang w:val="es-ES"/>
        </w:rPr>
        <w:t xml:space="preserve">, en el inciso 7.2.1 “Licencias y Permisos a cargo de Telnor”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eliminó de la redacción del Convenio de la Oferta de Referencia Vigente lo referente a </w:t>
      </w:r>
      <w:r w:rsidRPr="00154EB9">
        <w:rPr>
          <w:rFonts w:eastAsiaTheme="minorHAnsi" w:cs="Arial"/>
          <w:i/>
          <w:lang w:val="es-ES"/>
        </w:rPr>
        <w:t xml:space="preserve">“resultante de no haber tramitado los permisos especificados por </w:t>
      </w:r>
      <w:r>
        <w:rPr>
          <w:rFonts w:eastAsiaTheme="minorHAnsi" w:cs="Arial"/>
          <w:i/>
          <w:lang w:val="es-ES"/>
        </w:rPr>
        <w:t>TELNOR.</w:t>
      </w:r>
      <w:r w:rsidRPr="00154EB9">
        <w:rPr>
          <w:rFonts w:eastAsiaTheme="minorHAnsi" w:cs="Arial"/>
          <w:i/>
          <w:lang w:val="es-ES"/>
        </w:rPr>
        <w:t>”</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Default="007C4016" w:rsidP="007C4016">
      <w:pPr>
        <w:pStyle w:val="IFTnormal"/>
        <w:spacing w:before="240" w:after="0"/>
      </w:pPr>
      <w:r w:rsidRPr="00910E6B">
        <w:t xml:space="preserve">Del análisis realizado a la Cláusula SÉPTIMA de la Propuesta de Convenio de la Oferta de Referencia, se desprende que </w:t>
      </w:r>
      <w:r>
        <w:t>la eliminación realizada podría representar</w:t>
      </w:r>
      <w:r w:rsidRPr="00910E6B">
        <w:t xml:space="preserve"> una barrera </w:t>
      </w:r>
      <w:r>
        <w:t xml:space="preserve">a la entrada </w:t>
      </w:r>
      <w:r w:rsidRPr="00910E6B">
        <w:t xml:space="preserve">al </w:t>
      </w:r>
      <w:r>
        <w:t>CS</w:t>
      </w:r>
      <w:r w:rsidRPr="00910E6B">
        <w:t xml:space="preserve">, </w:t>
      </w:r>
      <w:r>
        <w:t>ya que se deben conocer los tipos de permiso que se necesitan para los servicios requeridos, y así evitar incidentes en los sitios.</w:t>
      </w:r>
    </w:p>
    <w:p w:rsidR="007C4016" w:rsidRDefault="007C4016" w:rsidP="007C4016">
      <w:pPr>
        <w:pStyle w:val="IFTnormal"/>
        <w:spacing w:before="240" w:after="0"/>
        <w:rPr>
          <w:sz w:val="24"/>
          <w:szCs w:val="24"/>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w:t>
      </w:r>
      <w:r w:rsidRPr="0043542A">
        <w:rPr>
          <w:lang w:val="es-ES"/>
        </w:rPr>
        <w:t xml:space="preserve">SÉPTIMA </w:t>
      </w:r>
      <w:r>
        <w:rPr>
          <w:lang w:val="es-ES"/>
        </w:rPr>
        <w:t>“</w:t>
      </w:r>
      <w:r w:rsidRPr="0043542A">
        <w:rPr>
          <w:lang w:val="es-ES"/>
        </w:rPr>
        <w:t xml:space="preserve">OBLIGACIONES A CARGO DE </w:t>
      </w:r>
      <w:r>
        <w:rPr>
          <w:lang w:val="es-ES"/>
        </w:rPr>
        <w:t>TELNOR</w:t>
      </w:r>
      <w:r w:rsidRPr="0043542A">
        <w:rPr>
          <w:lang w:val="es-ES"/>
        </w:rPr>
        <w:t xml:space="preserve"> Y EL CONCESIONARIO SOLICITANTE</w:t>
      </w:r>
      <w:r>
        <w:rPr>
          <w:lang w:val="es-ES"/>
        </w:rPr>
        <w:t>”</w:t>
      </w:r>
      <w:r w:rsidRPr="0043542A">
        <w:rPr>
          <w:lang w:val="es-ES"/>
        </w:rPr>
        <w:t xml:space="preserve"> </w:t>
      </w:r>
      <w:r>
        <w:rPr>
          <w:lang w:val="es-ES"/>
        </w:rPr>
        <w:t xml:space="preserve">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7C4016" w:rsidRDefault="007C4016" w:rsidP="007C4016">
      <w:pPr>
        <w:pStyle w:val="IFTnormal"/>
        <w:spacing w:before="240" w:after="0"/>
        <w:rPr>
          <w:b/>
        </w:rPr>
      </w:pPr>
      <w:r w:rsidRPr="00D138E3">
        <w:rPr>
          <w:b/>
        </w:rPr>
        <w:t>Redacción definitiva</w:t>
      </w:r>
    </w:p>
    <w:p w:rsidR="007C4016" w:rsidRPr="00975DF2" w:rsidRDefault="007C4016" w:rsidP="007C4016">
      <w:pPr>
        <w:pStyle w:val="CondicionesFinales"/>
        <w:spacing w:before="240" w:after="0"/>
      </w:pPr>
      <w:r w:rsidRPr="002A262A">
        <w:lastRenderedPageBreak/>
        <w:t xml:space="preserve">SÉPTIMA. OBLIGACIONES A CARGO DE </w:t>
      </w:r>
      <w:r>
        <w:t>TELNOR</w:t>
      </w:r>
      <w:r w:rsidRPr="002A262A">
        <w:t xml:space="preserve"> Y EL CONCESIONARIO SOLICITANTE</w:t>
      </w:r>
      <w:r w:rsidRPr="00975DF2">
        <w:t xml:space="preserve"> […]</w:t>
      </w:r>
    </w:p>
    <w:p w:rsidR="007C4016" w:rsidRDefault="007C4016" w:rsidP="007C4016">
      <w:pPr>
        <w:pStyle w:val="CondicionesFinales"/>
        <w:spacing w:before="240" w:after="0"/>
        <w:rPr>
          <w:b/>
          <w:sz w:val="24"/>
          <w:szCs w:val="24"/>
        </w:rPr>
      </w:pPr>
      <w:r w:rsidRPr="002A262A">
        <w:rPr>
          <w:sz w:val="24"/>
          <w:szCs w:val="24"/>
        </w:rPr>
        <w:t xml:space="preserve">7.2.1 Licencias y Permisos a cargo de </w:t>
      </w:r>
      <w:r>
        <w:rPr>
          <w:sz w:val="24"/>
          <w:szCs w:val="24"/>
        </w:rPr>
        <w:t>TELNOR</w:t>
      </w:r>
    </w:p>
    <w:p w:rsidR="007C4016" w:rsidRPr="00CF4618" w:rsidRDefault="007C4016" w:rsidP="007C4016">
      <w:pPr>
        <w:pStyle w:val="CondicionesFinales"/>
        <w:spacing w:before="240" w:after="0"/>
        <w:rPr>
          <w:sz w:val="24"/>
          <w:szCs w:val="24"/>
        </w:rPr>
      </w:pPr>
      <w:r w:rsidRPr="00CF4618">
        <w:rPr>
          <w:sz w:val="24"/>
          <w:szCs w:val="24"/>
        </w:rPr>
        <w:t>[…]</w:t>
      </w:r>
    </w:p>
    <w:p w:rsidR="007C4016" w:rsidRDefault="007C4016" w:rsidP="007C4016">
      <w:pPr>
        <w:pStyle w:val="CondicionesFinales"/>
        <w:spacing w:before="240" w:after="0"/>
        <w:rPr>
          <w:i/>
        </w:rPr>
      </w:pPr>
      <w:r w:rsidRPr="003E4222">
        <w:t xml:space="preserve">En caso de que el CONCESIONARIO SOLICITANTE haya agotado todos los recursos legales correspondientes para llevar a cabo el levantamiento de la clausura, resultante de no haber tramitado los permisos especificados por </w:t>
      </w:r>
      <w:r>
        <w:t>TELNOR</w:t>
      </w:r>
      <w:r w:rsidRPr="003E4222">
        <w:t>, sin tener éxito y por tal motivo se vean afectadas terceras personas, será obligación del CONCESIONARIO SOLICITANTE sacar en paz y a salvo a las partes afectadas, responsabilizándose de los daños y/o perjuicios ocasionados.</w:t>
      </w:r>
    </w:p>
    <w:p w:rsidR="007C4016" w:rsidRPr="00BF4959" w:rsidRDefault="007C4016" w:rsidP="007C4016">
      <w:pPr>
        <w:pStyle w:val="IFTnormal"/>
        <w:spacing w:before="240" w:after="0"/>
        <w:rPr>
          <w:b/>
        </w:rPr>
      </w:pPr>
      <w:r w:rsidRPr="00BF4959">
        <w:rPr>
          <w:b/>
        </w:rPr>
        <w:t>Consideraciones del Instituto</w:t>
      </w:r>
    </w:p>
    <w:p w:rsidR="007C4016" w:rsidRPr="001C56F3" w:rsidRDefault="007C4016" w:rsidP="007C4016">
      <w:pPr>
        <w:pStyle w:val="IFTnormal"/>
        <w:spacing w:before="240" w:after="0"/>
        <w:rPr>
          <w:b/>
        </w:rPr>
      </w:pPr>
      <w:r w:rsidRPr="001C56F3">
        <w:rPr>
          <w:b/>
        </w:rPr>
        <w:t>CASO 2</w:t>
      </w:r>
      <w:r>
        <w:rPr>
          <w:b/>
        </w:rPr>
        <w:t xml:space="preserve"> </w:t>
      </w:r>
      <w:r w:rsidRPr="002802DB">
        <w:rPr>
          <w:b/>
          <w:lang w:val="es-ES"/>
        </w:rPr>
        <w:t xml:space="preserve">Cambios que </w:t>
      </w:r>
      <w:r w:rsidRPr="002802DB">
        <w:rPr>
          <w:b/>
        </w:rPr>
        <w:t>modifican la redacción de</w:t>
      </w:r>
      <w:r>
        <w:rPr>
          <w:b/>
        </w:rPr>
        <w:t>l Convenio de</w:t>
      </w:r>
      <w:r w:rsidRPr="002802DB">
        <w:rPr>
          <w:b/>
        </w:rPr>
        <w:t xml:space="preserve"> la Propuesta de Oferta de Referencia.</w:t>
      </w:r>
    </w:p>
    <w:p w:rsidR="007C4016" w:rsidRPr="00B3104B"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SÉPTIMA </w:t>
      </w:r>
      <w:r w:rsidRPr="00337046">
        <w:t>“</w:t>
      </w:r>
      <w:r w:rsidRPr="009D2C24">
        <w:rPr>
          <w:rFonts w:eastAsiaTheme="minorHAnsi" w:cs="Arial"/>
          <w:lang w:val="es-ES"/>
        </w:rPr>
        <w:t xml:space="preserve">OBLIGACIONES A CARGO DE </w:t>
      </w:r>
      <w:r>
        <w:rPr>
          <w:rFonts w:eastAsiaTheme="minorHAnsi" w:cs="Arial"/>
          <w:lang w:val="es-ES"/>
        </w:rPr>
        <w:t>TELNOR</w:t>
      </w:r>
      <w:r w:rsidRPr="009D2C24">
        <w:rPr>
          <w:rFonts w:eastAsiaTheme="minorHAnsi" w:cs="Arial"/>
          <w:lang w:val="es-ES"/>
        </w:rPr>
        <w:t xml:space="preserve"> Y EL CONCESIONARIO SOLICITANTE</w:t>
      </w:r>
      <w:r w:rsidRPr="00337046">
        <w:t>”</w:t>
      </w:r>
      <w:r>
        <w:rPr>
          <w:lang w:val="es-ES"/>
        </w:rPr>
        <w:t xml:space="preserve">, en el inciso 7.3 “Licencias y Permisos a cargo de del CONCESIONARIO SOLICITANTE”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eliminó la línea </w:t>
      </w:r>
      <w:r w:rsidRPr="00154EB9">
        <w:rPr>
          <w:rFonts w:eastAsiaTheme="minorHAnsi" w:cs="Arial"/>
          <w:i/>
          <w:lang w:val="es-ES"/>
        </w:rPr>
        <w:t xml:space="preserve">“de acuerdo con el listado de permisos adicionales provisto por </w:t>
      </w:r>
      <w:r>
        <w:rPr>
          <w:rFonts w:eastAsiaTheme="minorHAnsi" w:cs="Arial"/>
          <w:i/>
          <w:lang w:val="es-ES"/>
        </w:rPr>
        <w:t>TELNOR</w:t>
      </w:r>
      <w:r w:rsidRPr="00154EB9">
        <w:rPr>
          <w:rFonts w:eastAsiaTheme="minorHAnsi" w:cs="Arial"/>
          <w:i/>
          <w:lang w:val="es-ES"/>
        </w:rPr>
        <w:t>”</w:t>
      </w:r>
      <w:r>
        <w:rPr>
          <w:rFonts w:eastAsiaTheme="minorHAnsi" w:cs="Arial"/>
          <w:lang w:val="es-ES"/>
        </w:rPr>
        <w:t xml:space="preserve"> incluida en dos párrafos de la redacción del Convenio de la Oferta de Referencia Vigente.</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Default="007C4016" w:rsidP="007C4016">
      <w:pPr>
        <w:pStyle w:val="IFTnormal"/>
        <w:spacing w:before="240" w:after="0"/>
      </w:pPr>
      <w:r w:rsidRPr="00910E6B">
        <w:t xml:space="preserve">Del análisis realizado a la Cláusula SÉPTIMA de la Propuesta de Convenio de la Oferta de Referencia, se desprende que </w:t>
      </w:r>
      <w:r>
        <w:t>la eliminación realizada podría representar</w:t>
      </w:r>
      <w:r w:rsidRPr="00910E6B">
        <w:t xml:space="preserve"> una barrera </w:t>
      </w:r>
      <w:r>
        <w:t xml:space="preserve">a la entrada </w:t>
      </w:r>
      <w:r w:rsidRPr="00910E6B">
        <w:t xml:space="preserve">al </w:t>
      </w:r>
      <w:r>
        <w:t>CS</w:t>
      </w:r>
      <w:r w:rsidRPr="00910E6B">
        <w:t xml:space="preserve">, </w:t>
      </w:r>
      <w:r>
        <w:t>ya que se deben conocer los tipos de permiso que se necesitan para los servicios requeridos, y así evitar incidentes en los sitios.</w:t>
      </w:r>
    </w:p>
    <w:p w:rsidR="007C4016" w:rsidRDefault="007C4016" w:rsidP="007C4016">
      <w:pPr>
        <w:pStyle w:val="IFTnormal"/>
        <w:spacing w:before="240" w:after="0"/>
        <w:rPr>
          <w:sz w:val="24"/>
          <w:szCs w:val="24"/>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w:t>
      </w:r>
      <w:r w:rsidRPr="0043542A">
        <w:rPr>
          <w:lang w:val="es-ES"/>
        </w:rPr>
        <w:t xml:space="preserve">SÉPTIMA </w:t>
      </w:r>
      <w:r>
        <w:rPr>
          <w:lang w:val="es-ES"/>
        </w:rPr>
        <w:t>“</w:t>
      </w:r>
      <w:r w:rsidRPr="0043542A">
        <w:rPr>
          <w:lang w:val="es-ES"/>
        </w:rPr>
        <w:t xml:space="preserve">OBLIGACIONES A CARGO DE </w:t>
      </w:r>
      <w:r>
        <w:rPr>
          <w:lang w:val="es-ES"/>
        </w:rPr>
        <w:t>TELNOR</w:t>
      </w:r>
      <w:r w:rsidRPr="0043542A">
        <w:rPr>
          <w:lang w:val="es-ES"/>
        </w:rPr>
        <w:t xml:space="preserve"> Y EL CONCESIONARIO SOLICITANTE</w:t>
      </w:r>
      <w:r>
        <w:rPr>
          <w:lang w:val="es-ES"/>
        </w:rPr>
        <w:t>”</w:t>
      </w:r>
      <w:r w:rsidRPr="0043542A">
        <w:rPr>
          <w:lang w:val="es-ES"/>
        </w:rPr>
        <w:t xml:space="preserve"> </w:t>
      </w:r>
      <w:r>
        <w:rPr>
          <w:lang w:val="es-ES"/>
        </w:rPr>
        <w:lastRenderedPageBreak/>
        <w:t xml:space="preserve">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7C4016" w:rsidRDefault="007C4016" w:rsidP="007C4016">
      <w:pPr>
        <w:pStyle w:val="IFTnormal"/>
        <w:spacing w:before="240" w:after="0"/>
        <w:rPr>
          <w:b/>
        </w:rPr>
      </w:pPr>
      <w:r w:rsidRPr="00D138E3">
        <w:rPr>
          <w:b/>
        </w:rPr>
        <w:t>Redacción definitiva</w:t>
      </w:r>
    </w:p>
    <w:p w:rsidR="007C4016" w:rsidRDefault="007C4016" w:rsidP="007C4016">
      <w:pPr>
        <w:pStyle w:val="CondicionesFinales"/>
        <w:spacing w:before="240" w:after="0"/>
      </w:pPr>
      <w:r w:rsidRPr="002A262A">
        <w:t xml:space="preserve">SÉPTIMA. OBLIGACIONES A CARGO DE </w:t>
      </w:r>
      <w:r>
        <w:t>TELNOR</w:t>
      </w:r>
      <w:r w:rsidRPr="002A262A">
        <w:t xml:space="preserve"> Y EL CONCESIONARIO SOLICITANTE</w:t>
      </w:r>
      <w:r w:rsidRPr="00975DF2">
        <w:t xml:space="preserve"> </w:t>
      </w:r>
    </w:p>
    <w:p w:rsidR="007C4016" w:rsidRPr="00975DF2" w:rsidRDefault="007C4016" w:rsidP="007C4016">
      <w:pPr>
        <w:pStyle w:val="CondicionesFinales"/>
        <w:spacing w:before="240" w:after="0"/>
      </w:pPr>
      <w:r w:rsidRPr="00975DF2">
        <w:t>[…]</w:t>
      </w:r>
    </w:p>
    <w:p w:rsidR="007C4016" w:rsidRPr="00C922F3" w:rsidRDefault="007C4016" w:rsidP="007C4016">
      <w:pPr>
        <w:pStyle w:val="CondicionesFinales"/>
        <w:spacing w:before="240" w:after="0"/>
        <w:rPr>
          <w:b/>
        </w:rPr>
      </w:pPr>
      <w:r w:rsidRPr="00C922F3">
        <w:t xml:space="preserve">7.3. </w:t>
      </w:r>
      <w:r w:rsidRPr="00C922F3">
        <w:tab/>
        <w:t>Licencias y Permisos a cargo del CONCESIONARIO SOLICITANTE</w:t>
      </w:r>
    </w:p>
    <w:p w:rsidR="007C4016" w:rsidRPr="003E4222" w:rsidRDefault="007C4016" w:rsidP="007C4016">
      <w:pPr>
        <w:pStyle w:val="CondicionesFinales"/>
        <w:spacing w:before="240" w:after="0"/>
        <w:rPr>
          <w:i/>
        </w:rPr>
      </w:pPr>
      <w:r w:rsidRPr="003E4222">
        <w:t>El CONCESIONARIO SOLICITANTE será responsable de obtener y mantener vigentes los permisos, licencias, autorizaciones o cualquier otro trámite o procedimiento federal, estatal o municipal, al que se encuentre obligado de acuerdo con el listado de permisos adi</w:t>
      </w:r>
      <w:r>
        <w:t>cionales provisto por TELNOR, en relación a</w:t>
      </w:r>
      <w:r w:rsidRPr="003E4222">
        <w:t xml:space="preserve"> su cable, equipo o cualquier elemento que haya sido detallado en el anteproyecto presentado a </w:t>
      </w:r>
      <w:r>
        <w:t>TELNOR</w:t>
      </w:r>
      <w:r w:rsidRPr="003E4222">
        <w:t xml:space="preserve"> y aprobado por ésta en el Análisis de Factibilidad correspondiente, instalados en la Infraestructura Pasiva o por cualquier otra causa que le sea imputable y que se derive del presente CONVENIO y, en su caso, contar con copia de los mismos, los cuales estarán a disposición de </w:t>
      </w:r>
      <w:r>
        <w:t>TELNOR</w:t>
      </w:r>
      <w:r w:rsidRPr="003E4222">
        <w:t>, previo requerimiento por escrito.</w:t>
      </w:r>
    </w:p>
    <w:p w:rsidR="007C4016" w:rsidRPr="003E4222" w:rsidRDefault="007C4016" w:rsidP="007C4016">
      <w:pPr>
        <w:pStyle w:val="CondicionesFinales"/>
        <w:spacing w:before="240" w:after="0"/>
        <w:rPr>
          <w:i/>
        </w:rPr>
      </w:pPr>
      <w:r w:rsidRPr="003E4222">
        <w:t xml:space="preserve">Correrán por cuenta y cargo exclusivo del CONCESIONARIO SOLICITANTE, los gastos, derechos, impuestos o cualquier otra contribución o erogación necesaria para la tramitación y obtención de las licencias, permisos y autorizaciones necesarias, de acuerdo con el listado de permisos adicionales provisto por </w:t>
      </w:r>
      <w:r>
        <w:t>TELNOR</w:t>
      </w:r>
      <w:r w:rsidRPr="003E4222">
        <w:t xml:space="preserve">, para la instalación y operación del cable, equipo o cualquier elemento que haya sido detallado en el anteproyecto presentado a </w:t>
      </w:r>
      <w:r>
        <w:t>TELNOR</w:t>
      </w:r>
      <w:r w:rsidRPr="003E4222">
        <w:t xml:space="preserve"> y aprobado por ésta en el Análisis de Factibilidad Técnica correspondiente propiedad del CONCESIONARIO SOLICITANTE que se instale o se coloque en la Infraestructura Pasiva, así como el pago de la totalidad de los derechos, cargas y demás pagos requeridos por las autoridades competentes para la emisión y otorgamiento de dichas licencias, permisos y autorizaciones.</w:t>
      </w:r>
    </w:p>
    <w:p w:rsidR="007C4016" w:rsidRPr="00BF4959" w:rsidRDefault="007C4016" w:rsidP="007C4016">
      <w:pPr>
        <w:pStyle w:val="IFTnormal"/>
        <w:spacing w:before="240" w:after="0"/>
        <w:rPr>
          <w:b/>
        </w:rPr>
      </w:pPr>
      <w:r w:rsidRPr="00BF4959">
        <w:rPr>
          <w:b/>
        </w:rPr>
        <w:t>Consideraciones del Instituto</w:t>
      </w:r>
    </w:p>
    <w:p w:rsidR="007C4016" w:rsidRPr="00B778D8" w:rsidRDefault="007C4016" w:rsidP="007C4016">
      <w:pPr>
        <w:pStyle w:val="IFTnormal"/>
        <w:spacing w:before="240" w:after="0"/>
        <w:rPr>
          <w:b/>
          <w:lang w:val="es-ES"/>
        </w:rPr>
      </w:pPr>
      <w:r w:rsidRPr="001C56F3">
        <w:rPr>
          <w:b/>
        </w:rPr>
        <w:lastRenderedPageBreak/>
        <w:t>CASO 1</w:t>
      </w:r>
      <w:r>
        <w:rPr>
          <w:b/>
        </w:rPr>
        <w:t xml:space="preserve">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Pr="00910E6B" w:rsidRDefault="007C4016" w:rsidP="007C4016">
      <w:pPr>
        <w:pStyle w:val="IFTnormal"/>
        <w:spacing w:before="240" w:after="0"/>
        <w:rPr>
          <w:lang w:val="es-ES"/>
        </w:rPr>
      </w:pPr>
      <w:r w:rsidRPr="00F0621F">
        <w:rPr>
          <w:lang w:val="es-ES"/>
        </w:rPr>
        <w:t xml:space="preserve">Dentro de </w:t>
      </w:r>
      <w:r>
        <w:rPr>
          <w:lang w:val="es-ES"/>
        </w:rPr>
        <w:t xml:space="preserve">la Cláusula SÉPTIMA </w:t>
      </w:r>
      <w:r w:rsidRPr="00337046">
        <w:t>“</w:t>
      </w:r>
      <w:r w:rsidRPr="00910E6B">
        <w:rPr>
          <w:lang w:val="es-ES_tradnl"/>
        </w:rPr>
        <w:t xml:space="preserve">OBLIGACIONES A CARGO DE </w:t>
      </w:r>
      <w:r>
        <w:t>TELNOR</w:t>
      </w:r>
      <w:r w:rsidRPr="00910E6B">
        <w:t xml:space="preserve"> Y EL CONCESIONARIO SOLICITANTE</w:t>
      </w:r>
      <w:r w:rsidRPr="00337046">
        <w:t>”</w:t>
      </w:r>
      <w:r>
        <w:rPr>
          <w:lang w:val="es-ES"/>
        </w:rPr>
        <w:t xml:space="preserve">, 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 xml:space="preserve">añadió un inciso 7.6 </w:t>
      </w:r>
      <w:r>
        <w:rPr>
          <w:rFonts w:eastAsiaTheme="minorHAnsi" w:cs="Arial"/>
          <w:lang w:val="es-ES"/>
        </w:rPr>
        <w:t>quedando de la siguiente manera:</w:t>
      </w:r>
    </w:p>
    <w:p w:rsidR="007C4016" w:rsidRDefault="007C4016" w:rsidP="007C4016">
      <w:pPr>
        <w:pStyle w:val="Citaift0"/>
        <w:spacing w:before="240" w:after="0"/>
        <w:rPr>
          <w:lang w:val="es-ES_tradnl"/>
        </w:rPr>
      </w:pPr>
      <w:r w:rsidRPr="002A262A">
        <w:rPr>
          <w:lang w:val="es-ES_tradnl"/>
        </w:rPr>
        <w:t xml:space="preserve">SÉPTIMA. OBLIGACIONES A CARGO DE </w:t>
      </w:r>
      <w:r>
        <w:t>TELNOR</w:t>
      </w:r>
      <w:r w:rsidRPr="002A262A">
        <w:t xml:space="preserve"> Y EL CONCESIONARIO SOLICITANTE</w:t>
      </w:r>
      <w:r w:rsidRPr="00975DF2">
        <w:rPr>
          <w:lang w:val="es-ES_tradnl"/>
        </w:rPr>
        <w:t xml:space="preserve"> </w:t>
      </w:r>
    </w:p>
    <w:p w:rsidR="007C4016" w:rsidRPr="00B04E7E" w:rsidRDefault="007C4016" w:rsidP="007C4016">
      <w:pPr>
        <w:pStyle w:val="Citaift0"/>
        <w:spacing w:before="240" w:after="0"/>
      </w:pPr>
      <w:r w:rsidRPr="00B04E7E">
        <w:t>[…]</w:t>
      </w:r>
    </w:p>
    <w:p w:rsidR="007C4016" w:rsidRDefault="007C4016" w:rsidP="007C4016">
      <w:pPr>
        <w:pStyle w:val="Citaift0"/>
        <w:spacing w:before="240" w:after="0"/>
      </w:pPr>
      <w:r>
        <w:rPr>
          <w:lang w:val="es-ES"/>
        </w:rPr>
        <w:t xml:space="preserve"> </w:t>
      </w:r>
      <w:r w:rsidRPr="008321DA">
        <w:rPr>
          <w:rFonts w:ascii="Calibri" w:hAnsi="Calibri"/>
          <w:lang w:val="es-ES_tradnl"/>
        </w:rPr>
        <w:t>7.</w:t>
      </w:r>
      <w:r>
        <w:rPr>
          <w:rFonts w:ascii="Calibri" w:hAnsi="Calibri"/>
          <w:lang w:val="es-ES_tradnl"/>
        </w:rPr>
        <w:t>6</w:t>
      </w:r>
      <w:r w:rsidRPr="008321DA">
        <w:t xml:space="preserve"> </w:t>
      </w:r>
      <w:r w:rsidRPr="00DE74D9">
        <w:t>El CONCESIONARIO SOLICITANTE tendrá las siguientes obligaciones, además de las establecidas en otras cláusulas del presente CONVENIO:</w:t>
      </w:r>
    </w:p>
    <w:p w:rsidR="007C4016" w:rsidRDefault="007C4016" w:rsidP="007C4016">
      <w:pPr>
        <w:pStyle w:val="Citaift0"/>
        <w:spacing w:before="240" w:after="0"/>
        <w:rPr>
          <w:lang w:val="es-ES_tradnl"/>
        </w:rPr>
      </w:pPr>
      <w:r w:rsidRPr="00DE74D9">
        <w:rPr>
          <w:lang w:val="es-ES_tradnl"/>
        </w:rPr>
        <w:t>El CONCESIONARIO SOLICITANTE será el único responsable y deberá obtener y mantener vigentes los títulos de concesión, permisos</w:t>
      </w:r>
      <w:r w:rsidRPr="008321DA">
        <w:rPr>
          <w:lang w:val="es-ES_tradnl"/>
        </w:rPr>
        <w:t xml:space="preserve">, licencias, autorizaciones o cualquier otro trámite o procedimiento federal, estatal o municipal, al que se encuentre obligado en relación con el acceso a los Servicios de la Oferta o por cualquier otra causa que se derive de la Oferta de Referencia, los cuales estarán a disposición de </w:t>
      </w:r>
      <w:r>
        <w:rPr>
          <w:lang w:val="es-ES_tradnl"/>
        </w:rPr>
        <w:t>TELNOR</w:t>
      </w:r>
      <w:r w:rsidRPr="008321DA">
        <w:rPr>
          <w:lang w:val="es-ES_tradnl"/>
        </w:rPr>
        <w:t>, previo requerimiento por escrito.</w:t>
      </w:r>
    </w:p>
    <w:p w:rsidR="007C4016" w:rsidRDefault="007C4016" w:rsidP="007C4016">
      <w:pPr>
        <w:pStyle w:val="CitaIFT"/>
        <w:numPr>
          <w:ilvl w:val="0"/>
          <w:numId w:val="212"/>
        </w:numPr>
        <w:spacing w:before="240" w:after="0"/>
        <w:rPr>
          <w:lang w:val="es-ES_tradnl"/>
        </w:rPr>
      </w:pPr>
      <w:r w:rsidRPr="00B04E7E">
        <w:rPr>
          <w:lang w:val="es-ES_tradnl"/>
        </w:rPr>
        <w:t xml:space="preserve">Responsabilizarse frente a </w:t>
      </w:r>
      <w:r>
        <w:rPr>
          <w:lang w:val="es-ES_tradnl"/>
        </w:rPr>
        <w:t>TELNOR</w:t>
      </w:r>
      <w:r w:rsidRPr="00B04E7E">
        <w:rPr>
          <w:lang w:val="es-ES_tradnl"/>
        </w:rPr>
        <w:t xml:space="preserve"> de los daños y perjuicios que le causare por el incumplimiento de cualquiera de las obligaciones a su cargo.</w:t>
      </w:r>
    </w:p>
    <w:p w:rsidR="007C4016" w:rsidRDefault="007C4016" w:rsidP="007C4016">
      <w:pPr>
        <w:pStyle w:val="CitaIFT"/>
        <w:numPr>
          <w:ilvl w:val="0"/>
          <w:numId w:val="212"/>
        </w:numPr>
        <w:spacing w:before="240" w:after="0"/>
        <w:rPr>
          <w:lang w:val="es-ES_tradnl"/>
        </w:rPr>
      </w:pPr>
      <w:r w:rsidRPr="00B04E7E">
        <w:t xml:space="preserve">Responder cualquier queja, demanda, juicio o controversia que inicie cualquier persona con motivo del acceso a los Servicios de la Oferta, ya sea que la presente en contra de </w:t>
      </w:r>
      <w:r>
        <w:t>TELNOR</w:t>
      </w:r>
      <w:r w:rsidRPr="00B04E7E">
        <w:t xml:space="preserve"> o del CONCESIONARIO SOLICITANTE, por lo que este último se obliga, sin límite alguno, a sacar en paz y a salvo y, en su caso, a indemnizar a </w:t>
      </w:r>
      <w:r>
        <w:t>TELNOR</w:t>
      </w:r>
      <w:r w:rsidRPr="00B04E7E">
        <w:t xml:space="preserve"> de cualquier reclamación, demanda o querella.</w:t>
      </w:r>
    </w:p>
    <w:p w:rsidR="007C4016" w:rsidRDefault="007C4016" w:rsidP="007C4016">
      <w:pPr>
        <w:pStyle w:val="CitaIFT"/>
        <w:numPr>
          <w:ilvl w:val="0"/>
          <w:numId w:val="212"/>
        </w:numPr>
        <w:spacing w:before="240" w:after="0"/>
        <w:rPr>
          <w:lang w:val="es-ES_tradnl"/>
        </w:rPr>
      </w:pPr>
      <w:r w:rsidRPr="00B04E7E">
        <w:rPr>
          <w:lang w:val="es-ES_tradnl"/>
        </w:rPr>
        <w:t xml:space="preserve">Abstenerse de utilizar los bienes y Servicios establecidos en la Oferta de Referencia, en forma distinta a las previstas en ésta. </w:t>
      </w:r>
    </w:p>
    <w:p w:rsidR="007C4016" w:rsidRDefault="007C4016" w:rsidP="007C4016">
      <w:pPr>
        <w:pStyle w:val="CitaIFT"/>
        <w:numPr>
          <w:ilvl w:val="0"/>
          <w:numId w:val="212"/>
        </w:numPr>
        <w:spacing w:before="240" w:after="0"/>
        <w:rPr>
          <w:lang w:val="es-ES_tradnl"/>
        </w:rPr>
      </w:pPr>
      <w:r w:rsidRPr="00B04E7E">
        <w:rPr>
          <w:lang w:val="es-ES_tradnl"/>
        </w:rPr>
        <w:t xml:space="preserve">No realizar actividad alguna tendiente a desacreditar o afectar de cualquier manera adversa la reputación, bienes, servicios, marcas, patentes, derechos de autor y cualquier otro derecho de </w:t>
      </w:r>
      <w:r>
        <w:rPr>
          <w:lang w:val="es-ES_tradnl"/>
        </w:rPr>
        <w:t>TELNOR</w:t>
      </w:r>
      <w:r w:rsidRPr="00B04E7E">
        <w:rPr>
          <w:lang w:val="es-ES_tradnl"/>
        </w:rPr>
        <w:t xml:space="preserve">, y sus filiales. </w:t>
      </w:r>
    </w:p>
    <w:p w:rsidR="007C4016" w:rsidRDefault="007C4016" w:rsidP="007C4016">
      <w:pPr>
        <w:pStyle w:val="CitaIFT"/>
        <w:numPr>
          <w:ilvl w:val="0"/>
          <w:numId w:val="212"/>
        </w:numPr>
        <w:spacing w:before="240" w:after="0"/>
        <w:rPr>
          <w:lang w:val="es-ES_tradnl"/>
        </w:rPr>
      </w:pPr>
      <w:r w:rsidRPr="00B04E7E">
        <w:rPr>
          <w:lang w:val="es-ES_tradnl"/>
        </w:rPr>
        <w:t xml:space="preserve">Abstenerse de realizar publicidad engañosa que haga mención directa o indirecta sobre </w:t>
      </w:r>
      <w:r>
        <w:rPr>
          <w:lang w:val="es-ES_tradnl"/>
        </w:rPr>
        <w:t>TELNOR</w:t>
      </w:r>
      <w:r w:rsidRPr="00B04E7E">
        <w:rPr>
          <w:lang w:val="es-ES_tradnl"/>
        </w:rPr>
        <w:t xml:space="preserve"> y los servicios y productos que presta </w:t>
      </w:r>
      <w:r>
        <w:rPr>
          <w:lang w:val="es-ES_tradnl"/>
        </w:rPr>
        <w:t>TELNOR</w:t>
      </w:r>
      <w:r w:rsidRPr="00B04E7E">
        <w:rPr>
          <w:lang w:val="es-ES_tradnl"/>
        </w:rPr>
        <w:t xml:space="preserve"> a sus usuarios finales.</w:t>
      </w:r>
    </w:p>
    <w:p w:rsidR="007C4016" w:rsidRDefault="007C4016" w:rsidP="007C4016">
      <w:pPr>
        <w:pStyle w:val="CitaIFT"/>
        <w:numPr>
          <w:ilvl w:val="0"/>
          <w:numId w:val="212"/>
        </w:numPr>
        <w:spacing w:before="240" w:after="0"/>
        <w:rPr>
          <w:lang w:val="es-ES_tradnl"/>
        </w:rPr>
      </w:pPr>
      <w:r w:rsidRPr="00B04E7E">
        <w:rPr>
          <w:lang w:val="es-ES_tradnl"/>
        </w:rPr>
        <w:t xml:space="preserve">El CONCESIONARIO SOLICITANTE implementará todos los mecanismos que permitan la detección e identificación de cualquier uso indebido de los Servicios de la Oferta por parte de sus usuarios finales, empleados, contratistas o subcontratistas. La implementación de tales mecanismos no exime al CONCESIONARIO SOLICITANTE de las obligaciones de responder por los daños y perjuicios ocasionados por esta acción, conforme a lo previsto en el presente CONVENIO, ni de las sanciones a las que pudiese haberse hecho acreedor, conforme a las disposiciones legales aplicables. </w:t>
      </w:r>
    </w:p>
    <w:p w:rsidR="007C4016" w:rsidRPr="00B04E7E" w:rsidRDefault="007C4016" w:rsidP="007C4016">
      <w:pPr>
        <w:pStyle w:val="CitaIFT"/>
        <w:spacing w:before="240" w:after="0"/>
        <w:ind w:left="720"/>
        <w:rPr>
          <w:lang w:val="es-ES_tradnl"/>
        </w:rPr>
      </w:pPr>
      <w:r w:rsidRPr="00B04E7E">
        <w:rPr>
          <w:lang w:val="es-ES_tradnl"/>
        </w:rPr>
        <w:t xml:space="preserve">En caso que el uso indebido de los Servicios de la Oferta ponga en peligro la continuidad de la prestación de los mismos, genere cualquier afectación ya sea técnica, económica o cualquier otra que se llegare a detectar, </w:t>
      </w:r>
      <w:r>
        <w:rPr>
          <w:lang w:val="es-ES_tradnl"/>
        </w:rPr>
        <w:t>TELNOR</w:t>
      </w:r>
      <w:r w:rsidRPr="00B04E7E">
        <w:rPr>
          <w:lang w:val="es-ES_tradnl"/>
        </w:rPr>
        <w:t xml:space="preserve"> previa </w:t>
      </w:r>
      <w:r w:rsidRPr="00B04E7E">
        <w:rPr>
          <w:lang w:val="es-ES_tradnl"/>
        </w:rPr>
        <w:lastRenderedPageBreak/>
        <w:t>notificación por escrito al Instituto y al CONCESIONARIO SOLICITANTE, se reserva el derecho de suspender el Servicio de la Oferta al CONCESIONARIO SOLICITANTE, en tanto sea resuelta la causa de la afectación.</w:t>
      </w:r>
      <w:r>
        <w:rPr>
          <w:lang w:val="es-ES_tradnl"/>
        </w:rPr>
        <w:t>”</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Pr="005F76BD" w:rsidRDefault="007C4016" w:rsidP="007C4016">
      <w:pPr>
        <w:pStyle w:val="IFTnormal"/>
        <w:spacing w:before="240" w:after="0"/>
      </w:pPr>
      <w:r w:rsidRPr="005F76BD">
        <w:t xml:space="preserve">Del análisis realizado a la Cláusula SÉPTIMA de la Propuesta de Convenio de la Oferta de Referencia, se advierte que la adición que </w:t>
      </w:r>
      <w:r>
        <w:t xml:space="preserve">el AEP </w:t>
      </w:r>
      <w:r w:rsidRPr="005F76BD">
        <w:t>realiza no resulta procedente, en virtud de que dichas fracciones ya se encuentran previstas en el cuerpo del Convenio que</w:t>
      </w:r>
      <w:r>
        <w:t xml:space="preserve"> de forma específica en las cláusulas de “Terminación Anticipada” Rescisión del Convenio” y en la propia cláusula de </w:t>
      </w:r>
      <w:r w:rsidRPr="00337046">
        <w:t>“</w:t>
      </w:r>
      <w:r>
        <w:rPr>
          <w:lang w:val="es-ES_tradnl"/>
        </w:rPr>
        <w:t>O</w:t>
      </w:r>
      <w:r w:rsidRPr="00910E6B">
        <w:rPr>
          <w:lang w:val="es-ES_tradnl"/>
        </w:rPr>
        <w:t xml:space="preserve">bligaciones a </w:t>
      </w:r>
      <w:r>
        <w:rPr>
          <w:lang w:val="es-ES_tradnl"/>
        </w:rPr>
        <w:t>C</w:t>
      </w:r>
      <w:r w:rsidRPr="00910E6B">
        <w:rPr>
          <w:lang w:val="es-ES_tradnl"/>
        </w:rPr>
        <w:t xml:space="preserve">argo de </w:t>
      </w:r>
      <w:r>
        <w:t>Telnor y el Concesionario S</w:t>
      </w:r>
      <w:r w:rsidRPr="00910E6B">
        <w:t>olicitante</w:t>
      </w:r>
      <w:r w:rsidRPr="00337046">
        <w:t>”</w:t>
      </w:r>
      <w:r w:rsidRPr="005F76BD">
        <w:t>, por lo que su inclusión resultaría ociosa.</w:t>
      </w:r>
    </w:p>
    <w:p w:rsidR="007C4016" w:rsidRDefault="007C4016" w:rsidP="007C4016">
      <w:pPr>
        <w:pStyle w:val="IFTnormal"/>
        <w:spacing w:before="240" w:after="0"/>
        <w:rPr>
          <w:b/>
        </w:rPr>
      </w:pPr>
      <w:r w:rsidRPr="00D138E3">
        <w:rPr>
          <w:b/>
        </w:rPr>
        <w:t>Redacción definitiva</w:t>
      </w:r>
    </w:p>
    <w:p w:rsidR="007C4016" w:rsidRPr="00EF35B0" w:rsidRDefault="007C4016" w:rsidP="007C4016">
      <w:pPr>
        <w:pStyle w:val="IFTnormal"/>
        <w:spacing w:before="240" w:after="0"/>
      </w:pPr>
      <w:r w:rsidRPr="00EF35B0">
        <w:t xml:space="preserve">Derivado del análisis previo, el Instituto acuerda eliminar </w:t>
      </w:r>
      <w:r>
        <w:t>el numeral</w:t>
      </w:r>
      <w:r w:rsidRPr="00EF35B0">
        <w:t xml:space="preserve"> en comento del Modelo de Convenio.</w:t>
      </w:r>
    </w:p>
    <w:p w:rsidR="007C4016" w:rsidRPr="00BF4959" w:rsidRDefault="007C4016" w:rsidP="007C4016">
      <w:pPr>
        <w:pStyle w:val="IFTnormal"/>
        <w:spacing w:before="240" w:after="0"/>
        <w:rPr>
          <w:b/>
        </w:rPr>
      </w:pPr>
      <w:r w:rsidRPr="00BF4959">
        <w:rPr>
          <w:b/>
        </w:rPr>
        <w:t>Consideraciones del Instituto</w:t>
      </w:r>
    </w:p>
    <w:p w:rsidR="007C4016" w:rsidRPr="00B778D8" w:rsidRDefault="007C4016" w:rsidP="007C4016">
      <w:pPr>
        <w:pStyle w:val="IFTnormal"/>
        <w:spacing w:before="240" w:after="0"/>
        <w:rPr>
          <w:b/>
          <w:lang w:val="es-ES"/>
        </w:rPr>
      </w:pPr>
      <w:r w:rsidRPr="001C56F3">
        <w:rPr>
          <w:b/>
        </w:rPr>
        <w:t>CASO 1</w:t>
      </w:r>
      <w:r>
        <w:rPr>
          <w:b/>
        </w:rPr>
        <w:t xml:space="preserve">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Pr="00910E6B" w:rsidRDefault="007C4016" w:rsidP="007C4016">
      <w:pPr>
        <w:pStyle w:val="IFTnormal"/>
        <w:spacing w:before="240" w:after="0"/>
        <w:rPr>
          <w:lang w:val="es-ES"/>
        </w:rPr>
      </w:pPr>
      <w:r w:rsidRPr="00F0621F">
        <w:rPr>
          <w:lang w:val="es-ES"/>
        </w:rPr>
        <w:t xml:space="preserve">Dentro de </w:t>
      </w:r>
      <w:r>
        <w:rPr>
          <w:lang w:val="es-ES"/>
        </w:rPr>
        <w:t xml:space="preserve">la Cláusula SÉPTIMA </w:t>
      </w:r>
      <w:r w:rsidRPr="00337046">
        <w:t>“</w:t>
      </w:r>
      <w:r w:rsidRPr="00910E6B">
        <w:rPr>
          <w:lang w:val="es-ES_tradnl"/>
        </w:rPr>
        <w:t xml:space="preserve">OBLIGACIONES A CARGO DE </w:t>
      </w:r>
      <w:r>
        <w:t>TELNOR</w:t>
      </w:r>
      <w:r w:rsidRPr="00910E6B">
        <w:t xml:space="preserve"> Y EL CONCESIONARIO SOLICITANTE</w:t>
      </w:r>
      <w:r w:rsidRPr="00337046">
        <w:t>”</w:t>
      </w:r>
      <w:r>
        <w:rPr>
          <w:lang w:val="es-ES"/>
        </w:rPr>
        <w:t xml:space="preserve">, 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 xml:space="preserve">añadió un inciso 7.7 </w:t>
      </w:r>
      <w:r>
        <w:rPr>
          <w:rFonts w:eastAsiaTheme="minorHAnsi" w:cs="Arial"/>
          <w:lang w:val="es-ES"/>
        </w:rPr>
        <w:t>quedando de la siguiente manera:</w:t>
      </w:r>
    </w:p>
    <w:p w:rsidR="007C4016" w:rsidRDefault="007C4016" w:rsidP="007C4016">
      <w:pPr>
        <w:pStyle w:val="IFTnormal"/>
        <w:spacing w:before="240" w:after="0"/>
        <w:rPr>
          <w:lang w:val="es-ES_tradnl"/>
        </w:rPr>
      </w:pPr>
      <w:r w:rsidRPr="002A262A">
        <w:rPr>
          <w:b/>
          <w:lang w:val="es-ES_tradnl"/>
        </w:rPr>
        <w:t xml:space="preserve">SÉPTIMA. OBLIGACIONES A CARGO DE </w:t>
      </w:r>
      <w:r>
        <w:rPr>
          <w:b/>
        </w:rPr>
        <w:t>TELNOR</w:t>
      </w:r>
      <w:r w:rsidRPr="002A262A">
        <w:rPr>
          <w:b/>
        </w:rPr>
        <w:t xml:space="preserve"> Y EL CONCESIONARIO SOLICITANTE</w:t>
      </w:r>
      <w:r w:rsidRPr="00975DF2">
        <w:rPr>
          <w:lang w:val="es-ES_tradnl"/>
        </w:rPr>
        <w:t xml:space="preserve"> </w:t>
      </w:r>
    </w:p>
    <w:p w:rsidR="007C4016" w:rsidRDefault="007C4016" w:rsidP="007C4016">
      <w:pPr>
        <w:pStyle w:val="CitaIFT"/>
        <w:spacing w:before="240" w:after="0"/>
        <w:rPr>
          <w:lang w:val="es-ES_tradnl"/>
        </w:rPr>
      </w:pPr>
      <w:r>
        <w:rPr>
          <w:lang w:val="es-ES_tradnl"/>
        </w:rPr>
        <w:t>“7</w:t>
      </w:r>
      <w:r w:rsidRPr="00B33E81">
        <w:rPr>
          <w:b/>
          <w:lang w:val="es-ES_tradnl"/>
        </w:rPr>
        <w:t>.7 Interferencia de frecuencias de radio</w:t>
      </w:r>
    </w:p>
    <w:p w:rsidR="007C4016" w:rsidRPr="00B33E81" w:rsidRDefault="007C4016" w:rsidP="007C4016">
      <w:pPr>
        <w:pStyle w:val="CitaIFT"/>
        <w:spacing w:before="240" w:after="0"/>
        <w:rPr>
          <w:b/>
          <w:u w:val="single"/>
          <w:lang w:val="es-ES_tradnl"/>
        </w:rPr>
      </w:pPr>
      <w:r w:rsidRPr="00B33E81">
        <w:rPr>
          <w:b/>
          <w:lang w:val="es-ES_tradnl"/>
        </w:rPr>
        <w:t>Interferencia generada por el equipo del CONCESIONARIO SOLICITANTE</w:t>
      </w:r>
    </w:p>
    <w:p w:rsidR="007C4016" w:rsidRDefault="007C4016" w:rsidP="007C4016">
      <w:pPr>
        <w:pStyle w:val="CitaIFT"/>
        <w:spacing w:before="240" w:after="0"/>
        <w:rPr>
          <w:lang w:val="es-ES_tradnl"/>
        </w:rPr>
      </w:pPr>
      <w:r w:rsidRPr="00202C12">
        <w:rPr>
          <w:lang w:val="es-ES_tradnl"/>
        </w:rPr>
        <w:t xml:space="preserve">El </w:t>
      </w:r>
      <w:r>
        <w:rPr>
          <w:lang w:val="es-ES_tradnl"/>
        </w:rPr>
        <w:t>CONCESIONARIO SOLICITANTE</w:t>
      </w:r>
      <w:r w:rsidRPr="00202C12">
        <w:rPr>
          <w:lang w:val="es-ES_tradnl"/>
        </w:rPr>
        <w:t xml:space="preserve"> acepta instalar y operar exclusivamente equipos que no ocasionen interferencia a los </w:t>
      </w:r>
      <w:r>
        <w:rPr>
          <w:lang w:val="es-ES_tradnl"/>
        </w:rPr>
        <w:t>equipos instalados en la infraestructura pasiva de TELNOR con anterioridad a la instalación del equipo del CONCESIONARIO SOLICITANTE (“Equipo Preexistente”)</w:t>
      </w:r>
      <w:r w:rsidRPr="00202C12">
        <w:rPr>
          <w:lang w:val="es-ES_tradnl"/>
        </w:rPr>
        <w:t>.</w:t>
      </w:r>
    </w:p>
    <w:p w:rsidR="007C4016" w:rsidRDefault="007C4016" w:rsidP="007C4016">
      <w:pPr>
        <w:pStyle w:val="CitaIFT"/>
        <w:spacing w:before="240"/>
        <w:rPr>
          <w:lang w:val="es-ES_tradnl"/>
        </w:rPr>
      </w:pPr>
      <w:r w:rsidRPr="00202C12">
        <w:t xml:space="preserve">En caso de que el </w:t>
      </w:r>
      <w:r>
        <w:rPr>
          <w:lang w:val="es-ES_tradnl"/>
        </w:rPr>
        <w:t>equipo del CONCESIONARIO SOLICITANTE</w:t>
      </w:r>
      <w:r w:rsidRPr="00202C12">
        <w:t xml:space="preserve"> genere cualquier interferencia o que cualquier modificación o adición posterior ocasione interferencia a algún Equipo Preexistente, </w:t>
      </w:r>
      <w:r>
        <w:t>TELNOR</w:t>
      </w:r>
      <w:r w:rsidRPr="00202C12">
        <w:t xml:space="preserve"> notificará lo conducente por escrito al </w:t>
      </w:r>
      <w:r>
        <w:rPr>
          <w:lang w:val="es-ES_tradnl"/>
        </w:rPr>
        <w:t>CONCESIONARIO SOLICITANTE</w:t>
      </w:r>
      <w:r w:rsidRPr="00202C12">
        <w:t xml:space="preserve">, quien de manera inmediata tomará todas las acciones necesarias para corregir y eliminar dicha interferencia, </w:t>
      </w:r>
      <w:r w:rsidRPr="00202C12">
        <w:rPr>
          <w:lang w:val="es-ES_tradnl"/>
        </w:rPr>
        <w:t>de acuerdo a las siguientes definiciones y tiempos de restablecimiento:</w:t>
      </w:r>
    </w:p>
    <w:p w:rsidR="007C4016" w:rsidRDefault="007C4016" w:rsidP="007C4016">
      <w:pPr>
        <w:suppressAutoHyphens w:val="0"/>
        <w:spacing w:after="0" w:line="240" w:lineRule="auto"/>
        <w:contextualSpacing w:val="0"/>
        <w:jc w:val="left"/>
        <w:rPr>
          <w:rFonts w:ascii="ITC Avant Garde" w:hAnsi="ITC Avant Garde" w:cs="Arial"/>
          <w:bCs/>
          <w:i/>
          <w:color w:val="000000"/>
          <w:sz w:val="18"/>
          <w:szCs w:val="18"/>
          <w:lang w:val="es-ES_tradnl"/>
        </w:rPr>
      </w:pPr>
      <w:r>
        <w:rPr>
          <w:lang w:val="es-ES_tradnl"/>
        </w:rPr>
        <w:lastRenderedPageBreak/>
        <w:br w:type="page"/>
      </w:r>
    </w:p>
    <w:p w:rsidR="007C4016" w:rsidRPr="00202C12" w:rsidRDefault="007C4016" w:rsidP="007C4016">
      <w:pPr>
        <w:pStyle w:val="CitaIFT"/>
        <w:spacing w:before="240"/>
        <w:rPr>
          <w:lang w:val="es-ES_tradnl"/>
        </w:rPr>
      </w:pPr>
    </w:p>
    <w:tbl>
      <w:tblPr>
        <w:tblStyle w:val="Cuadrculadetablaclara1"/>
        <w:tblW w:w="0" w:type="auto"/>
        <w:jc w:val="center"/>
        <w:tblLook w:val="04A0" w:firstRow="1" w:lastRow="0" w:firstColumn="1" w:lastColumn="0" w:noHBand="0" w:noVBand="1"/>
        <w:tblCaption w:val="Tabla"/>
        <w:tblDescription w:val="Interferencia de frecuencias de radio"/>
      </w:tblPr>
      <w:tblGrid>
        <w:gridCol w:w="5280"/>
        <w:gridCol w:w="3550"/>
      </w:tblGrid>
      <w:tr w:rsidR="007C4016" w:rsidRPr="0047515E" w:rsidTr="00483567">
        <w:trPr>
          <w:tblHeader/>
          <w:jc w:val="center"/>
        </w:trPr>
        <w:tc>
          <w:tcPr>
            <w:tcW w:w="5619" w:type="dxa"/>
            <w:shd w:val="clear" w:color="auto" w:fill="D9D9D9" w:themeFill="background1" w:themeFillShade="D9"/>
          </w:tcPr>
          <w:p w:rsidR="007C4016" w:rsidRPr="00B33E81" w:rsidRDefault="007C4016" w:rsidP="005C782A">
            <w:pPr>
              <w:pStyle w:val="CitaIFT"/>
              <w:spacing w:before="240" w:after="0"/>
              <w:rPr>
                <w:b/>
                <w:lang w:val="es-ES_tradnl"/>
              </w:rPr>
            </w:pPr>
            <w:r w:rsidRPr="00B33E81">
              <w:rPr>
                <w:b/>
                <w:lang w:val="es-ES_tradnl"/>
              </w:rPr>
              <w:t>EVENTO</w:t>
            </w:r>
          </w:p>
        </w:tc>
        <w:tc>
          <w:tcPr>
            <w:tcW w:w="3101" w:type="dxa"/>
            <w:shd w:val="clear" w:color="auto" w:fill="D9D9D9" w:themeFill="background1" w:themeFillShade="D9"/>
          </w:tcPr>
          <w:p w:rsidR="007C4016" w:rsidRPr="00B33E81" w:rsidRDefault="007C4016" w:rsidP="005C782A">
            <w:pPr>
              <w:pStyle w:val="CitaIFT"/>
              <w:spacing w:before="240" w:after="0"/>
              <w:rPr>
                <w:b/>
                <w:lang w:val="es-ES_tradnl"/>
              </w:rPr>
            </w:pPr>
            <w:r w:rsidRPr="00B33E81">
              <w:rPr>
                <w:b/>
                <w:lang w:val="es-ES_tradnl"/>
              </w:rPr>
              <w:t>RESTABLECIMIENTO*</w:t>
            </w:r>
          </w:p>
        </w:tc>
      </w:tr>
      <w:tr w:rsidR="007C4016" w:rsidRPr="0047515E" w:rsidTr="00483567">
        <w:trPr>
          <w:jc w:val="center"/>
        </w:trPr>
        <w:tc>
          <w:tcPr>
            <w:tcW w:w="5619" w:type="dxa"/>
          </w:tcPr>
          <w:p w:rsidR="007C4016" w:rsidRPr="00202C12" w:rsidRDefault="007C4016" w:rsidP="005C782A">
            <w:pPr>
              <w:pStyle w:val="CitaIFT"/>
              <w:spacing w:before="240" w:after="0"/>
              <w:rPr>
                <w:lang w:val="es-ES_tradnl"/>
              </w:rPr>
            </w:pPr>
            <w:r w:rsidRPr="00202C12">
              <w:rPr>
                <w:lang w:val="es-ES_tradnl"/>
              </w:rPr>
              <w:t>Fuera de servicio total</w:t>
            </w:r>
          </w:p>
        </w:tc>
        <w:tc>
          <w:tcPr>
            <w:tcW w:w="3101" w:type="dxa"/>
          </w:tcPr>
          <w:p w:rsidR="007C4016" w:rsidRPr="00202C12" w:rsidRDefault="007C4016" w:rsidP="005C782A">
            <w:pPr>
              <w:pStyle w:val="CitaIFT"/>
              <w:spacing w:before="240" w:after="0"/>
              <w:rPr>
                <w:lang w:val="es-ES_tradnl"/>
              </w:rPr>
            </w:pPr>
            <w:r w:rsidRPr="00202C12">
              <w:rPr>
                <w:lang w:val="es-ES_tradnl"/>
              </w:rPr>
              <w:t>4 horas</w:t>
            </w:r>
          </w:p>
        </w:tc>
      </w:tr>
      <w:tr w:rsidR="007C4016" w:rsidRPr="0047515E" w:rsidTr="00483567">
        <w:trPr>
          <w:jc w:val="center"/>
        </w:trPr>
        <w:tc>
          <w:tcPr>
            <w:tcW w:w="5619" w:type="dxa"/>
          </w:tcPr>
          <w:p w:rsidR="007C4016" w:rsidRPr="00202C12" w:rsidRDefault="007C4016" w:rsidP="005C782A">
            <w:pPr>
              <w:pStyle w:val="CitaIFT"/>
              <w:spacing w:before="240" w:after="0"/>
              <w:rPr>
                <w:lang w:val="es-ES_tradnl"/>
              </w:rPr>
            </w:pPr>
            <w:r w:rsidRPr="00202C12">
              <w:rPr>
                <w:lang w:val="es-ES_tradnl"/>
              </w:rPr>
              <w:t>Afectación parcial del servicio</w:t>
            </w:r>
          </w:p>
        </w:tc>
        <w:tc>
          <w:tcPr>
            <w:tcW w:w="3101" w:type="dxa"/>
          </w:tcPr>
          <w:p w:rsidR="007C4016" w:rsidRPr="00202C12" w:rsidRDefault="007C4016" w:rsidP="005C782A">
            <w:pPr>
              <w:pStyle w:val="CitaIFT"/>
              <w:spacing w:before="240" w:after="0"/>
              <w:rPr>
                <w:lang w:val="es-ES_tradnl"/>
              </w:rPr>
            </w:pPr>
            <w:r w:rsidRPr="00202C12">
              <w:rPr>
                <w:lang w:val="es-ES_tradnl"/>
              </w:rPr>
              <w:t>10 horas</w:t>
            </w:r>
          </w:p>
        </w:tc>
      </w:tr>
      <w:tr w:rsidR="007C4016" w:rsidRPr="0047515E" w:rsidTr="00483567">
        <w:trPr>
          <w:jc w:val="center"/>
        </w:trPr>
        <w:tc>
          <w:tcPr>
            <w:tcW w:w="5619" w:type="dxa"/>
          </w:tcPr>
          <w:p w:rsidR="007C4016" w:rsidRPr="00202C12" w:rsidRDefault="007C4016" w:rsidP="005C782A">
            <w:pPr>
              <w:pStyle w:val="CitaIFT"/>
              <w:spacing w:before="240" w:after="0"/>
              <w:rPr>
                <w:lang w:val="es-ES_tradnl"/>
              </w:rPr>
            </w:pPr>
            <w:r w:rsidRPr="00202C12">
              <w:rPr>
                <w:lang w:val="es-ES_tradnl"/>
              </w:rPr>
              <w:t>Degradación del servicio y/o afectación de redundancia</w:t>
            </w:r>
          </w:p>
        </w:tc>
        <w:tc>
          <w:tcPr>
            <w:tcW w:w="3101" w:type="dxa"/>
          </w:tcPr>
          <w:p w:rsidR="007C4016" w:rsidRPr="00202C12" w:rsidRDefault="007C4016" w:rsidP="005C782A">
            <w:pPr>
              <w:pStyle w:val="CitaIFT"/>
              <w:spacing w:before="240" w:after="0"/>
              <w:rPr>
                <w:lang w:val="es-ES_tradnl"/>
              </w:rPr>
            </w:pPr>
            <w:r w:rsidRPr="00202C12">
              <w:rPr>
                <w:lang w:val="es-ES_tradnl"/>
              </w:rPr>
              <w:t>36 horas</w:t>
            </w:r>
          </w:p>
        </w:tc>
      </w:tr>
    </w:tbl>
    <w:p w:rsidR="007C4016" w:rsidRDefault="007C4016" w:rsidP="007C4016">
      <w:pPr>
        <w:pStyle w:val="CitaIFT"/>
        <w:spacing w:before="240" w:after="0"/>
        <w:rPr>
          <w:lang w:val="es-ES_tradnl"/>
        </w:rPr>
      </w:pPr>
      <w:r w:rsidRPr="00202C12">
        <w:rPr>
          <w:lang w:val="es-ES_tradnl"/>
        </w:rPr>
        <w:t>* Contadas a partir de la notificación de existencia de interferencia.</w:t>
      </w:r>
    </w:p>
    <w:p w:rsidR="007C4016" w:rsidRDefault="007C4016" w:rsidP="007C4016">
      <w:pPr>
        <w:pStyle w:val="CitaIFT"/>
        <w:spacing w:before="240" w:after="0"/>
        <w:rPr>
          <w:lang w:val="es-ES_tradnl"/>
        </w:rPr>
      </w:pPr>
      <w:r w:rsidRPr="00202C12">
        <w:rPr>
          <w:lang w:val="es-ES_tradnl"/>
        </w:rPr>
        <w:t xml:space="preserve">Si el </w:t>
      </w:r>
      <w:r>
        <w:rPr>
          <w:lang w:val="es-ES_tradnl"/>
        </w:rPr>
        <w:t>CONCESIONARIO SOLICITANTE</w:t>
      </w:r>
      <w:r w:rsidRPr="00202C12">
        <w:rPr>
          <w:lang w:val="es-ES_tradnl"/>
        </w:rPr>
        <w:t xml:space="preserve"> no elimina dicha interferencia dentro de las 36 (treinta y seis) horas siguientes al momento en que reciba de </w:t>
      </w:r>
      <w:r>
        <w:rPr>
          <w:lang w:val="es-ES_tradnl"/>
        </w:rPr>
        <w:t>TELNOR</w:t>
      </w:r>
      <w:r w:rsidRPr="00202C12">
        <w:rPr>
          <w:lang w:val="es-ES_tradnl"/>
        </w:rPr>
        <w:t xml:space="preserve"> la notificación de existencia de interferencia respectiva, el </w:t>
      </w:r>
      <w:r>
        <w:rPr>
          <w:lang w:val="es-ES_tradnl"/>
        </w:rPr>
        <w:t>CONCESIONARIO SOLICITANTE</w:t>
      </w:r>
      <w:r w:rsidRPr="00202C12">
        <w:rPr>
          <w:lang w:val="es-ES_tradnl"/>
        </w:rPr>
        <w:t xml:space="preserve"> deberá suspender la operación del equipo en cuestión hasta que dicha interferencia sea corregida y/o eliminada. Lo anterior sin perjuicio de la operación programada e intermitente, concertada con </w:t>
      </w:r>
      <w:r>
        <w:rPr>
          <w:lang w:val="es-ES_tradnl"/>
        </w:rPr>
        <w:t>TELNOR</w:t>
      </w:r>
      <w:r w:rsidRPr="00202C12">
        <w:rPr>
          <w:lang w:val="es-ES_tradnl"/>
        </w:rPr>
        <w:t xml:space="preserve"> y el resto de los concesionarios propietarios de Equipos Preexistentes, para la realización de pruebas, las que podrán efectuarse una vez que se hubiere dado mantenimiento, reparación,  modificación, reemplazo o cualquier otra actividad necesaria y tendiente a corregir la interferencia.</w:t>
      </w:r>
    </w:p>
    <w:p w:rsidR="007C4016" w:rsidRDefault="007C4016" w:rsidP="007C4016">
      <w:pPr>
        <w:pStyle w:val="CitaIFT"/>
        <w:spacing w:before="240" w:after="0"/>
      </w:pPr>
      <w:r w:rsidRPr="00202C12">
        <w:t xml:space="preserve">Si el </w:t>
      </w:r>
      <w:r>
        <w:rPr>
          <w:lang w:val="es-ES_tradnl"/>
        </w:rPr>
        <w:t>CONCESIONARIO SOLICITANTE</w:t>
      </w:r>
      <w:r w:rsidRPr="00202C12">
        <w:t xml:space="preserve"> no suspende la operación del equipo causante de la interferencia según lo indicado en el párrafo anterior, </w:t>
      </w:r>
      <w:r>
        <w:t>TELNOR</w:t>
      </w:r>
      <w:r w:rsidRPr="00202C12">
        <w:t xml:space="preserve"> quedará plenamente facultado para desconectar el citado equipo a fin de evitar que se continúe afectando al resto de los Equipos Preexistentes.</w:t>
      </w:r>
    </w:p>
    <w:p w:rsidR="007C4016" w:rsidRDefault="007C4016" w:rsidP="007C4016">
      <w:pPr>
        <w:pStyle w:val="CitaIFT"/>
        <w:spacing w:before="240" w:after="0"/>
        <w:rPr>
          <w:b/>
          <w:lang w:val="es-ES_tradnl"/>
        </w:rPr>
      </w:pPr>
      <w:r w:rsidRPr="00B33E81">
        <w:rPr>
          <w:b/>
          <w:lang w:val="es-ES_tradnl"/>
        </w:rPr>
        <w:t>Interferencia generada por Equipo Posterior</w:t>
      </w:r>
    </w:p>
    <w:p w:rsidR="007C4016" w:rsidRDefault="007C4016" w:rsidP="007C4016">
      <w:pPr>
        <w:pStyle w:val="CitaIFT"/>
        <w:spacing w:before="240" w:after="0"/>
      </w:pPr>
      <w:r>
        <w:t>TELNOR</w:t>
      </w:r>
      <w:r w:rsidRPr="00202C12">
        <w:t xml:space="preserve"> acepta y reconoce que ella y/o cualquier otro concesionario que instale, opere o modifique Equipo Posterior</w:t>
      </w:r>
      <w:r>
        <w:rPr>
          <w:rStyle w:val="Refdenotaalpie"/>
          <w:rFonts w:asciiTheme="minorHAnsi" w:hAnsiTheme="minorHAnsi"/>
        </w:rPr>
        <w:footnoteReference w:id="9"/>
      </w:r>
      <w:r w:rsidRPr="00202C12">
        <w:t xml:space="preserve">, podrá operar el mismo únicamente cuando no se cause interferencia al </w:t>
      </w:r>
      <w:r>
        <w:t>equipo del CONCESIONARIO SOLICITANTE</w:t>
      </w:r>
      <w:r w:rsidRPr="00202C12">
        <w:t>.</w:t>
      </w:r>
    </w:p>
    <w:p w:rsidR="007C4016" w:rsidRDefault="007C4016" w:rsidP="007C4016">
      <w:pPr>
        <w:pStyle w:val="CitaIFT"/>
        <w:spacing w:before="240" w:after="0"/>
      </w:pPr>
      <w:r w:rsidRPr="00202C12">
        <w:t xml:space="preserve">En caso de que el </w:t>
      </w:r>
      <w:r>
        <w:rPr>
          <w:lang w:val="es-ES_tradnl"/>
        </w:rPr>
        <w:t>CONCESIONARIO SOLICITANTE</w:t>
      </w:r>
      <w:r w:rsidRPr="00202C12">
        <w:t xml:space="preserve"> se vea afectado por interferencia producida por cualquier Equipo Posterior, </w:t>
      </w:r>
      <w:r>
        <w:t>TELNOR</w:t>
      </w:r>
      <w:r w:rsidRPr="00202C12">
        <w:t xml:space="preserve"> tomará todas las medidas necesarias (o causará que los concesionarios responsables las tomen) para corregir y eliminar la interferencia. </w:t>
      </w:r>
    </w:p>
    <w:p w:rsidR="007C4016" w:rsidRDefault="007C4016" w:rsidP="007C4016">
      <w:pPr>
        <w:pStyle w:val="CitaIFT"/>
        <w:spacing w:before="240" w:after="0"/>
        <w:rPr>
          <w:lang w:val="es-ES_tradnl"/>
        </w:rPr>
      </w:pPr>
      <w:r w:rsidRPr="00202C12">
        <w:t>Para tales efectos, resultarán aplicables los mismos plazos y el procedimiento previsto en el apartado anterior (</w:t>
      </w:r>
      <w:r w:rsidRPr="00202C12">
        <w:rPr>
          <w:lang w:val="es-ES_tradnl"/>
        </w:rPr>
        <w:t>Interferencia generada por el Equipo del CONCESIONARIO SOLICITANTE).</w:t>
      </w:r>
    </w:p>
    <w:p w:rsidR="007C4016" w:rsidRDefault="007C4016" w:rsidP="007C4016">
      <w:pPr>
        <w:pStyle w:val="CitaIFT"/>
        <w:spacing w:before="240" w:after="0"/>
      </w:pPr>
      <w:r w:rsidRPr="00202C12">
        <w:t xml:space="preserve">Si tal interferencia no es eliminada dentro de las 36 (treinta y seis) horas siguientes a la notificación de existencia de interferencia emitida por el </w:t>
      </w:r>
      <w:r>
        <w:rPr>
          <w:lang w:val="es-ES_tradnl"/>
        </w:rPr>
        <w:t>CONCESIONARIO SOLICITANTE</w:t>
      </w:r>
      <w:r w:rsidRPr="00202C12">
        <w:t xml:space="preserve">, </w:t>
      </w:r>
      <w:r>
        <w:t>TELNOR</w:t>
      </w:r>
      <w:r w:rsidRPr="00202C12">
        <w:t xml:space="preserve">, sin responsabilidad por los efectos en el servicio del </w:t>
      </w:r>
      <w:r>
        <w:rPr>
          <w:lang w:val="es-ES_tradnl"/>
        </w:rPr>
        <w:t>CONCESIONARIO SOLICITANTE</w:t>
      </w:r>
      <w:r w:rsidRPr="00202C12">
        <w:t xml:space="preserve">, suspenderá (o causará que el concesionario </w:t>
      </w:r>
      <w:r w:rsidRPr="00202C12">
        <w:lastRenderedPageBreak/>
        <w:t>responsable suspenda) la operación del equipo que genere la interferencia hasta que ésta sea corregida y/o eliminada.</w:t>
      </w:r>
    </w:p>
    <w:p w:rsidR="007C4016" w:rsidRDefault="007C4016" w:rsidP="007C4016">
      <w:pPr>
        <w:pStyle w:val="CitaIFT"/>
        <w:spacing w:before="240" w:after="0"/>
      </w:pPr>
      <w:r w:rsidRPr="00202C12">
        <w:t>En caso de que persista la interferencia y se desconozca y deba determinarse su origen, las Partes acuerdan desde ahora en designar a uno o más peritos para que realicen los estudios pertinentes para determinar el origen de la interferencia, debiendo las Partes otorgarles todas las facilidades que requieran para el desempeño de su encargo, correspondiendo a todos los concesionarios involucrados cubrir los costos razonables del estudio que se requiera.</w:t>
      </w:r>
    </w:p>
    <w:p w:rsidR="007C4016" w:rsidRDefault="007C4016" w:rsidP="007C4016">
      <w:pPr>
        <w:pStyle w:val="CitaIFT"/>
        <w:spacing w:before="240" w:after="0"/>
      </w:pPr>
      <w:r w:rsidRPr="00202C12">
        <w:t xml:space="preserve">Las disposiciones de la presente sección de ninguna manera deberán ser interpretadas o entendidas como (i) la anuencia al </w:t>
      </w:r>
      <w:r>
        <w:rPr>
          <w:lang w:val="es-ES_tradnl"/>
        </w:rPr>
        <w:t>CONCESIONARIO SOLICITANTE</w:t>
      </w:r>
      <w:r w:rsidRPr="00202C12">
        <w:t xml:space="preserve"> para transmitir en frecuencias no autorizadas o (ii) proteger al </w:t>
      </w:r>
      <w:r>
        <w:rPr>
          <w:lang w:val="es-ES_tradnl"/>
        </w:rPr>
        <w:t>CONCESIONARIO SOLICITANTE</w:t>
      </w:r>
      <w:r w:rsidRPr="00202C12">
        <w:t xml:space="preserve"> en contra de interferencias de terceros cuando el equipo ofensivo no se encuentra instalado en el Sitio.</w:t>
      </w:r>
    </w:p>
    <w:p w:rsidR="007C4016" w:rsidRDefault="007C4016" w:rsidP="007C4016">
      <w:pPr>
        <w:pStyle w:val="CitaIFT"/>
        <w:spacing w:before="240" w:after="0"/>
      </w:pPr>
      <w:r w:rsidRPr="00202C12">
        <w:t xml:space="preserve">Si cualquier interferencia no es rectificada a satisfacción razonable de </w:t>
      </w:r>
      <w:r>
        <w:t>TELNOR</w:t>
      </w:r>
      <w:r w:rsidRPr="00202C12">
        <w:t xml:space="preserve"> y/o de cualquier tercero que sufra afectación dentro de los 30 (treinta) días posteriores a la recepción de la notificación enviada por </w:t>
      </w:r>
      <w:r>
        <w:t>TELNOR</w:t>
      </w:r>
      <w:r w:rsidRPr="00202C12">
        <w:t xml:space="preserve"> al </w:t>
      </w:r>
      <w:r>
        <w:rPr>
          <w:lang w:val="es-ES_tradnl"/>
        </w:rPr>
        <w:t>CONCESIONARIO SOLICITANTE</w:t>
      </w:r>
      <w:r w:rsidRPr="00202C12">
        <w:t xml:space="preserve">, el </w:t>
      </w:r>
      <w:r>
        <w:rPr>
          <w:lang w:val="es-ES_tradnl"/>
        </w:rPr>
        <w:t>CONCESIONARIO SOLICITANTE</w:t>
      </w:r>
      <w:r w:rsidRPr="00202C12">
        <w:t xml:space="preserve"> retirará de la </w:t>
      </w:r>
      <w:r>
        <w:t>i</w:t>
      </w:r>
      <w:r w:rsidRPr="00202C12">
        <w:t xml:space="preserve">nfraestructura </w:t>
      </w:r>
      <w:r>
        <w:t>p</w:t>
      </w:r>
      <w:r w:rsidRPr="00202C12">
        <w:t xml:space="preserve">asiva el </w:t>
      </w:r>
      <w:r>
        <w:t>equipo del CONCESIONARIO SOLICITANTE</w:t>
      </w:r>
      <w:r w:rsidRPr="00202C12">
        <w:t xml:space="preserve"> que genera interferencia. Lo mismo sucederá en el caso de otros concesionarios cuyos equipos ocasionen interferencia a los equipos de </w:t>
      </w:r>
      <w:r>
        <w:t>TELNOR</w:t>
      </w:r>
      <w:r w:rsidRPr="00202C12">
        <w:t xml:space="preserve"> y/o del </w:t>
      </w:r>
      <w:r>
        <w:rPr>
          <w:lang w:val="es-ES_tradnl"/>
        </w:rPr>
        <w:t>CONCESIONARIO SOLICITANTE</w:t>
      </w:r>
      <w:r w:rsidRPr="00202C12">
        <w:t>.</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Pr="005F76BD" w:rsidRDefault="007C4016" w:rsidP="007C4016">
      <w:pPr>
        <w:pStyle w:val="IFTnormal"/>
        <w:spacing w:before="240" w:after="0"/>
      </w:pPr>
      <w:r w:rsidRPr="005F76BD">
        <w:t xml:space="preserve">Del análisis realizado a la Cláusula SÉPTIMA de la Propuesta de Convenio de la Oferta de Referencia, se advierte que la adición que </w:t>
      </w:r>
      <w:r>
        <w:t xml:space="preserve">el AEP </w:t>
      </w:r>
      <w:r w:rsidRPr="005F76BD">
        <w:t xml:space="preserve">realiza no resulta procedente, en virtud de que dichas fracciones ya se encuentran previstas en </w:t>
      </w:r>
      <w:r>
        <w:t xml:space="preserve">la Cláusula de “Responsabilidad” </w:t>
      </w:r>
      <w:r w:rsidRPr="005F76BD">
        <w:t>del Convenio, por lo que su inclusión resultaría ociosa.</w:t>
      </w:r>
    </w:p>
    <w:p w:rsidR="007C4016" w:rsidRDefault="007C4016" w:rsidP="007C4016">
      <w:pPr>
        <w:pStyle w:val="IFTnormal"/>
        <w:spacing w:before="240" w:after="0"/>
        <w:rPr>
          <w:b/>
        </w:rPr>
      </w:pPr>
      <w:r w:rsidRPr="00D138E3">
        <w:rPr>
          <w:b/>
        </w:rPr>
        <w:t>Redacción definitiva</w:t>
      </w:r>
    </w:p>
    <w:p w:rsidR="007C4016" w:rsidRPr="00EF35B0" w:rsidRDefault="007C4016" w:rsidP="007C4016">
      <w:pPr>
        <w:pStyle w:val="IFTnormal"/>
        <w:spacing w:before="240" w:after="0"/>
      </w:pPr>
      <w:r w:rsidRPr="00EF35B0">
        <w:t xml:space="preserve">Derivado del análisis previo, el Instituto acuerda eliminar </w:t>
      </w:r>
      <w:r>
        <w:t>el numeral</w:t>
      </w:r>
      <w:r w:rsidRPr="00EF35B0">
        <w:t xml:space="preserve"> en comento del Modelo de Convenio.</w:t>
      </w:r>
    </w:p>
    <w:p w:rsidR="007C4016" w:rsidRPr="00EF4C93" w:rsidRDefault="007C4016" w:rsidP="007C4016">
      <w:pPr>
        <w:pStyle w:val="IFTnormal"/>
        <w:spacing w:before="240" w:after="0"/>
        <w:rPr>
          <w:b/>
        </w:rPr>
      </w:pPr>
      <w:r w:rsidRPr="00EF4C93">
        <w:rPr>
          <w:b/>
        </w:rPr>
        <w:t>CLÁUSULA OCTAVA</w:t>
      </w:r>
      <w:r>
        <w:rPr>
          <w:b/>
        </w:rPr>
        <w:t xml:space="preserve"> </w:t>
      </w:r>
      <w:r w:rsidRPr="00EF4C93">
        <w:rPr>
          <w:b/>
        </w:rPr>
        <w:t>CONTINUIDAD Y SUSPENSIÓN DE LOS SERVICIOS DE ACCESO Y USO COMPARTIDO DE INFRAESTRUCTURA PASIVA</w:t>
      </w:r>
    </w:p>
    <w:p w:rsidR="007C4016" w:rsidRPr="00BF4959" w:rsidRDefault="007C4016" w:rsidP="007C4016">
      <w:pPr>
        <w:pStyle w:val="IFTnormal"/>
        <w:spacing w:before="240" w:after="0"/>
        <w:rPr>
          <w:b/>
        </w:rPr>
      </w:pPr>
      <w:r w:rsidRPr="00BF4959">
        <w:rPr>
          <w:b/>
        </w:rPr>
        <w:t>Consideraciones del Instituto</w:t>
      </w:r>
    </w:p>
    <w:p w:rsidR="007C4016" w:rsidRPr="00B778D8" w:rsidRDefault="007C4016" w:rsidP="007C4016">
      <w:pPr>
        <w:pStyle w:val="IFTnormal"/>
        <w:spacing w:before="240" w:after="0"/>
        <w:rPr>
          <w:b/>
          <w:lang w:val="es-ES"/>
        </w:rPr>
      </w:pPr>
      <w:r w:rsidRPr="001C56F3">
        <w:rPr>
          <w:b/>
        </w:rPr>
        <w:t>CASO 1</w:t>
      </w:r>
      <w:r>
        <w:rPr>
          <w:b/>
        </w:rPr>
        <w:t xml:space="preserve">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OCTAVA </w:t>
      </w:r>
      <w:r w:rsidRPr="00337046">
        <w:t>“</w:t>
      </w:r>
      <w:r w:rsidRPr="00974EE7">
        <w:t>CONTINUIDAD Y SUSPENSIÓN DE LOS SERVICIOS DE ACCESO Y USO COMPARTIDO DE INFRAESTRUCTURA PASIVA</w:t>
      </w:r>
      <w:r w:rsidRPr="00337046">
        <w:t>”</w:t>
      </w:r>
      <w:r>
        <w:t xml:space="preserve"> inciso 8.2</w:t>
      </w:r>
      <w:r>
        <w:rPr>
          <w:lang w:val="es-ES"/>
        </w:rPr>
        <w:t xml:space="preserve">, el AEP </w:t>
      </w:r>
      <w:r w:rsidRPr="00F44994">
        <w:rPr>
          <w:rFonts w:eastAsiaTheme="minorHAnsi" w:cs="Arial"/>
          <w:lang w:val="es-ES"/>
        </w:rPr>
        <w:t xml:space="preserve">en su </w:t>
      </w:r>
      <w:r>
        <w:rPr>
          <w:rFonts w:eastAsiaTheme="minorHAnsi" w:cs="Arial"/>
          <w:lang w:val="es-ES"/>
        </w:rPr>
        <w:lastRenderedPageBreak/>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modificó los plazos establecidos en el Convenio de la Oferta de Referencia Vigente</w:t>
      </w:r>
      <w:r>
        <w:rPr>
          <w:rFonts w:eastAsiaTheme="minorHAnsi" w:cs="Arial"/>
          <w:lang w:val="es-ES"/>
        </w:rPr>
        <w:t xml:space="preserve"> quedando de la siguiente manera:</w:t>
      </w:r>
    </w:p>
    <w:p w:rsidR="007C4016" w:rsidRDefault="007C4016" w:rsidP="007C4016">
      <w:pPr>
        <w:pStyle w:val="CitaIFT"/>
        <w:spacing w:before="240" w:after="0"/>
        <w:rPr>
          <w:b/>
          <w:lang w:val="es-ES_tradnl"/>
        </w:rPr>
      </w:pPr>
      <w:r>
        <w:rPr>
          <w:lang w:val="es-ES_tradnl"/>
        </w:rPr>
        <w:t>“</w:t>
      </w:r>
      <w:r w:rsidRPr="0045630F">
        <w:rPr>
          <w:b/>
          <w:lang w:val="es-ES_tradnl"/>
        </w:rPr>
        <w:t>OCTAVA. CONTINUIDAD Y SUSPENSIÓN DE LOS SERVICIOS DE ACCESO Y USO COMPARTIDO DE INFRAESTRUCTURA PASIVA</w:t>
      </w:r>
    </w:p>
    <w:p w:rsidR="007C4016" w:rsidRDefault="007C4016" w:rsidP="007C4016">
      <w:pPr>
        <w:pStyle w:val="CitaIFT"/>
        <w:numPr>
          <w:ilvl w:val="1"/>
          <w:numId w:val="92"/>
        </w:numPr>
        <w:spacing w:before="240" w:after="0"/>
        <w:rPr>
          <w:b/>
          <w:lang w:val="es-ES_tradnl"/>
        </w:rPr>
      </w:pPr>
      <w:r w:rsidRPr="0045630F">
        <w:rPr>
          <w:b/>
          <w:lang w:val="es-ES_tradnl"/>
        </w:rPr>
        <w:t>Suspensión temporal</w:t>
      </w:r>
    </w:p>
    <w:p w:rsidR="007C4016" w:rsidRDefault="007C4016" w:rsidP="007C4016">
      <w:pPr>
        <w:pStyle w:val="CitaIFT"/>
        <w:spacing w:before="240" w:after="0"/>
      </w:pPr>
      <w:r w:rsidRPr="0045630F">
        <w:t>[…]</w:t>
      </w:r>
    </w:p>
    <w:p w:rsidR="007C4016" w:rsidRPr="0045630F" w:rsidRDefault="007C4016" w:rsidP="007C4016">
      <w:pPr>
        <w:pStyle w:val="CitaIFT"/>
        <w:spacing w:before="240" w:after="0"/>
        <w:rPr>
          <w:rFonts w:eastAsiaTheme="minorHAnsi"/>
        </w:rPr>
      </w:pPr>
      <w:r w:rsidRPr="0045630F">
        <w:t>La Parte afectada por cualquier evento de caso fortuito o de fuerza mayor, o durante periodos de emergencia, notificará a la otra Parte dentro de las 48 (cuarenta y ocho) horas siguientes a que tenga conocimiento de la existencia del evento de que se trate, proporcionando detalles sobre el mismo. De igual forma deberá enviar una copia del informe aludido al Instituto.”</w:t>
      </w:r>
    </w:p>
    <w:p w:rsidR="007C4016" w:rsidRPr="00B27D5E" w:rsidRDefault="007C4016" w:rsidP="007C4016">
      <w:pPr>
        <w:pStyle w:val="IFTnormal"/>
        <w:spacing w:before="240" w:after="0"/>
        <w:rPr>
          <w:b/>
          <w:lang w:val="es-ES"/>
        </w:rPr>
      </w:pPr>
      <w:r w:rsidRPr="00B27D5E">
        <w:rPr>
          <w:b/>
          <w:lang w:val="es-ES"/>
        </w:rPr>
        <w:t xml:space="preserve">Análisis de la Propuesta </w:t>
      </w:r>
      <w:r>
        <w:rPr>
          <w:b/>
          <w:lang w:val="es-ES"/>
        </w:rPr>
        <w:t>de Convenio</w:t>
      </w:r>
    </w:p>
    <w:p w:rsidR="007C4016" w:rsidRDefault="007C4016" w:rsidP="007C4016">
      <w:pPr>
        <w:pStyle w:val="IFTnormal"/>
        <w:spacing w:before="240" w:after="0"/>
      </w:pPr>
      <w:r w:rsidRPr="0045630F">
        <w:t xml:space="preserve">Del análisis realizado a la Cláusula OCTAVA de la Propuesta de Convenio de la Oferta de Referencia, no resulta procedente la ampliación del plazo en razón a que éste se considera muy extenso, </w:t>
      </w:r>
      <w:r>
        <w:t>puesto que en caso de algún evento de caso fortuito o causa mayor el AEP conoce del suceso de forma casi inmediata por lo que no se justifica que extienda el plazo para dar aviso.</w:t>
      </w:r>
    </w:p>
    <w:p w:rsidR="007C4016" w:rsidRDefault="007C4016" w:rsidP="007C4016">
      <w:pPr>
        <w:pStyle w:val="IFTnormal"/>
        <w:spacing w:before="240" w:after="0"/>
        <w:rPr>
          <w:sz w:val="24"/>
          <w:szCs w:val="24"/>
        </w:rPr>
      </w:pPr>
      <w:r>
        <w:rPr>
          <w:lang w:val="es-ES"/>
        </w:rPr>
        <w:t xml:space="preserve">Es así que después de realizar el análisis correspondiente, </w:t>
      </w:r>
      <w:r w:rsidRPr="00F44994">
        <w:rPr>
          <w:lang w:val="es-ES"/>
        </w:rPr>
        <w:t xml:space="preserve">el Instituto considera que </w:t>
      </w:r>
      <w:r>
        <w:rPr>
          <w:lang w:val="es-ES"/>
        </w:rPr>
        <w:t>por consistencia en lo ya expuesto y de conformidad con lo establecido por la Medida CUADRAGÉSIMA PRIMERA de las Medidas Fijas, la redacción de la cláusula OCTAV</w:t>
      </w:r>
      <w:r w:rsidRPr="0043542A">
        <w:rPr>
          <w:lang w:val="es-ES"/>
        </w:rPr>
        <w:t xml:space="preserve">A </w:t>
      </w:r>
      <w:r w:rsidRPr="00337046">
        <w:t>“</w:t>
      </w:r>
      <w:r w:rsidRPr="00EF4C93">
        <w:rPr>
          <w:lang w:val="es-ES_tradnl"/>
        </w:rPr>
        <w:t>CONTINUIDAD Y SUSPENSIÓN DE LOS SERVICIOS DE ACCESO Y USO COMPARTIDO DE INFRAESTRUCTURA PASIVA</w:t>
      </w:r>
      <w:r w:rsidRPr="00337046">
        <w:t>”</w:t>
      </w:r>
      <w:r>
        <w:rPr>
          <w:lang w:val="es-ES"/>
        </w:rPr>
        <w:t xml:space="preserve"> 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7C4016" w:rsidRDefault="007C4016" w:rsidP="007C4016">
      <w:pPr>
        <w:pStyle w:val="IFTnormal"/>
        <w:spacing w:before="240" w:after="0"/>
        <w:rPr>
          <w:b/>
        </w:rPr>
      </w:pPr>
      <w:r w:rsidRPr="00D138E3">
        <w:rPr>
          <w:b/>
        </w:rPr>
        <w:t>Redacción definitiva</w:t>
      </w:r>
    </w:p>
    <w:p w:rsidR="007C4016" w:rsidRPr="00010A85" w:rsidRDefault="007C4016" w:rsidP="007C4016">
      <w:pPr>
        <w:pStyle w:val="CondicionesFinales"/>
        <w:spacing w:before="240" w:after="0"/>
        <w:rPr>
          <w:b/>
        </w:rPr>
      </w:pPr>
      <w:r w:rsidRPr="00010A85">
        <w:t>OCTAVA. CONTINUIDAD Y SUSPENSIÓN DE LOS SERVICIOS DE ACCESO Y USO COMPARTIDO DE INFRAESTRUCTURA PASIVA</w:t>
      </w:r>
    </w:p>
    <w:p w:rsidR="007C4016" w:rsidRPr="00010A85" w:rsidRDefault="007C4016" w:rsidP="007C4016">
      <w:pPr>
        <w:pStyle w:val="CondicionesFinales"/>
        <w:spacing w:before="240" w:after="0"/>
        <w:rPr>
          <w:b/>
        </w:rPr>
      </w:pPr>
      <w:r w:rsidRPr="00010A85">
        <w:t>8.2</w:t>
      </w:r>
      <w:r w:rsidRPr="00010A85">
        <w:tab/>
        <w:t>Suspensión temporal</w:t>
      </w:r>
    </w:p>
    <w:p w:rsidR="007C4016" w:rsidRDefault="007C4016" w:rsidP="007C4016">
      <w:pPr>
        <w:pStyle w:val="CondicionesFinales"/>
        <w:spacing w:before="240" w:after="0"/>
      </w:pPr>
      <w:r w:rsidRPr="0045630F">
        <w:t>[…]</w:t>
      </w:r>
    </w:p>
    <w:p w:rsidR="007C4016" w:rsidRPr="00010A85" w:rsidRDefault="007C4016" w:rsidP="007C4016">
      <w:pPr>
        <w:pStyle w:val="CondicionesFinales"/>
        <w:spacing w:before="240" w:after="0"/>
      </w:pPr>
      <w:r w:rsidRPr="00010A85">
        <w:t xml:space="preserve">La Parte afectada por cualquier evento de caso fortuito o de fuerza mayor, o durante periodos de emergencia, notificará a la otra Parte dentro de las 24 (veinticuatro) horas siguientes a que tenga </w:t>
      </w:r>
      <w:r w:rsidRPr="00010A85">
        <w:lastRenderedPageBreak/>
        <w:t>conocimiento de la existencia del evento de que se trate, proporcionando detalles sobre el mismo. De igual forma deberá enviar una copia del informe aludido al Instituto.</w:t>
      </w:r>
    </w:p>
    <w:p w:rsidR="007C4016" w:rsidRPr="00EF4C93" w:rsidRDefault="007C4016" w:rsidP="007C4016">
      <w:pPr>
        <w:pStyle w:val="IFTnormal"/>
        <w:spacing w:before="240" w:after="0"/>
        <w:rPr>
          <w:b/>
          <w:lang w:val="es-ES"/>
        </w:rPr>
      </w:pPr>
      <w:r w:rsidRPr="00EF4C93">
        <w:rPr>
          <w:b/>
          <w:lang w:val="es-ES"/>
        </w:rPr>
        <w:t>C</w:t>
      </w:r>
      <w:r>
        <w:rPr>
          <w:b/>
          <w:lang w:val="es-ES"/>
        </w:rPr>
        <w:t>LÁUSULA DÉCIMA PRIMERA VIGENCIA</w:t>
      </w:r>
    </w:p>
    <w:p w:rsidR="007C4016" w:rsidRPr="00BF4959" w:rsidRDefault="007C4016" w:rsidP="007C4016">
      <w:pPr>
        <w:pStyle w:val="IFTnormal"/>
        <w:spacing w:before="240" w:after="0"/>
        <w:rPr>
          <w:b/>
        </w:rPr>
      </w:pPr>
      <w:r w:rsidRPr="00BF4959">
        <w:rPr>
          <w:b/>
        </w:rPr>
        <w:t>Consideraciones del Instituto</w:t>
      </w:r>
    </w:p>
    <w:p w:rsidR="007C4016" w:rsidRPr="00B778D8" w:rsidRDefault="007C4016" w:rsidP="007C4016">
      <w:pPr>
        <w:pStyle w:val="IFTnormal"/>
        <w:spacing w:before="240" w:after="0"/>
        <w:rPr>
          <w:b/>
          <w:lang w:val="es-ES"/>
        </w:rPr>
      </w:pPr>
      <w:r w:rsidRPr="001C56F3">
        <w:rPr>
          <w:b/>
        </w:rPr>
        <w:t>CASO 1</w:t>
      </w:r>
      <w:r>
        <w:rPr>
          <w:b/>
        </w:rPr>
        <w:t xml:space="preserve">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DÉCIMA PRIMERA </w:t>
      </w:r>
      <w:r w:rsidRPr="00337046">
        <w:t>“</w:t>
      </w:r>
      <w:r>
        <w:t>VIGENCIA</w:t>
      </w:r>
      <w:r w:rsidRPr="00337046">
        <w:t>”</w:t>
      </w:r>
      <w:r>
        <w:t xml:space="preserve"> </w:t>
      </w:r>
      <w:r>
        <w:rPr>
          <w:lang w:val="es-ES"/>
        </w:rPr>
        <w:t xml:space="preserve">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modificó la redacción establecida en el Convenio de la Oferta de Referencia Vigente</w:t>
      </w:r>
      <w:r>
        <w:rPr>
          <w:rFonts w:eastAsiaTheme="minorHAnsi" w:cs="Arial"/>
          <w:lang w:val="es-ES"/>
        </w:rPr>
        <w:t xml:space="preserve"> quedando de la siguiente manera:</w:t>
      </w:r>
    </w:p>
    <w:p w:rsidR="007C4016" w:rsidRDefault="007C4016" w:rsidP="007C4016">
      <w:pPr>
        <w:pStyle w:val="CitaIFT"/>
        <w:spacing w:before="240" w:after="0"/>
        <w:rPr>
          <w:lang w:val="es-ES"/>
        </w:rPr>
      </w:pPr>
      <w:r>
        <w:rPr>
          <w:lang w:val="es-ES"/>
        </w:rPr>
        <w:t>“</w:t>
      </w:r>
      <w:r w:rsidRPr="00441A68">
        <w:rPr>
          <w:b/>
          <w:lang w:val="es-ES"/>
        </w:rPr>
        <w:t>DÉCIMA PRIMERA.</w:t>
      </w:r>
      <w:r w:rsidRPr="00441A68">
        <w:rPr>
          <w:b/>
          <w:lang w:val="es-ES"/>
        </w:rPr>
        <w:tab/>
        <w:t>VIGENCIA</w:t>
      </w:r>
      <w:r w:rsidRPr="00441A68">
        <w:rPr>
          <w:lang w:val="es-ES"/>
        </w:rPr>
        <w:t xml:space="preserve"> </w:t>
      </w:r>
    </w:p>
    <w:p w:rsidR="007C4016" w:rsidRDefault="007C4016" w:rsidP="007C4016">
      <w:pPr>
        <w:pStyle w:val="CitaIFT"/>
        <w:spacing w:before="240" w:after="0"/>
        <w:rPr>
          <w:b/>
        </w:rPr>
      </w:pPr>
      <w:r w:rsidRPr="00441A68">
        <w:rPr>
          <w:b/>
        </w:rPr>
        <w:t>11.1</w:t>
      </w:r>
      <w:r w:rsidRPr="00441A68">
        <w:rPr>
          <w:b/>
        </w:rPr>
        <w:tab/>
        <w:t>DURACIÓN DEL CONVENIO</w:t>
      </w:r>
    </w:p>
    <w:p w:rsidR="007C4016" w:rsidRPr="00142650" w:rsidRDefault="007C4016" w:rsidP="007C4016">
      <w:pPr>
        <w:pStyle w:val="CitaIFT"/>
        <w:spacing w:before="240" w:after="0"/>
      </w:pPr>
      <w:r w:rsidRPr="00142650">
        <w:t xml:space="preserve">El presente CONVENIO estará vigente hasta el 31 de diciembre de </w:t>
      </w:r>
      <w:r w:rsidRPr="003E4222">
        <w:t>201</w:t>
      </w:r>
      <w:r>
        <w:t>8</w:t>
      </w:r>
      <w:r w:rsidRPr="00142650">
        <w:t xml:space="preserve">, salvo que sea modificado, terminado anticipadamente o rescindido conforme a lo previsto en el presente instrumento y demás disposiciones aplicables. Sin embargo, las Partes podrán acordar vigencias superiores a este plazo mínimo del </w:t>
      </w:r>
      <w:r w:rsidRPr="003E4222">
        <w:t>CONVENIO</w:t>
      </w:r>
      <w:r w:rsidRPr="00142650">
        <w:t xml:space="preserve"> considerando las necesidades propias de cada uno de los servicios a prestarse al amparo de la Oferta de Referencia.</w:t>
      </w:r>
      <w:r>
        <w:t>”</w:t>
      </w:r>
    </w:p>
    <w:p w:rsidR="007C4016" w:rsidRDefault="007C4016" w:rsidP="007C4016">
      <w:pPr>
        <w:pStyle w:val="IFTnormal"/>
        <w:spacing w:before="240" w:after="0"/>
        <w:rPr>
          <w:b/>
          <w:lang w:val="es-ES"/>
        </w:rPr>
      </w:pPr>
      <w:r w:rsidRPr="00AA4BC0">
        <w:rPr>
          <w:b/>
          <w:lang w:val="es-ES"/>
        </w:rPr>
        <w:t>Análisis de la Propuesta de Convenio</w:t>
      </w:r>
    </w:p>
    <w:p w:rsidR="007C4016" w:rsidRPr="00690528" w:rsidRDefault="007C4016" w:rsidP="007C4016">
      <w:pPr>
        <w:pStyle w:val="IFTnormal"/>
        <w:spacing w:before="240" w:after="0"/>
      </w:pPr>
      <w:r w:rsidRPr="00690528">
        <w:t xml:space="preserve">Del análisis realizado a la Cláusula DÉCIMA PRIMERA de la Propuesta de Convenio de la Oferta de Referencia, se advierte que </w:t>
      </w:r>
      <w:r>
        <w:t xml:space="preserve">la </w:t>
      </w:r>
      <w:r w:rsidRPr="00690528">
        <w:t xml:space="preserve">redacción propuesta por el AEP, no contempla lo establecido en la Medida CUADRAGÉSIMA PRIMERA de las Medidas Fijas, </w:t>
      </w:r>
      <w:r>
        <w:t xml:space="preserve">misma que </w:t>
      </w:r>
      <w:r w:rsidRPr="00690528">
        <w:t xml:space="preserve">establece lo siguiente: </w:t>
      </w:r>
    </w:p>
    <w:p w:rsidR="007C4016" w:rsidRDefault="007C4016" w:rsidP="007C4016">
      <w:pPr>
        <w:pStyle w:val="CitaIFT"/>
        <w:spacing w:before="240" w:after="0"/>
        <w:rPr>
          <w:rStyle w:val="CitaIFTCar"/>
          <w:rFonts w:eastAsia="MS Mincho"/>
          <w:i/>
        </w:rPr>
      </w:pPr>
      <w:r w:rsidRPr="00D43578">
        <w:rPr>
          <w:rStyle w:val="CitaIFTCar"/>
          <w:i/>
        </w:rPr>
        <w:t>“</w:t>
      </w:r>
      <w:r w:rsidRPr="00D43578">
        <w:rPr>
          <w:rStyle w:val="CitaIFTCar"/>
          <w:b/>
          <w:i/>
        </w:rPr>
        <w:t>CUADRAGÉSIMA PRIMERA</w:t>
      </w:r>
      <w:r w:rsidRPr="00D43578">
        <w:rPr>
          <w:rStyle w:val="CitaIFTCar"/>
          <w:i/>
        </w:rPr>
        <w:t xml:space="preserve">.- 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w:t>
      </w:r>
      <w:r w:rsidRPr="00D43578">
        <w:rPr>
          <w:rStyle w:val="CitaIFTCar"/>
          <w:b/>
          <w:i/>
          <w:u w:val="single"/>
        </w:rPr>
        <w:t>Lo anterior con independencia de que el Agente Económico Preponderante y el Concesionario Solicitante o Autorizado Solicitante puedan acordar la firma de convenios con duración mayor al de la vigencia de la Oferta de Referencia respectiva.</w:t>
      </w:r>
      <w:r w:rsidRPr="00D43578">
        <w:rPr>
          <w:rStyle w:val="CitaIFTCar"/>
          <w:i/>
        </w:rPr>
        <w:t>”</w:t>
      </w:r>
    </w:p>
    <w:p w:rsidR="007C4016" w:rsidRDefault="007C4016" w:rsidP="007C4016">
      <w:pPr>
        <w:pStyle w:val="CitaIFT"/>
        <w:spacing w:before="240" w:after="0"/>
        <w:jc w:val="right"/>
        <w:rPr>
          <w:rStyle w:val="CitaIFTCar"/>
          <w:rFonts w:eastAsia="MS Mincho"/>
        </w:rPr>
      </w:pPr>
      <w:r>
        <w:rPr>
          <w:rStyle w:val="CitaIFTCar"/>
          <w:rFonts w:eastAsia="MS Mincho"/>
        </w:rPr>
        <w:t>[Énfasis añadido]</w:t>
      </w:r>
    </w:p>
    <w:p w:rsidR="007C4016" w:rsidRDefault="007C4016" w:rsidP="007C4016">
      <w:pPr>
        <w:pStyle w:val="IFTnormal"/>
        <w:spacing w:before="240" w:after="0"/>
      </w:pPr>
      <w:r w:rsidRPr="00690528">
        <w:rPr>
          <w:rStyle w:val="CitaIFTCar"/>
        </w:rPr>
        <w:lastRenderedPageBreak/>
        <w:br/>
      </w:r>
      <w:r w:rsidRPr="00690528">
        <w:t xml:space="preserve">En ese sentido, </w:t>
      </w:r>
      <w:r>
        <w:t>la Medida antes mencionada contempla</w:t>
      </w:r>
      <w:r w:rsidRPr="00690528">
        <w:t xml:space="preserve"> la posibilidad de que el Agente Económico Preponderante y el </w:t>
      </w:r>
      <w:r>
        <w:t>CS</w:t>
      </w:r>
      <w:r w:rsidRPr="00690528">
        <w:t xml:space="preserve"> puedan firmar convenios con duración mayor al de la vigencia. </w:t>
      </w:r>
    </w:p>
    <w:p w:rsidR="007C4016" w:rsidRDefault="007C4016" w:rsidP="007C4016">
      <w:pPr>
        <w:pStyle w:val="IFTnormal"/>
        <w:spacing w:before="240" w:after="0"/>
      </w:pPr>
      <w:r w:rsidRPr="00690528">
        <w:t xml:space="preserve">Lo anterior, en virtud de que limitar la duración del Convenio, no estaría contemplando las inversiones realizadas por los </w:t>
      </w:r>
      <w:r>
        <w:t xml:space="preserve">CS </w:t>
      </w:r>
      <w:r w:rsidRPr="00690528">
        <w:t>en infraestructura pasiva, mismas que se hacen considerando, entre otros aspectos, el tiempo de vida útil de los equipos, por lo que se realizan a largo plazo y por cuantías significativas; por lo que ampliar los periodos</w:t>
      </w:r>
      <w:r>
        <w:t xml:space="preserve"> </w:t>
      </w:r>
      <w:r w:rsidRPr="00690528">
        <w:t xml:space="preserve">de vigencia genera certidumbre a los </w:t>
      </w:r>
      <w:r>
        <w:t>CS</w:t>
      </w:r>
      <w:r w:rsidRPr="00690528">
        <w:t xml:space="preserve"> respecto de las inversiones que realizarán y el tiempo de su continuidad en la utilización de la infraestructura del AEP, y con ello se promueva una mayor competencia.</w:t>
      </w:r>
    </w:p>
    <w:p w:rsidR="007C4016" w:rsidRPr="00D04332" w:rsidRDefault="007C4016" w:rsidP="007C4016">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por consistencia en lo ya expuesto y de conformidad con lo establecido por la Medida CUADRAGÉSIMA PRIMERA de las Medidas Fijas, la redacción de la cláusula “VIGENCIA” se recupera del Convenio de la Oferta de Referencia vigente.</w:t>
      </w:r>
    </w:p>
    <w:p w:rsidR="007C4016" w:rsidRDefault="007C4016" w:rsidP="007C4016">
      <w:pPr>
        <w:pStyle w:val="IFTnormal"/>
        <w:spacing w:before="240" w:after="0"/>
        <w:rPr>
          <w:b/>
        </w:rPr>
      </w:pPr>
      <w:r w:rsidRPr="00D138E3">
        <w:rPr>
          <w:b/>
        </w:rPr>
        <w:t>Redacción definitiva</w:t>
      </w:r>
    </w:p>
    <w:p w:rsidR="007C4016" w:rsidRPr="00B45D23" w:rsidRDefault="007C4016" w:rsidP="007C4016">
      <w:pPr>
        <w:pStyle w:val="CondicionesFinales"/>
        <w:spacing w:before="240" w:after="0"/>
      </w:pPr>
      <w:r w:rsidRPr="00B45D23">
        <w:t>DÉCIMA PRIMERA.</w:t>
      </w:r>
      <w:r w:rsidRPr="00B45D23">
        <w:tab/>
        <w:t xml:space="preserve">VIGENCIA </w:t>
      </w:r>
    </w:p>
    <w:p w:rsidR="007C4016" w:rsidRPr="00B45D23" w:rsidRDefault="007C4016" w:rsidP="007C4016">
      <w:pPr>
        <w:pStyle w:val="CondicionesFinales"/>
        <w:spacing w:before="240" w:after="0"/>
      </w:pPr>
      <w:r w:rsidRPr="00B45D23">
        <w:t>11.1</w:t>
      </w:r>
      <w:r w:rsidRPr="00B45D23">
        <w:tab/>
        <w:t>DURACIÓN DEL CONVENIO</w:t>
      </w:r>
    </w:p>
    <w:p w:rsidR="007C4016" w:rsidRPr="00B45D23" w:rsidRDefault="007C4016" w:rsidP="007C4016">
      <w:pPr>
        <w:pStyle w:val="CondicionesFinales"/>
        <w:spacing w:before="240" w:after="0"/>
      </w:pPr>
      <w:r w:rsidRPr="00B45D23">
        <w:t>El presente CONVENIO estará vigente como mínimo hasta el 31 de diciembre de 2018, salvo que sea modificado, terminado anticipadamente o rescindido conforme a lo previsto en el presente instrumento y demás disposiciones aplicables. Sin embargo, las Partes podrán acordar vigencias superiores a este plazo mínimo del CONVENIO considerando las necesidades propias de cada uno de los servicios a prestarse al amparo de la Oferta de Referencia.</w:t>
      </w:r>
    </w:p>
    <w:p w:rsidR="007C4016" w:rsidRPr="00BF4959" w:rsidRDefault="007C4016" w:rsidP="007C4016">
      <w:pPr>
        <w:pStyle w:val="IFTnormal"/>
        <w:spacing w:before="240" w:after="0"/>
        <w:rPr>
          <w:b/>
        </w:rPr>
      </w:pPr>
      <w:r w:rsidRPr="00BF4959">
        <w:rPr>
          <w:b/>
        </w:rPr>
        <w:t>Consideraciones del Instituto</w:t>
      </w:r>
    </w:p>
    <w:p w:rsidR="007C4016" w:rsidRPr="001C56F3" w:rsidRDefault="007C4016" w:rsidP="007C4016">
      <w:pPr>
        <w:pStyle w:val="IFTnormal"/>
        <w:spacing w:before="240" w:after="0"/>
        <w:rPr>
          <w:b/>
        </w:rPr>
      </w:pPr>
      <w:r w:rsidRPr="001C56F3">
        <w:rPr>
          <w:b/>
        </w:rPr>
        <w:t>CASO 2</w:t>
      </w:r>
      <w:r>
        <w:rPr>
          <w:b/>
        </w:rPr>
        <w:t xml:space="preserve"> </w:t>
      </w:r>
      <w:r w:rsidRPr="002802DB">
        <w:rPr>
          <w:b/>
          <w:lang w:val="es-ES"/>
        </w:rPr>
        <w:t xml:space="preserve">Cambios que </w:t>
      </w:r>
      <w:r w:rsidRPr="002802DB">
        <w:rPr>
          <w:b/>
        </w:rPr>
        <w:t>modifican la redacción de</w:t>
      </w:r>
      <w:r>
        <w:rPr>
          <w:b/>
        </w:rPr>
        <w:t>l Convenio de</w:t>
      </w:r>
      <w:r w:rsidRPr="002802DB">
        <w:rPr>
          <w:b/>
        </w:rPr>
        <w:t xml:space="preserve"> la Propuesta de Oferta de Referencia.</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DÉCIMA PRIMERA </w:t>
      </w:r>
      <w:r w:rsidRPr="00337046">
        <w:t>“</w:t>
      </w:r>
      <w:r>
        <w:t>VIGENCIA</w:t>
      </w:r>
      <w:r w:rsidRPr="00337046">
        <w:t>”</w:t>
      </w:r>
      <w:r>
        <w:t xml:space="preserve"> </w:t>
      </w:r>
      <w:r>
        <w:rPr>
          <w:lang w:val="es-ES"/>
        </w:rPr>
        <w:t xml:space="preserve">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en el numeral 11.2 </w:t>
      </w:r>
      <w:r>
        <w:rPr>
          <w:lang w:val="es-ES"/>
        </w:rPr>
        <w:t xml:space="preserve">eliminó el texto </w:t>
      </w:r>
      <w:r w:rsidRPr="00EB6831">
        <w:rPr>
          <w:i/>
          <w:lang w:val="es-ES"/>
        </w:rPr>
        <w:t xml:space="preserve">“En ningún supuesto se deberá de contemplar como causal de terminación anticipada </w:t>
      </w:r>
      <w:r w:rsidRPr="00EB6831">
        <w:rPr>
          <w:i/>
          <w:lang w:val="es-ES"/>
        </w:rPr>
        <w:lastRenderedPageBreak/>
        <w:t>la disolución de la Resolución AEP”</w:t>
      </w:r>
      <w:r>
        <w:rPr>
          <w:lang w:val="es-ES"/>
        </w:rPr>
        <w:t>, establecido en el Convenio de la Oferta de Referencia Vigente</w:t>
      </w:r>
      <w:r>
        <w:rPr>
          <w:rFonts w:eastAsiaTheme="minorHAnsi" w:cs="Arial"/>
          <w:lang w:val="es-ES"/>
        </w:rPr>
        <w:t xml:space="preserve"> </w:t>
      </w:r>
    </w:p>
    <w:p w:rsidR="007C4016" w:rsidRDefault="007C4016" w:rsidP="007C4016">
      <w:pPr>
        <w:pStyle w:val="IFTnormal"/>
        <w:spacing w:before="240" w:after="0"/>
        <w:rPr>
          <w:b/>
          <w:lang w:val="es-ES"/>
        </w:rPr>
      </w:pPr>
      <w:r w:rsidRPr="00C65515">
        <w:rPr>
          <w:b/>
          <w:lang w:val="es-ES"/>
        </w:rPr>
        <w:t>Análisis de la Propuesta de Convenio</w:t>
      </w:r>
    </w:p>
    <w:p w:rsidR="007C4016" w:rsidRPr="00C65515" w:rsidRDefault="007C4016" w:rsidP="007C4016">
      <w:pPr>
        <w:pStyle w:val="IFTnormal"/>
        <w:spacing w:before="240" w:after="0"/>
      </w:pPr>
      <w:r w:rsidRPr="00C65515">
        <w:t xml:space="preserve">Del análisis realizado a la Cláusula DÉCIMA PRIMERA de la Propuesta de Convenio de la Oferta de Referencia, el AEP elimina dos líneas, sin embargo, este Instituto establece que no resulta procedente dicha eliminación, en virtud de que dicho texto da seguridad jurídica a los </w:t>
      </w:r>
      <w:r>
        <w:t>CS.</w:t>
      </w:r>
    </w:p>
    <w:p w:rsidR="007C4016" w:rsidRDefault="007C4016" w:rsidP="007C4016">
      <w:pPr>
        <w:pStyle w:val="IFTnormal"/>
        <w:spacing w:before="240" w:after="0"/>
        <w:rPr>
          <w:sz w:val="24"/>
          <w:szCs w:val="24"/>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w:t>
      </w:r>
      <w:r w:rsidRPr="00C65515">
        <w:t>DÉCIMA PRIMERA</w:t>
      </w:r>
      <w:r w:rsidRPr="0043542A">
        <w:rPr>
          <w:lang w:val="es-ES"/>
        </w:rPr>
        <w:t xml:space="preserve"> </w:t>
      </w:r>
      <w:r>
        <w:rPr>
          <w:lang w:val="es-ES"/>
        </w:rPr>
        <w:t>“VIGENCIA”</w:t>
      </w:r>
      <w:r w:rsidRPr="0043542A">
        <w:rPr>
          <w:lang w:val="es-ES"/>
        </w:rPr>
        <w:t xml:space="preserve"> </w:t>
      </w:r>
      <w:r>
        <w:rPr>
          <w:lang w:val="es-ES"/>
        </w:rPr>
        <w:t xml:space="preserve">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7C4016" w:rsidRDefault="007C4016" w:rsidP="007C4016">
      <w:pPr>
        <w:pStyle w:val="IFTnormal"/>
        <w:spacing w:before="240" w:after="0"/>
        <w:rPr>
          <w:b/>
        </w:rPr>
      </w:pPr>
      <w:r w:rsidRPr="00D138E3">
        <w:rPr>
          <w:b/>
        </w:rPr>
        <w:t>Redacción definitiva</w:t>
      </w:r>
    </w:p>
    <w:p w:rsidR="007C4016" w:rsidRPr="00277ED0" w:rsidRDefault="007C4016" w:rsidP="007C4016">
      <w:pPr>
        <w:pStyle w:val="CondicionesFinales"/>
        <w:spacing w:before="240" w:after="0"/>
      </w:pPr>
      <w:r w:rsidRPr="00277ED0">
        <w:t>DÉCIMA PRIMERA.</w:t>
      </w:r>
      <w:r w:rsidRPr="00277ED0">
        <w:tab/>
        <w:t xml:space="preserve">VIGENCIA </w:t>
      </w:r>
    </w:p>
    <w:p w:rsidR="007C4016" w:rsidRPr="00277ED0" w:rsidRDefault="007C4016" w:rsidP="007C4016">
      <w:pPr>
        <w:pStyle w:val="CondicionesFinales"/>
        <w:spacing w:before="240" w:after="0"/>
      </w:pPr>
      <w:r w:rsidRPr="00277ED0">
        <w:t>11.2</w:t>
      </w:r>
      <w:r w:rsidRPr="00277ED0">
        <w:tab/>
      </w:r>
      <w:r>
        <w:t xml:space="preserve"> </w:t>
      </w:r>
      <w:r w:rsidRPr="00277ED0">
        <w:t xml:space="preserve">TERMINACIÓN ANTICIPADA </w:t>
      </w:r>
    </w:p>
    <w:p w:rsidR="007C4016" w:rsidRDefault="007C4016" w:rsidP="007C4016">
      <w:pPr>
        <w:pStyle w:val="CondicionesFinales"/>
        <w:spacing w:before="240" w:after="0"/>
      </w:pPr>
      <w:r w:rsidRPr="00277ED0">
        <w:t>En ningún supuesto se deberá de contemplar como causal de terminación anticipada la disolución de la Resolución AEP. En todo caso para que la terminación anticipada solicitada por el CONCESIONARIO SOLICITANTE sea procedente, éste deberá estar al corriente en sus obligaciones de pago derivadas de la prestación de los Servicios objeto del presente CONVENIO.</w:t>
      </w:r>
    </w:p>
    <w:p w:rsidR="007C4016" w:rsidRDefault="007C4016" w:rsidP="007C4016">
      <w:pPr>
        <w:pStyle w:val="IFTnormal"/>
        <w:spacing w:before="240" w:after="0"/>
        <w:rPr>
          <w:b/>
        </w:rPr>
      </w:pPr>
      <w:r w:rsidRPr="00277ED0">
        <w:rPr>
          <w:b/>
        </w:rPr>
        <w:t>CLÁUSULA DÉCIMA SEGUNDA RESCISIÓN DEL CONVENIO</w:t>
      </w:r>
    </w:p>
    <w:p w:rsidR="007C4016" w:rsidRPr="00BF4959" w:rsidRDefault="007C4016" w:rsidP="007C4016">
      <w:pPr>
        <w:pStyle w:val="IFTnormal"/>
        <w:spacing w:before="240" w:after="0"/>
        <w:rPr>
          <w:b/>
        </w:rPr>
      </w:pPr>
      <w:r w:rsidRPr="00BF4959">
        <w:rPr>
          <w:b/>
        </w:rPr>
        <w:t>Consideraciones del Instituto</w:t>
      </w:r>
    </w:p>
    <w:p w:rsidR="007C4016" w:rsidRPr="001C56F3" w:rsidRDefault="007C4016" w:rsidP="007C4016">
      <w:pPr>
        <w:pStyle w:val="IFTnormal"/>
        <w:spacing w:before="240" w:after="0"/>
        <w:rPr>
          <w:b/>
        </w:rPr>
      </w:pPr>
      <w:r w:rsidRPr="001C56F3">
        <w:rPr>
          <w:b/>
        </w:rPr>
        <w:t>CASO 2</w:t>
      </w:r>
      <w:r>
        <w:rPr>
          <w:b/>
        </w:rPr>
        <w:t xml:space="preserve"> </w:t>
      </w:r>
      <w:r w:rsidRPr="002802DB">
        <w:rPr>
          <w:b/>
          <w:lang w:val="es-ES"/>
        </w:rPr>
        <w:t xml:space="preserve">Cambios que </w:t>
      </w:r>
      <w:r w:rsidRPr="002802DB">
        <w:rPr>
          <w:b/>
        </w:rPr>
        <w:t>modifican la redacción de</w:t>
      </w:r>
      <w:r>
        <w:rPr>
          <w:b/>
        </w:rPr>
        <w:t>l Convenio de</w:t>
      </w:r>
      <w:r w:rsidRPr="002802DB">
        <w:rPr>
          <w:b/>
        </w:rPr>
        <w:t xml:space="preserve"> la Propuesta de Oferta de Referencia.</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DÉCIMA SEGUNDA </w:t>
      </w:r>
      <w:r w:rsidRPr="00337046">
        <w:t>“</w:t>
      </w:r>
      <w:r>
        <w:t>RESCISIÓN DEL CONVENIO</w:t>
      </w:r>
      <w:r w:rsidRPr="00337046">
        <w:t>”</w:t>
      </w:r>
      <w:r>
        <w:t xml:space="preserve"> </w:t>
      </w:r>
      <w:r>
        <w:rPr>
          <w:lang w:val="es-ES"/>
        </w:rPr>
        <w:t xml:space="preserve">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 xml:space="preserve">eliminó el texto </w:t>
      </w:r>
      <w:r w:rsidRPr="001B7C77">
        <w:rPr>
          <w:i/>
          <w:lang w:val="es-ES"/>
        </w:rPr>
        <w:t xml:space="preserve">“Una vez que el Instituto haya recibido dicho escrito, deberá pronunciarse sobre la rescisión </w:t>
      </w:r>
      <w:r w:rsidRPr="001B7C77">
        <w:rPr>
          <w:i/>
          <w:lang w:val="es-ES"/>
        </w:rPr>
        <w:lastRenderedPageBreak/>
        <w:t>notificada”</w:t>
      </w:r>
      <w:r>
        <w:rPr>
          <w:lang w:val="es-ES"/>
        </w:rPr>
        <w:t xml:space="preserve"> del primer párrafo establecido en el Convenio de la Oferta de Referencia Vigente.</w:t>
      </w:r>
      <w:r>
        <w:rPr>
          <w:rFonts w:eastAsiaTheme="minorHAnsi" w:cs="Arial"/>
          <w:lang w:val="es-ES"/>
        </w:rPr>
        <w:t xml:space="preserve"> </w:t>
      </w:r>
    </w:p>
    <w:p w:rsidR="007C4016" w:rsidRDefault="007C4016" w:rsidP="007C4016">
      <w:pPr>
        <w:pStyle w:val="IFTnormal"/>
        <w:spacing w:before="240" w:after="0"/>
        <w:rPr>
          <w:b/>
          <w:lang w:val="es-ES"/>
        </w:rPr>
      </w:pPr>
      <w:r w:rsidRPr="002D42E1">
        <w:rPr>
          <w:b/>
          <w:lang w:val="es-ES"/>
        </w:rPr>
        <w:t>Análisis de la Propuesta de Convenio</w:t>
      </w:r>
    </w:p>
    <w:p w:rsidR="007C4016" w:rsidRDefault="007C4016" w:rsidP="007C4016">
      <w:pPr>
        <w:pStyle w:val="IFTnormal"/>
        <w:spacing w:before="240" w:after="0"/>
      </w:pPr>
      <w:r w:rsidRPr="00D10335">
        <w:t xml:space="preserve">Del análisis realizado a la Cláusula DÉCIMA SEGUNDA de la Propuesta de Convenio de la Oferta de Referencia, el AEP elimina </w:t>
      </w:r>
      <w:r>
        <w:t xml:space="preserve">LAS LINEAS </w:t>
      </w:r>
      <w:r w:rsidRPr="001E46E1">
        <w:rPr>
          <w:i/>
        </w:rPr>
        <w:t>“Una vez que el Instituto haya recibido dicho escrito, deberá pronunciarse sobre la rescisión notificada.”</w:t>
      </w:r>
      <w:r w:rsidRPr="00D10335">
        <w:t xml:space="preserve">, sin embargo, este Instituto establece que no resulta procedente dicha eliminación, en virtud de que el AEP no debe de forma unilateral rescindir el Convenio, </w:t>
      </w:r>
      <w:r>
        <w:t xml:space="preserve">y dejar de prestar los servicios sin justificar las causas de ello, además </w:t>
      </w:r>
      <w:r w:rsidRPr="00D10335">
        <w:t xml:space="preserve">este Instituto al ser </w:t>
      </w:r>
      <w:r>
        <w:t xml:space="preserve">al ser un </w:t>
      </w:r>
      <w:r w:rsidRPr="00D10335">
        <w:t>órgano regulador</w:t>
      </w:r>
      <w:r>
        <w:t xml:space="preserve"> imparcial</w:t>
      </w:r>
      <w:r w:rsidRPr="00D10335">
        <w:t xml:space="preserve"> deberá pronunciarse respecto d</w:t>
      </w:r>
      <w:r>
        <w:t>e la procedencia de la recisión.</w:t>
      </w:r>
    </w:p>
    <w:p w:rsidR="007C4016" w:rsidRDefault="007C4016" w:rsidP="007C4016">
      <w:pPr>
        <w:pStyle w:val="IFTnormal"/>
        <w:spacing w:before="240" w:after="0"/>
      </w:pPr>
      <w:r>
        <w:t xml:space="preserve">Asimismo dicha eliminación no otorga certeza jurídica a los CS. </w:t>
      </w:r>
    </w:p>
    <w:p w:rsidR="007C4016" w:rsidRDefault="007C4016" w:rsidP="007C4016">
      <w:pPr>
        <w:pStyle w:val="IFTnormal"/>
        <w:spacing w:before="240" w:after="0"/>
        <w:rPr>
          <w:sz w:val="24"/>
          <w:szCs w:val="24"/>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w:t>
      </w:r>
      <w:r w:rsidRPr="00D13165">
        <w:rPr>
          <w:lang w:val="es-ES"/>
        </w:rPr>
        <w:t xml:space="preserve">DÉCIMA SEGUNDA </w:t>
      </w:r>
      <w:r>
        <w:rPr>
          <w:lang w:val="es-ES"/>
        </w:rPr>
        <w:t>“</w:t>
      </w:r>
      <w:r w:rsidRPr="00D13165">
        <w:rPr>
          <w:lang w:val="es-ES"/>
        </w:rPr>
        <w:t>RESCISIÓN DEL CONVENIO</w:t>
      </w:r>
      <w:r>
        <w:rPr>
          <w:lang w:val="es-ES"/>
        </w:rPr>
        <w:t>”</w:t>
      </w:r>
      <w:r w:rsidRPr="0043542A">
        <w:rPr>
          <w:lang w:val="es-ES"/>
        </w:rPr>
        <w:t xml:space="preserve"> </w:t>
      </w:r>
      <w:r>
        <w:rPr>
          <w:lang w:val="es-ES"/>
        </w:rPr>
        <w:t xml:space="preserve">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7C4016" w:rsidRDefault="007C4016" w:rsidP="007C4016">
      <w:pPr>
        <w:pStyle w:val="IFTnormal"/>
        <w:spacing w:before="240" w:after="0"/>
        <w:rPr>
          <w:b/>
        </w:rPr>
      </w:pPr>
      <w:r w:rsidRPr="00D138E3">
        <w:rPr>
          <w:b/>
        </w:rPr>
        <w:t>Redacción definitiva</w:t>
      </w:r>
    </w:p>
    <w:p w:rsidR="007C4016" w:rsidRPr="00277ED0" w:rsidRDefault="007C4016" w:rsidP="007C4016">
      <w:pPr>
        <w:pStyle w:val="CondicionesFinales"/>
        <w:spacing w:before="240" w:after="0"/>
        <w:rPr>
          <w:b/>
        </w:rPr>
      </w:pPr>
      <w:r w:rsidRPr="00277ED0">
        <w:t>DÉCIMA SEGUNDA RESCISIÓN DEL CONVENIO</w:t>
      </w:r>
    </w:p>
    <w:p w:rsidR="007C4016" w:rsidRDefault="007C4016" w:rsidP="007C4016">
      <w:pPr>
        <w:pStyle w:val="CondicionesFinales"/>
        <w:spacing w:before="240" w:after="0"/>
      </w:pPr>
      <w:r w:rsidRPr="00142650">
        <w:t xml:space="preserve">Si cualquiera de los eventos (“Causas de Rescisión”) descritos a continuación ocurriese, la Parte afectada, independientemente de los remedios o cualquiera otras acciones previstos por la ley, podrá rescindir este CONVENIO sin necesidad de resolución judicial o administrativa alguna y sin responsabilidad frente a la otra Parte, mediante una simple notificación por escrito con 30 (treinta) días naturales de anticipación a la Parte incumplida, con copia para el Instituto, adjuntando en éste último caso la información del incumplimiento correspondiente a efecto de que éste lleve a cabo el análisis correspondiente. </w:t>
      </w:r>
      <w:r w:rsidRPr="00277ED0">
        <w:t>Una vez que el Instituto haya recibido dicho escrito, deberá pronunciarse sobre la rescisión notificada.</w:t>
      </w:r>
    </w:p>
    <w:p w:rsidR="007C4016" w:rsidRPr="00BF4959" w:rsidRDefault="007C4016" w:rsidP="007C4016">
      <w:pPr>
        <w:pStyle w:val="IFTnormal"/>
        <w:spacing w:before="240" w:after="0"/>
        <w:rPr>
          <w:b/>
        </w:rPr>
      </w:pPr>
      <w:r w:rsidRPr="00BF4959">
        <w:rPr>
          <w:b/>
        </w:rPr>
        <w:t>Consideraciones del Instituto</w:t>
      </w:r>
    </w:p>
    <w:p w:rsidR="007C4016" w:rsidRPr="001C56F3" w:rsidRDefault="007C4016" w:rsidP="007C4016">
      <w:pPr>
        <w:pStyle w:val="IFTnormal"/>
        <w:spacing w:before="240" w:after="0"/>
        <w:rPr>
          <w:b/>
        </w:rPr>
      </w:pPr>
      <w:r w:rsidRPr="001C56F3">
        <w:rPr>
          <w:b/>
        </w:rPr>
        <w:lastRenderedPageBreak/>
        <w:t>CASO 2</w:t>
      </w:r>
      <w:r>
        <w:rPr>
          <w:b/>
        </w:rPr>
        <w:t xml:space="preserve"> </w:t>
      </w:r>
      <w:r w:rsidRPr="002802DB">
        <w:rPr>
          <w:b/>
          <w:lang w:val="es-ES"/>
        </w:rPr>
        <w:t xml:space="preserve">Cambios que </w:t>
      </w:r>
      <w:r w:rsidRPr="002802DB">
        <w:rPr>
          <w:b/>
        </w:rPr>
        <w:t>modifican la redacción de</w:t>
      </w:r>
      <w:r>
        <w:rPr>
          <w:b/>
        </w:rPr>
        <w:t>l Convenio de</w:t>
      </w:r>
      <w:r w:rsidRPr="002802DB">
        <w:rPr>
          <w:b/>
        </w:rPr>
        <w:t xml:space="preserve"> la Propuesta de Oferta de Referencia.</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DÉCIMA SEGUNDA </w:t>
      </w:r>
      <w:r w:rsidRPr="00337046">
        <w:t>“</w:t>
      </w:r>
      <w:r>
        <w:t>RESCISIÓN DEL CONVENIO</w:t>
      </w:r>
      <w:r w:rsidRPr="00337046">
        <w:t>”</w:t>
      </w:r>
      <w:r>
        <w:t xml:space="preserve"> </w:t>
      </w:r>
      <w:r>
        <w:rPr>
          <w:lang w:val="es-ES"/>
        </w:rPr>
        <w:t xml:space="preserve">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eliminó el siguiente párrafo establecido en el Convenio de la Oferta de Referencia Vigente</w:t>
      </w:r>
      <w:r>
        <w:rPr>
          <w:rFonts w:eastAsiaTheme="minorHAnsi" w:cs="Arial"/>
          <w:lang w:val="es-ES"/>
        </w:rPr>
        <w:t>.</w:t>
      </w:r>
    </w:p>
    <w:p w:rsidR="007C4016" w:rsidRDefault="007C4016" w:rsidP="007C4016">
      <w:pPr>
        <w:pStyle w:val="Citaift0"/>
        <w:spacing w:before="240" w:after="0"/>
        <w:rPr>
          <w:rFonts w:eastAsiaTheme="minorHAnsi"/>
          <w:lang w:val="es-ES"/>
        </w:rPr>
      </w:pPr>
      <w:r>
        <w:rPr>
          <w:rFonts w:eastAsiaTheme="minorHAnsi"/>
          <w:lang w:val="es-ES"/>
        </w:rPr>
        <w:t>“[…]</w:t>
      </w:r>
    </w:p>
    <w:p w:rsidR="007C4016" w:rsidRDefault="007C4016" w:rsidP="007C4016">
      <w:pPr>
        <w:pStyle w:val="Citaift0"/>
        <w:spacing w:before="240" w:after="0"/>
        <w:rPr>
          <w:rFonts w:eastAsiaTheme="minorHAnsi"/>
          <w:lang w:val="es-ES"/>
        </w:rPr>
      </w:pPr>
      <w:r w:rsidRPr="005946CA">
        <w:rPr>
          <w:rFonts w:eastAsiaTheme="minorHAnsi"/>
          <w:lang w:val="es-ES"/>
        </w:rPr>
        <w:t>Las partes deberán considerar resolver de buena fe malentendidos asociados a los factores causales de rescisión especificados, mediante la notificación por escrito con 30 (treinta) días naturales de anticipación a la Parte incumplida, con copia para el Instituto, adjuntando en éste último caso la información del incumplimiento correspondiente a efecto de que éste lleve a cabo el análisis correspondiente</w:t>
      </w:r>
      <w:r>
        <w:rPr>
          <w:rFonts w:eastAsiaTheme="minorHAnsi"/>
          <w:lang w:val="es-ES"/>
        </w:rPr>
        <w:t>.”</w:t>
      </w:r>
    </w:p>
    <w:p w:rsidR="007C4016" w:rsidRPr="00B0766B" w:rsidRDefault="007C4016" w:rsidP="007C4016">
      <w:pPr>
        <w:pStyle w:val="IFTnormal"/>
        <w:spacing w:before="240" w:after="0"/>
        <w:rPr>
          <w:b/>
          <w:lang w:val="es-ES"/>
        </w:rPr>
      </w:pPr>
      <w:r w:rsidRPr="00F60CA2">
        <w:rPr>
          <w:b/>
          <w:lang w:val="es-ES"/>
        </w:rPr>
        <w:t>Análisis de la Propuesta de Convenio</w:t>
      </w:r>
    </w:p>
    <w:p w:rsidR="007C4016" w:rsidRDefault="007C4016" w:rsidP="007C4016">
      <w:pPr>
        <w:pStyle w:val="IFTnormal"/>
        <w:spacing w:before="240" w:after="0"/>
      </w:pPr>
      <w:r>
        <w:t xml:space="preserve">Del análisis realizado a la Cláusula DÉCIMA SEGUNDA, </w:t>
      </w:r>
      <w:r w:rsidRPr="00F60CA2">
        <w:t>este Instituto establece que no resulta procedente dicha eliminación, ya que previ</w:t>
      </w:r>
      <w:r>
        <w:t>amente</w:t>
      </w:r>
      <w:r w:rsidRPr="00F60CA2">
        <w:t xml:space="preserve"> a la re</w:t>
      </w:r>
      <w:r>
        <w:t>sci</w:t>
      </w:r>
      <w:r w:rsidRPr="00F60CA2">
        <w:t>sión de</w:t>
      </w:r>
      <w:r>
        <w:t>l</w:t>
      </w:r>
      <w:r w:rsidRPr="00F60CA2">
        <w:t xml:space="preserve"> convenio, las partes deberán contar con alternativas que les permitan resolver lo malentendidos asociados a </w:t>
      </w:r>
      <w:r>
        <w:t>las</w:t>
      </w:r>
      <w:r w:rsidRPr="00F60CA2">
        <w:t xml:space="preserve"> causales de rescisión, otorgando con ello seguridad jurídica a las partes</w:t>
      </w:r>
      <w:r>
        <w:t>.</w:t>
      </w:r>
    </w:p>
    <w:p w:rsidR="007C4016" w:rsidRPr="00F60CA2" w:rsidRDefault="007C4016" w:rsidP="007C4016">
      <w:pPr>
        <w:pStyle w:val="IFTnormal"/>
        <w:spacing w:before="240" w:after="0"/>
      </w:pPr>
      <w:r>
        <w:t>Asimismo dicho párrafo sirve como mecanismos de protección para la continuidad de la prestación de los servicios sin necesidad de firmar otro convenio</w:t>
      </w:r>
      <w:r w:rsidRPr="00F60CA2">
        <w:t>.</w:t>
      </w:r>
    </w:p>
    <w:p w:rsidR="007C4016" w:rsidRDefault="007C4016" w:rsidP="007C4016">
      <w:pPr>
        <w:pStyle w:val="IFTnormal"/>
        <w:spacing w:before="240" w:after="0"/>
        <w:rPr>
          <w:sz w:val="24"/>
          <w:szCs w:val="24"/>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w:t>
      </w:r>
      <w:r w:rsidRPr="00E46930">
        <w:rPr>
          <w:lang w:val="es-ES"/>
        </w:rPr>
        <w:t xml:space="preserve">DÉCIMA SEGUNDA </w:t>
      </w:r>
      <w:r>
        <w:rPr>
          <w:lang w:val="es-ES"/>
        </w:rPr>
        <w:t>“</w:t>
      </w:r>
      <w:r w:rsidRPr="00E46930">
        <w:rPr>
          <w:lang w:val="es-ES"/>
        </w:rPr>
        <w:t>RESCISIÓN DEL CONVENIO</w:t>
      </w:r>
      <w:r>
        <w:rPr>
          <w:lang w:val="es-ES"/>
        </w:rPr>
        <w:t>”</w:t>
      </w:r>
      <w:r w:rsidRPr="0043542A">
        <w:rPr>
          <w:lang w:val="es-ES"/>
        </w:rPr>
        <w:t xml:space="preserve"> </w:t>
      </w:r>
      <w:r>
        <w:rPr>
          <w:lang w:val="es-ES"/>
        </w:rPr>
        <w:t xml:space="preserve">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7C4016" w:rsidRDefault="007C4016" w:rsidP="007C4016">
      <w:pPr>
        <w:pStyle w:val="IFTnormal"/>
        <w:spacing w:before="240" w:after="0"/>
        <w:rPr>
          <w:b/>
        </w:rPr>
      </w:pPr>
      <w:r w:rsidRPr="00D138E3">
        <w:rPr>
          <w:b/>
        </w:rPr>
        <w:t>Redacción definitiva</w:t>
      </w:r>
    </w:p>
    <w:p w:rsidR="007C4016" w:rsidRPr="00277ED0" w:rsidRDefault="007C4016" w:rsidP="007C4016">
      <w:pPr>
        <w:pStyle w:val="CondicionesFinales"/>
        <w:spacing w:before="240" w:after="0"/>
        <w:rPr>
          <w:b/>
        </w:rPr>
      </w:pPr>
      <w:r w:rsidRPr="00277ED0">
        <w:t>DÉCIMA SEGUNDA RESCISIÓN DEL CONVENIO</w:t>
      </w:r>
    </w:p>
    <w:p w:rsidR="007C4016" w:rsidRDefault="007C4016" w:rsidP="007C4016">
      <w:pPr>
        <w:pStyle w:val="CondicionesFinales"/>
        <w:spacing w:before="240" w:after="0"/>
      </w:pPr>
      <w:r w:rsidRPr="003E4222">
        <w:t xml:space="preserve">Las partes deberán considerar resolver de buena fe malentendidos asociados a los factores causales de rescisión especificados, mediante la notificación por escrito </w:t>
      </w:r>
      <w:r>
        <w:t>con 30 (treinta</w:t>
      </w:r>
      <w:r w:rsidRPr="003E4222">
        <w:t xml:space="preserve">) días naturales de anticipación a la Parte incumplida, con copia para el Instituto, </w:t>
      </w:r>
      <w:r w:rsidRPr="003E4222">
        <w:lastRenderedPageBreak/>
        <w:t>adjuntando en éste último caso la información del incumplimiento correspondiente a efecto de que éste lleve a cabo el análisis correspondiente.</w:t>
      </w:r>
    </w:p>
    <w:p w:rsidR="007C4016" w:rsidRDefault="007C4016" w:rsidP="007C4016">
      <w:pPr>
        <w:pStyle w:val="IFTnormal"/>
        <w:spacing w:before="240" w:after="0"/>
        <w:rPr>
          <w:b/>
        </w:rPr>
      </w:pPr>
      <w:r w:rsidRPr="00275751">
        <w:rPr>
          <w:b/>
        </w:rPr>
        <w:t xml:space="preserve">CLÁUSULA </w:t>
      </w:r>
      <w:r>
        <w:rPr>
          <w:b/>
        </w:rPr>
        <w:t>VIGÉSIMA CUARTA DATOS PERSONALES</w:t>
      </w:r>
    </w:p>
    <w:p w:rsidR="007C4016" w:rsidRPr="00BF4959" w:rsidRDefault="007C4016" w:rsidP="007C4016">
      <w:pPr>
        <w:pStyle w:val="IFTnormal"/>
        <w:spacing w:before="240" w:after="0"/>
        <w:rPr>
          <w:b/>
        </w:rPr>
      </w:pPr>
      <w:r w:rsidRPr="00BF4959">
        <w:rPr>
          <w:b/>
        </w:rPr>
        <w:t>Consideraciones del Instituto</w:t>
      </w:r>
    </w:p>
    <w:p w:rsidR="007C4016" w:rsidRPr="00B778D8" w:rsidRDefault="007C4016" w:rsidP="007C4016">
      <w:pPr>
        <w:pStyle w:val="IFTnormal"/>
        <w:spacing w:before="240" w:after="0"/>
        <w:rPr>
          <w:b/>
          <w:lang w:val="es-ES"/>
        </w:rPr>
      </w:pPr>
      <w:r w:rsidRPr="001C56F3">
        <w:rPr>
          <w:b/>
        </w:rPr>
        <w:t>CASO 1</w:t>
      </w:r>
      <w:r>
        <w:rPr>
          <w:b/>
        </w:rPr>
        <w:t xml:space="preserve">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VIGÉSIMA CUARTA </w:t>
      </w:r>
      <w:r w:rsidRPr="00337046">
        <w:t>“</w:t>
      </w:r>
      <w:r>
        <w:t>DATOS PERSONALES</w:t>
      </w:r>
      <w:r w:rsidRPr="00337046">
        <w:t>”</w:t>
      </w:r>
      <w:r>
        <w:t xml:space="preserve"> </w:t>
      </w:r>
      <w:r>
        <w:rPr>
          <w:lang w:val="es-ES"/>
        </w:rPr>
        <w:t xml:space="preserve">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 xml:space="preserve">añadió dicha cláusula </w:t>
      </w:r>
      <w:r>
        <w:rPr>
          <w:rFonts w:eastAsiaTheme="minorHAnsi" w:cs="Arial"/>
          <w:lang w:val="es-ES"/>
        </w:rPr>
        <w:t>de la siguiente manera:</w:t>
      </w:r>
    </w:p>
    <w:p w:rsidR="007C4016" w:rsidRDefault="007C4016" w:rsidP="007C4016">
      <w:pPr>
        <w:pStyle w:val="CitaIFT"/>
        <w:spacing w:before="240" w:after="0"/>
        <w:rPr>
          <w:b/>
          <w:lang w:val="es-ES_tradnl"/>
        </w:rPr>
      </w:pPr>
      <w:r>
        <w:rPr>
          <w:lang w:val="es-ES_tradnl"/>
        </w:rPr>
        <w:t>“</w:t>
      </w:r>
      <w:r w:rsidRPr="00935FA9">
        <w:rPr>
          <w:b/>
          <w:lang w:val="es-ES_tradnl"/>
        </w:rPr>
        <w:t>VIGÉSIMA CUARTA. DATOS PERSONALES</w:t>
      </w:r>
    </w:p>
    <w:p w:rsidR="007C4016" w:rsidRDefault="007C4016" w:rsidP="007C4016">
      <w:pPr>
        <w:pStyle w:val="CitaIFT"/>
        <w:spacing w:before="240" w:after="0"/>
        <w:rPr>
          <w:lang w:val="es-ES_tradnl"/>
        </w:rPr>
      </w:pPr>
      <w:r w:rsidRPr="008321DA">
        <w:rPr>
          <w:lang w:val="es-ES_tradnl"/>
        </w:rPr>
        <w:t>El CONCESIONARIO SOLICITANTE es responsable del tratamiento y manejo adecuado de los datos personales que</w:t>
      </w:r>
      <w:r w:rsidRPr="008321DA">
        <w:t xml:space="preserve"> </w:t>
      </w:r>
      <w:r w:rsidRPr="008321DA">
        <w:rPr>
          <w:lang w:val="es-ES_tradnl"/>
        </w:rPr>
        <w:t xml:space="preserve">obtenga con motivo de su operación, cumpliendo al efecto con la legislación aplicable y su aviso de privacidad en cumplimiento con la Ley de Datos Personales y su Reglamento. </w:t>
      </w:r>
    </w:p>
    <w:p w:rsidR="007C4016" w:rsidRDefault="007C4016" w:rsidP="007C4016">
      <w:pPr>
        <w:pStyle w:val="CitaIFT"/>
        <w:spacing w:before="240" w:after="0"/>
        <w:rPr>
          <w:lang w:val="es-ES_tradnl"/>
        </w:rPr>
      </w:pPr>
      <w:r w:rsidRPr="008321DA">
        <w:rPr>
          <w:lang w:val="es-ES_tradnl"/>
        </w:rPr>
        <w:t xml:space="preserve">En relación con lo anterior, el CONCESIONARIO SOLICITANTE declara que: (i) ha informado a los titulares, a través de su aviso de privacidad, sobre la transferencia que realizará de sus datos personales a </w:t>
      </w:r>
      <w:r>
        <w:rPr>
          <w:lang w:val="es-ES_tradnl"/>
        </w:rPr>
        <w:t>TELNOR</w:t>
      </w:r>
      <w:r w:rsidRPr="008321DA">
        <w:rPr>
          <w:lang w:val="es-ES_tradnl"/>
        </w:rPr>
        <w:t xml:space="preserve"> para las finalidades derivadas del servicio contratado y, (ii) que ha obtenido el consentimiento de los titulares para la transferencia de sus datos personales a </w:t>
      </w:r>
      <w:r>
        <w:rPr>
          <w:lang w:val="es-ES_tradnl"/>
        </w:rPr>
        <w:t>TELNOR</w:t>
      </w:r>
      <w:r w:rsidRPr="008321DA">
        <w:rPr>
          <w:lang w:val="es-ES_tradnl"/>
        </w:rPr>
        <w:t xml:space="preserve"> para las finalidades derivadas del servicio contratado.</w:t>
      </w:r>
    </w:p>
    <w:p w:rsidR="007C4016" w:rsidRDefault="007C4016" w:rsidP="007C4016">
      <w:pPr>
        <w:pStyle w:val="CitaIFT"/>
        <w:spacing w:before="240" w:after="0"/>
        <w:rPr>
          <w:lang w:val="es-ES_tradnl"/>
        </w:rPr>
      </w:pPr>
      <w:r w:rsidRPr="008321DA">
        <w:rPr>
          <w:lang w:val="es-ES_tradnl"/>
        </w:rPr>
        <w:t xml:space="preserve">En caso de reclamo relacionado con el tratamiento de datos personales conforme al cumplimiento de este </w:t>
      </w:r>
      <w:r>
        <w:rPr>
          <w:lang w:val="es-ES_tradnl"/>
        </w:rPr>
        <w:t>CONVENIO</w:t>
      </w:r>
      <w:r w:rsidRPr="008321DA">
        <w:rPr>
          <w:lang w:val="es-ES_tradnl"/>
        </w:rPr>
        <w:t xml:space="preserve">, el CONCESIONARIO SOLICITANTE deberá indemnizar, defender y sacar en paz y a salvo a </w:t>
      </w:r>
      <w:r>
        <w:rPr>
          <w:lang w:val="es-ES_tradnl"/>
        </w:rPr>
        <w:t>TELNOR</w:t>
      </w:r>
      <w:r w:rsidRPr="008321DA">
        <w:rPr>
          <w:lang w:val="es-ES_tradnl"/>
        </w:rPr>
        <w:t xml:space="preserve"> de cualquier monto que este último tenga que pagar por multas y/o indemnizaciones o por cualquier otro concepto, derivadas de procesos administrativos, civiles o transacciones que resuelvan el o los reclamos correspondientes. Esta responsabilidad de indemnizar, defender y sacar en paz y a salvo a </w:t>
      </w:r>
      <w:r>
        <w:rPr>
          <w:lang w:val="es-ES_tradnl"/>
        </w:rPr>
        <w:t>TELNOR</w:t>
      </w:r>
      <w:r w:rsidRPr="008321DA">
        <w:rPr>
          <w:lang w:val="es-ES_tradnl"/>
        </w:rPr>
        <w:t xml:space="preserve"> la otorga el CONCESIONARIO SOLICITANTE sin límite alguno.</w:t>
      </w:r>
    </w:p>
    <w:p w:rsidR="007C4016" w:rsidRDefault="007C4016" w:rsidP="007C4016">
      <w:pPr>
        <w:pStyle w:val="CitaIFT"/>
        <w:spacing w:before="240" w:after="0"/>
        <w:rPr>
          <w:lang w:val="es-ES_tradnl"/>
        </w:rPr>
      </w:pPr>
      <w:r w:rsidRPr="008321DA">
        <w:rPr>
          <w:lang w:val="es-ES_tradnl"/>
        </w:rPr>
        <w:t>En términos de lo señalado por la Ley de Datos Personales, los lineamientos expedidos por el Instituto Federal de Acceso a la Información y Protección de Datos Personales y demás normatividad aplicable al CONCESIONARIO SOLICITANTE, se obligue a lo siguiente:</w:t>
      </w:r>
    </w:p>
    <w:p w:rsidR="007C4016" w:rsidRDefault="007C4016" w:rsidP="007C4016">
      <w:pPr>
        <w:pStyle w:val="CitaIFT"/>
        <w:numPr>
          <w:ilvl w:val="0"/>
          <w:numId w:val="213"/>
        </w:numPr>
        <w:spacing w:before="240" w:after="0"/>
        <w:rPr>
          <w:lang w:val="es-ES_tradnl"/>
        </w:rPr>
      </w:pPr>
      <w:r w:rsidRPr="008321DA">
        <w:rPr>
          <w:lang w:val="es-ES_tradnl"/>
        </w:rPr>
        <w:t xml:space="preserve">Poner a disposición de los titulares los avisos de privacidad que correspondan que como mínimo deben incluir: (i) Identidad y domicilio del responsable; (ii) Finalidades del tratamiento de los datos personales; (iii) Identificación de la información que se recaba de los titulares; (iv) Las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(vii) </w:t>
      </w:r>
      <w:r w:rsidRPr="008321DA">
        <w:rPr>
          <w:lang w:val="es-ES_tradnl"/>
        </w:rPr>
        <w:lastRenderedPageBreak/>
        <w:t>El procedimiento y medio por el cual el responsable comunicará a los titulares de cambios al aviso de privacidad. Recabar el consentimiento que sea necesario de los usuarios finales de los datos personales que requiera tener para cumplir con las obligaciones objeto del contrato.</w:t>
      </w:r>
    </w:p>
    <w:p w:rsidR="007C4016" w:rsidRDefault="007C4016" w:rsidP="007C4016">
      <w:pPr>
        <w:pStyle w:val="CitaIFT"/>
        <w:numPr>
          <w:ilvl w:val="0"/>
          <w:numId w:val="213"/>
        </w:numPr>
        <w:spacing w:before="240" w:after="0"/>
        <w:rPr>
          <w:lang w:val="es-ES_tradnl"/>
        </w:rPr>
      </w:pPr>
      <w:r w:rsidRPr="00935FA9">
        <w:rPr>
          <w:lang w:val="es-ES_tradnl"/>
        </w:rPr>
        <w:t>Atender las solicitudes que los titulares de datos personales pudieran ejercer respecto de los derechos de Acceso, Rectificación, Cancelación y Oposición.</w:t>
      </w:r>
    </w:p>
    <w:p w:rsidR="007C4016" w:rsidRDefault="007C4016" w:rsidP="007C4016">
      <w:pPr>
        <w:pStyle w:val="CitaIFT"/>
        <w:numPr>
          <w:ilvl w:val="0"/>
          <w:numId w:val="213"/>
        </w:numPr>
        <w:spacing w:before="240" w:after="0"/>
        <w:rPr>
          <w:lang w:val="es-ES_tradnl"/>
        </w:rPr>
      </w:pPr>
      <w:r w:rsidRPr="00935FA9">
        <w:rPr>
          <w:lang w:val="es-ES_tradnl"/>
        </w:rPr>
        <w:t>Guardar estricta confidencialidad respecto de los datos personales que obtengan, usen y/o manejen, en términos de lo señalado en el artículo 21 de la Ley de Datos Personales.</w:t>
      </w:r>
    </w:p>
    <w:p w:rsidR="007C4016" w:rsidRDefault="007C4016" w:rsidP="007C4016">
      <w:pPr>
        <w:pStyle w:val="CitaIFT"/>
        <w:numPr>
          <w:ilvl w:val="0"/>
          <w:numId w:val="213"/>
        </w:numPr>
        <w:spacing w:before="240" w:after="0"/>
        <w:rPr>
          <w:lang w:val="es-ES_tradnl"/>
        </w:rPr>
      </w:pPr>
      <w:r w:rsidRPr="00935FA9">
        <w:rPr>
          <w:lang w:val="es-ES_tradnl"/>
        </w:rPr>
        <w:t>Adoptar las medidas de seguridad administrativas, técnicas y físicas necesarias que permitan proteger los datos personales de los titulares contra daño, pérdida, alteración, destrucción o el uso, acceso o tratamiento no autorizado.</w:t>
      </w:r>
    </w:p>
    <w:p w:rsidR="007C4016" w:rsidRPr="00935FA9" w:rsidRDefault="007C4016" w:rsidP="007C4016">
      <w:pPr>
        <w:pStyle w:val="CitaIFT"/>
        <w:numPr>
          <w:ilvl w:val="0"/>
          <w:numId w:val="213"/>
        </w:numPr>
        <w:spacing w:before="240" w:after="0"/>
        <w:rPr>
          <w:lang w:val="es-ES_tradnl"/>
        </w:rPr>
      </w:pPr>
      <w:r w:rsidRPr="00935FA9">
        <w:rPr>
          <w:lang w:val="es-ES_tradnl"/>
        </w:rPr>
        <w:t>Resguardar los datos personales conforme a los tiempos contemplados en la legislación aplicable.</w:t>
      </w:r>
      <w:r>
        <w:rPr>
          <w:lang w:val="es-ES_tradnl"/>
        </w:rPr>
        <w:t>”</w:t>
      </w:r>
    </w:p>
    <w:p w:rsidR="007C4016" w:rsidRDefault="007C4016" w:rsidP="007C4016">
      <w:pPr>
        <w:pStyle w:val="IFTnormal"/>
        <w:spacing w:before="240" w:after="0"/>
        <w:rPr>
          <w:b/>
          <w:lang w:val="es-ES"/>
        </w:rPr>
      </w:pPr>
      <w:r w:rsidRPr="008227AA">
        <w:rPr>
          <w:b/>
          <w:lang w:val="es-ES"/>
        </w:rPr>
        <w:t>Análisis de la Propuesta de Convenio</w:t>
      </w:r>
    </w:p>
    <w:p w:rsidR="007C4016" w:rsidRPr="00EF35B0" w:rsidRDefault="007C4016" w:rsidP="007C4016">
      <w:pPr>
        <w:pStyle w:val="IFTnormal"/>
        <w:spacing w:before="240" w:after="0"/>
        <w:rPr>
          <w:rFonts w:eastAsia="Times New Roman" w:cs="Times New Roman"/>
        </w:rPr>
      </w:pPr>
      <w:r w:rsidRPr="00EF35B0">
        <w:t>Del estudio de la Propuesta de Oferta de Referencia presentada, el Instituto considera que la cláusula “Datos Personales” no cumple con la naturaleza jurídica del presente modelo de Convenio, en virtud de que no refleja lo establecido en la Oferta de Refe</w:t>
      </w:r>
      <w:r>
        <w:t>rencia ni en las Medidas Fijas</w:t>
      </w:r>
      <w:r w:rsidRPr="00EF35B0">
        <w:t xml:space="preserve">, en específico lo contenido en la </w:t>
      </w:r>
      <w:r w:rsidRPr="008836FD">
        <w:t>Medida CUADRAGÉSIMA TERCERA que enuncia que el convenio deberá contener todas aquellas condiciones existentes para la prestación de los servicios contratados.</w:t>
      </w:r>
    </w:p>
    <w:p w:rsidR="007C4016" w:rsidRPr="00EF35B0" w:rsidRDefault="007C4016" w:rsidP="007C4016">
      <w:pPr>
        <w:pStyle w:val="IFTnormal"/>
        <w:spacing w:before="240" w:after="0"/>
      </w:pPr>
      <w:r w:rsidRPr="00EF35B0">
        <w:t xml:space="preserve">Por lo anterior el Instituto considera procedente eliminar la cláusula “Datos Personales” en razón de lo expuesto en el párrafo anterior, además de que lo relacionado a la protección de datos personales se encuentra regulada en una legislación distinta a la </w:t>
      </w:r>
      <w:r w:rsidRPr="00EF35B0" w:rsidDel="00931D01">
        <w:t>LFTyR</w:t>
      </w:r>
      <w:r w:rsidRPr="00EF35B0">
        <w:t xml:space="preserve"> además de pertenecer a facultades distintas a las de este Instituto. Además el incluir un procedimiento de reclamación y de sanción por el uso de dichos datos personales, no se relaciona respecto de la prestación de los servicios objeto de la Oferta de Referencia.</w:t>
      </w:r>
    </w:p>
    <w:p w:rsidR="007C4016" w:rsidRDefault="007C4016" w:rsidP="007C4016">
      <w:pPr>
        <w:pStyle w:val="IFTnormal"/>
        <w:spacing w:before="240" w:after="0"/>
        <w:rPr>
          <w:b/>
        </w:rPr>
      </w:pPr>
      <w:r w:rsidRPr="00D138E3">
        <w:rPr>
          <w:b/>
        </w:rPr>
        <w:t>Redacción definitiva</w:t>
      </w:r>
    </w:p>
    <w:p w:rsidR="007C4016" w:rsidRPr="00EF35B0" w:rsidRDefault="007C4016" w:rsidP="007C4016">
      <w:pPr>
        <w:pStyle w:val="IFTnormal"/>
        <w:spacing w:before="240" w:after="0"/>
      </w:pPr>
      <w:r w:rsidRPr="00EF35B0">
        <w:t xml:space="preserve">Derivado del análisis previo, el Instituto acuerda eliminar </w:t>
      </w:r>
      <w:r>
        <w:t>la cláusula</w:t>
      </w:r>
      <w:r w:rsidRPr="00EF35B0">
        <w:t xml:space="preserve"> en comento del Modelo de Convenio.</w:t>
      </w:r>
    </w:p>
    <w:p w:rsidR="007C4016" w:rsidRDefault="007C4016" w:rsidP="007C4016">
      <w:pPr>
        <w:pStyle w:val="IFTnormal"/>
        <w:spacing w:before="240" w:after="0"/>
        <w:rPr>
          <w:b/>
        </w:rPr>
      </w:pPr>
      <w:r w:rsidRPr="00275751">
        <w:rPr>
          <w:b/>
        </w:rPr>
        <w:t xml:space="preserve">CLÁUSULA </w:t>
      </w:r>
      <w:r>
        <w:rPr>
          <w:b/>
        </w:rPr>
        <w:t>VIGÉSIMA QUINTA ANTICORRUPCIÓN</w:t>
      </w:r>
    </w:p>
    <w:p w:rsidR="007C4016" w:rsidRPr="00BF4959" w:rsidRDefault="007C4016" w:rsidP="007C4016">
      <w:pPr>
        <w:pStyle w:val="IFTnormal"/>
        <w:spacing w:before="240" w:after="0"/>
        <w:rPr>
          <w:b/>
        </w:rPr>
      </w:pPr>
      <w:r w:rsidRPr="00BF4959">
        <w:rPr>
          <w:b/>
        </w:rPr>
        <w:t>Consideraciones del Instituto</w:t>
      </w:r>
    </w:p>
    <w:p w:rsidR="007C4016" w:rsidRPr="00B778D8" w:rsidRDefault="007C4016" w:rsidP="007C4016">
      <w:pPr>
        <w:pStyle w:val="IFTnormal"/>
        <w:spacing w:before="240" w:after="0"/>
        <w:rPr>
          <w:b/>
          <w:lang w:val="es-ES"/>
        </w:rPr>
      </w:pPr>
      <w:r w:rsidRPr="001C56F3">
        <w:rPr>
          <w:b/>
        </w:rPr>
        <w:lastRenderedPageBreak/>
        <w:t>CASO 1</w:t>
      </w:r>
      <w:r>
        <w:rPr>
          <w:b/>
        </w:rPr>
        <w:t xml:space="preserve"> </w:t>
      </w:r>
      <w:r w:rsidRPr="002802DB">
        <w:rPr>
          <w:b/>
        </w:rPr>
        <w:t>Cambios que recuperan la redacción de</w:t>
      </w:r>
      <w:r>
        <w:rPr>
          <w:b/>
        </w:rPr>
        <w:t>l Convenio de</w:t>
      </w:r>
      <w:r w:rsidRPr="002802DB">
        <w:rPr>
          <w:b/>
        </w:rPr>
        <w:t xml:space="preserve"> la Oferta de Referencia Vigente</w:t>
      </w:r>
      <w:r w:rsidRPr="002802DB">
        <w:rPr>
          <w:b/>
          <w:lang w:val="es-ES"/>
        </w:rPr>
        <w:t>.</w:t>
      </w:r>
    </w:p>
    <w:p w:rsidR="007C4016" w:rsidRDefault="007C4016" w:rsidP="007C4016">
      <w:pPr>
        <w:pStyle w:val="IFTnormal"/>
        <w:spacing w:before="240" w:after="0"/>
        <w:rPr>
          <w:rFonts w:eastAsiaTheme="minorHAnsi" w:cs="Arial"/>
          <w:lang w:val="es-ES"/>
        </w:rPr>
      </w:pPr>
      <w:r w:rsidRPr="00F0621F">
        <w:rPr>
          <w:lang w:val="es-ES"/>
        </w:rPr>
        <w:t xml:space="preserve">Dentro de </w:t>
      </w:r>
      <w:r>
        <w:rPr>
          <w:lang w:val="es-ES"/>
        </w:rPr>
        <w:t xml:space="preserve">la Cláusula VIGÉSIMA QUINTA </w:t>
      </w:r>
      <w:r w:rsidRPr="00337046">
        <w:t>“</w:t>
      </w:r>
      <w:r>
        <w:t>ANTICORRUPCIÓN</w:t>
      </w:r>
      <w:r w:rsidRPr="00337046">
        <w:t>”</w:t>
      </w:r>
      <w:r>
        <w:t xml:space="preserve"> </w:t>
      </w:r>
      <w:r>
        <w:rPr>
          <w:lang w:val="es-ES"/>
        </w:rPr>
        <w:t xml:space="preserve">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 xml:space="preserve">añadió dicha cláusula </w:t>
      </w:r>
      <w:r>
        <w:rPr>
          <w:rFonts w:eastAsiaTheme="minorHAnsi" w:cs="Arial"/>
          <w:lang w:val="es-ES"/>
        </w:rPr>
        <w:t>de la siguiente manera:</w:t>
      </w:r>
    </w:p>
    <w:p w:rsidR="007C4016" w:rsidRDefault="007C4016" w:rsidP="007C4016">
      <w:pPr>
        <w:pStyle w:val="CitaIFT"/>
        <w:spacing w:before="240" w:after="0"/>
        <w:rPr>
          <w:lang w:val="es-ES_tradnl"/>
        </w:rPr>
      </w:pPr>
      <w:r>
        <w:rPr>
          <w:lang w:val="es-ES_tradnl"/>
        </w:rPr>
        <w:t>“</w:t>
      </w:r>
      <w:r w:rsidRPr="00486E19">
        <w:rPr>
          <w:b/>
          <w:lang w:val="es-ES_tradnl"/>
        </w:rPr>
        <w:t>VIGÉSIMA QUINTA. ANTICORRUPCIÓN</w:t>
      </w:r>
    </w:p>
    <w:p w:rsidR="007C4016" w:rsidRPr="008321DA" w:rsidRDefault="007C4016" w:rsidP="007C4016">
      <w:pPr>
        <w:pStyle w:val="CitaIFT"/>
        <w:spacing w:before="240" w:after="0"/>
        <w:rPr>
          <w:lang w:val="es-ES_tradnl"/>
        </w:rPr>
      </w:pPr>
      <w:r w:rsidRPr="008321DA">
        <w:rPr>
          <w:lang w:val="es-ES_tradnl"/>
        </w:rPr>
        <w:t xml:space="preserve">El CONCESIONARIO SOLICITANTE y </w:t>
      </w:r>
      <w:r>
        <w:rPr>
          <w:lang w:val="es-ES_tradnl"/>
        </w:rPr>
        <w:t>TELNOR</w:t>
      </w:r>
      <w:r w:rsidRPr="008321DA">
        <w:rPr>
          <w:lang w:val="es-ES_tradnl"/>
        </w:rPr>
        <w:t xml:space="preserve"> en este acto manifiestan lo siguiente:</w:t>
      </w:r>
    </w:p>
    <w:p w:rsidR="007C4016" w:rsidRPr="008321DA" w:rsidRDefault="007C4016" w:rsidP="007C4016">
      <w:pPr>
        <w:pStyle w:val="CitaIFT"/>
        <w:spacing w:before="240" w:after="0"/>
        <w:rPr>
          <w:lang w:val="es-ES_tradnl"/>
        </w:rPr>
      </w:pPr>
      <w:r w:rsidRPr="008321DA">
        <w:rPr>
          <w:lang w:val="es-ES_tradnl"/>
        </w:rPr>
        <w:t>Nadie de su personal ha violado las Leyes Anticorrupción a su leal saber y entender.</w:t>
      </w:r>
    </w:p>
    <w:p w:rsidR="007C4016" w:rsidRPr="008321DA" w:rsidRDefault="007C4016" w:rsidP="007C4016">
      <w:pPr>
        <w:pStyle w:val="CitaIFT"/>
        <w:spacing w:before="240" w:after="0"/>
        <w:rPr>
          <w:lang w:val="es-ES_tradnl"/>
        </w:rPr>
      </w:pPr>
      <w:r w:rsidRPr="008321DA">
        <w:rPr>
          <w:lang w:val="es-ES_tradnl"/>
        </w:rPr>
        <w:t>Se obligan a tomar todas las medidas necesarias para garantizar que su personal cumpla plenamente con las Leyes Anticorrupción.</w:t>
      </w:r>
    </w:p>
    <w:p w:rsidR="007C4016" w:rsidRDefault="007C4016" w:rsidP="007C4016">
      <w:pPr>
        <w:pStyle w:val="CitaIFT"/>
        <w:spacing w:before="240" w:after="0"/>
        <w:rPr>
          <w:lang w:val="es-ES_tradnl"/>
        </w:rPr>
      </w:pPr>
      <w:r w:rsidRPr="008321DA">
        <w:rPr>
          <w:lang w:val="es-ES_tradnl"/>
        </w:rPr>
        <w:t xml:space="preserve">Llevarán a cabo todos los actos necesarios para prevenir que, se incumpla la Ley Anticorrupción. </w:t>
      </w:r>
    </w:p>
    <w:p w:rsidR="007C4016" w:rsidRDefault="007C4016" w:rsidP="007C4016">
      <w:pPr>
        <w:pStyle w:val="CitaIFT"/>
        <w:spacing w:before="240" w:after="0"/>
        <w:rPr>
          <w:lang w:val="es-ES_tradnl"/>
        </w:rPr>
      </w:pPr>
      <w:r w:rsidRPr="008321DA">
        <w:rPr>
          <w:lang w:val="es-ES_tradnl"/>
        </w:rPr>
        <w:t xml:space="preserve">Con excepción de que la situación contraria se haga del conocimiento de alguna de las </w:t>
      </w:r>
      <w:r>
        <w:rPr>
          <w:lang w:val="es-ES_tradnl"/>
        </w:rPr>
        <w:t>Partes</w:t>
      </w:r>
      <w:r w:rsidRPr="008321DA">
        <w:rPr>
          <w:lang w:val="es-ES_tradnl"/>
        </w:rPr>
        <w:t xml:space="preserve">, las </w:t>
      </w:r>
      <w:r>
        <w:rPr>
          <w:lang w:val="es-ES_tradnl"/>
        </w:rPr>
        <w:t>Partes</w:t>
      </w:r>
      <w:r w:rsidRPr="008321DA">
        <w:rPr>
          <w:lang w:val="es-ES_tradnl"/>
        </w:rPr>
        <w:t xml:space="preserve">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mencionada.</w:t>
      </w:r>
    </w:p>
    <w:p w:rsidR="007C4016" w:rsidRDefault="007C4016" w:rsidP="007C4016">
      <w:pPr>
        <w:pStyle w:val="CitaIFT"/>
        <w:spacing w:before="240" w:after="0"/>
        <w:rPr>
          <w:lang w:val="es-ES_tradnl"/>
        </w:rPr>
      </w:pPr>
      <w:r w:rsidRPr="008321DA">
        <w:rPr>
          <w:lang w:val="es-ES_tradnl"/>
        </w:rPr>
        <w:t xml:space="preserve">Las </w:t>
      </w:r>
      <w:r>
        <w:rPr>
          <w:lang w:val="es-ES_tradnl"/>
        </w:rPr>
        <w:t>Partes</w:t>
      </w:r>
      <w:r w:rsidRPr="008321DA">
        <w:rPr>
          <w:lang w:val="es-ES_tradnl"/>
        </w:rPr>
        <w:t xml:space="preserve"> declaran y garantizan que su operación en sí misma es lícita y, por lo tanto, los recursos con los que financian la misma y aquellos con los que harán el pago de las contraprestaciones previstas en el presente C</w:t>
      </w:r>
      <w:r w:rsidRPr="00916AA7">
        <w:rPr>
          <w:lang w:val="es-ES_tradnl"/>
        </w:rPr>
        <w:t xml:space="preserve">ONVENIO </w:t>
      </w:r>
      <w:r w:rsidRPr="008321DA">
        <w:rPr>
          <w:lang w:val="es-ES_tradnl"/>
        </w:rPr>
        <w:t>son de procedencia lícita. Deberán cumplir con la legislación aplicable y proporcionar a su contraparte toda aquella información que la ley le requiera para dar cumplimiento a la misma.</w:t>
      </w:r>
      <w:r>
        <w:rPr>
          <w:lang w:val="es-ES_tradnl"/>
        </w:rPr>
        <w:t>”</w:t>
      </w:r>
    </w:p>
    <w:p w:rsidR="007C4016" w:rsidRPr="00486E19" w:rsidRDefault="007C4016" w:rsidP="007C4016">
      <w:pPr>
        <w:pStyle w:val="IFTnormal"/>
        <w:spacing w:before="240" w:after="0"/>
        <w:rPr>
          <w:b/>
          <w:lang w:val="es-ES"/>
        </w:rPr>
      </w:pPr>
      <w:r w:rsidRPr="008227AA">
        <w:rPr>
          <w:b/>
          <w:lang w:val="es-ES"/>
        </w:rPr>
        <w:t>Análisis de la Propuesta de Convenio</w:t>
      </w:r>
    </w:p>
    <w:p w:rsidR="007C4016" w:rsidRPr="00EF35B0" w:rsidRDefault="007C4016" w:rsidP="007C4016">
      <w:pPr>
        <w:pStyle w:val="IFTTexto"/>
        <w:spacing w:before="240" w:after="0"/>
        <w:rPr>
          <w:rFonts w:eastAsia="Times New Roman" w:cs="Times New Roman"/>
          <w:color w:val="auto"/>
        </w:rPr>
      </w:pPr>
      <w:r w:rsidRPr="00EF35B0">
        <w:rPr>
          <w:color w:val="auto"/>
        </w:rPr>
        <w:t>Del estudio de la Propuesta de Oferta de Referencia presentada, el Instituto considera que la cláusula “Anticorrupción” no cumple con la naturaleza jurídica del presente modelo de Convenio, en virtud de que no refleja lo establecido en la Oferta de Refe</w:t>
      </w:r>
      <w:r>
        <w:rPr>
          <w:color w:val="auto"/>
        </w:rPr>
        <w:t>rencia ni en las Medidas Fijas</w:t>
      </w:r>
      <w:r w:rsidRPr="00EF35B0">
        <w:rPr>
          <w:color w:val="auto"/>
        </w:rPr>
        <w:t xml:space="preserve">, en específico lo contenido en la </w:t>
      </w:r>
      <w:r w:rsidRPr="008836FD">
        <w:rPr>
          <w:color w:val="auto"/>
        </w:rPr>
        <w:t xml:space="preserve">Medida </w:t>
      </w:r>
      <w:r w:rsidRPr="008836FD">
        <w:t>CUADRAGÉSIMA TERCERA</w:t>
      </w:r>
      <w:r w:rsidRPr="008836FD">
        <w:rPr>
          <w:color w:val="auto"/>
        </w:rPr>
        <w:t xml:space="preserve"> que</w:t>
      </w:r>
      <w:r w:rsidRPr="00EF35B0">
        <w:rPr>
          <w:color w:val="auto"/>
        </w:rPr>
        <w:t xml:space="preserve"> enuncia que el convenio deberá contener todas aquellas condiciones existentes para la prestación de los servicios contratados.</w:t>
      </w:r>
    </w:p>
    <w:p w:rsidR="007C4016" w:rsidRDefault="007C4016" w:rsidP="007C4016">
      <w:pPr>
        <w:pStyle w:val="IFTTexto"/>
        <w:spacing w:before="240" w:after="0"/>
      </w:pPr>
      <w:r w:rsidRPr="00EF35B0">
        <w:rPr>
          <w:color w:val="auto"/>
        </w:rPr>
        <w:t xml:space="preserve">Por lo anterior el Instituto considera procedente eliminar la cláusula “Anticorrupción” en razón de lo expuesto en el párrafo anterior, además de que lo relacionado a </w:t>
      </w:r>
      <w:r>
        <w:rPr>
          <w:color w:val="auto"/>
        </w:rPr>
        <w:t xml:space="preserve">temas mencionados en </w:t>
      </w:r>
      <w:r w:rsidRPr="00EF35B0">
        <w:rPr>
          <w:color w:val="auto"/>
        </w:rPr>
        <w:t>l</w:t>
      </w:r>
      <w:r>
        <w:rPr>
          <w:color w:val="auto"/>
        </w:rPr>
        <w:t xml:space="preserve">a citada cláusula, </w:t>
      </w:r>
      <w:r w:rsidRPr="00EF35B0">
        <w:t>se encuentra</w:t>
      </w:r>
      <w:r>
        <w:t>n</w:t>
      </w:r>
      <w:r w:rsidRPr="00EF35B0">
        <w:t xml:space="preserve"> regulad</w:t>
      </w:r>
      <w:r>
        <w:t>os</w:t>
      </w:r>
      <w:r w:rsidRPr="00EF35B0">
        <w:t xml:space="preserve"> en </w:t>
      </w:r>
      <w:r>
        <w:t>distintas</w:t>
      </w:r>
      <w:r w:rsidRPr="00EF35B0">
        <w:t xml:space="preserve"> legislaci</w:t>
      </w:r>
      <w:r>
        <w:t>o</w:t>
      </w:r>
      <w:r w:rsidRPr="00EF35B0">
        <w:t>n</w:t>
      </w:r>
      <w:r>
        <w:t>es</w:t>
      </w:r>
      <w:r w:rsidRPr="00EF35B0">
        <w:t xml:space="preserve"> a la </w:t>
      </w:r>
      <w:r w:rsidRPr="00EF35B0" w:rsidDel="00931D01">
        <w:t>LFTyR</w:t>
      </w:r>
      <w:r w:rsidRPr="00EF35B0">
        <w:t xml:space="preserve"> además de pertenecer a facultades distintas a las de este Instituto.</w:t>
      </w:r>
    </w:p>
    <w:p w:rsidR="007C4016" w:rsidRDefault="007C4016" w:rsidP="007C4016">
      <w:pPr>
        <w:pStyle w:val="IFTnormal"/>
        <w:spacing w:before="240" w:after="0"/>
        <w:rPr>
          <w:b/>
        </w:rPr>
      </w:pPr>
      <w:r w:rsidRPr="00D138E3">
        <w:rPr>
          <w:b/>
        </w:rPr>
        <w:lastRenderedPageBreak/>
        <w:t>Redacción definitiva</w:t>
      </w:r>
    </w:p>
    <w:p w:rsidR="007C4016" w:rsidRDefault="007C4016" w:rsidP="007C4016">
      <w:pPr>
        <w:pStyle w:val="IFTnormal"/>
        <w:spacing w:before="240" w:after="0"/>
      </w:pPr>
      <w:r w:rsidRPr="00EF35B0">
        <w:t xml:space="preserve">Derivado del análisis previo, el Instituto acuerda eliminar </w:t>
      </w:r>
      <w:r>
        <w:t>la cláusula</w:t>
      </w:r>
      <w:r w:rsidRPr="00EF35B0">
        <w:t xml:space="preserve"> en comento del Modelo de Convenio.</w:t>
      </w:r>
    </w:p>
    <w:p w:rsidR="007C4016" w:rsidRPr="006A7AA7" w:rsidRDefault="007C4016" w:rsidP="006A7AA7">
      <w:pPr>
        <w:spacing w:before="240" w:after="0"/>
        <w:rPr>
          <w:rFonts w:ascii="ITC Avant Garde" w:hAnsi="ITC Avant Garde"/>
          <w:b/>
          <w:sz w:val="22"/>
          <w:szCs w:val="22"/>
        </w:rPr>
      </w:pPr>
      <w:r w:rsidRPr="006A7AA7">
        <w:rPr>
          <w:rFonts w:ascii="ITC Avant Garde" w:hAnsi="ITC Avant Garde"/>
          <w:b/>
          <w:sz w:val="22"/>
          <w:szCs w:val="22"/>
        </w:rPr>
        <w:t>ANEXO A DEL CONVENIO. TARIFAS</w:t>
      </w:r>
    </w:p>
    <w:p w:rsidR="007C4016" w:rsidRPr="00BF4959" w:rsidRDefault="007C4016" w:rsidP="007C4016">
      <w:pPr>
        <w:pStyle w:val="IFTnormal"/>
        <w:spacing w:before="240" w:after="0"/>
        <w:rPr>
          <w:b/>
        </w:rPr>
      </w:pPr>
      <w:r w:rsidRPr="00BF4959">
        <w:rPr>
          <w:b/>
        </w:rPr>
        <w:t>Consideraciones del Instituto</w:t>
      </w:r>
    </w:p>
    <w:p w:rsidR="007C4016" w:rsidRPr="00BF4959" w:rsidRDefault="007C4016" w:rsidP="007C4016">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C4016" w:rsidRDefault="007C4016" w:rsidP="007C4016">
      <w:pPr>
        <w:pStyle w:val="IFTnormal"/>
        <w:spacing w:before="240" w:after="0"/>
      </w:pPr>
      <w:r w:rsidRPr="00DB0F30">
        <w:t>De la lectura del contenido de</w:t>
      </w:r>
      <w:r>
        <w:t xml:space="preserve">l ANEXO A “TARIFAS” DEL CONVENIO DE PRESTACIÓN DE SERVICIOS PARA EL ACCESO Y USO COMPARTIDO DE INFRAESTRUCTURA PASIVA, de </w:t>
      </w:r>
      <w:r w:rsidRPr="00DB0F30">
        <w:t>la Propuesta de Oferta de Referencia del AEP</w:t>
      </w:r>
      <w:r>
        <w:t xml:space="preserve"> </w:t>
      </w:r>
      <w:r w:rsidRPr="00DB0F30">
        <w:t>el Instituto realiza las consideraciones siguientes</w:t>
      </w:r>
      <w:r>
        <w:t>:</w:t>
      </w:r>
    </w:p>
    <w:p w:rsidR="007C4016" w:rsidRDefault="007C4016" w:rsidP="007C4016">
      <w:pPr>
        <w:pStyle w:val="IFTnormal"/>
        <w:spacing w:before="240" w:after="0"/>
        <w:rPr>
          <w:sz w:val="20"/>
          <w:szCs w:val="20"/>
          <w:lang w:eastAsia="es-MX"/>
        </w:rPr>
      </w:pPr>
      <w:r>
        <w:t>El Instituto da cuenta que en el ANEXO de Tarifas de la Propuesta de Oferta de Referencia, Telnor presentó tarifas sustancialmente más elevadas a las resueltas por el Instituto en un proceso de desacuerdo para el periodo de vigencia de la Oferta de Referencia Vigente, es decir, hasta el 31 de diciembre de 2017. Al respecto el Instituto considera que Telnor debió haber presentado tarifas al menos equivalentes a las determinadas por el Instituto en la “</w:t>
      </w:r>
      <w:r>
        <w:rPr>
          <w:i/>
          <w:iCs/>
        </w:rPr>
        <w:t>RESOLUCIÓN MEDIANTE LA CUAL EL PLENO DEL INSTITUTO FEDERAL DE TELECOMUNICACIONES DETERMINA LAS CONDICIONES PARA EL SERVICIO DE ACCESO Y USO COMPARTIDO DE INFRAESTRUCTURA PASIVA NO CONVENIDAS ENTRE LA EMPRESA MEGA CABLE, S.A. DE C.V. Y LAS EMPRESAS TELÉFONOS DE MÉXICO, S.A.B. DE C.V., Y TELÉFONOS DEL NOROESTE, S.A. DE C.V. APLICABLES DEL 1 DE ENERO AL 31 DE DICIEMBRE DE 2017”.</w:t>
      </w:r>
      <w:r>
        <w:t xml:space="preserve"> Por lo anterior, el Instituto considera procedente determinar las tarifas aplicables a los servicios de la Oferta de Referencia de Compartición de Infraestructura para el periodo del 1 de enero al 31 de diciembre de 2018 con base en la información disponible y actualizada, así como realizar los ajustes pertinentes a partir de las consideraciones vertidas en apartados previos del presente Acuerdo a las tarifas.</w:t>
      </w:r>
    </w:p>
    <w:p w:rsidR="007C4016" w:rsidRDefault="007C4016" w:rsidP="007C4016">
      <w:pPr>
        <w:pStyle w:val="IFTnormal"/>
        <w:spacing w:before="240" w:after="0"/>
        <w:rPr>
          <w:b/>
        </w:rPr>
      </w:pPr>
      <w:r w:rsidRPr="00D138E3">
        <w:rPr>
          <w:b/>
        </w:rPr>
        <w:t>Redacción definitiva</w:t>
      </w:r>
    </w:p>
    <w:p w:rsidR="007C4016" w:rsidRDefault="007C4016" w:rsidP="007C4016">
      <w:pPr>
        <w:pStyle w:val="IFTnormal"/>
        <w:spacing w:before="240" w:after="0"/>
      </w:pPr>
      <w:r w:rsidRPr="00EF35B0">
        <w:t xml:space="preserve">Derivado del análisis previo, el Instituto acuerda </w:t>
      </w:r>
      <w:r>
        <w:t>incluir lo siguiente correspondiente al ANEXO A:</w:t>
      </w:r>
    </w:p>
    <w:p w:rsidR="007C4016" w:rsidRPr="00390B03" w:rsidRDefault="007C4016" w:rsidP="007C4016">
      <w:pPr>
        <w:spacing w:before="240" w:after="0"/>
        <w:rPr>
          <w:rFonts w:ascii="ITC Avant Garde" w:eastAsia="MS Mincho" w:hAnsi="ITC Avant Garde" w:cs="Calibri"/>
          <w:bCs/>
          <w:sz w:val="22"/>
          <w:szCs w:val="22"/>
          <w:lang w:eastAsia="en-US"/>
        </w:rPr>
      </w:pPr>
      <w:r w:rsidRPr="00390B03">
        <w:rPr>
          <w:rFonts w:ascii="ITC Avant Garde" w:eastAsia="MS Mincho" w:hAnsi="ITC Avant Garde" w:cs="Calibri"/>
          <w:bCs/>
          <w:sz w:val="22"/>
          <w:szCs w:val="22"/>
          <w:lang w:eastAsia="en-US"/>
        </w:rPr>
        <w:lastRenderedPageBreak/>
        <w:t>En este anexo se detallan los precios y condiciones de facturación para los Servicios de Compartición de Infraestructura Pasiva.</w:t>
      </w:r>
    </w:p>
    <w:p w:rsidR="007C4016" w:rsidRDefault="007C4016" w:rsidP="007C4016">
      <w:pPr>
        <w:pStyle w:val="Texto"/>
        <w:numPr>
          <w:ilvl w:val="0"/>
          <w:numId w:val="223"/>
        </w:numPr>
        <w:spacing w:before="240" w:after="0" w:line="276" w:lineRule="auto"/>
        <w:rPr>
          <w:rFonts w:ascii="ITC Avant Garde" w:hAnsi="ITC Avant Garde"/>
          <w:b/>
          <w:i/>
          <w:sz w:val="22"/>
          <w:szCs w:val="22"/>
          <w:lang w:val="es-ES_tradnl"/>
        </w:rPr>
      </w:pPr>
      <w:r w:rsidRPr="001C1693">
        <w:rPr>
          <w:rFonts w:ascii="ITC Avant Garde" w:hAnsi="ITC Avant Garde"/>
          <w:b/>
          <w:i/>
          <w:sz w:val="22"/>
          <w:szCs w:val="22"/>
          <w:lang w:val="es-ES_tradnl"/>
        </w:rPr>
        <w:t>Servicio de Acceso y Uso Compartido de Infraestructura Pasiva</w:t>
      </w:r>
    </w:p>
    <w:p w:rsidR="007C4016" w:rsidRPr="00B630AC" w:rsidRDefault="007C4016" w:rsidP="007C4016">
      <w:pPr>
        <w:pStyle w:val="Texto"/>
        <w:numPr>
          <w:ilvl w:val="0"/>
          <w:numId w:val="225"/>
        </w:numPr>
        <w:spacing w:before="240" w:after="0" w:line="276" w:lineRule="auto"/>
        <w:rPr>
          <w:rFonts w:ascii="ITC Avant Garde" w:hAnsi="ITC Avant Garde"/>
          <w:b/>
          <w:i/>
          <w:sz w:val="22"/>
          <w:szCs w:val="22"/>
        </w:rPr>
      </w:pPr>
      <w:r w:rsidRPr="00B630AC">
        <w:rPr>
          <w:rFonts w:ascii="ITC Avant Garde" w:hAnsi="ITC Avant Garde"/>
          <w:b/>
          <w:i/>
          <w:sz w:val="22"/>
          <w:szCs w:val="22"/>
        </w:rPr>
        <w:t>Ductos: contraprestación anual</w:t>
      </w:r>
    </w:p>
    <w:p w:rsidR="007C4016" w:rsidRPr="006C7D3F" w:rsidRDefault="007C4016" w:rsidP="007C4016">
      <w:pPr>
        <w:pStyle w:val="Texto"/>
        <w:spacing w:before="240" w:after="0" w:line="276" w:lineRule="auto"/>
        <w:ind w:firstLine="0"/>
        <w:jc w:val="center"/>
        <w:rPr>
          <w:rFonts w:ascii="ITC Avant Garde" w:hAnsi="ITC Avant Garde"/>
          <w:i/>
          <w:szCs w:val="18"/>
        </w:rPr>
      </w:pPr>
      <w:r w:rsidRPr="006C7D3F">
        <w:rPr>
          <w:rFonts w:ascii="ITC Avant Garde" w:hAnsi="ITC Avant Garde"/>
          <w:b/>
          <w:szCs w:val="18"/>
        </w:rPr>
        <w:t>Contraprestación anual por uso de metro lineal de ducto y milímetro cuadrado de la sección transversal ocupada por el cable</w:t>
      </w:r>
    </w:p>
    <w:tbl>
      <w:tblPr>
        <w:tblStyle w:val="Tablaconcuadrcula"/>
        <w:tblW w:w="5028" w:type="dxa"/>
        <w:jc w:val="center"/>
        <w:tblLook w:val="04A0" w:firstRow="1" w:lastRow="0" w:firstColumn="1" w:lastColumn="0" w:noHBand="0" w:noVBand="1"/>
        <w:tblCaption w:val="Tabla"/>
        <w:tblDescription w:val="Contraprestación anual por uso de metro lineal de ducto y milímetro cuadrado de la sección transversal ocupada por el cable"/>
      </w:tblPr>
      <w:tblGrid>
        <w:gridCol w:w="2656"/>
        <w:gridCol w:w="2372"/>
      </w:tblGrid>
      <w:tr w:rsidR="007C4016" w:rsidRPr="00390B03" w:rsidTr="005C782A">
        <w:trPr>
          <w:trHeight w:val="227"/>
          <w:tblHeader/>
          <w:jc w:val="center"/>
        </w:trPr>
        <w:tc>
          <w:tcPr>
            <w:tcW w:w="2656" w:type="dxa"/>
            <w:tcBorders>
              <w:left w:val="single" w:sz="4" w:space="0" w:color="auto"/>
            </w:tcBorders>
            <w:shd w:val="clear" w:color="auto" w:fill="D9D9D9" w:themeFill="background1" w:themeFillShade="D9"/>
            <w:vAlign w:val="center"/>
          </w:tcPr>
          <w:p w:rsidR="007C4016" w:rsidRPr="00390B03" w:rsidRDefault="007C4016" w:rsidP="005C782A">
            <w:pPr>
              <w:pStyle w:val="TxtListado"/>
              <w:spacing w:before="240" w:after="0"/>
              <w:jc w:val="center"/>
              <w:rPr>
                <w:sz w:val="18"/>
                <w:szCs w:val="18"/>
              </w:rPr>
            </w:pPr>
            <w:r w:rsidRPr="00390B03">
              <w:rPr>
                <w:b/>
                <w:sz w:val="18"/>
                <w:szCs w:val="18"/>
              </w:rPr>
              <w:t>Canalización en Banqueta</w:t>
            </w:r>
          </w:p>
        </w:tc>
        <w:tc>
          <w:tcPr>
            <w:tcW w:w="2372" w:type="dxa"/>
            <w:shd w:val="clear" w:color="auto" w:fill="D9D9D9" w:themeFill="background1" w:themeFillShade="D9"/>
            <w:vAlign w:val="center"/>
          </w:tcPr>
          <w:p w:rsidR="007C4016" w:rsidRPr="00390B03" w:rsidRDefault="007C4016" w:rsidP="005C782A">
            <w:pPr>
              <w:pStyle w:val="TxtListado"/>
              <w:spacing w:before="240" w:after="0"/>
              <w:jc w:val="center"/>
              <w:rPr>
                <w:sz w:val="18"/>
                <w:szCs w:val="18"/>
              </w:rPr>
            </w:pPr>
            <w:r w:rsidRPr="00390B03">
              <w:rPr>
                <w:b/>
                <w:sz w:val="18"/>
                <w:szCs w:val="18"/>
              </w:rPr>
              <w:t>Canalización en Arroyo</w:t>
            </w:r>
          </w:p>
        </w:tc>
      </w:tr>
      <w:tr w:rsidR="007C4016" w:rsidRPr="00390B03" w:rsidTr="005C782A">
        <w:trPr>
          <w:trHeight w:val="350"/>
          <w:jc w:val="center"/>
        </w:trPr>
        <w:tc>
          <w:tcPr>
            <w:tcW w:w="2656" w:type="dxa"/>
            <w:shd w:val="clear" w:color="auto" w:fill="auto"/>
          </w:tcPr>
          <w:p w:rsidR="007C4016" w:rsidRPr="00390B03" w:rsidRDefault="007C4016" w:rsidP="005C782A">
            <w:pPr>
              <w:pStyle w:val="TxtListado"/>
              <w:spacing w:before="240" w:after="0"/>
              <w:jc w:val="center"/>
              <w:rPr>
                <w:sz w:val="18"/>
                <w:szCs w:val="18"/>
              </w:rPr>
            </w:pPr>
            <w:r w:rsidRPr="00390B03">
              <w:rPr>
                <w:sz w:val="18"/>
                <w:szCs w:val="18"/>
              </w:rPr>
              <w:t>$</w:t>
            </w:r>
            <w:r>
              <w:rPr>
                <w:sz w:val="18"/>
                <w:szCs w:val="18"/>
              </w:rPr>
              <w:t>0.0275</w:t>
            </w:r>
            <w:r w:rsidRPr="00390B03">
              <w:rPr>
                <w:sz w:val="18"/>
                <w:szCs w:val="18"/>
              </w:rPr>
              <w:t xml:space="preserve"> M.N.</w:t>
            </w:r>
          </w:p>
        </w:tc>
        <w:tc>
          <w:tcPr>
            <w:tcW w:w="2372" w:type="dxa"/>
          </w:tcPr>
          <w:p w:rsidR="007C4016" w:rsidRPr="00390B03" w:rsidRDefault="007C4016" w:rsidP="005C782A">
            <w:pPr>
              <w:pStyle w:val="TxtListado"/>
              <w:spacing w:before="240" w:after="0"/>
              <w:jc w:val="center"/>
              <w:rPr>
                <w:sz w:val="18"/>
                <w:szCs w:val="18"/>
              </w:rPr>
            </w:pPr>
            <w:r w:rsidRPr="00390B03">
              <w:rPr>
                <w:sz w:val="18"/>
                <w:szCs w:val="18"/>
              </w:rPr>
              <w:t>$</w:t>
            </w:r>
            <w:r>
              <w:rPr>
                <w:sz w:val="18"/>
                <w:szCs w:val="18"/>
              </w:rPr>
              <w:t>0.0386</w:t>
            </w:r>
            <w:r w:rsidRPr="00390B03">
              <w:rPr>
                <w:sz w:val="18"/>
                <w:szCs w:val="18"/>
              </w:rPr>
              <w:t xml:space="preserve"> M.N.</w:t>
            </w:r>
          </w:p>
        </w:tc>
      </w:tr>
    </w:tbl>
    <w:p w:rsidR="007C4016" w:rsidRDefault="007C4016" w:rsidP="007C4016">
      <w:pPr>
        <w:pStyle w:val="ROMANOS"/>
        <w:spacing w:before="240" w:after="0" w:line="276" w:lineRule="auto"/>
        <w:rPr>
          <w:rFonts w:ascii="ITC Avant Garde" w:hAnsi="ITC Avant Garde"/>
          <w:sz w:val="22"/>
          <w:szCs w:val="22"/>
        </w:rPr>
      </w:pPr>
    </w:p>
    <w:p w:rsidR="007C4016" w:rsidRPr="009922CC" w:rsidRDefault="007C4016" w:rsidP="007C4016">
      <w:pPr>
        <w:spacing w:before="240" w:after="0"/>
        <w:ind w:left="851"/>
        <w:rPr>
          <w:rFonts w:ascii="ITC Avant Garde" w:eastAsia="MS Mincho" w:hAnsi="ITC Avant Garde" w:cs="Calibri"/>
          <w:b/>
          <w:sz w:val="22"/>
          <w:szCs w:val="22"/>
          <w:lang w:eastAsia="en-US"/>
        </w:rPr>
      </w:pPr>
      <w:r w:rsidRPr="00F92443">
        <w:rPr>
          <w:rFonts w:ascii="ITC Avant Garde" w:eastAsia="MS Mincho" w:hAnsi="ITC Avant Garde" w:cs="Calibri"/>
          <w:b/>
          <w:bCs/>
          <w:sz w:val="22"/>
          <w:szCs w:val="22"/>
          <w:lang w:eastAsia="en-US"/>
        </w:rPr>
        <w:t xml:space="preserve">Ejemplo de cálculo de la tarifa de </w:t>
      </w:r>
      <w:r>
        <w:rPr>
          <w:rFonts w:ascii="ITC Avant Garde" w:eastAsia="MS Mincho" w:hAnsi="ITC Avant Garde" w:cs="Calibri"/>
          <w:b/>
          <w:bCs/>
          <w:sz w:val="22"/>
          <w:szCs w:val="22"/>
          <w:lang w:eastAsia="en-US"/>
        </w:rPr>
        <w:t>uso de ductos</w:t>
      </w:r>
    </w:p>
    <w:p w:rsidR="007C4016" w:rsidRPr="00106FDB" w:rsidRDefault="007C4016" w:rsidP="007C4016">
      <w:pPr>
        <w:pStyle w:val="CondicionesFinales"/>
        <w:spacing w:before="240" w:after="0"/>
        <w:rPr>
          <w:lang w:val="es-419"/>
        </w:rPr>
      </w:pPr>
      <w:r>
        <w:t>Para el cálculo de la contraprestación de uso de un metro lineal de ducto se deberá identificar distintas características aplicables a cada contexto</w:t>
      </w:r>
      <w:r>
        <w:rPr>
          <w:lang w:val="es-419"/>
        </w:rPr>
        <w:t>:</w:t>
      </w:r>
    </w:p>
    <w:tbl>
      <w:tblPr>
        <w:tblStyle w:val="Tablaconcuadrcula"/>
        <w:tblW w:w="6977" w:type="dxa"/>
        <w:jc w:val="center"/>
        <w:tblLook w:val="04A0" w:firstRow="1" w:lastRow="0" w:firstColumn="1" w:lastColumn="0" w:noHBand="0" w:noVBand="1"/>
        <w:tblCaption w:val="Tabla"/>
        <w:tblDescription w:val="Características a identificar"/>
      </w:tblPr>
      <w:tblGrid>
        <w:gridCol w:w="3544"/>
        <w:gridCol w:w="3433"/>
      </w:tblGrid>
      <w:tr w:rsidR="007C4016" w:rsidTr="005C782A">
        <w:trPr>
          <w:tblHeader/>
          <w:jc w:val="center"/>
        </w:trPr>
        <w:tc>
          <w:tcPr>
            <w:tcW w:w="3544" w:type="dxa"/>
            <w:shd w:val="clear" w:color="auto" w:fill="D9D9D9" w:themeFill="background1" w:themeFillShade="D9"/>
          </w:tcPr>
          <w:p w:rsidR="007C4016" w:rsidRPr="00B41CF4" w:rsidRDefault="007C4016" w:rsidP="005C782A">
            <w:pPr>
              <w:pStyle w:val="CondicionesFinales"/>
              <w:spacing w:before="240" w:after="0"/>
              <w:ind w:left="0" w:right="0"/>
              <w:jc w:val="center"/>
              <w:rPr>
                <w:b/>
              </w:rPr>
            </w:pPr>
            <w:r w:rsidRPr="00B41CF4">
              <w:rPr>
                <w:b/>
              </w:rPr>
              <w:t>Características a identificar</w:t>
            </w:r>
          </w:p>
        </w:tc>
        <w:tc>
          <w:tcPr>
            <w:tcW w:w="3433" w:type="dxa"/>
            <w:shd w:val="clear" w:color="auto" w:fill="D9D9D9" w:themeFill="background1" w:themeFillShade="D9"/>
          </w:tcPr>
          <w:p w:rsidR="007C4016" w:rsidRPr="00B41CF4" w:rsidRDefault="007C4016" w:rsidP="005C782A">
            <w:pPr>
              <w:pStyle w:val="CondicionesFinales"/>
              <w:spacing w:before="240" w:after="0"/>
              <w:ind w:left="0"/>
              <w:jc w:val="center"/>
              <w:rPr>
                <w:b/>
              </w:rPr>
            </w:pPr>
            <w:r w:rsidRPr="00B41CF4">
              <w:rPr>
                <w:b/>
              </w:rPr>
              <w:t>Ejemplo</w:t>
            </w:r>
          </w:p>
        </w:tc>
      </w:tr>
      <w:tr w:rsidR="007C4016" w:rsidTr="005C782A">
        <w:trPr>
          <w:jc w:val="center"/>
        </w:trPr>
        <w:tc>
          <w:tcPr>
            <w:tcW w:w="3544" w:type="dxa"/>
          </w:tcPr>
          <w:p w:rsidR="007C4016" w:rsidRPr="008223DC" w:rsidRDefault="007C4016" w:rsidP="005C782A">
            <w:pPr>
              <w:pStyle w:val="CondicionesFinales"/>
              <w:spacing w:before="240" w:after="0"/>
              <w:ind w:left="0" w:right="39"/>
            </w:pPr>
            <w:r>
              <w:t>Contraprestación por tipo de canalización en el que está desplegado el ducto</w:t>
            </w:r>
          </w:p>
        </w:tc>
        <w:tc>
          <w:tcPr>
            <w:tcW w:w="3433" w:type="dxa"/>
          </w:tcPr>
          <w:p w:rsidR="007C4016" w:rsidRPr="009922CC" w:rsidRDefault="007C4016" w:rsidP="005C782A">
            <w:pPr>
              <w:pStyle w:val="CondicionesFinales"/>
              <w:spacing w:before="240" w:after="0"/>
              <w:ind w:left="0" w:right="-72"/>
              <w:jc w:val="center"/>
            </w:pPr>
            <w:r>
              <w:t>Arroyo: $0.0386/m</w:t>
            </w:r>
            <w:r>
              <w:rPr>
                <w:lang w:val="es-MX"/>
              </w:rPr>
              <w:t xml:space="preserve">etro </w:t>
            </w:r>
            <w:r>
              <w:t>l</w:t>
            </w:r>
            <w:r>
              <w:rPr>
                <w:lang w:val="es-MX"/>
              </w:rPr>
              <w:t>ineal</w:t>
            </w:r>
            <w:r>
              <w:t>/mm</w:t>
            </w:r>
            <w:r w:rsidRPr="00B41CF4">
              <w:rPr>
                <w:vertAlign w:val="superscript"/>
              </w:rPr>
              <w:t>2</w:t>
            </w:r>
            <w:r>
              <w:t xml:space="preserve"> anual</w:t>
            </w:r>
          </w:p>
        </w:tc>
      </w:tr>
      <w:tr w:rsidR="007C4016" w:rsidTr="005C782A">
        <w:trPr>
          <w:jc w:val="center"/>
        </w:trPr>
        <w:tc>
          <w:tcPr>
            <w:tcW w:w="3544" w:type="dxa"/>
          </w:tcPr>
          <w:p w:rsidR="007C4016" w:rsidRPr="009922CC" w:rsidRDefault="007C4016" w:rsidP="005C782A">
            <w:pPr>
              <w:pStyle w:val="CondicionesFinales"/>
              <w:spacing w:before="240" w:after="0"/>
              <w:ind w:left="0" w:right="39"/>
            </w:pPr>
            <w:r>
              <w:t>Diámetro nominal del cable a instalar en milímetros</w:t>
            </w:r>
          </w:p>
        </w:tc>
        <w:tc>
          <w:tcPr>
            <w:tcW w:w="3433" w:type="dxa"/>
          </w:tcPr>
          <w:p w:rsidR="007C4016" w:rsidRPr="009922CC" w:rsidRDefault="007C4016" w:rsidP="005C782A">
            <w:pPr>
              <w:pStyle w:val="CondicionesFinales"/>
              <w:spacing w:before="240" w:after="0"/>
              <w:ind w:left="0" w:right="-72"/>
              <w:jc w:val="center"/>
            </w:pPr>
            <w:r>
              <w:t>11.7 mm</w:t>
            </w:r>
          </w:p>
        </w:tc>
      </w:tr>
      <w:tr w:rsidR="007C4016" w:rsidTr="005C782A">
        <w:trPr>
          <w:jc w:val="center"/>
        </w:trPr>
        <w:tc>
          <w:tcPr>
            <w:tcW w:w="3544" w:type="dxa"/>
          </w:tcPr>
          <w:p w:rsidR="007C4016" w:rsidRPr="009922CC" w:rsidRDefault="007C4016" w:rsidP="005C782A">
            <w:pPr>
              <w:pStyle w:val="CondicionesFinales"/>
              <w:spacing w:before="240" w:after="0"/>
              <w:ind w:left="0" w:right="39"/>
              <w:rPr>
                <w:rFonts w:ascii="Arial" w:hAnsi="Arial"/>
              </w:rPr>
            </w:pPr>
            <w:r>
              <w:t xml:space="preserve">Área calculada del cable a instalar según su diámetro en milímetros cuadrados </w:t>
            </w:r>
            <m:oMath>
              <m:r>
                <m:rPr>
                  <m:nor/>
                </m:rPr>
                <m:t>A=π</m:t>
              </m:r>
              <m:sSup>
                <m:sSupPr>
                  <m:ctrlPr>
                    <w:rPr>
                      <w:rFonts w:ascii="Cambria Math" w:hAnsi="Cambria Math"/>
                      <w:i/>
                    </w:rPr>
                  </m:ctrlPr>
                </m:sSupPr>
                <m:e>
                  <m:r>
                    <m:rPr>
                      <m:nor/>
                    </m:rPr>
                    <m:t>(</m:t>
                  </m:r>
                  <m:f>
                    <m:fPr>
                      <m:ctrlPr>
                        <w:rPr>
                          <w:rFonts w:ascii="Cambria Math" w:hAnsi="Cambria Math"/>
                          <w:i/>
                        </w:rPr>
                      </m:ctrlPr>
                    </m:fPr>
                    <m:num>
                      <m:r>
                        <m:rPr>
                          <m:nor/>
                        </m:rPr>
                        <m:t>diámetro</m:t>
                      </m:r>
                    </m:num>
                    <m:den>
                      <m:r>
                        <m:rPr>
                          <m:nor/>
                        </m:rPr>
                        <m:t>2</m:t>
                      </m:r>
                    </m:den>
                  </m:f>
                  <m:r>
                    <m:rPr>
                      <m:nor/>
                    </m:rPr>
                    <m:t>)</m:t>
                  </m:r>
                </m:e>
                <m:sup>
                  <m:r>
                    <m:rPr>
                      <m:nor/>
                    </m:rPr>
                    <m:t>2</m:t>
                  </m:r>
                </m:sup>
              </m:sSup>
            </m:oMath>
          </w:p>
        </w:tc>
        <w:tc>
          <w:tcPr>
            <w:tcW w:w="3433" w:type="dxa"/>
          </w:tcPr>
          <w:p w:rsidR="007C4016" w:rsidRPr="009922CC" w:rsidRDefault="007C4016" w:rsidP="005C782A">
            <w:pPr>
              <w:pStyle w:val="CondicionesFinales"/>
              <w:spacing w:before="240" w:after="0"/>
              <w:ind w:left="0" w:right="-72"/>
              <w:jc w:val="center"/>
            </w:pPr>
            <w:r>
              <w:t>A = 107.5132 mm</w:t>
            </w:r>
            <w:r w:rsidRPr="00B41CF4">
              <w:rPr>
                <w:vertAlign w:val="superscript"/>
              </w:rPr>
              <w:t>2</w:t>
            </w:r>
          </w:p>
        </w:tc>
      </w:tr>
      <w:tr w:rsidR="007C4016" w:rsidTr="005C782A">
        <w:trPr>
          <w:jc w:val="center"/>
        </w:trPr>
        <w:tc>
          <w:tcPr>
            <w:tcW w:w="3544" w:type="dxa"/>
          </w:tcPr>
          <w:p w:rsidR="007C4016" w:rsidRPr="009922CC" w:rsidRDefault="007C4016" w:rsidP="005C782A">
            <w:pPr>
              <w:pStyle w:val="CondicionesFinales"/>
              <w:spacing w:before="240" w:after="0"/>
              <w:ind w:left="0" w:right="39"/>
            </w:pPr>
            <w:r>
              <w:t xml:space="preserve">Contraprestación </w:t>
            </w:r>
          </w:p>
        </w:tc>
        <w:tc>
          <w:tcPr>
            <w:tcW w:w="3433" w:type="dxa"/>
          </w:tcPr>
          <w:p w:rsidR="007C4016" w:rsidRDefault="007C4016" w:rsidP="005C782A">
            <w:pPr>
              <w:pStyle w:val="CondicionesFinales"/>
              <w:spacing w:before="240" w:after="0"/>
              <w:ind w:left="0" w:right="-72"/>
            </w:pPr>
            <w:r>
              <w:t xml:space="preserve">Tarifa cobrada = ($0.0386)(107.5132) =$4.1523 anuales por metro lineal de ducto en el que se instala un </w:t>
            </w:r>
            <w:r>
              <w:lastRenderedPageBreak/>
              <w:t>cable con diámetro de 11.7 mm</w:t>
            </w:r>
          </w:p>
        </w:tc>
      </w:tr>
    </w:tbl>
    <w:p w:rsidR="007C4016" w:rsidRPr="003253D4" w:rsidRDefault="007C4016" w:rsidP="007C4016">
      <w:pPr>
        <w:pStyle w:val="ROMANOS"/>
        <w:spacing w:before="240" w:after="0" w:line="276" w:lineRule="auto"/>
        <w:rPr>
          <w:rFonts w:ascii="ITC Avant Garde" w:hAnsi="ITC Avant Garde"/>
          <w:sz w:val="22"/>
          <w:szCs w:val="22"/>
        </w:rPr>
      </w:pPr>
    </w:p>
    <w:p w:rsidR="007C4016" w:rsidRPr="00B630AC" w:rsidRDefault="007C4016" w:rsidP="007C4016">
      <w:pPr>
        <w:pStyle w:val="Texto"/>
        <w:numPr>
          <w:ilvl w:val="0"/>
          <w:numId w:val="225"/>
        </w:numPr>
        <w:spacing w:before="240" w:after="0" w:line="276" w:lineRule="auto"/>
        <w:rPr>
          <w:rFonts w:ascii="ITC Avant Garde" w:hAnsi="ITC Avant Garde"/>
          <w:b/>
          <w:i/>
          <w:sz w:val="22"/>
          <w:szCs w:val="22"/>
        </w:rPr>
      </w:pPr>
      <w:r w:rsidRPr="00B630AC">
        <w:rPr>
          <w:rFonts w:ascii="ITC Avant Garde" w:hAnsi="ITC Avant Garde"/>
          <w:b/>
          <w:i/>
          <w:sz w:val="22"/>
          <w:szCs w:val="22"/>
        </w:rPr>
        <w:t>Pozos: contraprestación anual (Cobro por entrada y/o salida de Pozo)</w:t>
      </w:r>
    </w:p>
    <w:p w:rsidR="007C4016" w:rsidRPr="003253D4" w:rsidRDefault="007C4016" w:rsidP="007C4016">
      <w:pPr>
        <w:pStyle w:val="ROMANOS"/>
        <w:spacing w:before="240" w:after="0" w:line="276" w:lineRule="auto"/>
        <w:rPr>
          <w:rFonts w:ascii="ITC Avant Garde" w:hAnsi="ITC Avant Garde"/>
          <w:sz w:val="22"/>
          <w:szCs w:val="22"/>
        </w:rPr>
      </w:pPr>
    </w:p>
    <w:tbl>
      <w:tblPr>
        <w:tblStyle w:val="Tablaconcuadrcula"/>
        <w:tblW w:w="5839" w:type="dxa"/>
        <w:jc w:val="center"/>
        <w:tblLook w:val="04A0" w:firstRow="1" w:lastRow="0" w:firstColumn="1" w:lastColumn="0" w:noHBand="0" w:noVBand="1"/>
        <w:tblCaption w:val="Tabla"/>
        <w:tblDescription w:val="Pozos: contraprestación anual (Cobro por entrada y/o salida de Pozo)"/>
      </w:tblPr>
      <w:tblGrid>
        <w:gridCol w:w="2573"/>
        <w:gridCol w:w="3266"/>
      </w:tblGrid>
      <w:tr w:rsidR="007C4016" w:rsidRPr="00390B03" w:rsidTr="005C782A">
        <w:trPr>
          <w:trHeight w:val="58"/>
          <w:tblHeader/>
          <w:jc w:val="center"/>
        </w:trPr>
        <w:tc>
          <w:tcPr>
            <w:tcW w:w="2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016" w:rsidRPr="00390B03" w:rsidRDefault="007C4016" w:rsidP="005C782A">
            <w:pPr>
              <w:pStyle w:val="TxtListado"/>
              <w:spacing w:after="0"/>
              <w:jc w:val="center"/>
              <w:rPr>
                <w:b/>
                <w:sz w:val="18"/>
                <w:szCs w:val="18"/>
              </w:rPr>
            </w:pPr>
            <w:r w:rsidRPr="00390B03">
              <w:rPr>
                <w:b/>
                <w:sz w:val="18"/>
                <w:szCs w:val="18"/>
              </w:rPr>
              <w:t>Uso de vía de acuerdo a tipo de pozo</w:t>
            </w:r>
          </w:p>
        </w:tc>
        <w:tc>
          <w:tcPr>
            <w:tcW w:w="3266" w:type="dxa"/>
            <w:tcBorders>
              <w:left w:val="single" w:sz="4" w:space="0" w:color="auto"/>
            </w:tcBorders>
            <w:shd w:val="clear" w:color="auto" w:fill="D9D9D9" w:themeFill="background1" w:themeFillShade="D9"/>
            <w:vAlign w:val="center"/>
          </w:tcPr>
          <w:p w:rsidR="007C4016" w:rsidRPr="00390B03" w:rsidRDefault="007C4016" w:rsidP="005C782A">
            <w:pPr>
              <w:pStyle w:val="TxtListado"/>
              <w:spacing w:after="0"/>
              <w:jc w:val="center"/>
              <w:rPr>
                <w:b/>
                <w:sz w:val="18"/>
                <w:szCs w:val="18"/>
              </w:rPr>
            </w:pPr>
            <w:r w:rsidRPr="00390B03">
              <w:rPr>
                <w:b/>
                <w:sz w:val="18"/>
                <w:szCs w:val="18"/>
              </w:rPr>
              <w:t>Contraprestación anual por entrada o salida de pozo</w:t>
            </w:r>
            <w:r>
              <w:rPr>
                <w:b/>
                <w:sz w:val="18"/>
                <w:szCs w:val="18"/>
              </w:rPr>
              <w:t xml:space="preserve"> (se cobra por usar una vía para entrar al pozo o por usar una vía para salir del pozo)</w:t>
            </w:r>
          </w:p>
        </w:tc>
      </w:tr>
      <w:tr w:rsidR="007C4016" w:rsidRPr="00390B03" w:rsidTr="005C782A">
        <w:trPr>
          <w:trHeight w:val="89"/>
          <w:jc w:val="center"/>
        </w:trPr>
        <w:tc>
          <w:tcPr>
            <w:tcW w:w="2573" w:type="dxa"/>
            <w:tcBorders>
              <w:top w:val="single" w:sz="4" w:space="0" w:color="auto"/>
            </w:tcBorders>
            <w:shd w:val="clear" w:color="auto" w:fill="auto"/>
            <w:vAlign w:val="center"/>
          </w:tcPr>
          <w:p w:rsidR="007C4016" w:rsidRPr="00390B03" w:rsidRDefault="007C4016" w:rsidP="005C782A">
            <w:pPr>
              <w:pStyle w:val="TxtListado"/>
              <w:tabs>
                <w:tab w:val="center" w:pos="1878"/>
              </w:tabs>
              <w:spacing w:after="0"/>
              <w:jc w:val="center"/>
              <w:rPr>
                <w:sz w:val="18"/>
                <w:szCs w:val="18"/>
              </w:rPr>
            </w:pPr>
            <w:r w:rsidRPr="00390B03">
              <w:rPr>
                <w:sz w:val="18"/>
                <w:szCs w:val="18"/>
              </w:rPr>
              <w:t>L1T</w:t>
            </w:r>
          </w:p>
        </w:tc>
        <w:tc>
          <w:tcPr>
            <w:tcW w:w="3266"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$51.10 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L2T</w:t>
            </w:r>
          </w:p>
        </w:tc>
        <w:tc>
          <w:tcPr>
            <w:tcW w:w="3266"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$73.86 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L3T</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sz w:val="18"/>
                <w:szCs w:val="18"/>
              </w:rPr>
              <w:t xml:space="preserve">$50.18 M.N. </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L4T</w:t>
            </w:r>
          </w:p>
        </w:tc>
        <w:tc>
          <w:tcPr>
            <w:tcW w:w="3266" w:type="dxa"/>
            <w:shd w:val="clear" w:color="auto" w:fill="auto"/>
          </w:tcPr>
          <w:p w:rsidR="007C4016" w:rsidRPr="00390B03" w:rsidRDefault="007C4016" w:rsidP="005C782A">
            <w:pPr>
              <w:pStyle w:val="TxtListado"/>
              <w:tabs>
                <w:tab w:val="center" w:pos="1241"/>
              </w:tabs>
              <w:spacing w:after="0"/>
              <w:jc w:val="center"/>
              <w:rPr>
                <w:sz w:val="18"/>
                <w:szCs w:val="18"/>
              </w:rPr>
            </w:pPr>
            <w:r w:rsidRPr="00390B03">
              <w:rPr>
                <w:sz w:val="18"/>
                <w:szCs w:val="18"/>
              </w:rPr>
              <w:t xml:space="preserve"> $55.62 </w:t>
            </w:r>
            <w:r w:rsidRPr="00390B03">
              <w:rPr>
                <w:rFonts w:cs="Arial"/>
                <w:sz w:val="18"/>
                <w:szCs w:val="18"/>
              </w:rPr>
              <w:t>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L5T</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sz w:val="18"/>
                <w:szCs w:val="18"/>
              </w:rPr>
              <w:t xml:space="preserve"> $64.62 </w:t>
            </w:r>
            <w:r w:rsidRPr="00390B03">
              <w:rPr>
                <w:rFonts w:cs="Arial"/>
                <w:sz w:val="18"/>
                <w:szCs w:val="18"/>
              </w:rPr>
              <w:t>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L6T</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sz w:val="18"/>
                <w:szCs w:val="18"/>
              </w:rPr>
              <w:t xml:space="preserve">$123.84 </w:t>
            </w:r>
            <w:r w:rsidRPr="00390B03">
              <w:rPr>
                <w:rFonts w:cs="Arial"/>
                <w:sz w:val="18"/>
                <w:szCs w:val="18"/>
              </w:rPr>
              <w:t>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K2C</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sz w:val="18"/>
                <w:szCs w:val="18"/>
              </w:rPr>
              <w:t xml:space="preserve">$293.69 </w:t>
            </w:r>
            <w:r w:rsidRPr="00390B03">
              <w:rPr>
                <w:rFonts w:cs="Arial"/>
                <w:sz w:val="18"/>
                <w:szCs w:val="18"/>
              </w:rPr>
              <w:t>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K3C</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sz w:val="18"/>
                <w:szCs w:val="18"/>
              </w:rPr>
              <w:t xml:space="preserve">$210.43 </w:t>
            </w:r>
            <w:r w:rsidRPr="00390B03">
              <w:rPr>
                <w:rFonts w:cs="Arial"/>
                <w:sz w:val="18"/>
                <w:szCs w:val="18"/>
              </w:rPr>
              <w:t>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M2T</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sz w:val="18"/>
                <w:szCs w:val="18"/>
              </w:rPr>
              <w:t xml:space="preserve">$154.31 </w:t>
            </w:r>
            <w:r w:rsidRPr="00390B03">
              <w:rPr>
                <w:rFonts w:cs="Arial"/>
                <w:sz w:val="18"/>
                <w:szCs w:val="18"/>
              </w:rPr>
              <w:t>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M1C</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sz w:val="18"/>
                <w:szCs w:val="18"/>
              </w:rPr>
              <w:t xml:space="preserve">$163.08 </w:t>
            </w:r>
            <w:r w:rsidRPr="00390B03">
              <w:rPr>
                <w:rFonts w:cs="Arial"/>
                <w:sz w:val="18"/>
                <w:szCs w:val="18"/>
              </w:rPr>
              <w:t>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M3C</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sz w:val="18"/>
                <w:szCs w:val="18"/>
              </w:rPr>
              <w:t xml:space="preserve">$203.75 </w:t>
            </w:r>
            <w:r w:rsidRPr="00390B03">
              <w:rPr>
                <w:rFonts w:cs="Arial"/>
                <w:sz w:val="18"/>
                <w:szCs w:val="18"/>
              </w:rPr>
              <w:t>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P2T</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sz w:val="18"/>
                <w:szCs w:val="18"/>
              </w:rPr>
              <w:t xml:space="preserve">$174.60 </w:t>
            </w:r>
            <w:r w:rsidRPr="00390B03">
              <w:rPr>
                <w:rFonts w:cs="Arial"/>
                <w:sz w:val="18"/>
                <w:szCs w:val="18"/>
              </w:rPr>
              <w:t>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P1C</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sz w:val="18"/>
                <w:szCs w:val="18"/>
              </w:rPr>
              <w:t xml:space="preserve">$256.99 </w:t>
            </w:r>
            <w:r w:rsidRPr="00390B03">
              <w:rPr>
                <w:rFonts w:cs="Arial"/>
                <w:sz w:val="18"/>
                <w:szCs w:val="18"/>
              </w:rPr>
              <w:t>M.N.</w:t>
            </w:r>
          </w:p>
        </w:tc>
      </w:tr>
      <w:tr w:rsidR="007C4016" w:rsidRPr="00390B03" w:rsidTr="005C782A">
        <w:trPr>
          <w:trHeight w:val="95"/>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P2C</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sz w:val="18"/>
                <w:szCs w:val="18"/>
              </w:rPr>
              <w:t xml:space="preserve">$187.46 </w:t>
            </w:r>
            <w:r w:rsidRPr="00390B03">
              <w:rPr>
                <w:rFonts w:cs="Arial"/>
                <w:sz w:val="18"/>
                <w:szCs w:val="18"/>
              </w:rPr>
              <w:t>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C1T</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sz w:val="18"/>
                <w:szCs w:val="18"/>
              </w:rPr>
              <w:t xml:space="preserve">$148.42 </w:t>
            </w:r>
            <w:r w:rsidRPr="00390B03">
              <w:rPr>
                <w:rFonts w:cs="Arial"/>
                <w:sz w:val="18"/>
                <w:szCs w:val="18"/>
              </w:rPr>
              <w:t>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C2T</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sz w:val="18"/>
                <w:szCs w:val="18"/>
              </w:rPr>
              <w:t xml:space="preserve">$80.09 </w:t>
            </w:r>
            <w:r w:rsidRPr="00390B03">
              <w:rPr>
                <w:rFonts w:cs="Arial"/>
                <w:sz w:val="18"/>
                <w:szCs w:val="18"/>
              </w:rPr>
              <w:t>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C3T</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rFonts w:cs="Arial"/>
                <w:sz w:val="18"/>
                <w:szCs w:val="18"/>
              </w:rPr>
              <w:t>$</w:t>
            </w:r>
            <w:r w:rsidRPr="00390B03">
              <w:rPr>
                <w:sz w:val="18"/>
                <w:szCs w:val="18"/>
              </w:rPr>
              <w:t xml:space="preserve">63.81 </w:t>
            </w:r>
            <w:r w:rsidRPr="00390B03">
              <w:rPr>
                <w:rFonts w:cs="Arial"/>
                <w:sz w:val="18"/>
                <w:szCs w:val="18"/>
              </w:rPr>
              <w:t>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C1C</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sz w:val="18"/>
                <w:szCs w:val="18"/>
              </w:rPr>
              <w:t xml:space="preserve">$137.45 </w:t>
            </w:r>
            <w:r w:rsidRPr="00390B03">
              <w:rPr>
                <w:rFonts w:cs="Arial"/>
                <w:sz w:val="18"/>
                <w:szCs w:val="18"/>
              </w:rPr>
              <w:t>M.N.</w:t>
            </w:r>
          </w:p>
        </w:tc>
      </w:tr>
      <w:tr w:rsidR="007C4016" w:rsidRPr="00390B03" w:rsidTr="005C782A">
        <w:trPr>
          <w:trHeight w:val="89"/>
          <w:jc w:val="center"/>
        </w:trPr>
        <w:tc>
          <w:tcPr>
            <w:tcW w:w="2573" w:type="dxa"/>
            <w:shd w:val="clear" w:color="auto" w:fill="auto"/>
            <w:vAlign w:val="center"/>
          </w:tcPr>
          <w:p w:rsidR="007C4016" w:rsidRPr="00390B03" w:rsidRDefault="007C4016" w:rsidP="005C782A">
            <w:pPr>
              <w:pStyle w:val="TxtListado"/>
              <w:spacing w:after="0"/>
              <w:jc w:val="center"/>
              <w:rPr>
                <w:sz w:val="18"/>
                <w:szCs w:val="18"/>
              </w:rPr>
            </w:pPr>
            <w:r w:rsidRPr="00390B03">
              <w:rPr>
                <w:sz w:val="18"/>
                <w:szCs w:val="18"/>
              </w:rPr>
              <w:t>C2C</w:t>
            </w:r>
          </w:p>
        </w:tc>
        <w:tc>
          <w:tcPr>
            <w:tcW w:w="3266" w:type="dxa"/>
            <w:shd w:val="clear" w:color="auto" w:fill="auto"/>
          </w:tcPr>
          <w:p w:rsidR="007C4016" w:rsidRPr="00390B03" w:rsidRDefault="007C4016" w:rsidP="005C782A">
            <w:pPr>
              <w:pStyle w:val="TxtListado"/>
              <w:spacing w:after="0"/>
              <w:jc w:val="center"/>
              <w:rPr>
                <w:sz w:val="18"/>
                <w:szCs w:val="18"/>
              </w:rPr>
            </w:pPr>
            <w:r w:rsidRPr="00390B03">
              <w:rPr>
                <w:sz w:val="18"/>
                <w:szCs w:val="18"/>
              </w:rPr>
              <w:t xml:space="preserve">$87.08 </w:t>
            </w:r>
            <w:r w:rsidRPr="00390B03">
              <w:rPr>
                <w:rFonts w:cs="Arial"/>
                <w:sz w:val="18"/>
                <w:szCs w:val="18"/>
              </w:rPr>
              <w:t>M.N.</w:t>
            </w:r>
          </w:p>
        </w:tc>
      </w:tr>
    </w:tbl>
    <w:p w:rsidR="007C4016" w:rsidRPr="003253D4" w:rsidRDefault="007C4016" w:rsidP="007C4016">
      <w:pPr>
        <w:pStyle w:val="ROMANOS"/>
        <w:spacing w:before="240" w:after="0" w:line="276" w:lineRule="auto"/>
        <w:rPr>
          <w:rFonts w:ascii="ITC Avant Garde" w:hAnsi="ITC Avant Garde"/>
          <w:sz w:val="22"/>
          <w:szCs w:val="22"/>
        </w:rPr>
      </w:pPr>
    </w:p>
    <w:p w:rsidR="007C4016" w:rsidRDefault="007C4016" w:rsidP="007C4016">
      <w:pPr>
        <w:pStyle w:val="CondicionesFinales"/>
        <w:spacing w:before="240" w:after="0"/>
      </w:pPr>
      <w:r>
        <w:t>Cobro por:</w:t>
      </w:r>
    </w:p>
    <w:p w:rsidR="007C4016" w:rsidRPr="003253D4" w:rsidRDefault="007C4016" w:rsidP="007C4016">
      <w:pPr>
        <w:pStyle w:val="ROMANOS"/>
        <w:spacing w:before="240" w:after="0" w:line="276" w:lineRule="auto"/>
        <w:rPr>
          <w:rFonts w:ascii="ITC Avant Garde" w:hAnsi="ITC Avant Garde"/>
          <w:sz w:val="22"/>
          <w:szCs w:val="22"/>
        </w:rPr>
      </w:pPr>
    </w:p>
    <w:tbl>
      <w:tblPr>
        <w:tblStyle w:val="Tablaconcuadrcula"/>
        <w:tblW w:w="8430" w:type="dxa"/>
        <w:jc w:val="center"/>
        <w:tblLook w:val="04A0" w:firstRow="1" w:lastRow="0" w:firstColumn="1" w:lastColumn="0" w:noHBand="0" w:noVBand="1"/>
        <w:tblCaption w:val="Tabla"/>
        <w:tblDescription w:val="Cobro por:"/>
      </w:tblPr>
      <w:tblGrid>
        <w:gridCol w:w="4957"/>
        <w:gridCol w:w="3473"/>
      </w:tblGrid>
      <w:tr w:rsidR="007C4016" w:rsidRPr="00390B03" w:rsidTr="005C782A">
        <w:trPr>
          <w:trHeight w:val="62"/>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016" w:rsidRPr="00390B03" w:rsidRDefault="007C4016" w:rsidP="005C782A">
            <w:pPr>
              <w:pStyle w:val="TxtListado"/>
              <w:spacing w:before="240" w:after="0"/>
              <w:rPr>
                <w:b/>
                <w:sz w:val="18"/>
                <w:szCs w:val="18"/>
              </w:rPr>
            </w:pPr>
            <w:r w:rsidRPr="00390B03">
              <w:rPr>
                <w:b/>
                <w:sz w:val="18"/>
                <w:szCs w:val="18"/>
              </w:rPr>
              <w:t>Concepto</w:t>
            </w:r>
          </w:p>
        </w:tc>
        <w:tc>
          <w:tcPr>
            <w:tcW w:w="3473" w:type="dxa"/>
            <w:tcBorders>
              <w:left w:val="single" w:sz="4" w:space="0" w:color="auto"/>
            </w:tcBorders>
            <w:shd w:val="clear" w:color="auto" w:fill="D9D9D9" w:themeFill="background1" w:themeFillShade="D9"/>
            <w:vAlign w:val="center"/>
          </w:tcPr>
          <w:p w:rsidR="007C4016" w:rsidRPr="00390B03" w:rsidRDefault="007C4016" w:rsidP="005C782A">
            <w:pPr>
              <w:pStyle w:val="TxtListado"/>
              <w:spacing w:before="240" w:after="0"/>
              <w:jc w:val="center"/>
              <w:rPr>
                <w:b/>
                <w:sz w:val="18"/>
                <w:szCs w:val="18"/>
              </w:rPr>
            </w:pPr>
            <w:r w:rsidRPr="00390B03">
              <w:rPr>
                <w:b/>
                <w:sz w:val="18"/>
                <w:szCs w:val="18"/>
              </w:rPr>
              <w:t xml:space="preserve">Contraprestación anual </w:t>
            </w:r>
          </w:p>
        </w:tc>
      </w:tr>
      <w:tr w:rsidR="007C4016" w:rsidRPr="00390B03" w:rsidTr="005C782A">
        <w:trPr>
          <w:trHeight w:val="96"/>
          <w:jc w:val="center"/>
        </w:trPr>
        <w:tc>
          <w:tcPr>
            <w:tcW w:w="4957" w:type="dxa"/>
            <w:tcBorders>
              <w:top w:val="single" w:sz="4" w:space="0" w:color="auto"/>
            </w:tcBorders>
            <w:shd w:val="clear" w:color="auto" w:fill="auto"/>
            <w:vAlign w:val="center"/>
          </w:tcPr>
          <w:p w:rsidR="007C4016" w:rsidRPr="009922CC" w:rsidRDefault="007C4016" w:rsidP="005C782A">
            <w:pPr>
              <w:pStyle w:val="TxtListado"/>
              <w:tabs>
                <w:tab w:val="center" w:pos="1878"/>
              </w:tabs>
              <w:spacing w:before="240" w:after="0"/>
              <w:jc w:val="both"/>
              <w:rPr>
                <w:sz w:val="18"/>
                <w:szCs w:val="18"/>
              </w:rPr>
            </w:pPr>
            <w:r w:rsidRPr="00390B03">
              <w:rPr>
                <w:sz w:val="18"/>
                <w:szCs w:val="18"/>
              </w:rPr>
              <w:t>Alojamiento de cierre de empalme</w:t>
            </w:r>
            <w:r>
              <w:rPr>
                <w:sz w:val="18"/>
                <w:szCs w:val="18"/>
              </w:rPr>
              <w:t xml:space="preserve"> en un pozo</w:t>
            </w:r>
          </w:p>
        </w:tc>
        <w:tc>
          <w:tcPr>
            <w:tcW w:w="3473" w:type="dxa"/>
            <w:shd w:val="clear" w:color="auto" w:fill="auto"/>
            <w:vAlign w:val="center"/>
          </w:tcPr>
          <w:p w:rsidR="007C4016" w:rsidRPr="00390B03" w:rsidRDefault="007C4016" w:rsidP="005C782A">
            <w:pPr>
              <w:pStyle w:val="TxtListado"/>
              <w:spacing w:before="240" w:after="0"/>
              <w:jc w:val="center"/>
              <w:rPr>
                <w:sz w:val="18"/>
                <w:szCs w:val="18"/>
              </w:rPr>
            </w:pPr>
            <w:r w:rsidRPr="00390B03">
              <w:rPr>
                <w:sz w:val="18"/>
                <w:szCs w:val="18"/>
              </w:rPr>
              <w:t>$67.08 M.N.</w:t>
            </w:r>
            <w:r w:rsidRPr="00390B03">
              <w:rPr>
                <w:rStyle w:val="Refdenotaalpie"/>
                <w:sz w:val="18"/>
                <w:szCs w:val="18"/>
              </w:rPr>
              <w:t xml:space="preserve"> </w:t>
            </w:r>
          </w:p>
        </w:tc>
      </w:tr>
      <w:tr w:rsidR="007C4016" w:rsidRPr="00390B03" w:rsidTr="005C782A">
        <w:trPr>
          <w:trHeight w:val="96"/>
          <w:jc w:val="center"/>
        </w:trPr>
        <w:tc>
          <w:tcPr>
            <w:tcW w:w="4957" w:type="dxa"/>
            <w:shd w:val="clear" w:color="auto" w:fill="auto"/>
            <w:vAlign w:val="center"/>
          </w:tcPr>
          <w:p w:rsidR="007C4016" w:rsidRPr="00390B03" w:rsidRDefault="007C4016" w:rsidP="005C782A">
            <w:pPr>
              <w:pStyle w:val="TxtListado"/>
              <w:spacing w:before="240" w:after="0"/>
              <w:jc w:val="both"/>
              <w:rPr>
                <w:sz w:val="18"/>
                <w:szCs w:val="18"/>
              </w:rPr>
            </w:pPr>
            <w:r w:rsidRPr="00390B03">
              <w:rPr>
                <w:sz w:val="18"/>
                <w:szCs w:val="18"/>
              </w:rPr>
              <w:lastRenderedPageBreak/>
              <w:t>Alojamiento de gaza de fibra óptica en un pozo</w:t>
            </w:r>
          </w:p>
        </w:tc>
        <w:tc>
          <w:tcPr>
            <w:tcW w:w="3473" w:type="dxa"/>
            <w:shd w:val="clear" w:color="auto" w:fill="auto"/>
            <w:vAlign w:val="center"/>
          </w:tcPr>
          <w:p w:rsidR="007C4016" w:rsidRPr="00390B03" w:rsidRDefault="007C4016" w:rsidP="005C782A">
            <w:pPr>
              <w:pStyle w:val="TxtListado"/>
              <w:spacing w:before="240" w:after="0"/>
              <w:jc w:val="center"/>
              <w:rPr>
                <w:sz w:val="18"/>
                <w:szCs w:val="18"/>
              </w:rPr>
            </w:pPr>
            <w:r w:rsidRPr="00390B03">
              <w:rPr>
                <w:sz w:val="18"/>
                <w:szCs w:val="18"/>
              </w:rPr>
              <w:t>$41.68 M.N.</w:t>
            </w:r>
          </w:p>
        </w:tc>
      </w:tr>
    </w:tbl>
    <w:p w:rsidR="007C4016" w:rsidRPr="003253D4" w:rsidRDefault="007C4016" w:rsidP="007C4016">
      <w:pPr>
        <w:pStyle w:val="ROMANOS"/>
        <w:spacing w:before="240" w:after="0" w:line="276" w:lineRule="auto"/>
        <w:ind w:left="0" w:firstLine="0"/>
        <w:rPr>
          <w:rFonts w:ascii="ITC Avant Garde" w:hAnsi="ITC Avant Garde"/>
          <w:sz w:val="22"/>
          <w:szCs w:val="22"/>
        </w:rPr>
      </w:pPr>
    </w:p>
    <w:p w:rsidR="007C4016" w:rsidRDefault="007C4016" w:rsidP="007C4016">
      <w:pPr>
        <w:pStyle w:val="Texto"/>
        <w:numPr>
          <w:ilvl w:val="0"/>
          <w:numId w:val="225"/>
        </w:numPr>
        <w:spacing w:before="240" w:after="0" w:line="276" w:lineRule="auto"/>
        <w:rPr>
          <w:rFonts w:ascii="ITC Avant Garde" w:hAnsi="ITC Avant Garde"/>
          <w:b/>
          <w:i/>
          <w:sz w:val="22"/>
          <w:szCs w:val="22"/>
        </w:rPr>
      </w:pPr>
      <w:r w:rsidRPr="00002714">
        <w:rPr>
          <w:rFonts w:ascii="ITC Avant Garde" w:hAnsi="ITC Avant Garde"/>
          <w:b/>
          <w:i/>
          <w:sz w:val="22"/>
          <w:szCs w:val="22"/>
        </w:rPr>
        <w:t>Postes:</w:t>
      </w:r>
      <w:r>
        <w:rPr>
          <w:rFonts w:ascii="ITC Avant Garde" w:hAnsi="ITC Avant Garde"/>
          <w:b/>
          <w:i/>
          <w:sz w:val="22"/>
          <w:szCs w:val="22"/>
        </w:rPr>
        <w:t xml:space="preserve"> contraprestación anual</w:t>
      </w:r>
    </w:p>
    <w:p w:rsidR="007C4016" w:rsidRPr="00544322" w:rsidRDefault="007C4016" w:rsidP="007C4016">
      <w:pPr>
        <w:pStyle w:val="CondicionesFinales"/>
        <w:spacing w:before="240" w:after="0"/>
      </w:pPr>
      <w:r w:rsidRPr="00544322">
        <w:t>Para el cálculo de la contraprestación correspondient</w:t>
      </w:r>
      <w:r>
        <w:t xml:space="preserve">e </w:t>
      </w:r>
      <w:r w:rsidRPr="00544322">
        <w:t>de postes, se toman los siguientes conceptos:</w:t>
      </w:r>
    </w:p>
    <w:p w:rsidR="007C4016" w:rsidRPr="003253D4" w:rsidRDefault="007C4016" w:rsidP="007C4016">
      <w:pPr>
        <w:pStyle w:val="Texto"/>
        <w:spacing w:before="240" w:after="0" w:line="276" w:lineRule="auto"/>
        <w:rPr>
          <w:rFonts w:ascii="ITC Avant Garde" w:hAnsi="ITC Avant Garde"/>
          <w:sz w:val="22"/>
          <w:szCs w:val="22"/>
          <w:lang w:val="es-ES_tradnl"/>
        </w:rPr>
      </w:pPr>
    </w:p>
    <w:tbl>
      <w:tblPr>
        <w:tblStyle w:val="Tablaconcuadrcula"/>
        <w:tblW w:w="8500" w:type="dxa"/>
        <w:jc w:val="center"/>
        <w:tblLook w:val="04A0" w:firstRow="1" w:lastRow="0" w:firstColumn="1" w:lastColumn="0" w:noHBand="0" w:noVBand="1"/>
        <w:tblCaption w:val="Tabla"/>
        <w:tblDescription w:val="Postes: contraprestación anual"/>
      </w:tblPr>
      <w:tblGrid>
        <w:gridCol w:w="4995"/>
        <w:gridCol w:w="3505"/>
      </w:tblGrid>
      <w:tr w:rsidR="007C4016" w:rsidRPr="00390B03" w:rsidTr="005C782A">
        <w:trPr>
          <w:trHeight w:val="48"/>
          <w:tblHeader/>
          <w:jc w:val="center"/>
        </w:trPr>
        <w:tc>
          <w:tcPr>
            <w:tcW w:w="4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4016" w:rsidRPr="00390B03" w:rsidRDefault="007C4016" w:rsidP="005C782A">
            <w:pPr>
              <w:pStyle w:val="TxtListado"/>
              <w:spacing w:before="240" w:after="0"/>
              <w:rPr>
                <w:b/>
                <w:sz w:val="18"/>
                <w:szCs w:val="18"/>
              </w:rPr>
            </w:pPr>
            <w:r w:rsidRPr="00390B03">
              <w:rPr>
                <w:b/>
                <w:sz w:val="18"/>
                <w:szCs w:val="18"/>
              </w:rPr>
              <w:t>Uso del Poste</w:t>
            </w:r>
          </w:p>
        </w:tc>
        <w:tc>
          <w:tcPr>
            <w:tcW w:w="3505" w:type="dxa"/>
            <w:tcBorders>
              <w:left w:val="single" w:sz="4" w:space="0" w:color="auto"/>
            </w:tcBorders>
            <w:shd w:val="clear" w:color="auto" w:fill="D9D9D9" w:themeFill="background1" w:themeFillShade="D9"/>
            <w:vAlign w:val="center"/>
          </w:tcPr>
          <w:p w:rsidR="007C4016" w:rsidRPr="00390B03" w:rsidRDefault="007C4016" w:rsidP="005C782A">
            <w:pPr>
              <w:pStyle w:val="TxtListado"/>
              <w:spacing w:before="240" w:after="0"/>
              <w:jc w:val="center"/>
              <w:rPr>
                <w:b/>
                <w:sz w:val="18"/>
                <w:szCs w:val="18"/>
              </w:rPr>
            </w:pPr>
            <w:r w:rsidRPr="00390B03">
              <w:rPr>
                <w:b/>
                <w:sz w:val="18"/>
                <w:szCs w:val="18"/>
              </w:rPr>
              <w:t>Contraprestación</w:t>
            </w:r>
          </w:p>
        </w:tc>
      </w:tr>
      <w:tr w:rsidR="007C4016" w:rsidRPr="00390B03" w:rsidTr="005C782A">
        <w:trPr>
          <w:trHeight w:val="76"/>
          <w:jc w:val="center"/>
        </w:trPr>
        <w:tc>
          <w:tcPr>
            <w:tcW w:w="4995" w:type="dxa"/>
            <w:tcBorders>
              <w:top w:val="single" w:sz="4" w:space="0" w:color="auto"/>
            </w:tcBorders>
            <w:shd w:val="clear" w:color="auto" w:fill="auto"/>
            <w:vAlign w:val="center"/>
          </w:tcPr>
          <w:p w:rsidR="007C4016" w:rsidRPr="00390B03" w:rsidRDefault="007C4016" w:rsidP="005C782A">
            <w:pPr>
              <w:pStyle w:val="TxtListado"/>
              <w:tabs>
                <w:tab w:val="center" w:pos="1878"/>
              </w:tabs>
              <w:spacing w:before="240" w:after="0"/>
              <w:jc w:val="both"/>
              <w:rPr>
                <w:sz w:val="18"/>
                <w:szCs w:val="18"/>
              </w:rPr>
            </w:pPr>
            <w:r w:rsidRPr="00390B03">
              <w:rPr>
                <w:sz w:val="18"/>
                <w:szCs w:val="18"/>
              </w:rPr>
              <w:t>Por kilogramo de fuerza ejercida en poste</w:t>
            </w:r>
          </w:p>
        </w:tc>
        <w:tc>
          <w:tcPr>
            <w:tcW w:w="3505" w:type="dxa"/>
            <w:shd w:val="clear" w:color="auto" w:fill="auto"/>
            <w:vAlign w:val="center"/>
          </w:tcPr>
          <w:p w:rsidR="007C4016" w:rsidRPr="00390B03" w:rsidRDefault="007C4016" w:rsidP="005C782A">
            <w:pPr>
              <w:pStyle w:val="TxtListado"/>
              <w:spacing w:before="240" w:after="0"/>
              <w:jc w:val="center"/>
              <w:rPr>
                <w:sz w:val="18"/>
                <w:szCs w:val="18"/>
              </w:rPr>
            </w:pPr>
            <w:r w:rsidRPr="00390B03">
              <w:rPr>
                <w:sz w:val="18"/>
                <w:szCs w:val="18"/>
              </w:rPr>
              <w:t>$0.57 M.N.</w:t>
            </w:r>
            <w:r>
              <w:rPr>
                <w:sz w:val="18"/>
                <w:szCs w:val="18"/>
              </w:rPr>
              <w:t xml:space="preserve"> / Kg</w:t>
            </w:r>
            <w:r w:rsidRPr="00390B03">
              <w:rPr>
                <w:rStyle w:val="Refdenotaalpie"/>
                <w:sz w:val="18"/>
                <w:szCs w:val="18"/>
              </w:rPr>
              <w:t xml:space="preserve"> </w:t>
            </w:r>
            <w:r w:rsidRPr="00390B03">
              <w:rPr>
                <w:sz w:val="18"/>
                <w:szCs w:val="18"/>
              </w:rPr>
              <w:t>(anual)</w:t>
            </w:r>
          </w:p>
        </w:tc>
      </w:tr>
      <w:tr w:rsidR="007C4016" w:rsidRPr="00390B03" w:rsidTr="005C782A">
        <w:trPr>
          <w:trHeight w:val="76"/>
          <w:jc w:val="center"/>
        </w:trPr>
        <w:tc>
          <w:tcPr>
            <w:tcW w:w="4995" w:type="dxa"/>
            <w:shd w:val="clear" w:color="auto" w:fill="auto"/>
            <w:vAlign w:val="center"/>
          </w:tcPr>
          <w:p w:rsidR="007C4016" w:rsidRPr="00390B03" w:rsidRDefault="007C4016" w:rsidP="005C782A">
            <w:pPr>
              <w:pStyle w:val="TxtListado"/>
              <w:spacing w:before="240" w:after="0"/>
              <w:jc w:val="both"/>
              <w:rPr>
                <w:sz w:val="18"/>
                <w:szCs w:val="18"/>
              </w:rPr>
            </w:pPr>
            <w:r w:rsidRPr="00390B03">
              <w:rPr>
                <w:sz w:val="18"/>
                <w:szCs w:val="18"/>
              </w:rPr>
              <w:t>Por apoyos de protecciones para subidas o aterrizamientos</w:t>
            </w:r>
          </w:p>
        </w:tc>
        <w:tc>
          <w:tcPr>
            <w:tcW w:w="3505" w:type="dxa"/>
            <w:shd w:val="clear" w:color="auto" w:fill="auto"/>
            <w:vAlign w:val="center"/>
          </w:tcPr>
          <w:p w:rsidR="007C4016" w:rsidRPr="00390B03" w:rsidRDefault="007C4016" w:rsidP="005C782A">
            <w:pPr>
              <w:pStyle w:val="TxtListado"/>
              <w:spacing w:before="240" w:after="0"/>
              <w:jc w:val="center"/>
              <w:rPr>
                <w:sz w:val="18"/>
                <w:szCs w:val="18"/>
              </w:rPr>
            </w:pPr>
            <w:r w:rsidRPr="00390B03">
              <w:rPr>
                <w:sz w:val="18"/>
                <w:szCs w:val="18"/>
              </w:rPr>
              <w:t>$94.79 M.N. (Por evento)</w:t>
            </w:r>
          </w:p>
        </w:tc>
      </w:tr>
    </w:tbl>
    <w:p w:rsidR="007C4016" w:rsidRDefault="007C4016" w:rsidP="007C4016">
      <w:pPr>
        <w:pStyle w:val="Texto"/>
        <w:spacing w:before="240" w:after="0" w:line="276" w:lineRule="auto"/>
        <w:ind w:left="360" w:firstLine="0"/>
        <w:rPr>
          <w:rFonts w:ascii="ITC Avant Garde" w:hAnsi="ITC Avant Garde"/>
          <w:b/>
          <w:sz w:val="22"/>
          <w:szCs w:val="22"/>
          <w:lang w:val="es-ES_tradnl"/>
        </w:rPr>
      </w:pPr>
    </w:p>
    <w:p w:rsidR="007C4016" w:rsidRDefault="007C4016" w:rsidP="007C4016">
      <w:pPr>
        <w:pStyle w:val="CondicionesFinales"/>
        <w:spacing w:before="240" w:after="0"/>
      </w:pPr>
      <w:r>
        <w:t>Sobre el cable de Concesionario Solicitante se podrán colocar elementos como cierres, empalmes, terminales, u otros, sin que estén apoyados en el poste, por dicho concepto se cobrará con base en el kilogramo de fuerza ejercida en el poste.</w:t>
      </w:r>
    </w:p>
    <w:p w:rsidR="007C4016" w:rsidRDefault="007C4016" w:rsidP="000314A8">
      <w:pPr>
        <w:pStyle w:val="CondicionesFinales"/>
        <w:rPr>
          <w:b/>
        </w:rPr>
      </w:pPr>
    </w:p>
    <w:p w:rsidR="000314A8" w:rsidRPr="000314A8" w:rsidRDefault="000314A8" w:rsidP="000314A8">
      <w:pPr>
        <w:pStyle w:val="CondicionesFinales"/>
        <w:rPr>
          <w:b/>
        </w:rPr>
      </w:pPr>
      <w:r w:rsidRPr="000314A8">
        <w:rPr>
          <w:b/>
        </w:rPr>
        <w:t xml:space="preserve">Ejemplo de cálculo de tensión total ejercida por el cable en poste y de la tarifa correspondiente por uso de este: </w:t>
      </w:r>
    </w:p>
    <w:p w:rsidR="000314A8" w:rsidRDefault="000314A8" w:rsidP="000314A8">
      <w:pPr>
        <w:pStyle w:val="CondicionesFinales"/>
      </w:pPr>
      <w:r>
        <w:t>Para fines de este ejercicio, se</w:t>
      </w:r>
      <w:r w:rsidRPr="00F92443">
        <w:t xml:space="preserve"> realizar</w:t>
      </w:r>
      <w:r>
        <w:t>á</w:t>
      </w:r>
      <w:r w:rsidRPr="00F92443">
        <w:t>n las estimaciones para dos cables con 24 y 144 fibras ópticas en su interior, con diámetro de 30.40 milímetros y 40.33 milímetros respectivamente. Adicionalmente, se supondrá que el primer cable tiene un peso de 250 Kg/Km y el segundo tiene un peso de 340 Kg/Km. Por otra parte, el ejercicio de cálculo se realizará bajo el supuesto de que ambos cables se instalarán en la Ciudad de México.</w:t>
      </w:r>
    </w:p>
    <w:p w:rsidR="000314A8" w:rsidRPr="00EF4F8C" w:rsidRDefault="000314A8" w:rsidP="000314A8">
      <w:pPr>
        <w:pStyle w:val="CondicionesFinales"/>
      </w:pPr>
      <w:r>
        <w:t>Ahora bien, p</w:t>
      </w:r>
      <w:r w:rsidRPr="00EF4F8C">
        <w:t>ara el cálculo de la contraprestación por uso de poste, se deberá estima</w:t>
      </w:r>
      <w:r>
        <w:t>r la f</w:t>
      </w:r>
      <w:r w:rsidRPr="00EF4F8C">
        <w:t>uerza total (tensión total</w:t>
      </w:r>
      <w:r>
        <w:t>)</w:t>
      </w:r>
      <w:r w:rsidRPr="00EF4F8C">
        <w:t xml:space="preserve"> </w:t>
      </w:r>
      <w:r>
        <w:t xml:space="preserve">ejercida </w:t>
      </w:r>
      <w:r w:rsidRPr="00EF4F8C">
        <w:t>por</w:t>
      </w:r>
      <w:r>
        <w:t xml:space="preserve"> el</w:t>
      </w:r>
      <w:r w:rsidRPr="00EF4F8C">
        <w:t xml:space="preserve"> cable </w:t>
      </w:r>
      <w:r>
        <w:t xml:space="preserve">(denotada por </w:t>
      </w:r>
      <m:oMath>
        <m:sSub>
          <m:sSubPr>
            <m:ctrlPr>
              <w:rPr>
                <w:rFonts w:ascii="Cambria Math" w:hAnsi="Cambria Math"/>
              </w:rPr>
            </m:ctrlPr>
          </m:sSubPr>
          <m:e>
            <m:r>
              <m:rPr>
                <m:nor/>
              </m:rPr>
              <m:t>F</m:t>
            </m:r>
          </m:e>
          <m:sub>
            <m:r>
              <m:rPr>
                <m:nor/>
              </m:rPr>
              <m:t>T</m:t>
            </m:r>
          </m:sub>
        </m:sSub>
      </m:oMath>
      <w:r w:rsidRPr="00EF4F8C">
        <w:t>)</w:t>
      </w:r>
      <w:r>
        <w:t xml:space="preserve"> </w:t>
      </w:r>
      <w:r w:rsidRPr="00EF4F8C">
        <w:t xml:space="preserve">y multiplicar el valor resultante según la tarifa por </w:t>
      </w:r>
      <w:r w:rsidRPr="00EF4F8C">
        <w:lastRenderedPageBreak/>
        <w:t>kilogramo de fuerza ejercida en poste, de acuerdo a la siguiente fórmula</w:t>
      </w:r>
      <w:r w:rsidR="00A62B5C">
        <w:t>:</w:t>
      </w:r>
    </w:p>
    <w:p w:rsidR="000314A8" w:rsidRPr="00F92443" w:rsidRDefault="000314A8" w:rsidP="000314A8">
      <w:pPr>
        <w:pStyle w:val="IFTnormal"/>
        <w:ind w:left="851" w:right="760"/>
      </w:pPr>
      <m:oMathPara>
        <m:oMath>
          <m:r>
            <m:rPr>
              <m:nor/>
            </m:rPr>
            <w:rPr>
              <w:b/>
            </w:rPr>
            <m:t>Tarifa anual por uso de poste</m:t>
          </m:r>
          <m:r>
            <m:rPr>
              <m:nor/>
            </m:rPr>
            <m:t xml:space="preserve"> = $0.57 M.N.</m:t>
          </m:r>
          <m:r>
            <m:rPr>
              <m:sty m:val="p"/>
            </m:rPr>
            <w:rPr>
              <w:rFonts w:ascii="Cambria Math" w:hAnsi="Cambria Math"/>
            </w:rPr>
            <m:t xml:space="preserve"> </m:t>
          </m:r>
          <m:sSub>
            <m:sSubPr>
              <m:ctrlPr>
                <w:rPr>
                  <w:rFonts w:ascii="Cambria Math" w:hAnsi="Cambria Math"/>
                </w:rPr>
              </m:ctrlPr>
            </m:sSubPr>
            <m:e>
              <m:r>
                <m:rPr>
                  <m:nor/>
                </m:rPr>
                <m:t>/ Kg × F</m:t>
              </m:r>
            </m:e>
            <m:sub>
              <m:r>
                <m:rPr>
                  <m:nor/>
                </m:rPr>
                <m:t>T</m:t>
              </m:r>
            </m:sub>
          </m:sSub>
        </m:oMath>
      </m:oMathPara>
    </w:p>
    <w:p w:rsidR="000314A8" w:rsidRPr="00733606" w:rsidRDefault="000314A8" w:rsidP="000314A8">
      <w:pPr>
        <w:pStyle w:val="CondicionesFinales"/>
      </w:pPr>
      <w:r>
        <w:t xml:space="preserve">Donde </w:t>
      </w:r>
      <m:oMath>
        <m:sSub>
          <m:sSubPr>
            <m:ctrlPr>
              <w:rPr>
                <w:rFonts w:ascii="Cambria Math" w:hAnsi="Cambria Math"/>
              </w:rPr>
            </m:ctrlPr>
          </m:sSubPr>
          <m:e>
            <m:r>
              <m:rPr>
                <m:nor/>
              </m:rPr>
              <w:rPr>
                <w:iCs/>
              </w:rPr>
              <m:t>F</m:t>
            </m:r>
          </m:e>
          <m:sub>
            <m:r>
              <m:rPr>
                <m:nor/>
              </m:rPr>
              <w:rPr>
                <w:iCs/>
              </w:rPr>
              <m:t>T</m:t>
            </m:r>
          </m:sub>
        </m:sSub>
        <m:r>
          <m:rPr>
            <m:nor/>
          </m:rPr>
          <w:rPr>
            <w:rFonts w:ascii="Cambria Math"/>
          </w:rPr>
          <m:t xml:space="preserve"> </m:t>
        </m:r>
        <m:r>
          <m:rPr>
            <m:nor/>
          </m:rPr>
          <m:t>=</m:t>
        </m:r>
        <m:r>
          <m:rPr>
            <m:nor/>
          </m:rPr>
          <w:rPr>
            <w:rFonts w:ascii="Cambria Math"/>
          </w:rPr>
          <m:t xml:space="preserve"> </m:t>
        </m:r>
        <m:r>
          <m:rPr>
            <m:nor/>
          </m:rPr>
          <w:rPr>
            <w:iCs/>
          </w:rPr>
          <m:t>L</m:t>
        </m:r>
        <m:r>
          <m:rPr>
            <m:sty m:val="p"/>
          </m:rPr>
          <w:rPr>
            <w:rFonts w:ascii="Cambria Math" w:hAnsi="Cambria Math"/>
          </w:rPr>
          <m:t xml:space="preserve"> </m:t>
        </m:r>
        <m:sSup>
          <m:sSupPr>
            <m:ctrlPr>
              <w:rPr>
                <w:rFonts w:ascii="Cambria Math" w:hAnsi="Cambria Math"/>
              </w:rPr>
            </m:ctrlPr>
          </m:sSupPr>
          <m:e>
            <m:r>
              <m:rPr>
                <m:nor/>
              </m:rPr>
              <m:t>×</m:t>
            </m:r>
            <m:d>
              <m:dPr>
                <m:ctrlPr>
                  <w:rPr>
                    <w:rFonts w:ascii="Cambria Math" w:hAnsi="Cambria Math"/>
                  </w:rPr>
                </m:ctrlPr>
              </m:dPr>
              <m:e>
                <m:sSup>
                  <m:sSupPr>
                    <m:ctrlPr>
                      <w:rPr>
                        <w:rFonts w:ascii="Cambria Math" w:hAnsi="Cambria Math"/>
                      </w:rPr>
                    </m:ctrlPr>
                  </m:sSupPr>
                  <m:e>
                    <m:r>
                      <m:rPr>
                        <m:nor/>
                      </m:rPr>
                      <w:rPr>
                        <w:iCs/>
                      </w:rPr>
                      <m:t>w</m:t>
                    </m:r>
                  </m:e>
                  <m:sup>
                    <m:r>
                      <m:rPr>
                        <m:nor/>
                      </m:rPr>
                      <m:t>2</m:t>
                    </m:r>
                  </m:sup>
                </m:sSup>
                <m:r>
                  <m:rPr>
                    <m:nor/>
                  </m:rPr>
                  <m:t>+</m:t>
                </m:r>
                <m:r>
                  <m:rPr>
                    <m:sty m:val="p"/>
                  </m:rP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m:rPr>
                            <m:nor/>
                          </m:rPr>
                          <w:rPr>
                            <w:iCs/>
                          </w:rPr>
                          <m:t>F</m:t>
                        </m:r>
                      </m:e>
                      <m:sub>
                        <m:r>
                          <m:rPr>
                            <m:nor/>
                          </m:rPr>
                          <w:rPr>
                            <w:iCs/>
                          </w:rPr>
                          <m:t>v</m:t>
                        </m:r>
                      </m:sub>
                    </m:sSub>
                  </m:e>
                  <m:sup>
                    <m:r>
                      <m:rPr>
                        <m:nor/>
                      </m:rPr>
                      <m:t>2</m:t>
                    </m:r>
                  </m:sup>
                </m:sSup>
              </m:e>
            </m:d>
          </m:e>
          <m:sup>
            <m:r>
              <m:rPr>
                <m:nor/>
              </m:rPr>
              <m:t>1/2</m:t>
            </m:r>
          </m:sup>
        </m:sSup>
      </m:oMath>
      <w:r>
        <w:rPr>
          <w:lang w:val="es-419"/>
        </w:rPr>
        <w:t xml:space="preserve"> </w:t>
      </w:r>
      <w:r>
        <w:t xml:space="preserve">es la fórmula aplicable al cálculo de la fuerza total ejercida y </w:t>
      </w:r>
      <m:oMath>
        <m:sSub>
          <m:sSubPr>
            <m:ctrlPr>
              <w:rPr>
                <w:rFonts w:ascii="Cambria Math" w:hAnsi="Cambria Math"/>
              </w:rPr>
            </m:ctrlPr>
          </m:sSubPr>
          <m:e>
            <m:r>
              <m:rPr>
                <m:nor/>
              </m:rPr>
              <m:t>F</m:t>
            </m:r>
          </m:e>
          <m:sub>
            <m:r>
              <m:rPr>
                <m:nor/>
              </m:rPr>
              <m:t>V</m:t>
            </m:r>
          </m:sub>
        </m:sSub>
        <m:r>
          <m:rPr>
            <m:nor/>
          </m:rPr>
          <m:t xml:space="preserve"> = 0.00482 ×</m:t>
        </m:r>
        <m:r>
          <m:rPr>
            <m:sty m:val="p"/>
          </m:rPr>
          <w:rPr>
            <w:rFonts w:ascii="Cambria Math" w:hAnsi="Cambria Math"/>
          </w:rPr>
          <m:t xml:space="preserve"> </m:t>
        </m:r>
        <m:sSup>
          <m:sSupPr>
            <m:ctrlPr>
              <w:rPr>
                <w:rFonts w:ascii="Cambria Math" w:hAnsi="Cambria Math"/>
              </w:rPr>
            </m:ctrlPr>
          </m:sSupPr>
          <m:e>
            <m:r>
              <m:rPr>
                <m:nor/>
              </m:rPr>
              <m:t>v</m:t>
            </m:r>
          </m:e>
          <m:sup>
            <m:r>
              <m:rPr>
                <m:nor/>
              </m:rPr>
              <m:t>2</m:t>
            </m:r>
          </m:sup>
        </m:sSup>
        <m:r>
          <m:rPr>
            <m:nor/>
          </m:rPr>
          <m:t xml:space="preserve"> ×</m:t>
        </m:r>
        <m:sSub>
          <m:sSubPr>
            <m:ctrlPr>
              <w:rPr>
                <w:rFonts w:ascii="Cambria Math" w:hAnsi="Cambria Math"/>
              </w:rPr>
            </m:ctrlPr>
          </m:sSubPr>
          <m:e>
            <m:r>
              <m:rPr>
                <m:nor/>
              </m:rPr>
              <m:t>D</m:t>
            </m:r>
          </m:e>
          <m:sub>
            <m:r>
              <m:rPr>
                <m:nor/>
              </m:rPr>
              <m:t>C</m:t>
            </m:r>
          </m:sub>
        </m:sSub>
      </m:oMath>
      <w:r>
        <w:t xml:space="preserve"> representa la fórmula para calcular la fuerza del </w:t>
      </w:r>
      <w:r w:rsidRPr="007A36AD">
        <w:t>viento:</w:t>
      </w:r>
    </w:p>
    <w:p w:rsidR="00483567" w:rsidRDefault="000314A8" w:rsidP="001F58AD">
      <w:pPr>
        <w:pStyle w:val="CondicionesFinales"/>
        <w:numPr>
          <w:ilvl w:val="0"/>
          <w:numId w:val="225"/>
        </w:numPr>
        <w:ind w:left="1276" w:hanging="283"/>
      </w:pPr>
      <w:r w:rsidRPr="007A36AD" w:rsidDel="008F0CE4">
        <w:t>F</w:t>
      </w:r>
      <w:r w:rsidRPr="00483567" w:rsidDel="008F0CE4">
        <w:rPr>
          <w:vertAlign w:val="subscript"/>
        </w:rPr>
        <w:t>T</w:t>
      </w:r>
      <w:r w:rsidRPr="007A36AD">
        <w:t xml:space="preserve"> = Fuerza Total (Kg).</w:t>
      </w:r>
    </w:p>
    <w:p w:rsidR="000314A8" w:rsidRPr="00733606" w:rsidRDefault="000314A8" w:rsidP="001F58AD">
      <w:pPr>
        <w:pStyle w:val="CondicionesFinales"/>
        <w:numPr>
          <w:ilvl w:val="0"/>
          <w:numId w:val="225"/>
        </w:numPr>
        <w:ind w:left="1276" w:hanging="283"/>
      </w:pPr>
      <w:r w:rsidRPr="00733606">
        <w:t>w = Peso del cable (Kg/m).</w:t>
      </w:r>
    </w:p>
    <w:p w:rsidR="000314A8" w:rsidRPr="007A36AD" w:rsidRDefault="002C04D7" w:rsidP="000314A8">
      <w:pPr>
        <w:pStyle w:val="CondicionesFinales"/>
        <w:numPr>
          <w:ilvl w:val="0"/>
          <w:numId w:val="225"/>
        </w:numPr>
        <w:ind w:left="1276" w:hanging="283"/>
      </w:pPr>
      <m:oMath>
        <m:sSub>
          <m:sSubPr>
            <m:ctrlPr>
              <w:rPr>
                <w:rFonts w:ascii="Cambria Math" w:hAnsi="Cambria Math"/>
              </w:rPr>
            </m:ctrlPr>
          </m:sSubPr>
          <m:e>
            <m:r>
              <m:rPr>
                <m:nor/>
              </m:rPr>
              <m:t>F</m:t>
            </m:r>
          </m:e>
          <m:sub>
            <m:r>
              <m:rPr>
                <m:nor/>
              </m:rPr>
              <m:t>v</m:t>
            </m:r>
          </m:sub>
        </m:sSub>
      </m:oMath>
      <w:r w:rsidR="000314A8" w:rsidRPr="007A36AD">
        <w:t>: Fuerza del viento (Kg/m).</w:t>
      </w:r>
    </w:p>
    <w:p w:rsidR="000314A8" w:rsidRPr="007A36AD" w:rsidRDefault="000314A8" w:rsidP="000314A8">
      <w:pPr>
        <w:pStyle w:val="CondicionesFinales"/>
        <w:numPr>
          <w:ilvl w:val="0"/>
          <w:numId w:val="225"/>
        </w:numPr>
        <w:ind w:left="1276" w:hanging="283"/>
      </w:pPr>
      <w:r w:rsidRPr="00733606">
        <w:t xml:space="preserve">L = </w:t>
      </w:r>
      <w:r>
        <w:t xml:space="preserve">50 = </w:t>
      </w:r>
      <w:r w:rsidRPr="007A36AD">
        <w:t>Distancia Interpostal (m).</w:t>
      </w:r>
    </w:p>
    <w:p w:rsidR="000314A8" w:rsidRPr="007A36AD" w:rsidRDefault="000314A8" w:rsidP="000314A8">
      <w:pPr>
        <w:pStyle w:val="CondicionesFinales"/>
        <w:numPr>
          <w:ilvl w:val="0"/>
          <w:numId w:val="225"/>
        </w:numPr>
        <w:ind w:left="1276" w:hanging="283"/>
      </w:pPr>
      <m:oMath>
        <m:r>
          <m:rPr>
            <m:nor/>
          </m:rPr>
          <m:t>v:</m:t>
        </m:r>
      </m:oMath>
      <w:r w:rsidRPr="007A36AD">
        <w:t xml:space="preserve"> Velocidad de viento de diseño</w:t>
      </w:r>
    </w:p>
    <w:p w:rsidR="000314A8" w:rsidRDefault="002C04D7" w:rsidP="000314A8">
      <w:pPr>
        <w:pStyle w:val="CondicionesFinales"/>
        <w:numPr>
          <w:ilvl w:val="0"/>
          <w:numId w:val="225"/>
        </w:numPr>
        <w:ind w:left="1276" w:hanging="283"/>
      </w:pPr>
      <m:oMath>
        <m:sSub>
          <m:sSubPr>
            <m:ctrlPr>
              <w:rPr>
                <w:rFonts w:ascii="Cambria Math" w:hAnsi="Cambria Math"/>
              </w:rPr>
            </m:ctrlPr>
          </m:sSubPr>
          <m:e>
            <m:r>
              <m:rPr>
                <m:nor/>
              </m:rPr>
              <m:t>D</m:t>
            </m:r>
          </m:e>
          <m:sub>
            <m:r>
              <m:rPr>
                <m:nor/>
              </m:rPr>
              <m:t>C</m:t>
            </m:r>
          </m:sub>
        </m:sSub>
      </m:oMath>
      <w:r w:rsidR="000314A8" w:rsidRPr="007A36AD">
        <w:t>: Diámetro del cable (m).</w:t>
      </w:r>
    </w:p>
    <w:p w:rsidR="00382A83" w:rsidRPr="00F92443" w:rsidRDefault="00382A83" w:rsidP="000314A8">
      <w:pPr>
        <w:pStyle w:val="CondicionesFinales"/>
      </w:pPr>
      <w:r w:rsidRPr="00F92443">
        <w:t>A este respecto, se debe convertir el valor de diámetro de los cables (de milímetros a metros), dividiendo los valores reportados entre 1,000. Es decir, se tiene que el valor del diámetro del cable de 24 fibras tiene un diámetro de 0.0304 metros, mientras que el cable de 114 fibras corresponde a 0.04</w:t>
      </w:r>
      <w:r w:rsidR="004A0E08">
        <w:rPr>
          <w:lang w:val="es-419"/>
        </w:rPr>
        <w:t>0</w:t>
      </w:r>
      <w:r w:rsidRPr="00F92443" w:rsidDel="004A0E08">
        <w:t>3</w:t>
      </w:r>
      <w:r w:rsidRPr="00F92443">
        <w:t xml:space="preserve"> metros.</w:t>
      </w:r>
    </w:p>
    <w:p w:rsidR="00382A83" w:rsidRPr="00F92443" w:rsidRDefault="00382A83" w:rsidP="000314A8">
      <w:pPr>
        <w:pStyle w:val="CondicionesFinales"/>
      </w:pPr>
      <w:r w:rsidRPr="00F92443">
        <w:t>En complemento, también se deben convertir el peso de los cables (de Kg/Km a Kg/m), realizando la división de los valores reportados entre 1,000. Con ello, se obtiene que el cable de 24 fibras pesa 0.25 Kg/m y el cable de 114 fibras 0.340 Kg/m.</w:t>
      </w:r>
    </w:p>
    <w:p w:rsidR="000314A8" w:rsidRPr="00F92443" w:rsidRDefault="000314A8" w:rsidP="000314A8">
      <w:pPr>
        <w:pStyle w:val="CondicionesFinales"/>
      </w:pPr>
      <w:r w:rsidRPr="00F92443">
        <w:t>Cabe destacar que de acuerdo al mapa de zonas de cargas mecánicas de</w:t>
      </w:r>
      <w:r>
        <w:t xml:space="preserve"> la</w:t>
      </w:r>
      <w:r w:rsidRPr="00F92443">
        <w:t xml:space="preserve"> NOM-001-SEDE-2012, </w:t>
      </w:r>
      <w:r>
        <w:t xml:space="preserve">la </w:t>
      </w:r>
      <w:r w:rsidRPr="00F92443">
        <w:t>velocidad de viento de diseño correspondiente a la Ciudad de México (zona IV) es de 70 Km/h.</w:t>
      </w:r>
    </w:p>
    <w:p w:rsidR="000314A8" w:rsidRPr="00F92443" w:rsidRDefault="000314A8" w:rsidP="000314A8">
      <w:pPr>
        <w:pStyle w:val="CondicionesFinales"/>
      </w:pPr>
      <w:r w:rsidRPr="00F92443">
        <w:t xml:space="preserve">Empleando los valores anteriores, el cálculo de la fuerza del viento </w:t>
      </w:r>
      <m:oMath>
        <m:sSub>
          <m:sSubPr>
            <m:ctrlPr>
              <w:rPr>
                <w:rFonts w:ascii="Cambria Math" w:hAnsi="Cambria Math"/>
              </w:rPr>
            </m:ctrlPr>
          </m:sSubPr>
          <m:e>
            <m:r>
              <m:rPr>
                <m:nor/>
              </m:rPr>
              <m:t>(F</m:t>
            </m:r>
          </m:e>
          <m:sub>
            <m:r>
              <m:rPr>
                <m:nor/>
              </m:rPr>
              <m:t>v</m:t>
            </m:r>
          </m:sub>
        </m:sSub>
      </m:oMath>
      <w:r w:rsidRPr="00F92443">
        <w:t>)</w:t>
      </w:r>
      <w:r>
        <w:t>,</w:t>
      </w:r>
      <w:r w:rsidRPr="00F92443">
        <w:t xml:space="preserve"> correspondiente a los cables en comento se resume a continuación:</w:t>
      </w:r>
    </w:p>
    <w:tbl>
      <w:tblPr>
        <w:tblStyle w:val="Tablaconcuadrcula"/>
        <w:tblW w:w="5000" w:type="pct"/>
        <w:jc w:val="center"/>
        <w:tblLook w:val="04A0" w:firstRow="1" w:lastRow="0" w:firstColumn="1" w:lastColumn="0" w:noHBand="0" w:noVBand="1"/>
        <w:tblCaption w:val="Tabla"/>
        <w:tblDescription w:val="Capacidad de cable"/>
      </w:tblPr>
      <w:tblGrid>
        <w:gridCol w:w="1725"/>
        <w:gridCol w:w="1961"/>
        <w:gridCol w:w="1967"/>
        <w:gridCol w:w="3177"/>
      </w:tblGrid>
      <w:tr w:rsidR="000314A8" w:rsidRPr="00464C9B" w:rsidTr="005C782A">
        <w:trPr>
          <w:trHeight w:val="630"/>
          <w:tblHeader/>
          <w:jc w:val="center"/>
        </w:trPr>
        <w:tc>
          <w:tcPr>
            <w:tcW w:w="976" w:type="pct"/>
            <w:shd w:val="clear" w:color="auto" w:fill="D9D9D9" w:themeFill="background1" w:themeFillShade="D9"/>
          </w:tcPr>
          <w:p w:rsidR="000314A8" w:rsidRPr="00D34609" w:rsidRDefault="000314A8" w:rsidP="00A405F8">
            <w:pPr>
              <w:pStyle w:val="TxtListado"/>
              <w:jc w:val="center"/>
              <w:rPr>
                <w:rFonts w:eastAsia="MS Mincho" w:cs="Calibri"/>
                <w:b/>
                <w:bCs/>
                <w:sz w:val="18"/>
                <w:szCs w:val="22"/>
                <w:lang w:eastAsia="en-US"/>
              </w:rPr>
            </w:pPr>
          </w:p>
        </w:tc>
        <w:tc>
          <w:tcPr>
            <w:tcW w:w="1110" w:type="pct"/>
            <w:shd w:val="clear" w:color="auto" w:fill="D9D9D9" w:themeFill="background1" w:themeFillShade="D9"/>
          </w:tcPr>
          <w:p w:rsidR="000314A8" w:rsidRPr="00D34609" w:rsidRDefault="000314A8" w:rsidP="00A405F8">
            <w:pPr>
              <w:pStyle w:val="TxtListado"/>
              <w:jc w:val="center"/>
              <w:rPr>
                <w:rFonts w:eastAsia="MS Mincho" w:cs="Calibri"/>
                <w:b/>
                <w:bCs/>
                <w:sz w:val="18"/>
                <w:szCs w:val="22"/>
                <w:lang w:eastAsia="en-US"/>
              </w:rPr>
            </w:pPr>
            <w:r w:rsidRPr="00D34609">
              <w:rPr>
                <w:rFonts w:eastAsia="MS Mincho" w:cs="Calibri"/>
                <w:b/>
                <w:bCs/>
                <w:sz w:val="18"/>
                <w:szCs w:val="22"/>
                <w:lang w:eastAsia="en-US"/>
              </w:rPr>
              <w:t>Diámetro de cable</w:t>
            </w:r>
            <w:r>
              <w:rPr>
                <w:rFonts w:eastAsia="MS Mincho" w:cs="Calibri"/>
                <w:b/>
                <w:bCs/>
                <w:sz w:val="18"/>
                <w:szCs w:val="22"/>
                <w:lang w:eastAsia="en-US"/>
              </w:rPr>
              <w:t xml:space="preserve"> </w:t>
            </w:r>
            <m:oMath>
              <m:sSub>
                <m:sSubPr>
                  <m:ctrlPr>
                    <w:rPr>
                      <w:rFonts w:ascii="Cambria Math" w:eastAsia="MS Mincho" w:hAnsi="Cambria Math" w:cs="Calibri"/>
                      <w:b/>
                      <w:bCs/>
                      <w:sz w:val="18"/>
                      <w:szCs w:val="22"/>
                      <w:lang w:eastAsia="en-US"/>
                    </w:rPr>
                  </m:ctrlPr>
                </m:sSubPr>
                <m:e>
                  <m:r>
                    <m:rPr>
                      <m:nor/>
                    </m:rPr>
                    <w:rPr>
                      <w:rFonts w:ascii="Cambria Math" w:eastAsia="MS Mincho" w:cs="Calibri"/>
                      <w:b/>
                      <w:bCs/>
                      <w:sz w:val="18"/>
                      <w:szCs w:val="22"/>
                      <w:lang w:eastAsia="en-US"/>
                    </w:rPr>
                    <m:t>(</m:t>
                  </m:r>
                  <m:r>
                    <m:rPr>
                      <m:nor/>
                    </m:rPr>
                    <w:rPr>
                      <w:rFonts w:eastAsia="MS Mincho" w:cs="Calibri"/>
                      <w:b/>
                      <w:bCs/>
                      <w:sz w:val="18"/>
                      <w:szCs w:val="22"/>
                      <w:lang w:eastAsia="en-US"/>
                    </w:rPr>
                    <m:t>D</m:t>
                  </m:r>
                </m:e>
                <m:sub>
                  <m:r>
                    <m:rPr>
                      <m:nor/>
                    </m:rPr>
                    <w:rPr>
                      <w:rFonts w:eastAsia="MS Mincho" w:cs="Calibri"/>
                      <w:b/>
                      <w:bCs/>
                      <w:sz w:val="18"/>
                      <w:szCs w:val="22"/>
                      <w:lang w:eastAsia="en-US"/>
                    </w:rPr>
                    <m:t>C</m:t>
                  </m:r>
                </m:sub>
              </m:sSub>
              <m:r>
                <m:rPr>
                  <m:sty m:val="bi"/>
                </m:rPr>
                <w:rPr>
                  <w:rFonts w:ascii="Cambria Math" w:eastAsia="MS Mincho" w:hAnsi="Cambria Math" w:cs="Calibri"/>
                  <w:sz w:val="18"/>
                  <w:szCs w:val="22"/>
                  <w:lang w:eastAsia="en-US"/>
                </w:rPr>
                <m:t>)</m:t>
              </m:r>
            </m:oMath>
          </w:p>
        </w:tc>
        <w:tc>
          <w:tcPr>
            <w:tcW w:w="1114" w:type="pct"/>
            <w:shd w:val="clear" w:color="auto" w:fill="D9D9D9" w:themeFill="background1" w:themeFillShade="D9"/>
          </w:tcPr>
          <w:p w:rsidR="000314A8" w:rsidRPr="00D34609" w:rsidRDefault="000314A8" w:rsidP="00A405F8">
            <w:pPr>
              <w:pStyle w:val="TxtListado"/>
              <w:jc w:val="center"/>
              <w:rPr>
                <w:rFonts w:eastAsia="MS Mincho" w:cs="Calibri"/>
                <w:b/>
                <w:bCs/>
                <w:sz w:val="18"/>
                <w:szCs w:val="22"/>
                <w:lang w:eastAsia="en-US"/>
              </w:rPr>
            </w:pPr>
            <w:r w:rsidRPr="00D34609">
              <w:rPr>
                <w:rFonts w:eastAsia="MS Mincho" w:cs="Calibri"/>
                <w:b/>
                <w:bCs/>
                <w:sz w:val="18"/>
                <w:szCs w:val="22"/>
                <w:lang w:eastAsia="en-US"/>
              </w:rPr>
              <w:t>Velocidad de viento</w:t>
            </w:r>
            <w:r w:rsidRPr="00D34609">
              <w:rPr>
                <w:rFonts w:eastAsia="MS Mincho" w:cs="Calibri"/>
                <w:b/>
                <w:bCs/>
                <w:sz w:val="18"/>
                <w:szCs w:val="22"/>
                <w:vertAlign w:val="superscript"/>
                <w:lang w:eastAsia="en-US"/>
              </w:rPr>
              <w:footnoteReference w:id="10"/>
            </w:r>
            <w:r>
              <w:rPr>
                <w:rFonts w:eastAsia="MS Mincho" w:cs="Calibri"/>
                <w:b/>
                <w:bCs/>
                <w:sz w:val="18"/>
                <w:szCs w:val="22"/>
                <w:lang w:eastAsia="en-US"/>
              </w:rPr>
              <w:t xml:space="preserve"> (v)</w:t>
            </w:r>
          </w:p>
        </w:tc>
        <w:tc>
          <w:tcPr>
            <w:tcW w:w="1799" w:type="pct"/>
            <w:shd w:val="clear" w:color="auto" w:fill="D9D9D9" w:themeFill="background1" w:themeFillShade="D9"/>
          </w:tcPr>
          <w:p w:rsidR="000314A8" w:rsidRPr="00D34609" w:rsidRDefault="000314A8" w:rsidP="00A405F8">
            <w:pPr>
              <w:pStyle w:val="TxtListado"/>
              <w:jc w:val="center"/>
              <w:rPr>
                <w:rFonts w:eastAsia="MS Mincho" w:cs="Calibri"/>
                <w:b/>
                <w:bCs/>
                <w:sz w:val="18"/>
                <w:szCs w:val="22"/>
                <w:lang w:eastAsia="en-US"/>
              </w:rPr>
            </w:pPr>
            <w:r w:rsidRPr="00D34609">
              <w:rPr>
                <w:rFonts w:eastAsia="MS Mincho" w:cs="Calibri"/>
                <w:b/>
                <w:bCs/>
                <w:sz w:val="18"/>
                <w:szCs w:val="22"/>
                <w:lang w:eastAsia="en-US"/>
              </w:rPr>
              <w:t>Fuerza de viento</w:t>
            </w:r>
            <m:oMath>
              <m:sSub>
                <m:sSubPr>
                  <m:ctrlPr>
                    <w:rPr>
                      <w:rFonts w:ascii="Cambria Math" w:eastAsia="MS Mincho" w:hAnsi="Cambria Math" w:cs="Calibri"/>
                      <w:b/>
                      <w:bCs/>
                      <w:sz w:val="18"/>
                      <w:szCs w:val="22"/>
                      <w:lang w:eastAsia="en-US"/>
                    </w:rPr>
                  </m:ctrlPr>
                </m:sSubPr>
                <m:e>
                  <m:r>
                    <m:rPr>
                      <m:nor/>
                    </m:rPr>
                    <w:rPr>
                      <w:rFonts w:eastAsia="MS Mincho" w:cs="Calibri"/>
                      <w:b/>
                      <w:bCs/>
                      <w:sz w:val="18"/>
                      <w:szCs w:val="22"/>
                      <w:lang w:eastAsia="en-US"/>
                    </w:rPr>
                    <m:t xml:space="preserve"> (F</m:t>
                  </m:r>
                </m:e>
                <m:sub>
                  <m:r>
                    <m:rPr>
                      <m:nor/>
                    </m:rPr>
                    <w:rPr>
                      <w:rFonts w:eastAsia="MS Mincho" w:cs="Calibri"/>
                      <w:b/>
                      <w:bCs/>
                      <w:sz w:val="18"/>
                      <w:szCs w:val="22"/>
                      <w:lang w:eastAsia="en-US"/>
                    </w:rPr>
                    <m:t>v</m:t>
                  </m:r>
                </m:sub>
              </m:sSub>
              <m:r>
                <m:rPr>
                  <m:nor/>
                </m:rPr>
                <w:rPr>
                  <w:rFonts w:eastAsia="MS Mincho" w:cs="Calibri"/>
                  <w:b/>
                  <w:bCs/>
                  <w:sz w:val="18"/>
                  <w:szCs w:val="22"/>
                  <w:lang w:eastAsia="en-US"/>
                </w:rPr>
                <m:t>= 0.00482 ×</m:t>
              </m:r>
              <m:r>
                <m:rPr>
                  <m:sty m:val="b"/>
                </m:rPr>
                <w:rPr>
                  <w:rFonts w:ascii="Cambria Math" w:eastAsia="MS Mincho" w:hAnsi="Cambria Math" w:cs="Calibri"/>
                  <w:sz w:val="18"/>
                  <w:szCs w:val="22"/>
                  <w:lang w:eastAsia="en-US"/>
                </w:rPr>
                <m:t xml:space="preserve"> </m:t>
              </m:r>
              <m:sSup>
                <m:sSupPr>
                  <m:ctrlPr>
                    <w:rPr>
                      <w:rFonts w:ascii="Cambria Math" w:eastAsia="MS Mincho" w:hAnsi="Cambria Math" w:cs="Calibri"/>
                      <w:b/>
                      <w:bCs/>
                      <w:sz w:val="18"/>
                      <w:szCs w:val="22"/>
                      <w:lang w:eastAsia="en-US"/>
                    </w:rPr>
                  </m:ctrlPr>
                </m:sSupPr>
                <m:e>
                  <m:r>
                    <m:rPr>
                      <m:nor/>
                    </m:rPr>
                    <w:rPr>
                      <w:rFonts w:eastAsia="MS Mincho" w:cs="Calibri"/>
                      <w:b/>
                      <w:bCs/>
                      <w:sz w:val="18"/>
                      <w:szCs w:val="22"/>
                      <w:lang w:eastAsia="en-US"/>
                    </w:rPr>
                    <m:t>v</m:t>
                  </m:r>
                </m:e>
                <m:sup>
                  <m:r>
                    <m:rPr>
                      <m:nor/>
                    </m:rPr>
                    <w:rPr>
                      <w:rFonts w:eastAsia="MS Mincho" w:cs="Calibri"/>
                      <w:b/>
                      <w:bCs/>
                      <w:sz w:val="18"/>
                      <w:szCs w:val="22"/>
                      <w:lang w:eastAsia="en-US"/>
                    </w:rPr>
                    <m:t>2</m:t>
                  </m:r>
                </m:sup>
              </m:sSup>
              <m:r>
                <m:rPr>
                  <m:nor/>
                </m:rPr>
                <w:rPr>
                  <w:rFonts w:eastAsia="MS Mincho" w:cs="Calibri"/>
                  <w:b/>
                  <w:bCs/>
                  <w:sz w:val="18"/>
                  <w:szCs w:val="22"/>
                  <w:lang w:eastAsia="en-US"/>
                </w:rPr>
                <m:t xml:space="preserve"> ×</m:t>
              </m:r>
              <m:r>
                <m:rPr>
                  <m:nor/>
                </m:rPr>
                <w:rPr>
                  <w:rFonts w:ascii="Cambria Math" w:eastAsia="MS Mincho" w:cs="Calibri"/>
                  <w:b/>
                  <w:bCs/>
                  <w:sz w:val="18"/>
                  <w:szCs w:val="22"/>
                  <w:lang w:eastAsia="en-US"/>
                </w:rPr>
                <m:t xml:space="preserve"> </m:t>
              </m:r>
              <m:sSub>
                <m:sSubPr>
                  <m:ctrlPr>
                    <w:rPr>
                      <w:rFonts w:ascii="Cambria Math" w:eastAsia="MS Mincho" w:hAnsi="Cambria Math" w:cs="Calibri"/>
                      <w:b/>
                      <w:bCs/>
                      <w:sz w:val="18"/>
                      <w:szCs w:val="22"/>
                      <w:lang w:eastAsia="en-US"/>
                    </w:rPr>
                  </m:ctrlPr>
                </m:sSubPr>
                <m:e>
                  <m:r>
                    <m:rPr>
                      <m:nor/>
                    </m:rPr>
                    <w:rPr>
                      <w:rFonts w:eastAsia="MS Mincho" w:cs="Calibri"/>
                      <w:b/>
                      <w:bCs/>
                      <w:sz w:val="18"/>
                      <w:szCs w:val="22"/>
                      <w:lang w:eastAsia="en-US"/>
                    </w:rPr>
                    <m:t>D</m:t>
                  </m:r>
                </m:e>
                <m:sub>
                  <m:r>
                    <m:rPr>
                      <m:nor/>
                    </m:rPr>
                    <w:rPr>
                      <w:rFonts w:eastAsia="MS Mincho" w:cs="Calibri"/>
                      <w:b/>
                      <w:bCs/>
                      <w:sz w:val="18"/>
                      <w:szCs w:val="22"/>
                      <w:lang w:eastAsia="en-US"/>
                    </w:rPr>
                    <m:t>C</m:t>
                  </m:r>
                </m:sub>
              </m:sSub>
            </m:oMath>
            <w:r w:rsidRPr="00D34609">
              <w:rPr>
                <w:rFonts w:eastAsia="MS Mincho" w:cs="Calibri"/>
                <w:b/>
                <w:bCs/>
                <w:sz w:val="18"/>
                <w:szCs w:val="22"/>
                <w:lang w:eastAsia="en-US"/>
              </w:rPr>
              <w:t>)</w:t>
            </w:r>
          </w:p>
        </w:tc>
      </w:tr>
      <w:tr w:rsidR="000314A8" w:rsidRPr="00464C9B" w:rsidTr="00A405F8">
        <w:trPr>
          <w:trHeight w:val="252"/>
          <w:jc w:val="center"/>
        </w:trPr>
        <w:tc>
          <w:tcPr>
            <w:tcW w:w="976" w:type="pct"/>
            <w:tcBorders>
              <w:left w:val="single" w:sz="4" w:space="0" w:color="000000" w:themeColor="text1"/>
              <w:right w:val="single" w:sz="4" w:space="0" w:color="FFFFFF" w:themeColor="background1"/>
            </w:tcBorders>
            <w:shd w:val="clear" w:color="auto" w:fill="auto"/>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Número de fibras</w:t>
            </w:r>
          </w:p>
        </w:tc>
        <w:tc>
          <w:tcPr>
            <w:tcW w:w="1110" w:type="pct"/>
            <w:tcBorders>
              <w:left w:val="single" w:sz="4" w:space="0" w:color="FFFFFF" w:themeColor="background1"/>
              <w:right w:val="single" w:sz="4" w:space="0" w:color="FFFFFF" w:themeColor="background1"/>
            </w:tcBorders>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metros</w:t>
            </w:r>
          </w:p>
        </w:tc>
        <w:tc>
          <w:tcPr>
            <w:tcW w:w="1114" w:type="pct"/>
            <w:tcBorders>
              <w:left w:val="single" w:sz="4" w:space="0" w:color="FFFFFF" w:themeColor="background1"/>
              <w:right w:val="single" w:sz="4" w:space="0" w:color="FFFFFF" w:themeColor="background1"/>
            </w:tcBorders>
            <w:shd w:val="clear" w:color="auto" w:fill="auto"/>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Km / Hr</w:t>
            </w:r>
          </w:p>
        </w:tc>
        <w:tc>
          <w:tcPr>
            <w:tcW w:w="1799" w:type="pct"/>
            <w:tcBorders>
              <w:left w:val="single" w:sz="4" w:space="0" w:color="FFFFFF" w:themeColor="background1"/>
              <w:right w:val="single" w:sz="4" w:space="0" w:color="auto"/>
            </w:tcBorders>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Kg/m</w:t>
            </w:r>
          </w:p>
        </w:tc>
      </w:tr>
      <w:tr w:rsidR="000314A8" w:rsidRPr="00464C9B" w:rsidTr="00A405F8">
        <w:trPr>
          <w:trHeight w:val="380"/>
          <w:jc w:val="center"/>
        </w:trPr>
        <w:tc>
          <w:tcPr>
            <w:tcW w:w="976" w:type="pct"/>
            <w:shd w:val="clear" w:color="auto" w:fill="auto"/>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24</w:t>
            </w:r>
          </w:p>
        </w:tc>
        <w:tc>
          <w:tcPr>
            <w:tcW w:w="1110" w:type="pct"/>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0.0304</w:t>
            </w:r>
          </w:p>
        </w:tc>
        <w:tc>
          <w:tcPr>
            <w:tcW w:w="1114" w:type="pct"/>
            <w:shd w:val="clear" w:color="auto" w:fill="auto"/>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70</w:t>
            </w:r>
          </w:p>
        </w:tc>
        <w:tc>
          <w:tcPr>
            <w:tcW w:w="1799" w:type="pct"/>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0.7179872</w:t>
            </w:r>
          </w:p>
        </w:tc>
      </w:tr>
      <w:tr w:rsidR="000314A8" w:rsidRPr="00464C9B" w:rsidTr="00A405F8">
        <w:trPr>
          <w:trHeight w:val="380"/>
          <w:jc w:val="center"/>
        </w:trPr>
        <w:tc>
          <w:tcPr>
            <w:tcW w:w="976" w:type="pct"/>
            <w:shd w:val="clear" w:color="auto" w:fill="auto"/>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144</w:t>
            </w:r>
          </w:p>
        </w:tc>
        <w:tc>
          <w:tcPr>
            <w:tcW w:w="1110" w:type="pct"/>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0.</w:t>
            </w:r>
            <w:r w:rsidR="00676784">
              <w:rPr>
                <w:rFonts w:eastAsia="MS Mincho" w:cs="Calibri"/>
                <w:bCs/>
                <w:sz w:val="18"/>
                <w:szCs w:val="22"/>
                <w:lang w:eastAsia="en-US"/>
              </w:rPr>
              <w:t>040</w:t>
            </w:r>
            <w:r w:rsidRPr="00464C9B">
              <w:rPr>
                <w:rFonts w:eastAsia="MS Mincho" w:cs="Calibri"/>
                <w:bCs/>
                <w:sz w:val="18"/>
                <w:szCs w:val="22"/>
                <w:lang w:eastAsia="en-US"/>
              </w:rPr>
              <w:t>3</w:t>
            </w:r>
          </w:p>
        </w:tc>
        <w:tc>
          <w:tcPr>
            <w:tcW w:w="1114" w:type="pct"/>
            <w:shd w:val="clear" w:color="auto" w:fill="auto"/>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70</w:t>
            </w:r>
          </w:p>
        </w:tc>
        <w:tc>
          <w:tcPr>
            <w:tcW w:w="1799" w:type="pct"/>
          </w:tcPr>
          <w:p w:rsidR="000314A8" w:rsidRPr="00464C9B" w:rsidRDefault="00676784" w:rsidP="00A405F8">
            <w:pPr>
              <w:pStyle w:val="TxtListado"/>
              <w:jc w:val="center"/>
              <w:rPr>
                <w:rFonts w:eastAsia="MS Mincho" w:cs="Calibri"/>
                <w:bCs/>
                <w:sz w:val="18"/>
                <w:szCs w:val="22"/>
                <w:lang w:eastAsia="en-US"/>
              </w:rPr>
            </w:pPr>
            <w:r w:rsidRPr="00DF14DF">
              <w:rPr>
                <w:rFonts w:eastAsia="MS Mincho" w:cs="Calibri"/>
                <w:bCs/>
                <w:sz w:val="18"/>
                <w:szCs w:val="22"/>
                <w:lang w:eastAsia="en-US"/>
              </w:rPr>
              <w:t>0.9518054</w:t>
            </w:r>
          </w:p>
        </w:tc>
      </w:tr>
    </w:tbl>
    <w:p w:rsidR="00382A83" w:rsidRPr="00F92443" w:rsidRDefault="00382A83" w:rsidP="000314A8">
      <w:pPr>
        <w:pStyle w:val="CondicionesFinales"/>
      </w:pPr>
    </w:p>
    <w:p w:rsidR="000314A8" w:rsidRPr="00F92443" w:rsidRDefault="000314A8" w:rsidP="000314A8">
      <w:pPr>
        <w:pStyle w:val="CondicionesFinales"/>
      </w:pPr>
      <w:r w:rsidRPr="00F92443">
        <w:t xml:space="preserve">En complemento, al aplicar las fórmulas descritas </w:t>
      </w:r>
      <w:r>
        <w:t xml:space="preserve">por </w:t>
      </w:r>
      <w:r w:rsidR="001C17D3">
        <w:t>Telnor</w:t>
      </w:r>
      <w:r>
        <w:t xml:space="preserve"> a través de su “</w:t>
      </w:r>
      <w:r w:rsidRPr="00DD38F2">
        <w:t xml:space="preserve">NORMA: COMPARTICIÓN DE POSTES DE </w:t>
      </w:r>
      <w:r w:rsidR="001C17D3">
        <w:t>TELNOR</w:t>
      </w:r>
      <w:r w:rsidRPr="00DD38F2">
        <w:t xml:space="preserve"> PARA NUEVOS CONCESIONARIOS</w:t>
      </w:r>
      <w:r>
        <w:t>”  para el cálculo de la fuerza total (tensión total) de cada uno de los cables, se obtienen los siguiente valores, así como</w:t>
      </w:r>
      <w:r w:rsidRPr="00F92443">
        <w:t xml:space="preserve"> la tarifa anual por uso de postes</w:t>
      </w:r>
      <w:r>
        <w:t xml:space="preserve"> correspondiente</w:t>
      </w:r>
      <w:r w:rsidRPr="00F92443">
        <w:t>:</w:t>
      </w:r>
    </w:p>
    <w:tbl>
      <w:tblPr>
        <w:tblStyle w:val="Tablaconcuadrcula"/>
        <w:tblW w:w="5054" w:type="pct"/>
        <w:jc w:val="center"/>
        <w:tblLook w:val="04A0" w:firstRow="1" w:lastRow="0" w:firstColumn="1" w:lastColumn="0" w:noHBand="0" w:noVBand="1"/>
        <w:tblCaption w:val="Tabla"/>
        <w:tblDescription w:val="Capacidad de cable"/>
      </w:tblPr>
      <w:tblGrid>
        <w:gridCol w:w="1318"/>
        <w:gridCol w:w="1514"/>
        <w:gridCol w:w="1135"/>
        <w:gridCol w:w="1417"/>
        <w:gridCol w:w="2131"/>
        <w:gridCol w:w="1410"/>
      </w:tblGrid>
      <w:tr w:rsidR="000314A8" w:rsidRPr="00464C9B" w:rsidTr="005C782A">
        <w:trPr>
          <w:trHeight w:hRule="exact" w:val="1464"/>
          <w:tblHeader/>
          <w:jc w:val="center"/>
        </w:trPr>
        <w:tc>
          <w:tcPr>
            <w:tcW w:w="738" w:type="pct"/>
            <w:shd w:val="clear" w:color="auto" w:fill="D9D9D9" w:themeFill="background1" w:themeFillShade="D9"/>
          </w:tcPr>
          <w:p w:rsidR="000314A8" w:rsidRPr="00316B79" w:rsidRDefault="000314A8" w:rsidP="00A405F8">
            <w:pPr>
              <w:pStyle w:val="TxtListado"/>
              <w:jc w:val="center"/>
              <w:rPr>
                <w:rFonts w:eastAsia="MS Mincho" w:cs="Calibri"/>
                <w:b/>
                <w:bCs/>
                <w:sz w:val="18"/>
                <w:szCs w:val="22"/>
                <w:lang w:eastAsia="en-US"/>
              </w:rPr>
            </w:pPr>
            <w:r w:rsidRPr="00316B79">
              <w:rPr>
                <w:rFonts w:eastAsia="MS Mincho" w:cs="Calibri"/>
                <w:b/>
                <w:bCs/>
                <w:sz w:val="18"/>
                <w:szCs w:val="22"/>
                <w:lang w:eastAsia="en-US"/>
              </w:rPr>
              <w:t>Capacidad de cable</w:t>
            </w:r>
          </w:p>
        </w:tc>
        <w:tc>
          <w:tcPr>
            <w:tcW w:w="848" w:type="pct"/>
            <w:shd w:val="clear" w:color="auto" w:fill="D9D9D9" w:themeFill="background1" w:themeFillShade="D9"/>
          </w:tcPr>
          <w:p w:rsidR="000314A8" w:rsidRDefault="000314A8" w:rsidP="00A405F8">
            <w:pPr>
              <w:pStyle w:val="TxtListado"/>
              <w:jc w:val="center"/>
              <w:rPr>
                <w:rFonts w:eastAsia="MS Mincho" w:cs="Calibri"/>
                <w:b/>
                <w:bCs/>
                <w:sz w:val="18"/>
                <w:szCs w:val="22"/>
                <w:lang w:eastAsia="en-US"/>
              </w:rPr>
            </w:pPr>
            <w:r w:rsidRPr="00316B79">
              <w:rPr>
                <w:rFonts w:eastAsia="MS Mincho" w:cs="Calibri"/>
                <w:b/>
                <w:bCs/>
                <w:sz w:val="18"/>
                <w:szCs w:val="22"/>
                <w:lang w:eastAsia="en-US"/>
              </w:rPr>
              <w:t>Distancia interpostal</w:t>
            </w:r>
          </w:p>
          <w:p w:rsidR="000314A8" w:rsidRPr="00316B79" w:rsidRDefault="000314A8" w:rsidP="00A405F8">
            <w:pPr>
              <w:pStyle w:val="TxtListado"/>
              <w:jc w:val="center"/>
              <w:rPr>
                <w:rFonts w:eastAsia="MS Mincho" w:cs="Calibri"/>
                <w:b/>
                <w:bCs/>
                <w:sz w:val="18"/>
                <w:szCs w:val="22"/>
                <w:lang w:eastAsia="en-US"/>
              </w:rPr>
            </w:pPr>
            <w:r w:rsidRPr="00316B79">
              <w:rPr>
                <w:rFonts w:eastAsia="MS Mincho" w:cs="Calibri"/>
                <w:b/>
                <w:bCs/>
                <w:sz w:val="18"/>
                <w:szCs w:val="22"/>
                <w:lang w:eastAsia="en-US"/>
              </w:rPr>
              <w:t>(L)</w:t>
            </w:r>
          </w:p>
        </w:tc>
        <w:tc>
          <w:tcPr>
            <w:tcW w:w="636" w:type="pct"/>
            <w:shd w:val="clear" w:color="auto" w:fill="D9D9D9" w:themeFill="background1" w:themeFillShade="D9"/>
          </w:tcPr>
          <w:p w:rsidR="000314A8" w:rsidRPr="00316B79" w:rsidRDefault="000314A8" w:rsidP="00A405F8">
            <w:pPr>
              <w:pStyle w:val="TxtListado"/>
              <w:jc w:val="center"/>
              <w:rPr>
                <w:rFonts w:eastAsia="MS Mincho" w:cs="Calibri"/>
                <w:b/>
                <w:bCs/>
                <w:sz w:val="18"/>
                <w:szCs w:val="22"/>
                <w:lang w:eastAsia="en-US"/>
              </w:rPr>
            </w:pPr>
            <w:r w:rsidRPr="00316B79">
              <w:rPr>
                <w:rFonts w:eastAsia="MS Mincho" w:cs="Calibri"/>
                <w:b/>
                <w:bCs/>
                <w:sz w:val="18"/>
                <w:szCs w:val="22"/>
                <w:lang w:eastAsia="en-US"/>
              </w:rPr>
              <w:t>Peso del cable (w)</w:t>
            </w:r>
          </w:p>
        </w:tc>
        <w:tc>
          <w:tcPr>
            <w:tcW w:w="794" w:type="pct"/>
            <w:shd w:val="clear" w:color="auto" w:fill="D9D9D9" w:themeFill="background1" w:themeFillShade="D9"/>
          </w:tcPr>
          <w:p w:rsidR="000314A8" w:rsidRPr="00316B79" w:rsidRDefault="000314A8" w:rsidP="00A405F8">
            <w:pPr>
              <w:pStyle w:val="TxtListado"/>
              <w:jc w:val="center"/>
              <w:rPr>
                <w:rFonts w:eastAsia="MS Mincho" w:cs="Calibri"/>
                <w:b/>
                <w:bCs/>
                <w:sz w:val="18"/>
                <w:szCs w:val="22"/>
                <w:lang w:eastAsia="en-US"/>
              </w:rPr>
            </w:pPr>
            <w:r w:rsidRPr="00316B79">
              <w:rPr>
                <w:rFonts w:eastAsia="MS Mincho" w:cs="Calibri"/>
                <w:b/>
                <w:bCs/>
                <w:sz w:val="18"/>
                <w:szCs w:val="22"/>
                <w:lang w:eastAsia="en-US"/>
              </w:rPr>
              <w:t>Fuerza de viento</w:t>
            </w:r>
            <m:oMath>
              <m:sSub>
                <m:sSubPr>
                  <m:ctrlPr>
                    <w:rPr>
                      <w:rFonts w:ascii="Cambria Math" w:eastAsia="MS Mincho" w:hAnsi="Cambria Math" w:cs="Calibri"/>
                      <w:b/>
                      <w:bCs/>
                      <w:sz w:val="18"/>
                      <w:szCs w:val="22"/>
                      <w:lang w:eastAsia="en-US"/>
                    </w:rPr>
                  </m:ctrlPr>
                </m:sSubPr>
                <m:e>
                  <m:r>
                    <m:rPr>
                      <m:nor/>
                    </m:rPr>
                    <w:rPr>
                      <w:rFonts w:eastAsia="MS Mincho" w:cs="Calibri"/>
                      <w:b/>
                      <w:bCs/>
                      <w:sz w:val="18"/>
                      <w:szCs w:val="22"/>
                      <w:lang w:eastAsia="en-US"/>
                    </w:rPr>
                    <m:t xml:space="preserve"> (F</m:t>
                  </m:r>
                </m:e>
                <m:sub>
                  <m:r>
                    <m:rPr>
                      <m:nor/>
                    </m:rPr>
                    <w:rPr>
                      <w:rFonts w:eastAsia="MS Mincho" w:cs="Calibri"/>
                      <w:b/>
                      <w:bCs/>
                      <w:sz w:val="18"/>
                      <w:szCs w:val="22"/>
                      <w:lang w:eastAsia="en-US"/>
                    </w:rPr>
                    <m:t>v</m:t>
                  </m:r>
                </m:sub>
              </m:sSub>
            </m:oMath>
            <w:r w:rsidRPr="00316B79">
              <w:rPr>
                <w:rFonts w:eastAsia="MS Mincho" w:cs="Calibri"/>
                <w:b/>
                <w:bCs/>
                <w:sz w:val="18"/>
                <w:szCs w:val="22"/>
                <w:lang w:eastAsia="en-US"/>
              </w:rPr>
              <w:t>)</w:t>
            </w:r>
          </w:p>
        </w:tc>
        <w:tc>
          <w:tcPr>
            <w:tcW w:w="1194" w:type="pct"/>
            <w:shd w:val="clear" w:color="auto" w:fill="D9D9D9" w:themeFill="background1" w:themeFillShade="D9"/>
          </w:tcPr>
          <w:p w:rsidR="000314A8" w:rsidRDefault="000314A8" w:rsidP="00A405F8">
            <w:pPr>
              <w:pStyle w:val="IFTnormal"/>
              <w:jc w:val="center"/>
              <w:rPr>
                <w:b/>
                <w:sz w:val="18"/>
              </w:rPr>
            </w:pPr>
            <w:r w:rsidRPr="00316B79">
              <w:rPr>
                <w:b/>
                <w:sz w:val="18"/>
              </w:rPr>
              <w:t>Fuerza Total</w:t>
            </w:r>
          </w:p>
          <w:p w:rsidR="000314A8" w:rsidRPr="00316B79" w:rsidRDefault="000314A8" w:rsidP="00A405F8">
            <w:pPr>
              <w:pStyle w:val="IFTnormal"/>
              <w:jc w:val="center"/>
              <w:rPr>
                <w:b/>
                <w:sz w:val="18"/>
              </w:rPr>
            </w:pPr>
            <w:r w:rsidRPr="00316B79">
              <w:rPr>
                <w:b/>
                <w:sz w:val="18"/>
              </w:rPr>
              <w:t xml:space="preserve"> </w:t>
            </w:r>
            <m:oMath>
              <m:sSub>
                <m:sSubPr>
                  <m:ctrlPr>
                    <w:rPr>
                      <w:rFonts w:ascii="Cambria Math" w:hAnsi="Cambria Math"/>
                      <w:b/>
                      <w:sz w:val="18"/>
                    </w:rPr>
                  </m:ctrlPr>
                </m:sSubPr>
                <m:e>
                  <m:r>
                    <m:rPr>
                      <m:nor/>
                    </m:rPr>
                    <w:rPr>
                      <w:b/>
                      <w:sz w:val="18"/>
                    </w:rPr>
                    <m:t>(F</m:t>
                  </m:r>
                </m:e>
                <m:sub>
                  <m:r>
                    <m:rPr>
                      <m:nor/>
                    </m:rPr>
                    <w:rPr>
                      <w:b/>
                      <w:sz w:val="18"/>
                    </w:rPr>
                    <m:t>T</m:t>
                  </m:r>
                </m:sub>
              </m:sSub>
              <m:r>
                <m:rPr>
                  <m:nor/>
                </m:rPr>
                <w:rPr>
                  <w:b/>
                  <w:sz w:val="18"/>
                </w:rPr>
                <m:t>=L</m:t>
              </m:r>
              <m:r>
                <m:rPr>
                  <m:sty m:val="b"/>
                </m:rPr>
                <w:rPr>
                  <w:rFonts w:ascii="Cambria Math" w:hAnsi="Cambria Math"/>
                  <w:sz w:val="18"/>
                </w:rPr>
                <m:t xml:space="preserve"> </m:t>
              </m:r>
              <m:sSup>
                <m:sSupPr>
                  <m:ctrlPr>
                    <w:rPr>
                      <w:rFonts w:ascii="Cambria Math" w:hAnsi="Cambria Math"/>
                      <w:b/>
                      <w:sz w:val="18"/>
                    </w:rPr>
                  </m:ctrlPr>
                </m:sSupPr>
                <m:e>
                  <m:r>
                    <m:rPr>
                      <m:sty m:val="b"/>
                    </m:rPr>
                    <w:rPr>
                      <w:rFonts w:ascii="Cambria Math" w:hAnsi="Cambria Math"/>
                      <w:sz w:val="18"/>
                    </w:rPr>
                    <m:t>×</m:t>
                  </m:r>
                  <m:d>
                    <m:dPr>
                      <m:ctrlPr>
                        <w:rPr>
                          <w:rFonts w:ascii="Cambria Math" w:hAnsi="Cambria Math"/>
                          <w:b/>
                          <w:sz w:val="18"/>
                        </w:rPr>
                      </m:ctrlPr>
                    </m:dPr>
                    <m:e>
                      <m:sSup>
                        <m:sSupPr>
                          <m:ctrlPr>
                            <w:rPr>
                              <w:rFonts w:ascii="Cambria Math" w:hAnsi="Cambria Math"/>
                              <w:b/>
                              <w:sz w:val="18"/>
                            </w:rPr>
                          </m:ctrlPr>
                        </m:sSupPr>
                        <m:e>
                          <m:r>
                            <m:rPr>
                              <m:nor/>
                            </m:rPr>
                            <w:rPr>
                              <w:b/>
                              <w:sz w:val="18"/>
                            </w:rPr>
                            <m:t>w</m:t>
                          </m:r>
                        </m:e>
                        <m:sup>
                          <m:r>
                            <m:rPr>
                              <m:nor/>
                            </m:rPr>
                            <w:rPr>
                              <w:b/>
                              <w:sz w:val="18"/>
                            </w:rPr>
                            <m:t>2</m:t>
                          </m:r>
                        </m:sup>
                      </m:sSup>
                      <m:r>
                        <m:rPr>
                          <m:nor/>
                        </m:rPr>
                        <w:rPr>
                          <w:b/>
                          <w:sz w:val="18"/>
                        </w:rPr>
                        <m:t>+</m:t>
                      </m:r>
                      <m:r>
                        <m:rPr>
                          <m:sty m:val="b"/>
                        </m:rPr>
                        <w:rPr>
                          <w:rFonts w:ascii="Cambria Math" w:hAnsi="Cambria Math"/>
                          <w:sz w:val="18"/>
                        </w:rPr>
                        <m:t xml:space="preserve"> </m:t>
                      </m:r>
                      <m:sSup>
                        <m:sSupPr>
                          <m:ctrlPr>
                            <w:rPr>
                              <w:rFonts w:ascii="Cambria Math" w:hAnsi="Cambria Math"/>
                              <w:b/>
                              <w:sz w:val="18"/>
                            </w:rPr>
                          </m:ctrlPr>
                        </m:sSupPr>
                        <m:e>
                          <m:sSub>
                            <m:sSubPr>
                              <m:ctrlPr>
                                <w:rPr>
                                  <w:rFonts w:ascii="Cambria Math" w:hAnsi="Cambria Math"/>
                                  <w:b/>
                                  <w:sz w:val="18"/>
                                </w:rPr>
                              </m:ctrlPr>
                            </m:sSubPr>
                            <m:e>
                              <m:r>
                                <m:rPr>
                                  <m:nor/>
                                </m:rPr>
                                <w:rPr>
                                  <w:b/>
                                  <w:sz w:val="18"/>
                                </w:rPr>
                                <m:t>F</m:t>
                              </m:r>
                            </m:e>
                            <m:sub>
                              <m:r>
                                <m:rPr>
                                  <m:nor/>
                                </m:rPr>
                                <w:rPr>
                                  <w:b/>
                                  <w:sz w:val="18"/>
                                </w:rPr>
                                <m:t>v</m:t>
                              </m:r>
                            </m:sub>
                          </m:sSub>
                        </m:e>
                        <m:sup>
                          <m:r>
                            <m:rPr>
                              <m:nor/>
                            </m:rPr>
                            <w:rPr>
                              <w:b/>
                              <w:sz w:val="18"/>
                            </w:rPr>
                            <m:t>2</m:t>
                          </m:r>
                        </m:sup>
                      </m:sSup>
                    </m:e>
                  </m:d>
                </m:e>
                <m:sup>
                  <m:r>
                    <m:rPr>
                      <m:nor/>
                    </m:rPr>
                    <w:rPr>
                      <w:b/>
                      <w:sz w:val="18"/>
                    </w:rPr>
                    <m:t>1/2</m:t>
                  </m:r>
                </m:sup>
              </m:sSup>
              <m:r>
                <m:rPr>
                  <m:nor/>
                </m:rPr>
                <w:rPr>
                  <w:b/>
                  <w:sz w:val="18"/>
                </w:rPr>
                <m:t>)</m:t>
              </m:r>
            </m:oMath>
          </w:p>
          <w:p w:rsidR="000314A8" w:rsidRPr="00316B79" w:rsidRDefault="000314A8" w:rsidP="00A405F8">
            <w:pPr>
              <w:pStyle w:val="TxtListado"/>
              <w:jc w:val="center"/>
              <w:rPr>
                <w:rFonts w:eastAsia="MS Mincho" w:cs="Calibri"/>
                <w:b/>
                <w:bCs/>
                <w:sz w:val="18"/>
                <w:szCs w:val="22"/>
                <w:lang w:eastAsia="en-US"/>
              </w:rPr>
            </w:pPr>
          </w:p>
        </w:tc>
        <w:tc>
          <w:tcPr>
            <w:tcW w:w="790" w:type="pct"/>
            <w:shd w:val="clear" w:color="auto" w:fill="D9D9D9" w:themeFill="background1" w:themeFillShade="D9"/>
          </w:tcPr>
          <w:p w:rsidR="000314A8" w:rsidRDefault="000314A8" w:rsidP="00A405F8">
            <w:pPr>
              <w:pStyle w:val="IFTnormal"/>
              <w:jc w:val="center"/>
              <w:rPr>
                <w:b/>
                <w:sz w:val="18"/>
              </w:rPr>
            </w:pPr>
            <w:r w:rsidRPr="00316B79">
              <w:rPr>
                <w:b/>
                <w:sz w:val="18"/>
              </w:rPr>
              <w:t xml:space="preserve">Tarifa anual por uso de poste </w:t>
            </w:r>
          </w:p>
          <w:p w:rsidR="000314A8" w:rsidRPr="00316B79" w:rsidRDefault="000314A8" w:rsidP="00A405F8">
            <w:pPr>
              <w:pStyle w:val="IFTnormal"/>
              <w:jc w:val="center"/>
              <w:rPr>
                <w:b/>
                <w:sz w:val="18"/>
              </w:rPr>
            </w:pPr>
            <w:r w:rsidRPr="00316B79">
              <w:rPr>
                <w:b/>
                <w:sz w:val="18"/>
              </w:rPr>
              <w:t xml:space="preserve">(0.57 x </w:t>
            </w:r>
            <m:oMath>
              <m:sSub>
                <m:sSubPr>
                  <m:ctrlPr>
                    <w:rPr>
                      <w:rFonts w:ascii="Cambria Math" w:hAnsi="Cambria Math"/>
                      <w:b/>
                      <w:sz w:val="18"/>
                    </w:rPr>
                  </m:ctrlPr>
                </m:sSubPr>
                <m:e>
                  <m:r>
                    <m:rPr>
                      <m:nor/>
                    </m:rPr>
                    <w:rPr>
                      <w:b/>
                      <w:sz w:val="18"/>
                    </w:rPr>
                    <m:t>F</m:t>
                  </m:r>
                </m:e>
                <m:sub>
                  <m:r>
                    <m:rPr>
                      <m:nor/>
                    </m:rPr>
                    <w:rPr>
                      <w:b/>
                      <w:sz w:val="18"/>
                    </w:rPr>
                    <m:t>T</m:t>
                  </m:r>
                </m:sub>
              </m:sSub>
            </m:oMath>
            <w:r w:rsidRPr="00316B79">
              <w:rPr>
                <w:b/>
                <w:sz w:val="18"/>
              </w:rPr>
              <w:t>)</w:t>
            </w:r>
          </w:p>
        </w:tc>
      </w:tr>
      <w:tr w:rsidR="000314A8" w:rsidRPr="00464C9B" w:rsidTr="00676784">
        <w:trPr>
          <w:trHeight w:val="236"/>
          <w:jc w:val="center"/>
        </w:trPr>
        <w:tc>
          <w:tcPr>
            <w:tcW w:w="738" w:type="pct"/>
            <w:tcBorders>
              <w:left w:val="single" w:sz="4" w:space="0" w:color="000000" w:themeColor="text1"/>
              <w:right w:val="single" w:sz="4" w:space="0" w:color="FFFFFF" w:themeColor="background1"/>
            </w:tcBorders>
            <w:shd w:val="clear" w:color="auto" w:fill="auto"/>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Número de fibras</w:t>
            </w:r>
          </w:p>
        </w:tc>
        <w:tc>
          <w:tcPr>
            <w:tcW w:w="848" w:type="pct"/>
            <w:tcBorders>
              <w:left w:val="single" w:sz="4" w:space="0" w:color="FFFFFF" w:themeColor="background1"/>
              <w:right w:val="single" w:sz="4" w:space="0" w:color="FFFFFF" w:themeColor="background1"/>
            </w:tcBorders>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metros</w:t>
            </w:r>
          </w:p>
        </w:tc>
        <w:tc>
          <w:tcPr>
            <w:tcW w:w="636" w:type="pct"/>
            <w:tcBorders>
              <w:left w:val="single" w:sz="4" w:space="0" w:color="FFFFFF" w:themeColor="background1"/>
              <w:right w:val="single" w:sz="4" w:space="0" w:color="FFFFFF" w:themeColor="background1"/>
            </w:tcBorders>
            <w:shd w:val="clear" w:color="auto" w:fill="auto"/>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Kg / m</w:t>
            </w:r>
          </w:p>
        </w:tc>
        <w:tc>
          <w:tcPr>
            <w:tcW w:w="794" w:type="pct"/>
            <w:tcBorders>
              <w:left w:val="single" w:sz="4" w:space="0" w:color="FFFFFF" w:themeColor="background1"/>
              <w:right w:val="single" w:sz="4" w:space="0" w:color="FFFFFF" w:themeColor="background1"/>
            </w:tcBorders>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Kg / m</w:t>
            </w:r>
          </w:p>
        </w:tc>
        <w:tc>
          <w:tcPr>
            <w:tcW w:w="1194" w:type="pct"/>
            <w:tcBorders>
              <w:left w:val="single" w:sz="4" w:space="0" w:color="FFFFFF" w:themeColor="background1"/>
              <w:right w:val="single" w:sz="4" w:space="0" w:color="FFFFFF" w:themeColor="background1"/>
            </w:tcBorders>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Kg</w:t>
            </w:r>
          </w:p>
        </w:tc>
        <w:tc>
          <w:tcPr>
            <w:tcW w:w="790" w:type="pct"/>
            <w:tcBorders>
              <w:left w:val="single" w:sz="4" w:space="0" w:color="FFFFFF" w:themeColor="background1"/>
              <w:right w:val="single" w:sz="4" w:space="0" w:color="auto"/>
            </w:tcBorders>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MXN / año</w:t>
            </w:r>
          </w:p>
        </w:tc>
      </w:tr>
      <w:tr w:rsidR="000314A8" w:rsidRPr="00464C9B" w:rsidTr="00676784">
        <w:trPr>
          <w:trHeight w:val="269"/>
          <w:jc w:val="center"/>
        </w:trPr>
        <w:tc>
          <w:tcPr>
            <w:tcW w:w="738" w:type="pct"/>
            <w:shd w:val="clear" w:color="auto" w:fill="auto"/>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24</w:t>
            </w:r>
          </w:p>
        </w:tc>
        <w:tc>
          <w:tcPr>
            <w:tcW w:w="848" w:type="pct"/>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50.00</w:t>
            </w:r>
          </w:p>
        </w:tc>
        <w:tc>
          <w:tcPr>
            <w:tcW w:w="636" w:type="pct"/>
            <w:shd w:val="clear" w:color="auto" w:fill="auto"/>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0.250</w:t>
            </w:r>
          </w:p>
        </w:tc>
        <w:tc>
          <w:tcPr>
            <w:tcW w:w="794" w:type="pct"/>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0.7179872</w:t>
            </w:r>
          </w:p>
        </w:tc>
        <w:tc>
          <w:tcPr>
            <w:tcW w:w="1194" w:type="pct"/>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38.0133404</w:t>
            </w:r>
          </w:p>
        </w:tc>
        <w:tc>
          <w:tcPr>
            <w:tcW w:w="790" w:type="pct"/>
            <w:vAlign w:val="bottom"/>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21.67</w:t>
            </w:r>
          </w:p>
        </w:tc>
      </w:tr>
      <w:tr w:rsidR="000314A8" w:rsidRPr="00464C9B" w:rsidTr="00676784">
        <w:trPr>
          <w:trHeight w:val="269"/>
          <w:jc w:val="center"/>
        </w:trPr>
        <w:tc>
          <w:tcPr>
            <w:tcW w:w="738" w:type="pct"/>
            <w:shd w:val="clear" w:color="auto" w:fill="auto"/>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144</w:t>
            </w:r>
          </w:p>
        </w:tc>
        <w:tc>
          <w:tcPr>
            <w:tcW w:w="848" w:type="pct"/>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50.00</w:t>
            </w:r>
          </w:p>
        </w:tc>
        <w:tc>
          <w:tcPr>
            <w:tcW w:w="636" w:type="pct"/>
            <w:shd w:val="clear" w:color="auto" w:fill="auto"/>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0.340</w:t>
            </w:r>
          </w:p>
        </w:tc>
        <w:tc>
          <w:tcPr>
            <w:tcW w:w="794" w:type="pct"/>
          </w:tcPr>
          <w:p w:rsidR="000314A8" w:rsidRPr="00464C9B" w:rsidRDefault="000314A8" w:rsidP="00A405F8">
            <w:pPr>
              <w:pStyle w:val="TxtListado"/>
              <w:jc w:val="center"/>
              <w:rPr>
                <w:rFonts w:eastAsia="MS Mincho" w:cs="Calibri"/>
                <w:bCs/>
                <w:sz w:val="18"/>
                <w:szCs w:val="22"/>
                <w:lang w:eastAsia="en-US"/>
              </w:rPr>
            </w:pPr>
            <w:r w:rsidRPr="00464C9B">
              <w:rPr>
                <w:rFonts w:eastAsia="MS Mincho" w:cs="Calibri"/>
                <w:bCs/>
                <w:sz w:val="18"/>
                <w:szCs w:val="22"/>
                <w:lang w:eastAsia="en-US"/>
              </w:rPr>
              <w:t>1.0226594</w:t>
            </w:r>
          </w:p>
        </w:tc>
        <w:tc>
          <w:tcPr>
            <w:tcW w:w="1194" w:type="pct"/>
          </w:tcPr>
          <w:p w:rsidR="000314A8" w:rsidRPr="00464C9B" w:rsidRDefault="00676784" w:rsidP="00A405F8">
            <w:pPr>
              <w:pStyle w:val="TxtListado"/>
              <w:jc w:val="center"/>
              <w:rPr>
                <w:rFonts w:eastAsia="MS Mincho" w:cs="Calibri"/>
                <w:bCs/>
                <w:sz w:val="18"/>
                <w:szCs w:val="22"/>
                <w:lang w:eastAsia="en-US"/>
              </w:rPr>
            </w:pPr>
            <w:r w:rsidRPr="00DF14DF">
              <w:rPr>
                <w:rFonts w:eastAsia="MS Mincho" w:cs="Calibri"/>
                <w:bCs/>
                <w:sz w:val="18"/>
                <w:szCs w:val="22"/>
                <w:lang w:eastAsia="en-US"/>
              </w:rPr>
              <w:t>50.535470698</w:t>
            </w:r>
          </w:p>
        </w:tc>
        <w:tc>
          <w:tcPr>
            <w:tcW w:w="790" w:type="pct"/>
            <w:vAlign w:val="bottom"/>
          </w:tcPr>
          <w:p w:rsidR="000314A8" w:rsidRPr="00464C9B" w:rsidRDefault="00676784" w:rsidP="00A405F8">
            <w:pPr>
              <w:pStyle w:val="TxtListado"/>
              <w:jc w:val="center"/>
              <w:rPr>
                <w:rFonts w:eastAsia="MS Mincho" w:cs="Calibri"/>
                <w:bCs/>
                <w:sz w:val="18"/>
                <w:szCs w:val="22"/>
                <w:lang w:eastAsia="en-US"/>
              </w:rPr>
            </w:pPr>
            <w:r w:rsidRPr="00DF14DF">
              <w:rPr>
                <w:rFonts w:eastAsia="MS Mincho" w:cs="Calibri"/>
                <w:bCs/>
                <w:sz w:val="18"/>
                <w:szCs w:val="22"/>
                <w:lang w:eastAsia="en-US"/>
              </w:rPr>
              <w:t>28.8</w:t>
            </w:r>
            <w:r>
              <w:rPr>
                <w:rFonts w:eastAsia="MS Mincho" w:cs="Calibri"/>
                <w:bCs/>
                <w:sz w:val="18"/>
                <w:szCs w:val="22"/>
                <w:lang w:eastAsia="en-US"/>
              </w:rPr>
              <w:t>1</w:t>
            </w:r>
          </w:p>
        </w:tc>
      </w:tr>
    </w:tbl>
    <w:p w:rsidR="00390B03" w:rsidRDefault="00390B03" w:rsidP="00390B03">
      <w:pPr>
        <w:pStyle w:val="Texto"/>
        <w:spacing w:after="0" w:line="276" w:lineRule="auto"/>
        <w:ind w:left="360" w:firstLine="0"/>
        <w:rPr>
          <w:rFonts w:ascii="ITC Avant Garde" w:hAnsi="ITC Avant Garde"/>
          <w:b/>
          <w:sz w:val="22"/>
          <w:szCs w:val="22"/>
          <w:lang w:val="es-ES_tradnl"/>
        </w:rPr>
      </w:pPr>
    </w:p>
    <w:p w:rsidR="00390B03" w:rsidRPr="001C1693" w:rsidRDefault="00390B03" w:rsidP="00390B03">
      <w:pPr>
        <w:pStyle w:val="Texto"/>
        <w:numPr>
          <w:ilvl w:val="0"/>
          <w:numId w:val="223"/>
        </w:numPr>
        <w:spacing w:after="0" w:line="276" w:lineRule="auto"/>
        <w:rPr>
          <w:rFonts w:ascii="ITC Avant Garde" w:hAnsi="ITC Avant Garde"/>
          <w:b/>
          <w:i/>
          <w:sz w:val="22"/>
          <w:szCs w:val="22"/>
          <w:lang w:val="es-ES_tradnl"/>
        </w:rPr>
      </w:pPr>
      <w:r w:rsidRPr="001C1693">
        <w:rPr>
          <w:rFonts w:ascii="ITC Avant Garde" w:hAnsi="ITC Avant Garde"/>
          <w:b/>
          <w:i/>
          <w:sz w:val="22"/>
          <w:szCs w:val="22"/>
          <w:lang w:val="es-ES_tradnl"/>
        </w:rPr>
        <w:t>Por el acceso y uso de Espacio Aprobado en Torre.</w:t>
      </w:r>
    </w:p>
    <w:p w:rsidR="00390B03" w:rsidRPr="00390B03" w:rsidRDefault="00390B03" w:rsidP="00390B03">
      <w:pPr>
        <w:pStyle w:val="Prrafodelista"/>
        <w:suppressAutoHyphens w:val="0"/>
        <w:spacing w:after="200" w:line="276" w:lineRule="auto"/>
        <w:ind w:left="720"/>
        <w:jc w:val="left"/>
        <w:rPr>
          <w:rFonts w:ascii="ITC Avant Garde" w:hAnsi="ITC Avant Garde"/>
          <w:b/>
          <w:sz w:val="22"/>
          <w:szCs w:val="22"/>
          <w:lang w:val="es-ES"/>
        </w:rPr>
      </w:pPr>
    </w:p>
    <w:p w:rsidR="00390B03" w:rsidRPr="00390B03" w:rsidRDefault="00390B03" w:rsidP="00390B03">
      <w:pPr>
        <w:pStyle w:val="Prrafodelista"/>
        <w:numPr>
          <w:ilvl w:val="0"/>
          <w:numId w:val="224"/>
        </w:numPr>
        <w:suppressAutoHyphens w:val="0"/>
        <w:spacing w:after="200" w:line="276" w:lineRule="auto"/>
        <w:jc w:val="left"/>
        <w:rPr>
          <w:rStyle w:val="Ttulo3Car"/>
          <w:rFonts w:ascii="ITC Avant Garde" w:hAnsi="ITC Avant Garde"/>
          <w:sz w:val="22"/>
          <w:szCs w:val="22"/>
        </w:rPr>
      </w:pPr>
      <w:r w:rsidRPr="00390B03">
        <w:rPr>
          <w:rFonts w:ascii="ITC Avant Garde" w:hAnsi="ITC Avant Garde"/>
          <w:b/>
          <w:sz w:val="22"/>
          <w:szCs w:val="22"/>
        </w:rPr>
        <w:t>Estructura situada en una azotea</w:t>
      </w:r>
      <w:r w:rsidRPr="00390B03">
        <w:rPr>
          <w:rFonts w:ascii="ITC Avant Garde" w:hAnsi="ITC Avant Garde"/>
          <w:sz w:val="22"/>
          <w:szCs w:val="22"/>
        </w:rPr>
        <w:t xml:space="preserve"> </w:t>
      </w:r>
    </w:p>
    <w:p w:rsidR="00390B03" w:rsidRPr="008C5EB8" w:rsidRDefault="00390B03" w:rsidP="00235C21">
      <w:pPr>
        <w:pStyle w:val="CondicionesFinales"/>
      </w:pPr>
      <w:r w:rsidRPr="008C5EB8">
        <w:t>La tarifa mensual por el uso de Espacio Aprobado en Torre de 8.5 metros cuadrados (m</w:t>
      </w:r>
      <w:r w:rsidRPr="005E2135">
        <w:rPr>
          <w:vertAlign w:val="superscript"/>
        </w:rPr>
        <w:t>2</w:t>
      </w:r>
      <w:r w:rsidRPr="008C5EB8">
        <w:t xml:space="preserve">) y una franja de 4 metros lineales (ml); exclusivamente para antenas de radiofrecuencia (RF) o de microondas (MW), independientemente de sus dimensiones, de </w:t>
      </w:r>
      <w:r w:rsidRPr="008C5EB8">
        <w:lastRenderedPageBreak/>
        <w:t>acuerdo a las características de la</w:t>
      </w:r>
      <w:r>
        <w:t>s</w:t>
      </w:r>
      <w:r w:rsidRPr="008C5EB8">
        <w:t xml:space="preserve"> torres instaladas en azoteas se describe a continuación:</w:t>
      </w:r>
    </w:p>
    <w:tbl>
      <w:tblPr>
        <w:tblStyle w:val="Tablaconcuadrcula2"/>
        <w:tblW w:w="7132" w:type="dxa"/>
        <w:jc w:val="center"/>
        <w:tblLook w:val="04A0" w:firstRow="1" w:lastRow="0" w:firstColumn="1" w:lastColumn="0" w:noHBand="0" w:noVBand="1"/>
        <w:tblCaption w:val="Tabla"/>
        <w:tblDescription w:val="Tipo de Estructura"/>
      </w:tblPr>
      <w:tblGrid>
        <w:gridCol w:w="2830"/>
        <w:gridCol w:w="1596"/>
        <w:gridCol w:w="2706"/>
      </w:tblGrid>
      <w:tr w:rsidR="00390B03" w:rsidRPr="00390B03" w:rsidTr="005C782A">
        <w:trPr>
          <w:tblHeader/>
          <w:jc w:val="center"/>
        </w:trPr>
        <w:tc>
          <w:tcPr>
            <w:tcW w:w="2830" w:type="dxa"/>
            <w:shd w:val="clear" w:color="auto" w:fill="E7E6E6"/>
            <w:vAlign w:val="center"/>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Tipo de Estructura</w:t>
            </w:r>
          </w:p>
        </w:tc>
        <w:tc>
          <w:tcPr>
            <w:tcW w:w="1596" w:type="dxa"/>
            <w:shd w:val="clear" w:color="auto" w:fill="E7E6E6"/>
            <w:vAlign w:val="center"/>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Unidad</w:t>
            </w:r>
          </w:p>
        </w:tc>
        <w:tc>
          <w:tcPr>
            <w:tcW w:w="2706" w:type="dxa"/>
            <w:shd w:val="clear" w:color="auto" w:fill="E7E6E6"/>
            <w:vAlign w:val="center"/>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Valor</w:t>
            </w:r>
          </w:p>
        </w:tc>
      </w:tr>
      <w:tr w:rsidR="00390B03" w:rsidRPr="00390B03" w:rsidTr="007C6CB7">
        <w:trPr>
          <w:jc w:val="center"/>
        </w:trPr>
        <w:tc>
          <w:tcPr>
            <w:tcW w:w="2830" w:type="dxa"/>
            <w:shd w:val="clear" w:color="auto" w:fill="auto"/>
            <w:vAlign w:val="center"/>
          </w:tcPr>
          <w:p w:rsidR="00390B03" w:rsidRPr="00390B03" w:rsidRDefault="00390B03" w:rsidP="007C6CB7">
            <w:pPr>
              <w:spacing w:before="120"/>
              <w:rPr>
                <w:rFonts w:ascii="ITC Avant Garde" w:hAnsi="ITC Avant Garde"/>
                <w:sz w:val="18"/>
                <w:szCs w:val="18"/>
              </w:rPr>
            </w:pPr>
            <w:r w:rsidRPr="00390B03">
              <w:rPr>
                <w:rFonts w:ascii="ITC Avant Garde" w:hAnsi="ITC Avant Garde"/>
                <w:sz w:val="18"/>
                <w:szCs w:val="18"/>
              </w:rPr>
              <w:t>Torre Arriostrada</w:t>
            </w:r>
          </w:p>
        </w:tc>
        <w:tc>
          <w:tcPr>
            <w:tcW w:w="1596" w:type="dxa"/>
            <w:vAlign w:val="center"/>
          </w:tcPr>
          <w:p w:rsidR="00390B03" w:rsidRPr="00390B03" w:rsidRDefault="00390B03" w:rsidP="007C6CB7">
            <w:pPr>
              <w:spacing w:before="120"/>
              <w:rPr>
                <w:rFonts w:ascii="ITC Avant Garde" w:hAnsi="ITC Avant Garde"/>
                <w:sz w:val="18"/>
                <w:szCs w:val="18"/>
              </w:rPr>
            </w:pPr>
            <w:r w:rsidRPr="00390B03">
              <w:rPr>
                <w:rFonts w:ascii="ITC Avant Garde" w:hAnsi="ITC Avant Garde"/>
                <w:sz w:val="18"/>
                <w:szCs w:val="18"/>
              </w:rPr>
              <w:t xml:space="preserve">MXN / Mes </w:t>
            </w:r>
          </w:p>
        </w:tc>
        <w:tc>
          <w:tcPr>
            <w:tcW w:w="2706" w:type="dxa"/>
            <w:shd w:val="clear" w:color="auto" w:fill="auto"/>
            <w:vAlign w:val="center"/>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$ 9,510.31 M.N.</w:t>
            </w:r>
          </w:p>
        </w:tc>
      </w:tr>
      <w:tr w:rsidR="00390B03" w:rsidRPr="00390B03" w:rsidTr="007C6CB7">
        <w:trPr>
          <w:jc w:val="center"/>
        </w:trPr>
        <w:tc>
          <w:tcPr>
            <w:tcW w:w="2830" w:type="dxa"/>
            <w:shd w:val="clear" w:color="auto" w:fill="auto"/>
            <w:vAlign w:val="center"/>
          </w:tcPr>
          <w:p w:rsidR="00390B03" w:rsidRPr="00390B03" w:rsidRDefault="00390B03" w:rsidP="007C6CB7">
            <w:pPr>
              <w:spacing w:before="120"/>
              <w:rPr>
                <w:rFonts w:ascii="ITC Avant Garde" w:hAnsi="ITC Avant Garde"/>
                <w:sz w:val="18"/>
                <w:szCs w:val="18"/>
              </w:rPr>
            </w:pPr>
            <w:r w:rsidRPr="00390B03">
              <w:rPr>
                <w:rFonts w:ascii="ITC Avant Garde" w:hAnsi="ITC Avant Garde"/>
                <w:sz w:val="18"/>
                <w:szCs w:val="18"/>
              </w:rPr>
              <w:t>Torre Autosoportada</w:t>
            </w:r>
          </w:p>
        </w:tc>
        <w:tc>
          <w:tcPr>
            <w:tcW w:w="1596" w:type="dxa"/>
            <w:vAlign w:val="center"/>
          </w:tcPr>
          <w:p w:rsidR="00390B03" w:rsidRPr="00390B03" w:rsidRDefault="00390B03" w:rsidP="007C6CB7">
            <w:pPr>
              <w:spacing w:before="120"/>
              <w:rPr>
                <w:rFonts w:ascii="ITC Avant Garde" w:hAnsi="ITC Avant Garde"/>
                <w:sz w:val="18"/>
                <w:szCs w:val="18"/>
              </w:rPr>
            </w:pPr>
            <w:r w:rsidRPr="00390B03">
              <w:rPr>
                <w:rFonts w:ascii="ITC Avant Garde" w:hAnsi="ITC Avant Garde"/>
                <w:sz w:val="18"/>
                <w:szCs w:val="18"/>
              </w:rPr>
              <w:t xml:space="preserve">MXN / Mes </w:t>
            </w:r>
          </w:p>
        </w:tc>
        <w:tc>
          <w:tcPr>
            <w:tcW w:w="2706" w:type="dxa"/>
            <w:shd w:val="clear" w:color="auto" w:fill="auto"/>
            <w:vAlign w:val="center"/>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$ 6,520.49 M.N.</w:t>
            </w:r>
          </w:p>
        </w:tc>
      </w:tr>
    </w:tbl>
    <w:p w:rsidR="00390B03" w:rsidRDefault="00390B03" w:rsidP="00235C21">
      <w:pPr>
        <w:pStyle w:val="CondicionesFinales"/>
      </w:pPr>
    </w:p>
    <w:p w:rsidR="005E2135" w:rsidRDefault="005E2135" w:rsidP="005E2135">
      <w:pPr>
        <w:pStyle w:val="CondicionesFinales"/>
      </w:pPr>
      <w:r w:rsidRPr="008C3352">
        <w:t xml:space="preserve">A través de la tarifa mensual por el </w:t>
      </w:r>
      <w:r>
        <w:t xml:space="preserve">acceso y </w:t>
      </w:r>
      <w:r w:rsidRPr="008C3352">
        <w:t>uso de Espacio Aprobado en Torre</w:t>
      </w:r>
      <w:r>
        <w:t xml:space="preserve"> en una estructura situada en una azotea</w:t>
      </w:r>
      <w:r w:rsidRPr="008C3352">
        <w:t xml:space="preserve">, el </w:t>
      </w:r>
      <w:r>
        <w:t>Concesionario Solicitante</w:t>
      </w:r>
      <w:r w:rsidRPr="008C3352">
        <w:t xml:space="preserve"> podrá solicitar el uso discontinuo del espacio en la torre (necesidades que deberán estar reflejadas en la </w:t>
      </w:r>
      <w:r w:rsidRPr="00A41DFE">
        <w:t>Solicitud de Factibilidad y de colocación</w:t>
      </w:r>
      <w:r w:rsidRPr="008C3352">
        <w:t xml:space="preserve"> indicando cuál sería el centro de radiación principal y secundario) a través de su división en hasta un máximo de dos componentes, siempre y cuando: 1) la suma del uso del espacio en ambas componentes no exceda de 8.5 m</w:t>
      </w:r>
      <w:r w:rsidRPr="005C0862">
        <w:rPr>
          <w:vertAlign w:val="superscript"/>
        </w:rPr>
        <w:t>2</w:t>
      </w:r>
      <w:r w:rsidRPr="008C3352">
        <w:t xml:space="preserve"> y 4 ml, 2) el </w:t>
      </w:r>
      <w:r>
        <w:t>Concesionario Solicitante</w:t>
      </w:r>
      <w:r w:rsidRPr="008C3352">
        <w:t xml:space="preserve"> haga uso de al menos una de los componentes para la colocación de equipos, y 3) no existirán ajustes de niveles tarifarios derivados del uso parcial del espacio de 8.5 m</w:t>
      </w:r>
      <w:r w:rsidRPr="005C0862">
        <w:rPr>
          <w:vertAlign w:val="superscript"/>
        </w:rPr>
        <w:t>2</w:t>
      </w:r>
      <w:r w:rsidRPr="008C3352">
        <w:t xml:space="preserve"> y 4 ml, a través de la división en las co</w:t>
      </w:r>
      <w:r>
        <w:t xml:space="preserve">mponentes en cuestión. </w:t>
      </w:r>
      <w:r w:rsidR="001C17D3">
        <w:t>Telnor</w:t>
      </w:r>
      <w:r w:rsidRPr="008C3352">
        <w:t xml:space="preserve"> en su respuesta a la </w:t>
      </w:r>
      <w:r w:rsidRPr="00A41DFE">
        <w:t>Solicitud de Factibilidad</w:t>
      </w:r>
      <w:r w:rsidRPr="008C3352">
        <w:t xml:space="preserve"> indicara sobre la posibilidad del uso discontinuo de la franja y en caso de determinar que no es posible sólo presentará el resultado de </w:t>
      </w:r>
      <w:r w:rsidRPr="00A41DFE">
        <w:t>Factibilidad</w:t>
      </w:r>
      <w:r w:rsidRPr="008C3352">
        <w:t xml:space="preserve"> sobre una franja de 4 ml con referencia al centro de radiación principal.</w:t>
      </w:r>
    </w:p>
    <w:p w:rsidR="005E2135" w:rsidRDefault="005E2135" w:rsidP="005E2135">
      <w:pPr>
        <w:pStyle w:val="CondicionesFinales"/>
      </w:pPr>
      <w:r>
        <w:t xml:space="preserve">En caso de que </w:t>
      </w:r>
      <w:r w:rsidR="001C17D3">
        <w:t>Telnor</w:t>
      </w:r>
      <w:r w:rsidRPr="008C3352">
        <w:t xml:space="preserve"> permita hacer uso de franjas discontinuas y que se pudiera hacer uso de la segunda componente de manera posterior, si otro </w:t>
      </w:r>
      <w:r>
        <w:t>Concesionario Solicitante</w:t>
      </w:r>
      <w:r w:rsidRPr="008C3352">
        <w:t xml:space="preserve"> solicita el </w:t>
      </w:r>
      <w:r w:rsidRPr="00A41DFE">
        <w:t>Servicio de Acceso y Uso Compartido en la torre</w:t>
      </w:r>
      <w:r>
        <w:t xml:space="preserve"> en cuestión, </w:t>
      </w:r>
      <w:r w:rsidR="001C17D3">
        <w:t>Telnor</w:t>
      </w:r>
      <w:r w:rsidRPr="008C3352">
        <w:t xml:space="preserve"> notificará al primero para que decida ocupar a la brevedad el espacio correspondiente en la torre o en su defecto manifieste que no cuenta con interés (el </w:t>
      </w:r>
      <w:r>
        <w:t>Concesionario Solicitante</w:t>
      </w:r>
      <w:r w:rsidRPr="008C3352">
        <w:t xml:space="preserve"> contará con un plazo de 10 días hábiles para ocupar el sitio conforme a la </w:t>
      </w:r>
      <w:r w:rsidRPr="00A41DFE">
        <w:t>solicitud de ocupación original)</w:t>
      </w:r>
      <w:r w:rsidRPr="008C3352">
        <w:t>, teniendo claro que de no ocupar el espacio se le podrá dar acceso a otro Concesionario sin que existirán ajustes de niveles tarifarios derivad</w:t>
      </w:r>
      <w:r>
        <w:t>os del uso parcial del espacio.</w:t>
      </w:r>
    </w:p>
    <w:p w:rsidR="005E2135" w:rsidRDefault="005E2135" w:rsidP="005E2135">
      <w:pPr>
        <w:pStyle w:val="CondicionesFinales"/>
      </w:pPr>
      <w:r w:rsidRPr="008C5EB8">
        <w:lastRenderedPageBreak/>
        <w:t>En complemento, cualquier excedente de los 8.5 m</w:t>
      </w:r>
      <w:r w:rsidRPr="008C5EB8">
        <w:rPr>
          <w:vertAlign w:val="superscript"/>
        </w:rPr>
        <w:t>2</w:t>
      </w:r>
      <w:r w:rsidRPr="008C5EB8">
        <w:t xml:space="preserve"> o de la franja de los 4 ml, será pagado de acuerdo a la cantidad que resulte de multiplicar el Área de antena en m</w:t>
      </w:r>
      <w:r w:rsidRPr="005C0862">
        <w:rPr>
          <w:vertAlign w:val="superscript"/>
        </w:rPr>
        <w:t>2</w:t>
      </w:r>
      <w:r w:rsidRPr="008C5EB8">
        <w:t>, por la Altura del centro de radiación (NCR) que es la distancia del punto medio de la antena al suelo en metros, por la cantidad de</w:t>
      </w:r>
      <w:r>
        <w:t>:</w:t>
      </w:r>
    </w:p>
    <w:tbl>
      <w:tblPr>
        <w:tblStyle w:val="Tablaconcuadrcula"/>
        <w:tblW w:w="3475" w:type="pct"/>
        <w:jc w:val="center"/>
        <w:tblLayout w:type="fixed"/>
        <w:tblLook w:val="04A0" w:firstRow="1" w:lastRow="0" w:firstColumn="1" w:lastColumn="0" w:noHBand="0" w:noVBand="1"/>
        <w:tblCaption w:val="Tabla"/>
        <w:tblDescription w:val="Elemento"/>
      </w:tblPr>
      <w:tblGrid>
        <w:gridCol w:w="1849"/>
        <w:gridCol w:w="998"/>
        <w:gridCol w:w="1645"/>
        <w:gridCol w:w="1645"/>
      </w:tblGrid>
      <w:tr w:rsidR="00390B03" w:rsidRPr="003253D4" w:rsidTr="005C782A">
        <w:trPr>
          <w:trHeight w:val="460"/>
          <w:tblHeader/>
          <w:jc w:val="center"/>
        </w:trPr>
        <w:tc>
          <w:tcPr>
            <w:tcW w:w="1507" w:type="pct"/>
            <w:shd w:val="clear" w:color="auto" w:fill="D9D9D9" w:themeFill="background1" w:themeFillShade="D9"/>
            <w:noWrap/>
            <w:vAlign w:val="center"/>
          </w:tcPr>
          <w:p w:rsidR="00390B03" w:rsidRPr="00B17D04" w:rsidRDefault="00390B03" w:rsidP="007C6CB7">
            <w:pPr>
              <w:jc w:val="center"/>
              <w:rPr>
                <w:rFonts w:ascii="ITC Avant Garde" w:hAnsi="ITC Avant Garde" w:cs="Arial"/>
                <w:b/>
                <w:sz w:val="18"/>
                <w:szCs w:val="18"/>
              </w:rPr>
            </w:pPr>
            <w:r w:rsidRPr="00B17D04">
              <w:rPr>
                <w:rFonts w:ascii="ITC Avant Garde" w:hAnsi="ITC Avant Garde" w:cs="Arial"/>
                <w:b/>
                <w:sz w:val="18"/>
                <w:szCs w:val="18"/>
              </w:rPr>
              <w:t>Elemento</w:t>
            </w:r>
          </w:p>
        </w:tc>
        <w:tc>
          <w:tcPr>
            <w:tcW w:w="813" w:type="pct"/>
            <w:shd w:val="clear" w:color="auto" w:fill="D9D9D9" w:themeFill="background1" w:themeFillShade="D9"/>
            <w:noWrap/>
            <w:vAlign w:val="center"/>
          </w:tcPr>
          <w:p w:rsidR="00390B03" w:rsidRPr="00B17D04" w:rsidRDefault="00390B03" w:rsidP="007C6CB7">
            <w:pPr>
              <w:jc w:val="center"/>
              <w:rPr>
                <w:rFonts w:ascii="ITC Avant Garde" w:hAnsi="ITC Avant Garde" w:cs="Arial"/>
                <w:b/>
                <w:sz w:val="18"/>
                <w:szCs w:val="18"/>
              </w:rPr>
            </w:pPr>
            <w:r w:rsidRPr="00B17D04">
              <w:rPr>
                <w:rFonts w:ascii="ITC Avant Garde" w:hAnsi="ITC Avant Garde" w:cs="Arial"/>
                <w:b/>
                <w:sz w:val="18"/>
                <w:szCs w:val="18"/>
              </w:rPr>
              <w:t>Unidad</w:t>
            </w:r>
          </w:p>
        </w:tc>
        <w:tc>
          <w:tcPr>
            <w:tcW w:w="1340" w:type="pct"/>
            <w:shd w:val="clear" w:color="auto" w:fill="D9D9D9" w:themeFill="background1" w:themeFillShade="D9"/>
            <w:noWrap/>
            <w:vAlign w:val="center"/>
          </w:tcPr>
          <w:p w:rsidR="00390B03" w:rsidRPr="00B17D04" w:rsidRDefault="00390B03" w:rsidP="007C6CB7">
            <w:pPr>
              <w:jc w:val="center"/>
              <w:rPr>
                <w:rFonts w:ascii="ITC Avant Garde" w:hAnsi="ITC Avant Garde"/>
                <w:b/>
                <w:sz w:val="18"/>
              </w:rPr>
            </w:pPr>
            <w:r>
              <w:rPr>
                <w:rFonts w:ascii="ITC Avant Garde" w:hAnsi="ITC Avant Garde"/>
                <w:b/>
                <w:sz w:val="18"/>
              </w:rPr>
              <w:t>Torre Arriostrada</w:t>
            </w:r>
          </w:p>
        </w:tc>
        <w:tc>
          <w:tcPr>
            <w:tcW w:w="1340" w:type="pct"/>
            <w:shd w:val="clear" w:color="auto" w:fill="D9D9D9" w:themeFill="background1" w:themeFillShade="D9"/>
            <w:noWrap/>
            <w:vAlign w:val="center"/>
          </w:tcPr>
          <w:p w:rsidR="00390B03" w:rsidRPr="00B17D04" w:rsidRDefault="00390B03" w:rsidP="007C6CB7">
            <w:pPr>
              <w:jc w:val="center"/>
              <w:rPr>
                <w:rFonts w:ascii="ITC Avant Garde" w:hAnsi="ITC Avant Garde"/>
                <w:b/>
                <w:sz w:val="18"/>
              </w:rPr>
            </w:pPr>
            <w:r>
              <w:rPr>
                <w:rFonts w:ascii="ITC Avant Garde" w:hAnsi="ITC Avant Garde"/>
                <w:b/>
                <w:sz w:val="18"/>
              </w:rPr>
              <w:t>Torre Autosoportada</w:t>
            </w:r>
          </w:p>
        </w:tc>
      </w:tr>
      <w:tr w:rsidR="00390B03" w:rsidRPr="003253D4" w:rsidTr="007C6CB7">
        <w:trPr>
          <w:trHeight w:val="283"/>
          <w:jc w:val="center"/>
        </w:trPr>
        <w:tc>
          <w:tcPr>
            <w:tcW w:w="1507" w:type="pct"/>
            <w:noWrap/>
            <w:vAlign w:val="center"/>
            <w:hideMark/>
          </w:tcPr>
          <w:p w:rsidR="00390B03" w:rsidRPr="003253D4" w:rsidRDefault="00390B03" w:rsidP="007C6CB7">
            <w:pPr>
              <w:jc w:val="center"/>
              <w:rPr>
                <w:rFonts w:ascii="ITC Avant Garde" w:hAnsi="ITC Avant Garde" w:cs="Arial"/>
                <w:b/>
                <w:sz w:val="18"/>
                <w:szCs w:val="18"/>
              </w:rPr>
            </w:pPr>
            <w:r w:rsidRPr="003253D4">
              <w:rPr>
                <w:rFonts w:ascii="ITC Avant Garde" w:hAnsi="ITC Avant Garde" w:cs="Arial"/>
                <w:sz w:val="18"/>
                <w:szCs w:val="18"/>
              </w:rPr>
              <w:t>Factor de cobro</w:t>
            </w:r>
          </w:p>
        </w:tc>
        <w:tc>
          <w:tcPr>
            <w:tcW w:w="813" w:type="pct"/>
            <w:noWrap/>
            <w:vAlign w:val="center"/>
            <w:hideMark/>
          </w:tcPr>
          <w:p w:rsidR="00390B03" w:rsidRPr="003253D4" w:rsidRDefault="00390B03" w:rsidP="007C6CB7">
            <w:pPr>
              <w:jc w:val="center"/>
              <w:rPr>
                <w:rFonts w:ascii="ITC Avant Garde" w:hAnsi="ITC Avant Garde" w:cs="Arial"/>
                <w:b/>
                <w:sz w:val="18"/>
                <w:szCs w:val="18"/>
                <w:vertAlign w:val="superscript"/>
              </w:rPr>
            </w:pPr>
            <w:r w:rsidRPr="003253D4">
              <w:rPr>
                <w:rFonts w:ascii="ITC Avant Garde" w:hAnsi="ITC Avant Garde" w:cs="Arial"/>
                <w:sz w:val="18"/>
                <w:szCs w:val="18"/>
              </w:rPr>
              <w:t>M.N./m</w:t>
            </w:r>
            <w:r w:rsidRPr="003253D4">
              <w:rPr>
                <w:rFonts w:ascii="ITC Avant Garde" w:hAnsi="ITC Avant Garde" w:cs="Arial"/>
                <w:sz w:val="18"/>
                <w:szCs w:val="18"/>
                <w:vertAlign w:val="superscript"/>
              </w:rPr>
              <w:t>3</w:t>
            </w:r>
          </w:p>
        </w:tc>
        <w:tc>
          <w:tcPr>
            <w:tcW w:w="1340" w:type="pct"/>
            <w:noWrap/>
          </w:tcPr>
          <w:p w:rsidR="00390B03" w:rsidRPr="003253D4" w:rsidRDefault="00390B03" w:rsidP="007C6CB7">
            <w:pPr>
              <w:jc w:val="center"/>
              <w:rPr>
                <w:rFonts w:ascii="ITC Avant Garde" w:hAnsi="ITC Avant Garde" w:cs="Arial"/>
                <w:sz w:val="18"/>
                <w:szCs w:val="18"/>
              </w:rPr>
            </w:pPr>
            <w:r w:rsidRPr="003253D4">
              <w:rPr>
                <w:rFonts w:ascii="ITC Avant Garde" w:hAnsi="ITC Avant Garde" w:cs="Arial"/>
                <w:sz w:val="18"/>
                <w:szCs w:val="18"/>
              </w:rPr>
              <w:t>4</w:t>
            </w:r>
            <w:r>
              <w:rPr>
                <w:rFonts w:ascii="ITC Avant Garde" w:hAnsi="ITC Avant Garde" w:cs="Arial"/>
                <w:sz w:val="18"/>
                <w:szCs w:val="18"/>
              </w:rPr>
              <w:t>9.01</w:t>
            </w:r>
          </w:p>
        </w:tc>
        <w:tc>
          <w:tcPr>
            <w:tcW w:w="1340" w:type="pct"/>
            <w:noWrap/>
          </w:tcPr>
          <w:p w:rsidR="00390B03" w:rsidRPr="003253D4" w:rsidRDefault="00390B03" w:rsidP="007C6CB7">
            <w:pPr>
              <w:jc w:val="center"/>
              <w:rPr>
                <w:rFonts w:ascii="ITC Avant Garde" w:hAnsi="ITC Avant Garde" w:cs="Arial"/>
                <w:sz w:val="18"/>
                <w:szCs w:val="18"/>
              </w:rPr>
            </w:pPr>
            <w:r>
              <w:rPr>
                <w:rFonts w:ascii="ITC Avant Garde" w:hAnsi="ITC Avant Garde" w:cs="Arial"/>
                <w:sz w:val="18"/>
                <w:szCs w:val="18"/>
              </w:rPr>
              <w:t>19.61</w:t>
            </w:r>
          </w:p>
        </w:tc>
      </w:tr>
    </w:tbl>
    <w:p w:rsidR="00390B03" w:rsidRDefault="00390B03" w:rsidP="00390B03">
      <w:pPr>
        <w:rPr>
          <w:rFonts w:ascii="ITC Avant Garde" w:hAnsi="ITC Avant Garde"/>
        </w:rPr>
      </w:pPr>
    </w:p>
    <w:p w:rsidR="00390B03" w:rsidRPr="008C5EB8" w:rsidRDefault="00390B03" w:rsidP="00235C21">
      <w:pPr>
        <w:pStyle w:val="CondicionesFinales"/>
      </w:pPr>
      <w:r>
        <w:t>Para ello, se seguirá el siguiente procedimiento de cálculo de acuerdo al tipo de estructura que corresponda:</w:t>
      </w:r>
      <w:r w:rsidRPr="008C5EB8">
        <w:t xml:space="preserve"> </w:t>
      </w:r>
    </w:p>
    <w:p w:rsidR="00390B03" w:rsidRPr="00F9467F" w:rsidDel="00D66974" w:rsidRDefault="00390B03">
      <w:pPr>
        <w:pStyle w:val="CondicionesFinales"/>
      </w:pPr>
      <w:r w:rsidRPr="008C5EB8">
        <w:t>Costo Adicional = Área de Antena m</w:t>
      </w:r>
      <w:r w:rsidRPr="005E2135">
        <w:rPr>
          <w:vertAlign w:val="superscript"/>
        </w:rPr>
        <w:t>2</w:t>
      </w:r>
      <w:r w:rsidRPr="008C5EB8">
        <w:t xml:space="preserve"> * Altura NCR en metros * </w:t>
      </w:r>
      <w:r w:rsidRPr="00DA1DFC">
        <w:t>Factor de cobro</w:t>
      </w:r>
      <w:r w:rsidRPr="008C5EB8">
        <w:t xml:space="preserve"> </w:t>
      </w:r>
    </w:p>
    <w:p w:rsidR="00390B03" w:rsidRPr="00390B03" w:rsidRDefault="00390B03" w:rsidP="00390B03">
      <w:pPr>
        <w:pStyle w:val="Prrafodelista"/>
        <w:numPr>
          <w:ilvl w:val="0"/>
          <w:numId w:val="224"/>
        </w:numPr>
        <w:suppressAutoHyphens w:val="0"/>
        <w:spacing w:after="200" w:line="276" w:lineRule="auto"/>
        <w:jc w:val="left"/>
        <w:rPr>
          <w:rFonts w:ascii="ITC Avant Garde" w:hAnsi="ITC Avant Garde"/>
          <w:b/>
          <w:sz w:val="22"/>
          <w:szCs w:val="22"/>
        </w:rPr>
      </w:pPr>
      <w:r w:rsidRPr="00390B03">
        <w:rPr>
          <w:rFonts w:ascii="ITC Avant Garde" w:hAnsi="ITC Avant Garde"/>
          <w:b/>
          <w:sz w:val="22"/>
          <w:szCs w:val="22"/>
        </w:rPr>
        <w:t>Estructura situada en al nivel del suelo</w:t>
      </w:r>
    </w:p>
    <w:p w:rsidR="00390B03" w:rsidRDefault="00390B03" w:rsidP="00235C21">
      <w:pPr>
        <w:pStyle w:val="CondicionesFinales"/>
      </w:pPr>
      <w:r w:rsidRPr="008C5EB8">
        <w:t>La tarifa mensual por el uso de Espacio Aprobado en Torre de 8.5 metros cuadrados (m</w:t>
      </w:r>
      <w:r w:rsidRPr="005E2135">
        <w:rPr>
          <w:vertAlign w:val="superscript"/>
        </w:rPr>
        <w:t>2</w:t>
      </w:r>
      <w:r w:rsidRPr="008C5EB8">
        <w:t>) y una franja de 4 metros lineales (ml); exclusivamente para antenas de radiofrecuencia (RF) o de microondas (MW), independientemente de sus dimensiones, de acuerdo a las características de las torres no instaladas en azoteas se describe a continuación:</w:t>
      </w:r>
    </w:p>
    <w:tbl>
      <w:tblPr>
        <w:tblStyle w:val="Tablaconcuadrcula2"/>
        <w:tblW w:w="6491" w:type="dxa"/>
        <w:jc w:val="center"/>
        <w:tblLook w:val="04A0" w:firstRow="1" w:lastRow="0" w:firstColumn="1" w:lastColumn="0" w:noHBand="0" w:noVBand="1"/>
        <w:tblCaption w:val="Tabla"/>
        <w:tblDescription w:val="Tipo de Estructura"/>
      </w:tblPr>
      <w:tblGrid>
        <w:gridCol w:w="2277"/>
        <w:gridCol w:w="2205"/>
        <w:gridCol w:w="2009"/>
      </w:tblGrid>
      <w:tr w:rsidR="00390B03" w:rsidRPr="00390B03" w:rsidTr="005C782A">
        <w:trPr>
          <w:tblHeader/>
          <w:jc w:val="center"/>
        </w:trPr>
        <w:tc>
          <w:tcPr>
            <w:tcW w:w="2277" w:type="dxa"/>
            <w:shd w:val="clear" w:color="auto" w:fill="E7E6E6"/>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Tipo de Estructura</w:t>
            </w:r>
          </w:p>
        </w:tc>
        <w:tc>
          <w:tcPr>
            <w:tcW w:w="2205" w:type="dxa"/>
            <w:shd w:val="clear" w:color="auto" w:fill="E7E6E6"/>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Unidad</w:t>
            </w:r>
          </w:p>
        </w:tc>
        <w:tc>
          <w:tcPr>
            <w:tcW w:w="2009" w:type="dxa"/>
            <w:shd w:val="clear" w:color="auto" w:fill="E7E6E6"/>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Valor</w:t>
            </w:r>
          </w:p>
        </w:tc>
      </w:tr>
      <w:tr w:rsidR="00390B03" w:rsidRPr="00390B03" w:rsidTr="00390B03">
        <w:trPr>
          <w:jc w:val="center"/>
        </w:trPr>
        <w:tc>
          <w:tcPr>
            <w:tcW w:w="2277" w:type="dxa"/>
            <w:shd w:val="clear" w:color="auto" w:fill="auto"/>
          </w:tcPr>
          <w:p w:rsidR="00390B03" w:rsidRPr="00390B03" w:rsidRDefault="00390B03" w:rsidP="007C6CB7">
            <w:pPr>
              <w:spacing w:before="120"/>
              <w:rPr>
                <w:rFonts w:ascii="ITC Avant Garde" w:hAnsi="ITC Avant Garde"/>
                <w:sz w:val="18"/>
                <w:szCs w:val="18"/>
              </w:rPr>
            </w:pPr>
            <w:r w:rsidRPr="00390B03">
              <w:rPr>
                <w:rFonts w:ascii="ITC Avant Garde" w:hAnsi="ITC Avant Garde"/>
                <w:sz w:val="18"/>
                <w:szCs w:val="18"/>
              </w:rPr>
              <w:t>Torre Arriostrada</w:t>
            </w:r>
          </w:p>
        </w:tc>
        <w:tc>
          <w:tcPr>
            <w:tcW w:w="2205"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xml:space="preserve">MXN / Mes </w:t>
            </w:r>
          </w:p>
        </w:tc>
        <w:tc>
          <w:tcPr>
            <w:tcW w:w="2009"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$ 7,764.21 M.N.</w:t>
            </w:r>
          </w:p>
        </w:tc>
      </w:tr>
      <w:tr w:rsidR="00390B03" w:rsidRPr="00390B03" w:rsidTr="00390B03">
        <w:trPr>
          <w:jc w:val="center"/>
        </w:trPr>
        <w:tc>
          <w:tcPr>
            <w:tcW w:w="2277" w:type="dxa"/>
            <w:shd w:val="clear" w:color="auto" w:fill="auto"/>
          </w:tcPr>
          <w:p w:rsidR="00390B03" w:rsidRPr="00390B03" w:rsidRDefault="00390B03" w:rsidP="007C6CB7">
            <w:pPr>
              <w:spacing w:before="120"/>
              <w:rPr>
                <w:rFonts w:ascii="ITC Avant Garde" w:hAnsi="ITC Avant Garde"/>
                <w:sz w:val="18"/>
                <w:szCs w:val="18"/>
              </w:rPr>
            </w:pPr>
            <w:r w:rsidRPr="00390B03">
              <w:rPr>
                <w:rFonts w:ascii="ITC Avant Garde" w:hAnsi="ITC Avant Garde"/>
                <w:sz w:val="18"/>
                <w:szCs w:val="18"/>
              </w:rPr>
              <w:t>Torre Autosoportada</w:t>
            </w:r>
          </w:p>
        </w:tc>
        <w:tc>
          <w:tcPr>
            <w:tcW w:w="2205"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xml:space="preserve">MXN / Mes </w:t>
            </w:r>
          </w:p>
        </w:tc>
        <w:tc>
          <w:tcPr>
            <w:tcW w:w="2009"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$ 7,271.18 M.N.</w:t>
            </w:r>
          </w:p>
        </w:tc>
      </w:tr>
    </w:tbl>
    <w:p w:rsidR="005E2135" w:rsidRDefault="005E2135" w:rsidP="005C782A">
      <w:pPr>
        <w:pStyle w:val="CondicionesFinales"/>
        <w:spacing w:before="240"/>
      </w:pPr>
      <w:r w:rsidRPr="008C3352">
        <w:t xml:space="preserve">A través de la tarifa mensual por el uso de Espacio Aprobado en Torre, el </w:t>
      </w:r>
      <w:r>
        <w:t>Concesionario Solicitante</w:t>
      </w:r>
      <w:r w:rsidRPr="008C3352">
        <w:t xml:space="preserve"> podrá solicitar el uso discontinuo del espacio en la torre (necesidades que deberán estar reflejadas en la </w:t>
      </w:r>
      <w:r w:rsidRPr="00A41DFE">
        <w:t>Solicitud de Factibilidad y de colocación</w:t>
      </w:r>
      <w:r w:rsidRPr="008C3352">
        <w:t xml:space="preserve"> indicando cuál sería el centro de radiación principal y secundario) a través de su división en hasta un máximo de dos componentes, siempre y cuando: 1) la suma del uso del espacio en ambas componentes no exceda de 8.5 m</w:t>
      </w:r>
      <w:r w:rsidRPr="005C0862">
        <w:rPr>
          <w:vertAlign w:val="superscript"/>
        </w:rPr>
        <w:t>2</w:t>
      </w:r>
      <w:r w:rsidRPr="008C3352">
        <w:t xml:space="preserve"> y 4 ml, 2) el </w:t>
      </w:r>
      <w:r>
        <w:t>Concesionario Solicitante</w:t>
      </w:r>
      <w:r w:rsidRPr="008C3352">
        <w:t xml:space="preserve"> haga uso de al menos una de los componentes para la colocación de equipos, y 3) no </w:t>
      </w:r>
      <w:r w:rsidRPr="008C3352">
        <w:lastRenderedPageBreak/>
        <w:t>existirán ajustes de niveles tarifarios derivados del uso parcial del espacio de 8.5 m</w:t>
      </w:r>
      <w:r w:rsidRPr="005C0862">
        <w:rPr>
          <w:vertAlign w:val="superscript"/>
        </w:rPr>
        <w:t>2</w:t>
      </w:r>
      <w:r w:rsidRPr="008C3352">
        <w:t xml:space="preserve"> y 4 ml, a través de la división en las co</w:t>
      </w:r>
      <w:r>
        <w:t xml:space="preserve">mponentes en cuestión. </w:t>
      </w:r>
      <w:r w:rsidR="001C17D3">
        <w:t>Telnor</w:t>
      </w:r>
      <w:r w:rsidRPr="008C3352">
        <w:t xml:space="preserve"> en su respuesta a la </w:t>
      </w:r>
      <w:r w:rsidRPr="00A41DFE">
        <w:t>Solicitud de Factibilidad</w:t>
      </w:r>
      <w:r w:rsidRPr="008C3352">
        <w:t xml:space="preserve"> indicara sobre la posibilidad del uso discontinuo de la franja y en caso de determinar que no es posible sólo presentará el resultado de </w:t>
      </w:r>
      <w:r w:rsidRPr="00A41DFE">
        <w:t>Factibilidad</w:t>
      </w:r>
      <w:r w:rsidRPr="008C3352">
        <w:t xml:space="preserve"> sobre una franja de 4 ml con referencia al centro de radiación principal.</w:t>
      </w:r>
    </w:p>
    <w:p w:rsidR="005E2135" w:rsidRPr="00392897" w:rsidRDefault="005E2135" w:rsidP="005E2135">
      <w:pPr>
        <w:pStyle w:val="CondicionesFinales"/>
      </w:pPr>
      <w:r>
        <w:t xml:space="preserve">En caso de que </w:t>
      </w:r>
      <w:r w:rsidR="001C17D3">
        <w:t>Telnor</w:t>
      </w:r>
      <w:r w:rsidRPr="008C3352">
        <w:t xml:space="preserve"> permita hacer uso de franjas discontinuas y que se pudiera hacer uso de la segunda componente de manera posterior, si otro </w:t>
      </w:r>
      <w:r>
        <w:t>Concesionario Solicitante</w:t>
      </w:r>
      <w:r w:rsidRPr="008C3352">
        <w:t xml:space="preserve"> solicita el Servicio de Acceso y Uso Compartido en</w:t>
      </w:r>
      <w:r>
        <w:t xml:space="preserve"> la torre en cuestión, </w:t>
      </w:r>
      <w:r w:rsidR="001C17D3">
        <w:t>Telnor</w:t>
      </w:r>
      <w:r w:rsidRPr="008C3352">
        <w:t xml:space="preserve"> notificará al primero para que decida ocupar a la brevedad el espacio correspondiente en la torre o en su defecto manifieste que no cuenta con interés (el </w:t>
      </w:r>
      <w:r>
        <w:t>Concesionario Solicitante</w:t>
      </w:r>
      <w:r w:rsidRPr="008C3352">
        <w:t xml:space="preserve"> contará con un plazo de 10 días hábiles para ocupar el sitio conforme a la </w:t>
      </w:r>
      <w:r w:rsidRPr="00A41DFE">
        <w:t>solicitud de ocupación original)</w:t>
      </w:r>
      <w:r w:rsidRPr="008C3352">
        <w:t>, teniendo claro que de no ocupar el espacio se le podrá dar acceso a otro Concesionario sin que existirán ajustes de niveles tarifarios derivad</w:t>
      </w:r>
      <w:r>
        <w:t>os del uso parcial del espacio.</w:t>
      </w:r>
      <w:r w:rsidRPr="00392897">
        <w:t xml:space="preserve"> </w:t>
      </w:r>
    </w:p>
    <w:p w:rsidR="00390B03" w:rsidRDefault="00390B03" w:rsidP="00235C21">
      <w:pPr>
        <w:pStyle w:val="CondicionesFinales"/>
      </w:pPr>
      <w:r w:rsidRPr="004C2FED">
        <w:t>En complemento, cualquier excedente de los 8.5 m</w:t>
      </w:r>
      <w:r w:rsidRPr="005C0862">
        <w:rPr>
          <w:vertAlign w:val="superscript"/>
        </w:rPr>
        <w:t xml:space="preserve">2 </w:t>
      </w:r>
      <w:r w:rsidRPr="004C2FED">
        <w:t>o de la franja de los 4 ml, será pagado de acuerdo a la cantidad que resulte de multiplicar el Área de antena en m2, por la Altura del centro de radiación (NCR) que es la distancia del punto medio de la antena al suelo en metros, por la cantidad de</w:t>
      </w:r>
      <w:r>
        <w:t>:</w:t>
      </w:r>
    </w:p>
    <w:tbl>
      <w:tblPr>
        <w:tblStyle w:val="Tablaconcuadrcula"/>
        <w:tblW w:w="3475" w:type="pct"/>
        <w:jc w:val="center"/>
        <w:tblLayout w:type="fixed"/>
        <w:tblLook w:val="04A0" w:firstRow="1" w:lastRow="0" w:firstColumn="1" w:lastColumn="0" w:noHBand="0" w:noVBand="1"/>
        <w:tblCaption w:val="Tabla"/>
        <w:tblDescription w:val="Torre Autosoportada"/>
      </w:tblPr>
      <w:tblGrid>
        <w:gridCol w:w="1849"/>
        <w:gridCol w:w="998"/>
        <w:gridCol w:w="1645"/>
        <w:gridCol w:w="1645"/>
      </w:tblGrid>
      <w:tr w:rsidR="00390B03" w:rsidRPr="003253D4" w:rsidTr="005C782A">
        <w:trPr>
          <w:trHeight w:val="460"/>
          <w:tblHeader/>
          <w:jc w:val="center"/>
        </w:trPr>
        <w:tc>
          <w:tcPr>
            <w:tcW w:w="1507" w:type="pct"/>
            <w:shd w:val="clear" w:color="auto" w:fill="D9D9D9" w:themeFill="background1" w:themeFillShade="D9"/>
            <w:noWrap/>
            <w:vAlign w:val="center"/>
          </w:tcPr>
          <w:p w:rsidR="00390B03" w:rsidRPr="00B17D04" w:rsidRDefault="00390B03" w:rsidP="007C6CB7">
            <w:pPr>
              <w:jc w:val="center"/>
              <w:rPr>
                <w:rFonts w:ascii="ITC Avant Garde" w:hAnsi="ITC Avant Garde" w:cs="Arial"/>
                <w:b/>
                <w:sz w:val="18"/>
                <w:szCs w:val="18"/>
              </w:rPr>
            </w:pPr>
            <w:r w:rsidRPr="00B17D04">
              <w:rPr>
                <w:rFonts w:ascii="ITC Avant Garde" w:hAnsi="ITC Avant Garde" w:cs="Arial"/>
                <w:b/>
                <w:sz w:val="18"/>
                <w:szCs w:val="18"/>
              </w:rPr>
              <w:t>Elemento</w:t>
            </w:r>
          </w:p>
        </w:tc>
        <w:tc>
          <w:tcPr>
            <w:tcW w:w="813" w:type="pct"/>
            <w:shd w:val="clear" w:color="auto" w:fill="D9D9D9" w:themeFill="background1" w:themeFillShade="D9"/>
            <w:noWrap/>
            <w:vAlign w:val="center"/>
          </w:tcPr>
          <w:p w:rsidR="00390B03" w:rsidRPr="00B17D04" w:rsidRDefault="00390B03" w:rsidP="007C6CB7">
            <w:pPr>
              <w:jc w:val="center"/>
              <w:rPr>
                <w:rFonts w:ascii="ITC Avant Garde" w:hAnsi="ITC Avant Garde" w:cs="Arial"/>
                <w:b/>
                <w:sz w:val="18"/>
                <w:szCs w:val="18"/>
              </w:rPr>
            </w:pPr>
            <w:r w:rsidRPr="00B17D04">
              <w:rPr>
                <w:rFonts w:ascii="ITC Avant Garde" w:hAnsi="ITC Avant Garde" w:cs="Arial"/>
                <w:b/>
                <w:sz w:val="18"/>
                <w:szCs w:val="18"/>
              </w:rPr>
              <w:t>Unidad</w:t>
            </w:r>
          </w:p>
        </w:tc>
        <w:tc>
          <w:tcPr>
            <w:tcW w:w="1340" w:type="pct"/>
            <w:shd w:val="clear" w:color="auto" w:fill="D9D9D9" w:themeFill="background1" w:themeFillShade="D9"/>
            <w:noWrap/>
            <w:vAlign w:val="center"/>
          </w:tcPr>
          <w:p w:rsidR="00390B03" w:rsidRPr="00B17D04" w:rsidRDefault="00390B03" w:rsidP="007C6CB7">
            <w:pPr>
              <w:jc w:val="center"/>
              <w:rPr>
                <w:rFonts w:ascii="ITC Avant Garde" w:hAnsi="ITC Avant Garde"/>
                <w:b/>
                <w:sz w:val="18"/>
              </w:rPr>
            </w:pPr>
            <w:r>
              <w:rPr>
                <w:rFonts w:ascii="ITC Avant Garde" w:hAnsi="ITC Avant Garde"/>
                <w:b/>
                <w:sz w:val="18"/>
              </w:rPr>
              <w:t>Torre Arriostrada</w:t>
            </w:r>
          </w:p>
        </w:tc>
        <w:tc>
          <w:tcPr>
            <w:tcW w:w="1340" w:type="pct"/>
            <w:shd w:val="clear" w:color="auto" w:fill="D9D9D9" w:themeFill="background1" w:themeFillShade="D9"/>
            <w:noWrap/>
            <w:vAlign w:val="center"/>
          </w:tcPr>
          <w:p w:rsidR="00390B03" w:rsidRPr="00B17D04" w:rsidRDefault="00390B03" w:rsidP="007C6CB7">
            <w:pPr>
              <w:jc w:val="center"/>
              <w:rPr>
                <w:rFonts w:ascii="ITC Avant Garde" w:hAnsi="ITC Avant Garde"/>
                <w:b/>
                <w:sz w:val="18"/>
              </w:rPr>
            </w:pPr>
            <w:r>
              <w:rPr>
                <w:rFonts w:ascii="ITC Avant Garde" w:hAnsi="ITC Avant Garde"/>
                <w:b/>
                <w:sz w:val="18"/>
              </w:rPr>
              <w:t>Torre Autosoportada</w:t>
            </w:r>
          </w:p>
        </w:tc>
      </w:tr>
      <w:tr w:rsidR="00390B03" w:rsidRPr="003253D4" w:rsidTr="007C6CB7">
        <w:trPr>
          <w:trHeight w:val="283"/>
          <w:jc w:val="center"/>
        </w:trPr>
        <w:tc>
          <w:tcPr>
            <w:tcW w:w="1507" w:type="pct"/>
            <w:noWrap/>
            <w:vAlign w:val="center"/>
            <w:hideMark/>
          </w:tcPr>
          <w:p w:rsidR="00390B03" w:rsidRPr="003253D4" w:rsidRDefault="00390B03" w:rsidP="007C6CB7">
            <w:pPr>
              <w:jc w:val="center"/>
              <w:rPr>
                <w:rFonts w:ascii="ITC Avant Garde" w:hAnsi="ITC Avant Garde" w:cs="Arial"/>
                <w:b/>
                <w:sz w:val="18"/>
                <w:szCs w:val="18"/>
              </w:rPr>
            </w:pPr>
            <w:r w:rsidRPr="003253D4">
              <w:rPr>
                <w:rFonts w:ascii="ITC Avant Garde" w:hAnsi="ITC Avant Garde" w:cs="Arial"/>
                <w:sz w:val="18"/>
                <w:szCs w:val="18"/>
              </w:rPr>
              <w:t>Factor de cobro</w:t>
            </w:r>
          </w:p>
        </w:tc>
        <w:tc>
          <w:tcPr>
            <w:tcW w:w="813" w:type="pct"/>
            <w:noWrap/>
            <w:vAlign w:val="center"/>
            <w:hideMark/>
          </w:tcPr>
          <w:p w:rsidR="00390B03" w:rsidRPr="003253D4" w:rsidRDefault="00390B03" w:rsidP="007C6CB7">
            <w:pPr>
              <w:jc w:val="center"/>
              <w:rPr>
                <w:rFonts w:ascii="ITC Avant Garde" w:hAnsi="ITC Avant Garde" w:cs="Arial"/>
                <w:b/>
                <w:sz w:val="18"/>
                <w:szCs w:val="18"/>
                <w:vertAlign w:val="superscript"/>
              </w:rPr>
            </w:pPr>
            <w:r w:rsidRPr="003253D4">
              <w:rPr>
                <w:rFonts w:ascii="ITC Avant Garde" w:hAnsi="ITC Avant Garde" w:cs="Arial"/>
                <w:sz w:val="18"/>
                <w:szCs w:val="18"/>
              </w:rPr>
              <w:t>M.N./m</w:t>
            </w:r>
            <w:r w:rsidRPr="003253D4">
              <w:rPr>
                <w:rFonts w:ascii="ITC Avant Garde" w:hAnsi="ITC Avant Garde" w:cs="Arial"/>
                <w:sz w:val="18"/>
                <w:szCs w:val="18"/>
                <w:vertAlign w:val="superscript"/>
              </w:rPr>
              <w:t>3</w:t>
            </w:r>
          </w:p>
        </w:tc>
        <w:tc>
          <w:tcPr>
            <w:tcW w:w="1340" w:type="pct"/>
            <w:noWrap/>
          </w:tcPr>
          <w:p w:rsidR="00390B03" w:rsidRPr="003253D4" w:rsidRDefault="00390B03" w:rsidP="007C6CB7">
            <w:pPr>
              <w:jc w:val="center"/>
              <w:rPr>
                <w:rFonts w:ascii="ITC Avant Garde" w:hAnsi="ITC Avant Garde" w:cs="Arial"/>
                <w:sz w:val="18"/>
                <w:szCs w:val="18"/>
              </w:rPr>
            </w:pPr>
            <w:r>
              <w:rPr>
                <w:rFonts w:ascii="ITC Avant Garde" w:hAnsi="ITC Avant Garde" w:cs="Arial"/>
                <w:sz w:val="18"/>
                <w:szCs w:val="18"/>
              </w:rPr>
              <w:t>25.90</w:t>
            </w:r>
          </w:p>
        </w:tc>
        <w:tc>
          <w:tcPr>
            <w:tcW w:w="1340" w:type="pct"/>
            <w:noWrap/>
          </w:tcPr>
          <w:p w:rsidR="00390B03" w:rsidRPr="003253D4" w:rsidRDefault="00390B03" w:rsidP="007C6CB7">
            <w:pPr>
              <w:jc w:val="center"/>
              <w:rPr>
                <w:rFonts w:ascii="ITC Avant Garde" w:hAnsi="ITC Avant Garde" w:cs="Arial"/>
                <w:sz w:val="18"/>
                <w:szCs w:val="18"/>
              </w:rPr>
            </w:pPr>
            <w:r>
              <w:rPr>
                <w:rFonts w:ascii="ITC Avant Garde" w:hAnsi="ITC Avant Garde" w:cs="Arial"/>
                <w:sz w:val="18"/>
                <w:szCs w:val="18"/>
              </w:rPr>
              <w:t>26.45</w:t>
            </w:r>
          </w:p>
        </w:tc>
      </w:tr>
    </w:tbl>
    <w:p w:rsidR="00390B03" w:rsidRPr="00392897" w:rsidRDefault="00390B03" w:rsidP="005C782A">
      <w:pPr>
        <w:pStyle w:val="CondicionesFinales"/>
        <w:spacing w:before="240"/>
      </w:pPr>
      <w:r>
        <w:t>Para ello, se seguirá el siguiente procedimiento de cálculo</w:t>
      </w:r>
      <w:r w:rsidRPr="00DA1DFC">
        <w:t xml:space="preserve"> </w:t>
      </w:r>
      <w:r>
        <w:t>de acuerdo al tipo de estructura que corresponda:</w:t>
      </w:r>
      <w:r w:rsidRPr="00392897">
        <w:t xml:space="preserve"> </w:t>
      </w:r>
    </w:p>
    <w:p w:rsidR="00390B03" w:rsidRDefault="00390B03">
      <w:pPr>
        <w:pStyle w:val="CondicionesFinales"/>
      </w:pPr>
      <w:r w:rsidRPr="00524BB4">
        <w:t>Costo Adicional = Área de Antena m</w:t>
      </w:r>
      <w:r w:rsidRPr="005E2135">
        <w:rPr>
          <w:vertAlign w:val="superscript"/>
        </w:rPr>
        <w:t>2</w:t>
      </w:r>
      <w:r w:rsidRPr="00524BB4">
        <w:t xml:space="preserve"> * Altura NCR en metros * </w:t>
      </w:r>
      <w:r w:rsidRPr="00DA1DFC">
        <w:t>Factor de cobro</w:t>
      </w:r>
      <w:r w:rsidRPr="00524BB4">
        <w:t xml:space="preserve"> </w:t>
      </w:r>
    </w:p>
    <w:p w:rsidR="00390B03" w:rsidRPr="006A7AA7" w:rsidRDefault="00390B03" w:rsidP="006A7AA7">
      <w:pPr>
        <w:pStyle w:val="Prrafodelista"/>
        <w:numPr>
          <w:ilvl w:val="0"/>
          <w:numId w:val="224"/>
        </w:numPr>
        <w:spacing w:before="240" w:after="0"/>
        <w:rPr>
          <w:rFonts w:ascii="ITC Avant Garde" w:hAnsi="ITC Avant Garde"/>
          <w:b/>
          <w:sz w:val="22"/>
          <w:szCs w:val="22"/>
        </w:rPr>
      </w:pPr>
      <w:bookmarkStart w:id="137" w:name="_Toc435541788"/>
      <w:r w:rsidRPr="006A7AA7">
        <w:rPr>
          <w:rFonts w:ascii="ITC Avant Garde" w:hAnsi="ITC Avant Garde"/>
          <w:b/>
          <w:sz w:val="22"/>
          <w:szCs w:val="22"/>
        </w:rPr>
        <w:t>Por el acceso y uso de Espacio Aprobado en Piso.</w:t>
      </w:r>
      <w:bookmarkEnd w:id="137"/>
    </w:p>
    <w:p w:rsidR="00390B03" w:rsidRDefault="00390B03" w:rsidP="00235C21">
      <w:pPr>
        <w:pStyle w:val="CondicionesFinales"/>
        <w:rPr>
          <w:color w:val="000000" w:themeColor="text1"/>
        </w:rPr>
      </w:pPr>
      <w:r w:rsidRPr="005C2E3D">
        <w:t>La tarifa</w:t>
      </w:r>
      <w:r w:rsidRPr="0098736C">
        <w:t xml:space="preserve"> por el acceso y uso de Espacio Aprobado en Piso en el cual el Agente </w:t>
      </w:r>
      <w:r w:rsidRPr="003253D4">
        <w:t>E</w:t>
      </w:r>
      <w:r>
        <w:t xml:space="preserve">conómico </w:t>
      </w:r>
      <w:r w:rsidRPr="003253D4">
        <w:t>P</w:t>
      </w:r>
      <w:r>
        <w:t>reponderante</w:t>
      </w:r>
      <w:r w:rsidRPr="003253D4">
        <w:t xml:space="preserve"> tenga propiedad, o aquella </w:t>
      </w:r>
      <w:r w:rsidRPr="003253D4">
        <w:lastRenderedPageBreak/>
        <w:t>por cuya propiedad sean causahabientes o cesionarios de sus derechos o que resulten de reestructuras corporativas o modificaciones accionarias derivadas de concentraciones de cualquier tipo a agentes vinculados con el A</w:t>
      </w:r>
      <w:r>
        <w:t xml:space="preserve">gente </w:t>
      </w:r>
      <w:r w:rsidRPr="003253D4">
        <w:t>E</w:t>
      </w:r>
      <w:r>
        <w:t xml:space="preserve">conómico </w:t>
      </w:r>
      <w:r w:rsidRPr="003253D4">
        <w:t>P</w:t>
      </w:r>
      <w:r>
        <w:t>reponderante</w:t>
      </w:r>
      <w:r w:rsidRPr="003253D4">
        <w:t>, se seguir</w:t>
      </w:r>
      <w:r>
        <w:t>á el siguiente esquema de cobro</w:t>
      </w:r>
      <w:r w:rsidRPr="00392897">
        <w:rPr>
          <w:color w:val="000000" w:themeColor="text1"/>
        </w:rPr>
        <w:t>:</w:t>
      </w:r>
    </w:p>
    <w:p w:rsidR="00483567" w:rsidRPr="00392897" w:rsidRDefault="00483567" w:rsidP="00483567">
      <w:pPr>
        <w:pStyle w:val="CondicionesFinales"/>
        <w:jc w:val="center"/>
        <w:rPr>
          <w:color w:val="000000" w:themeColor="text1"/>
          <w:lang w:val="es-MX"/>
        </w:rPr>
      </w:pPr>
      <w:r w:rsidRPr="00390B03">
        <w:rPr>
          <w:b/>
          <w:sz w:val="18"/>
          <w:szCs w:val="18"/>
        </w:rPr>
        <w:t>Tipo de Espacio en Piso</w:t>
      </w:r>
      <w:r>
        <w:rPr>
          <w:rStyle w:val="Refdenotaalpie"/>
          <w:b/>
          <w:sz w:val="18"/>
          <w:szCs w:val="18"/>
        </w:rPr>
        <w:footnoteReference w:id="11"/>
      </w:r>
    </w:p>
    <w:tbl>
      <w:tblPr>
        <w:tblStyle w:val="Tablaconcuadrcula2"/>
        <w:tblW w:w="8828" w:type="dxa"/>
        <w:jc w:val="center"/>
        <w:tblLook w:val="04A0" w:firstRow="1" w:lastRow="0" w:firstColumn="1" w:lastColumn="0" w:noHBand="0" w:noVBand="1"/>
        <w:tblCaption w:val="Tabla"/>
        <w:tblDescription w:val="Tipo de Espacio en Piso "/>
      </w:tblPr>
      <w:tblGrid>
        <w:gridCol w:w="1532"/>
        <w:gridCol w:w="1410"/>
        <w:gridCol w:w="1962"/>
        <w:gridCol w:w="1962"/>
        <w:gridCol w:w="1962"/>
      </w:tblGrid>
      <w:tr w:rsidR="00390B03" w:rsidRPr="00390B03" w:rsidTr="00483567">
        <w:trPr>
          <w:trHeight w:val="508"/>
          <w:tblHeader/>
          <w:jc w:val="center"/>
        </w:trPr>
        <w:tc>
          <w:tcPr>
            <w:tcW w:w="1532" w:type="dxa"/>
            <w:shd w:val="clear" w:color="auto" w:fill="F2F2F2" w:themeFill="background1" w:themeFillShade="F2"/>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Clasificación</w:t>
            </w:r>
            <w:r w:rsidRPr="00390B03">
              <w:rPr>
                <w:rStyle w:val="Refdenotaalpie"/>
                <w:sz w:val="18"/>
                <w:szCs w:val="18"/>
              </w:rPr>
              <w:footnoteReference w:id="12"/>
            </w:r>
          </w:p>
        </w:tc>
        <w:tc>
          <w:tcPr>
            <w:tcW w:w="1410" w:type="dxa"/>
            <w:shd w:val="clear" w:color="auto" w:fill="F2F2F2" w:themeFill="background1" w:themeFillShade="F2"/>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Unidad</w:t>
            </w:r>
          </w:p>
        </w:tc>
        <w:tc>
          <w:tcPr>
            <w:tcW w:w="1962" w:type="dxa"/>
            <w:shd w:val="clear" w:color="auto" w:fill="F2F2F2" w:themeFill="background1" w:themeFillShade="F2"/>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En Predio</w:t>
            </w:r>
          </w:p>
        </w:tc>
        <w:tc>
          <w:tcPr>
            <w:tcW w:w="1962" w:type="dxa"/>
            <w:shd w:val="clear" w:color="auto" w:fill="F2F2F2" w:themeFill="background1" w:themeFillShade="F2"/>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En Azotea</w:t>
            </w:r>
          </w:p>
        </w:tc>
        <w:tc>
          <w:tcPr>
            <w:tcW w:w="1962" w:type="dxa"/>
            <w:shd w:val="clear" w:color="auto" w:fill="F2F2F2" w:themeFill="background1" w:themeFillShade="F2"/>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En Caseta</w:t>
            </w:r>
          </w:p>
        </w:tc>
      </w:tr>
      <w:tr w:rsidR="00390B03" w:rsidRPr="00390B03" w:rsidTr="00483567">
        <w:trPr>
          <w:trHeight w:val="321"/>
          <w:jc w:val="center"/>
        </w:trPr>
        <w:tc>
          <w:tcPr>
            <w:tcW w:w="1532"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7 y 6</w:t>
            </w:r>
          </w:p>
        </w:tc>
        <w:tc>
          <w:tcPr>
            <w:tcW w:w="1410"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xml:space="preserve">MXN / Mes </w:t>
            </w:r>
          </w:p>
        </w:tc>
        <w:tc>
          <w:tcPr>
            <w:tcW w:w="1962"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$15,001.67 M.N.</w:t>
            </w:r>
          </w:p>
        </w:tc>
        <w:tc>
          <w:tcPr>
            <w:tcW w:w="1962" w:type="dxa"/>
          </w:tcPr>
          <w:p w:rsidR="00390B03" w:rsidRPr="00390B03" w:rsidRDefault="00390B03" w:rsidP="007C6CB7">
            <w:pPr>
              <w:spacing w:before="120"/>
              <w:jc w:val="center"/>
              <w:rPr>
                <w:rFonts w:ascii="ITC Avant Garde" w:hAnsi="ITC Avant Garde" w:cs="Arial"/>
                <w:sz w:val="18"/>
                <w:szCs w:val="18"/>
              </w:rPr>
            </w:pPr>
            <w:r w:rsidRPr="00390B03">
              <w:rPr>
                <w:rFonts w:ascii="ITC Avant Garde" w:hAnsi="ITC Avant Garde" w:cs="Arial"/>
                <w:sz w:val="18"/>
                <w:szCs w:val="18"/>
              </w:rPr>
              <w:t>$15,365.86 M.N.</w:t>
            </w:r>
            <w:r w:rsidRPr="00390B03">
              <w:rPr>
                <w:rFonts w:ascii="ITC Avant Garde" w:hAnsi="ITC Avant Garde"/>
                <w:sz w:val="18"/>
                <w:szCs w:val="18"/>
              </w:rPr>
              <w:t xml:space="preserve"> </w:t>
            </w:r>
          </w:p>
        </w:tc>
        <w:tc>
          <w:tcPr>
            <w:tcW w:w="1962" w:type="dxa"/>
          </w:tcPr>
          <w:p w:rsidR="00390B03" w:rsidRPr="00390B03" w:rsidRDefault="00390B03" w:rsidP="007C6CB7">
            <w:pPr>
              <w:spacing w:before="120"/>
              <w:jc w:val="center"/>
              <w:rPr>
                <w:rFonts w:ascii="ITC Avant Garde" w:hAnsi="ITC Avant Garde" w:cs="Arial"/>
                <w:sz w:val="18"/>
                <w:szCs w:val="18"/>
              </w:rPr>
            </w:pPr>
            <w:r w:rsidRPr="00390B03">
              <w:rPr>
                <w:rFonts w:ascii="ITC Avant Garde" w:hAnsi="ITC Avant Garde" w:cs="Arial"/>
                <w:sz w:val="18"/>
                <w:szCs w:val="18"/>
              </w:rPr>
              <w:t>$16,409.65 M.N.</w:t>
            </w:r>
            <w:r w:rsidRPr="00390B03">
              <w:rPr>
                <w:rFonts w:ascii="ITC Avant Garde" w:hAnsi="ITC Avant Garde"/>
                <w:sz w:val="18"/>
                <w:szCs w:val="18"/>
              </w:rPr>
              <w:t xml:space="preserve"> </w:t>
            </w:r>
          </w:p>
        </w:tc>
      </w:tr>
      <w:tr w:rsidR="00390B03" w:rsidRPr="00390B03" w:rsidTr="00483567">
        <w:trPr>
          <w:trHeight w:val="331"/>
          <w:jc w:val="center"/>
        </w:trPr>
        <w:tc>
          <w:tcPr>
            <w:tcW w:w="1532"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5</w:t>
            </w:r>
          </w:p>
        </w:tc>
        <w:tc>
          <w:tcPr>
            <w:tcW w:w="1410"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xml:space="preserve">MXN / Mes </w:t>
            </w:r>
          </w:p>
        </w:tc>
        <w:tc>
          <w:tcPr>
            <w:tcW w:w="1962"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$6,112.23 M.N.</w:t>
            </w:r>
            <w:r w:rsidRPr="00390B03">
              <w:rPr>
                <w:rFonts w:ascii="ITC Avant Garde" w:hAnsi="ITC Avant Garde"/>
                <w:sz w:val="18"/>
                <w:szCs w:val="18"/>
              </w:rPr>
              <w:t xml:space="preserve"> </w:t>
            </w:r>
          </w:p>
        </w:tc>
        <w:tc>
          <w:tcPr>
            <w:tcW w:w="1962" w:type="dxa"/>
          </w:tcPr>
          <w:p w:rsidR="00390B03" w:rsidRPr="00390B03" w:rsidRDefault="00390B03" w:rsidP="007C6CB7">
            <w:pPr>
              <w:spacing w:before="120"/>
              <w:jc w:val="center"/>
              <w:rPr>
                <w:rFonts w:ascii="ITC Avant Garde" w:hAnsi="ITC Avant Garde" w:cs="Arial"/>
                <w:sz w:val="18"/>
                <w:szCs w:val="18"/>
              </w:rPr>
            </w:pPr>
            <w:r w:rsidRPr="00390B03">
              <w:rPr>
                <w:rFonts w:ascii="ITC Avant Garde" w:hAnsi="ITC Avant Garde" w:cs="Arial"/>
                <w:sz w:val="18"/>
                <w:szCs w:val="18"/>
              </w:rPr>
              <w:t>$$6,476.41 M.N.</w:t>
            </w:r>
            <w:r w:rsidRPr="00390B03">
              <w:rPr>
                <w:rFonts w:ascii="ITC Avant Garde" w:hAnsi="ITC Avant Garde"/>
                <w:sz w:val="18"/>
                <w:szCs w:val="18"/>
              </w:rPr>
              <w:t xml:space="preserve"> </w:t>
            </w:r>
          </w:p>
        </w:tc>
        <w:tc>
          <w:tcPr>
            <w:tcW w:w="1962" w:type="dxa"/>
          </w:tcPr>
          <w:p w:rsidR="00390B03" w:rsidRPr="00390B03" w:rsidRDefault="00390B03" w:rsidP="007C6CB7">
            <w:pPr>
              <w:spacing w:before="120"/>
              <w:jc w:val="center"/>
              <w:rPr>
                <w:rFonts w:ascii="ITC Avant Garde" w:hAnsi="ITC Avant Garde" w:cs="Arial"/>
                <w:sz w:val="18"/>
                <w:szCs w:val="18"/>
              </w:rPr>
            </w:pPr>
            <w:r w:rsidRPr="00390B03">
              <w:rPr>
                <w:rFonts w:ascii="ITC Avant Garde" w:hAnsi="ITC Avant Garde" w:cs="Arial"/>
                <w:sz w:val="18"/>
                <w:szCs w:val="18"/>
              </w:rPr>
              <w:t>$7,202.53 M.N.</w:t>
            </w:r>
            <w:r w:rsidRPr="00390B03">
              <w:rPr>
                <w:rFonts w:ascii="ITC Avant Garde" w:hAnsi="ITC Avant Garde"/>
                <w:sz w:val="18"/>
                <w:szCs w:val="18"/>
              </w:rPr>
              <w:t xml:space="preserve"> </w:t>
            </w:r>
          </w:p>
        </w:tc>
      </w:tr>
      <w:tr w:rsidR="00390B03" w:rsidRPr="00390B03" w:rsidTr="00483567">
        <w:trPr>
          <w:trHeight w:val="321"/>
          <w:jc w:val="center"/>
        </w:trPr>
        <w:tc>
          <w:tcPr>
            <w:tcW w:w="1532"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4</w:t>
            </w:r>
          </w:p>
        </w:tc>
        <w:tc>
          <w:tcPr>
            <w:tcW w:w="1410"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xml:space="preserve">MXN / Mes </w:t>
            </w:r>
          </w:p>
        </w:tc>
        <w:tc>
          <w:tcPr>
            <w:tcW w:w="1962"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$2,742.37 M.N.</w:t>
            </w:r>
            <w:r w:rsidRPr="00390B03">
              <w:rPr>
                <w:rFonts w:ascii="ITC Avant Garde" w:hAnsi="ITC Avant Garde"/>
                <w:sz w:val="18"/>
                <w:szCs w:val="18"/>
              </w:rPr>
              <w:t xml:space="preserve"> </w:t>
            </w:r>
          </w:p>
        </w:tc>
        <w:tc>
          <w:tcPr>
            <w:tcW w:w="1962" w:type="dxa"/>
          </w:tcPr>
          <w:p w:rsidR="00390B03" w:rsidRPr="00390B03" w:rsidRDefault="00390B03" w:rsidP="007C6CB7">
            <w:pPr>
              <w:spacing w:before="120"/>
              <w:jc w:val="center"/>
              <w:rPr>
                <w:rFonts w:ascii="ITC Avant Garde" w:hAnsi="ITC Avant Garde" w:cs="Arial"/>
                <w:sz w:val="18"/>
                <w:szCs w:val="18"/>
              </w:rPr>
            </w:pPr>
            <w:r w:rsidRPr="00390B03">
              <w:rPr>
                <w:rFonts w:ascii="ITC Avant Garde" w:hAnsi="ITC Avant Garde" w:cs="Arial"/>
                <w:sz w:val="18"/>
                <w:szCs w:val="18"/>
              </w:rPr>
              <w:t>$3,089.53 M.N.</w:t>
            </w:r>
            <w:r w:rsidRPr="00390B03">
              <w:rPr>
                <w:rFonts w:ascii="ITC Avant Garde" w:hAnsi="ITC Avant Garde"/>
                <w:sz w:val="18"/>
                <w:szCs w:val="18"/>
              </w:rPr>
              <w:t xml:space="preserve"> </w:t>
            </w:r>
          </w:p>
        </w:tc>
        <w:tc>
          <w:tcPr>
            <w:tcW w:w="1962" w:type="dxa"/>
          </w:tcPr>
          <w:p w:rsidR="00390B03" w:rsidRPr="00390B03" w:rsidRDefault="00390B03" w:rsidP="007C6CB7">
            <w:pPr>
              <w:spacing w:before="120"/>
              <w:jc w:val="center"/>
              <w:rPr>
                <w:rFonts w:ascii="ITC Avant Garde" w:hAnsi="ITC Avant Garde" w:cs="Arial"/>
                <w:sz w:val="18"/>
                <w:szCs w:val="18"/>
              </w:rPr>
            </w:pPr>
            <w:r w:rsidRPr="00390B03">
              <w:rPr>
                <w:rFonts w:ascii="ITC Avant Garde" w:hAnsi="ITC Avant Garde" w:cs="Arial"/>
                <w:sz w:val="18"/>
                <w:szCs w:val="18"/>
              </w:rPr>
              <w:t>$3,727.58 M.N.</w:t>
            </w:r>
            <w:r w:rsidRPr="00390B03">
              <w:rPr>
                <w:rFonts w:ascii="ITC Avant Garde" w:hAnsi="ITC Avant Garde"/>
                <w:sz w:val="18"/>
                <w:szCs w:val="18"/>
              </w:rPr>
              <w:t xml:space="preserve"> </w:t>
            </w:r>
          </w:p>
        </w:tc>
      </w:tr>
      <w:tr w:rsidR="00390B03" w:rsidRPr="00390B03" w:rsidTr="00483567">
        <w:trPr>
          <w:trHeight w:val="331"/>
          <w:jc w:val="center"/>
        </w:trPr>
        <w:tc>
          <w:tcPr>
            <w:tcW w:w="1532"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1, 2 y 3</w:t>
            </w:r>
          </w:p>
        </w:tc>
        <w:tc>
          <w:tcPr>
            <w:tcW w:w="1410"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xml:space="preserve">MXN / Mes </w:t>
            </w:r>
          </w:p>
        </w:tc>
        <w:tc>
          <w:tcPr>
            <w:tcW w:w="1962"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$472.14 M.N.</w:t>
            </w:r>
            <w:r w:rsidRPr="00390B03">
              <w:rPr>
                <w:rFonts w:ascii="ITC Avant Garde" w:hAnsi="ITC Avant Garde"/>
                <w:sz w:val="18"/>
                <w:szCs w:val="18"/>
              </w:rPr>
              <w:t xml:space="preserve"> </w:t>
            </w:r>
          </w:p>
        </w:tc>
        <w:tc>
          <w:tcPr>
            <w:tcW w:w="1962" w:type="dxa"/>
          </w:tcPr>
          <w:p w:rsidR="00390B03" w:rsidRPr="00390B03" w:rsidRDefault="00390B03" w:rsidP="007C6CB7">
            <w:pPr>
              <w:spacing w:before="120"/>
              <w:jc w:val="center"/>
              <w:rPr>
                <w:rFonts w:ascii="ITC Avant Garde" w:hAnsi="ITC Avant Garde" w:cs="Arial"/>
                <w:sz w:val="18"/>
                <w:szCs w:val="18"/>
              </w:rPr>
            </w:pPr>
            <w:r w:rsidRPr="00390B03">
              <w:rPr>
                <w:rFonts w:ascii="ITC Avant Garde" w:hAnsi="ITC Avant Garde" w:cs="Arial"/>
                <w:sz w:val="18"/>
                <w:szCs w:val="18"/>
              </w:rPr>
              <w:t>$835.59 M.N.</w:t>
            </w:r>
            <w:r w:rsidRPr="00390B03">
              <w:rPr>
                <w:rFonts w:ascii="ITC Avant Garde" w:hAnsi="ITC Avant Garde"/>
                <w:sz w:val="18"/>
                <w:szCs w:val="18"/>
              </w:rPr>
              <w:t xml:space="preserve"> </w:t>
            </w:r>
          </w:p>
        </w:tc>
        <w:tc>
          <w:tcPr>
            <w:tcW w:w="1962" w:type="dxa"/>
          </w:tcPr>
          <w:p w:rsidR="00390B03" w:rsidRPr="00390B03" w:rsidRDefault="00390B03" w:rsidP="007C6CB7">
            <w:pPr>
              <w:spacing w:before="120"/>
              <w:jc w:val="center"/>
              <w:rPr>
                <w:rFonts w:ascii="ITC Avant Garde" w:hAnsi="ITC Avant Garde" w:cs="Arial"/>
                <w:sz w:val="18"/>
                <w:szCs w:val="18"/>
              </w:rPr>
            </w:pPr>
            <w:r w:rsidRPr="00390B03">
              <w:rPr>
                <w:rFonts w:ascii="ITC Avant Garde" w:hAnsi="ITC Avant Garde" w:cs="Arial"/>
                <w:sz w:val="18"/>
                <w:szCs w:val="18"/>
              </w:rPr>
              <w:t>$1,176.39 M.N.</w:t>
            </w:r>
            <w:r w:rsidRPr="00390B03">
              <w:rPr>
                <w:rFonts w:ascii="ITC Avant Garde" w:hAnsi="ITC Avant Garde"/>
                <w:sz w:val="18"/>
                <w:szCs w:val="18"/>
              </w:rPr>
              <w:t xml:space="preserve"> </w:t>
            </w:r>
          </w:p>
        </w:tc>
      </w:tr>
      <w:tr w:rsidR="00390B03" w:rsidRPr="00390B03" w:rsidTr="00483567">
        <w:trPr>
          <w:trHeight w:val="321"/>
          <w:jc w:val="center"/>
        </w:trPr>
        <w:tc>
          <w:tcPr>
            <w:tcW w:w="1532"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Industrial</w:t>
            </w:r>
            <w:r w:rsidRPr="00390B03">
              <w:rPr>
                <w:rStyle w:val="Refdenotaalpie"/>
                <w:sz w:val="18"/>
                <w:szCs w:val="18"/>
              </w:rPr>
              <w:footnoteReference w:id="13"/>
            </w:r>
          </w:p>
        </w:tc>
        <w:tc>
          <w:tcPr>
            <w:tcW w:w="1410"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xml:space="preserve">MXN / Mes </w:t>
            </w:r>
          </w:p>
        </w:tc>
        <w:tc>
          <w:tcPr>
            <w:tcW w:w="1962"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$3,352.86 M.N.</w:t>
            </w:r>
            <w:r w:rsidRPr="00390B03" w:rsidDel="000B13F9">
              <w:rPr>
                <w:rFonts w:ascii="ITC Avant Garde" w:hAnsi="ITC Avant Garde"/>
                <w:sz w:val="18"/>
                <w:szCs w:val="18"/>
              </w:rPr>
              <w:t xml:space="preserve"> </w:t>
            </w:r>
          </w:p>
        </w:tc>
        <w:tc>
          <w:tcPr>
            <w:tcW w:w="1962" w:type="dxa"/>
          </w:tcPr>
          <w:p w:rsidR="00390B03" w:rsidRPr="00390B03" w:rsidRDefault="00390B03" w:rsidP="007C6CB7">
            <w:pPr>
              <w:spacing w:before="120"/>
              <w:jc w:val="center"/>
              <w:rPr>
                <w:rFonts w:ascii="ITC Avant Garde" w:hAnsi="ITC Avant Garde" w:cs="Arial"/>
                <w:sz w:val="18"/>
                <w:szCs w:val="18"/>
              </w:rPr>
            </w:pPr>
            <w:r w:rsidRPr="00390B03">
              <w:rPr>
                <w:rFonts w:ascii="ITC Avant Garde" w:hAnsi="ITC Avant Garde" w:cs="Arial"/>
                <w:sz w:val="18"/>
                <w:szCs w:val="18"/>
              </w:rPr>
              <w:t>$3,717.04 M.N.</w:t>
            </w:r>
            <w:r w:rsidRPr="00390B03">
              <w:rPr>
                <w:rFonts w:ascii="ITC Avant Garde" w:hAnsi="ITC Avant Garde"/>
                <w:sz w:val="18"/>
                <w:szCs w:val="18"/>
              </w:rPr>
              <w:t xml:space="preserve"> </w:t>
            </w:r>
          </w:p>
        </w:tc>
        <w:tc>
          <w:tcPr>
            <w:tcW w:w="1962" w:type="dxa"/>
          </w:tcPr>
          <w:p w:rsidR="00390B03" w:rsidRPr="00390B03" w:rsidRDefault="00390B03" w:rsidP="007C6CB7">
            <w:pPr>
              <w:spacing w:before="120"/>
              <w:jc w:val="center"/>
              <w:rPr>
                <w:rFonts w:ascii="ITC Avant Garde" w:hAnsi="ITC Avant Garde" w:cs="Arial"/>
                <w:sz w:val="18"/>
                <w:szCs w:val="18"/>
              </w:rPr>
            </w:pPr>
            <w:r w:rsidRPr="00390B03">
              <w:rPr>
                <w:rFonts w:ascii="ITC Avant Garde" w:hAnsi="ITC Avant Garde" w:cs="Arial"/>
                <w:sz w:val="18"/>
                <w:szCs w:val="18"/>
              </w:rPr>
              <w:t>$4,865.94 M.N.</w:t>
            </w:r>
            <w:r w:rsidRPr="00390B03">
              <w:rPr>
                <w:rFonts w:ascii="ITC Avant Garde" w:hAnsi="ITC Avant Garde"/>
                <w:sz w:val="18"/>
                <w:szCs w:val="18"/>
              </w:rPr>
              <w:t xml:space="preserve"> </w:t>
            </w:r>
          </w:p>
        </w:tc>
      </w:tr>
    </w:tbl>
    <w:p w:rsidR="00390B03" w:rsidRDefault="00390B03" w:rsidP="005C782A">
      <w:pPr>
        <w:pStyle w:val="CondicionesFinales"/>
        <w:spacing w:before="240"/>
      </w:pPr>
      <w:r w:rsidRPr="00B17D04">
        <w:t>Por otra parte, en caso de que se requiera espacio adicional al considerado en la contraprestación anteriormente descrita, tendrá aplicación el siguiente esquema de cobro, la cual depende enteramente del gasto mensual total por metro cuadrado del área residual calculada</w:t>
      </w:r>
      <w:r w:rsidRPr="00B17D04">
        <w:rPr>
          <w:rStyle w:val="Refdenotaalpie"/>
        </w:rPr>
        <w:footnoteReference w:id="14"/>
      </w:r>
      <w:r w:rsidRPr="00B17D04">
        <w:t>:</w:t>
      </w:r>
    </w:p>
    <w:p w:rsidR="00483567" w:rsidRDefault="00483567" w:rsidP="00483567">
      <w:pPr>
        <w:pStyle w:val="CondicionesFinales"/>
        <w:spacing w:before="240"/>
        <w:jc w:val="center"/>
        <w:rPr>
          <w:color w:val="000000" w:themeColor="text1"/>
          <w:lang w:val="es-MX"/>
        </w:rPr>
      </w:pPr>
      <w:r w:rsidRPr="00390B03">
        <w:rPr>
          <w:b/>
          <w:sz w:val="18"/>
          <w:szCs w:val="18"/>
        </w:rPr>
        <w:t>Tipo de Espacio en Piso</w:t>
      </w:r>
    </w:p>
    <w:tbl>
      <w:tblPr>
        <w:tblStyle w:val="Tablaconcuadrcula2"/>
        <w:tblW w:w="8828" w:type="dxa"/>
        <w:jc w:val="center"/>
        <w:tblLook w:val="04A0" w:firstRow="1" w:lastRow="0" w:firstColumn="1" w:lastColumn="0" w:noHBand="0" w:noVBand="1"/>
        <w:tblCaption w:val="Tabla"/>
        <w:tblDescription w:val="Tipo de Espacio en Piso"/>
      </w:tblPr>
      <w:tblGrid>
        <w:gridCol w:w="1532"/>
        <w:gridCol w:w="1967"/>
        <w:gridCol w:w="1789"/>
        <w:gridCol w:w="1770"/>
        <w:gridCol w:w="1770"/>
      </w:tblGrid>
      <w:tr w:rsidR="00390B03" w:rsidRPr="00390B03" w:rsidTr="00483567">
        <w:trPr>
          <w:trHeight w:val="508"/>
          <w:tblHeader/>
          <w:jc w:val="center"/>
        </w:trPr>
        <w:tc>
          <w:tcPr>
            <w:tcW w:w="1532" w:type="dxa"/>
            <w:shd w:val="clear" w:color="auto" w:fill="E7E6E6"/>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Clasificación</w:t>
            </w:r>
          </w:p>
        </w:tc>
        <w:tc>
          <w:tcPr>
            <w:tcW w:w="1967" w:type="dxa"/>
            <w:shd w:val="clear" w:color="auto" w:fill="E7E6E6"/>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Unidad</w:t>
            </w:r>
          </w:p>
        </w:tc>
        <w:tc>
          <w:tcPr>
            <w:tcW w:w="1789" w:type="dxa"/>
            <w:shd w:val="clear" w:color="auto" w:fill="E7E6E6"/>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En Predio</w:t>
            </w:r>
          </w:p>
        </w:tc>
        <w:tc>
          <w:tcPr>
            <w:tcW w:w="1770" w:type="dxa"/>
            <w:shd w:val="clear" w:color="auto" w:fill="E7E6E6"/>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En Azotea</w:t>
            </w:r>
          </w:p>
        </w:tc>
        <w:tc>
          <w:tcPr>
            <w:tcW w:w="1770" w:type="dxa"/>
            <w:shd w:val="clear" w:color="auto" w:fill="E7E6E6"/>
          </w:tcPr>
          <w:p w:rsidR="00390B03" w:rsidRPr="00390B03" w:rsidRDefault="00390B03" w:rsidP="007C6CB7">
            <w:pPr>
              <w:spacing w:before="120"/>
              <w:jc w:val="center"/>
              <w:rPr>
                <w:rFonts w:ascii="ITC Avant Garde" w:hAnsi="ITC Avant Garde"/>
                <w:b/>
                <w:sz w:val="18"/>
                <w:szCs w:val="18"/>
              </w:rPr>
            </w:pPr>
            <w:r w:rsidRPr="00390B03">
              <w:rPr>
                <w:rFonts w:ascii="ITC Avant Garde" w:hAnsi="ITC Avant Garde"/>
                <w:b/>
                <w:sz w:val="18"/>
                <w:szCs w:val="18"/>
              </w:rPr>
              <w:t>En Caseta</w:t>
            </w:r>
          </w:p>
        </w:tc>
      </w:tr>
      <w:tr w:rsidR="00390B03" w:rsidRPr="00390B03" w:rsidTr="007C6CB7">
        <w:trPr>
          <w:trHeight w:val="321"/>
          <w:jc w:val="center"/>
        </w:trPr>
        <w:tc>
          <w:tcPr>
            <w:tcW w:w="1532"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7 y 6</w:t>
            </w:r>
          </w:p>
        </w:tc>
        <w:tc>
          <w:tcPr>
            <w:tcW w:w="1967"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xml:space="preserve">MXN / </w:t>
            </w:r>
            <w:r w:rsidR="00912796">
              <w:rPr>
                <w:rFonts w:ascii="ITC Avant Garde" w:hAnsi="ITC Avant Garde"/>
                <w:sz w:val="18"/>
                <w:szCs w:val="18"/>
              </w:rPr>
              <w:t>m</w:t>
            </w:r>
            <w:r w:rsidR="00912796" w:rsidRPr="00912796">
              <w:rPr>
                <w:rFonts w:ascii="ITC Avant Garde" w:hAnsi="ITC Avant Garde"/>
                <w:sz w:val="18"/>
                <w:szCs w:val="18"/>
                <w:vertAlign w:val="superscript"/>
              </w:rPr>
              <w:t>2</w:t>
            </w:r>
            <w:r w:rsidR="00912796">
              <w:rPr>
                <w:rFonts w:ascii="ITC Avant Garde" w:hAnsi="ITC Avant Garde"/>
                <w:sz w:val="18"/>
                <w:szCs w:val="18"/>
              </w:rPr>
              <w:t xml:space="preserve"> / </w:t>
            </w:r>
            <w:r w:rsidRPr="00390B03">
              <w:rPr>
                <w:rFonts w:ascii="ITC Avant Garde" w:hAnsi="ITC Avant Garde"/>
                <w:sz w:val="18"/>
                <w:szCs w:val="18"/>
              </w:rPr>
              <w:t xml:space="preserve">Mes </w:t>
            </w:r>
          </w:p>
        </w:tc>
        <w:tc>
          <w:tcPr>
            <w:tcW w:w="1789"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$156.93 M.N.</w:t>
            </w:r>
          </w:p>
        </w:tc>
        <w:tc>
          <w:tcPr>
            <w:tcW w:w="1770"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$207.09 M.N.</w:t>
            </w:r>
          </w:p>
        </w:tc>
        <w:tc>
          <w:tcPr>
            <w:tcW w:w="1770"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$281.65 M.N.</w:t>
            </w:r>
          </w:p>
        </w:tc>
      </w:tr>
      <w:tr w:rsidR="00390B03" w:rsidRPr="00390B03" w:rsidTr="007C6CB7">
        <w:trPr>
          <w:trHeight w:val="331"/>
          <w:jc w:val="center"/>
        </w:trPr>
        <w:tc>
          <w:tcPr>
            <w:tcW w:w="1532"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5</w:t>
            </w:r>
          </w:p>
        </w:tc>
        <w:tc>
          <w:tcPr>
            <w:tcW w:w="1967"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xml:space="preserve">MXN / </w:t>
            </w:r>
            <w:r w:rsidR="00912796">
              <w:rPr>
                <w:rFonts w:ascii="ITC Avant Garde" w:hAnsi="ITC Avant Garde"/>
                <w:sz w:val="18"/>
                <w:szCs w:val="18"/>
              </w:rPr>
              <w:t>m</w:t>
            </w:r>
            <w:r w:rsidR="00912796" w:rsidRPr="00912796">
              <w:rPr>
                <w:rFonts w:ascii="ITC Avant Garde" w:hAnsi="ITC Avant Garde"/>
                <w:sz w:val="18"/>
                <w:szCs w:val="18"/>
                <w:vertAlign w:val="superscript"/>
              </w:rPr>
              <w:t>2</w:t>
            </w:r>
            <w:r w:rsidR="00912796">
              <w:rPr>
                <w:rFonts w:ascii="ITC Avant Garde" w:hAnsi="ITC Avant Garde"/>
                <w:sz w:val="18"/>
                <w:szCs w:val="18"/>
              </w:rPr>
              <w:t xml:space="preserve"> /</w:t>
            </w:r>
            <w:r w:rsidRPr="00390B03">
              <w:rPr>
                <w:rFonts w:ascii="ITC Avant Garde" w:hAnsi="ITC Avant Garde"/>
                <w:sz w:val="18"/>
                <w:szCs w:val="18"/>
              </w:rPr>
              <w:t xml:space="preserve">Mes </w:t>
            </w:r>
          </w:p>
        </w:tc>
        <w:tc>
          <w:tcPr>
            <w:tcW w:w="1789"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$87.31 M.N.</w:t>
            </w:r>
          </w:p>
        </w:tc>
        <w:tc>
          <w:tcPr>
            <w:tcW w:w="1770"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$137.47 M.N.</w:t>
            </w:r>
          </w:p>
        </w:tc>
        <w:tc>
          <w:tcPr>
            <w:tcW w:w="1770"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$168.24 M.N.</w:t>
            </w:r>
          </w:p>
        </w:tc>
      </w:tr>
      <w:tr w:rsidR="00390B03" w:rsidRPr="00390B03" w:rsidTr="007C6CB7">
        <w:trPr>
          <w:trHeight w:val="321"/>
          <w:jc w:val="center"/>
        </w:trPr>
        <w:tc>
          <w:tcPr>
            <w:tcW w:w="1532"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4</w:t>
            </w:r>
          </w:p>
        </w:tc>
        <w:tc>
          <w:tcPr>
            <w:tcW w:w="1967"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xml:space="preserve">MXN / </w:t>
            </w:r>
            <w:r w:rsidR="00912796">
              <w:rPr>
                <w:rFonts w:ascii="ITC Avant Garde" w:hAnsi="ITC Avant Garde"/>
                <w:sz w:val="18"/>
                <w:szCs w:val="18"/>
              </w:rPr>
              <w:t>m</w:t>
            </w:r>
            <w:r w:rsidR="00912796" w:rsidRPr="00912796">
              <w:rPr>
                <w:rFonts w:ascii="ITC Avant Garde" w:hAnsi="ITC Avant Garde"/>
                <w:sz w:val="18"/>
                <w:szCs w:val="18"/>
                <w:vertAlign w:val="superscript"/>
              </w:rPr>
              <w:t>2</w:t>
            </w:r>
            <w:r w:rsidR="00912796">
              <w:rPr>
                <w:rFonts w:ascii="ITC Avant Garde" w:hAnsi="ITC Avant Garde"/>
                <w:sz w:val="18"/>
                <w:szCs w:val="18"/>
              </w:rPr>
              <w:t xml:space="preserve"> /</w:t>
            </w:r>
            <w:r w:rsidRPr="00390B03">
              <w:rPr>
                <w:rFonts w:ascii="ITC Avant Garde" w:hAnsi="ITC Avant Garde"/>
                <w:sz w:val="18"/>
                <w:szCs w:val="18"/>
              </w:rPr>
              <w:t xml:space="preserve">Mes </w:t>
            </w:r>
          </w:p>
        </w:tc>
        <w:tc>
          <w:tcPr>
            <w:tcW w:w="1789"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$30.15 M.N.</w:t>
            </w:r>
          </w:p>
        </w:tc>
        <w:tc>
          <w:tcPr>
            <w:tcW w:w="1770"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$80.45 M.N.</w:t>
            </w:r>
          </w:p>
        </w:tc>
        <w:tc>
          <w:tcPr>
            <w:tcW w:w="1770"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$99.09 M.N.</w:t>
            </w:r>
          </w:p>
        </w:tc>
      </w:tr>
      <w:tr w:rsidR="00390B03" w:rsidRPr="00390B03" w:rsidTr="007C6CB7">
        <w:trPr>
          <w:trHeight w:val="331"/>
          <w:jc w:val="center"/>
        </w:trPr>
        <w:tc>
          <w:tcPr>
            <w:tcW w:w="1532"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1, 2 y 3</w:t>
            </w:r>
          </w:p>
        </w:tc>
        <w:tc>
          <w:tcPr>
            <w:tcW w:w="1967"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xml:space="preserve">MXN / </w:t>
            </w:r>
            <w:r w:rsidR="00912796">
              <w:rPr>
                <w:rFonts w:ascii="ITC Avant Garde" w:hAnsi="ITC Avant Garde"/>
                <w:sz w:val="18"/>
                <w:szCs w:val="18"/>
              </w:rPr>
              <w:t>m</w:t>
            </w:r>
            <w:r w:rsidR="00912796" w:rsidRPr="00912796">
              <w:rPr>
                <w:rFonts w:ascii="ITC Avant Garde" w:hAnsi="ITC Avant Garde"/>
                <w:sz w:val="18"/>
                <w:szCs w:val="18"/>
                <w:vertAlign w:val="superscript"/>
              </w:rPr>
              <w:t>2</w:t>
            </w:r>
            <w:r w:rsidR="00912796">
              <w:rPr>
                <w:rFonts w:ascii="ITC Avant Garde" w:hAnsi="ITC Avant Garde"/>
                <w:sz w:val="18"/>
                <w:szCs w:val="18"/>
              </w:rPr>
              <w:t xml:space="preserve"> /</w:t>
            </w:r>
            <w:r w:rsidRPr="00390B03">
              <w:rPr>
                <w:rFonts w:ascii="ITC Avant Garde" w:hAnsi="ITC Avant Garde"/>
                <w:sz w:val="18"/>
                <w:szCs w:val="18"/>
              </w:rPr>
              <w:t xml:space="preserve">Mes </w:t>
            </w:r>
          </w:p>
        </w:tc>
        <w:tc>
          <w:tcPr>
            <w:tcW w:w="1789"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$5.50 M.N.</w:t>
            </w:r>
          </w:p>
        </w:tc>
        <w:tc>
          <w:tcPr>
            <w:tcW w:w="1770"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$55.56 M.N.</w:t>
            </w:r>
          </w:p>
        </w:tc>
        <w:tc>
          <w:tcPr>
            <w:tcW w:w="1770"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$33.26 M.N.</w:t>
            </w:r>
          </w:p>
        </w:tc>
      </w:tr>
      <w:tr w:rsidR="00390B03" w:rsidRPr="00390B03" w:rsidTr="007C6CB7">
        <w:trPr>
          <w:trHeight w:val="321"/>
          <w:jc w:val="center"/>
        </w:trPr>
        <w:tc>
          <w:tcPr>
            <w:tcW w:w="1532"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Industrial</w:t>
            </w:r>
            <w:r w:rsidRPr="00390B03">
              <w:rPr>
                <w:rStyle w:val="Refdenotaalpie"/>
                <w:sz w:val="18"/>
                <w:szCs w:val="18"/>
              </w:rPr>
              <w:footnoteReference w:id="15"/>
            </w:r>
          </w:p>
        </w:tc>
        <w:tc>
          <w:tcPr>
            <w:tcW w:w="1967"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sz w:val="18"/>
                <w:szCs w:val="18"/>
              </w:rPr>
              <w:t xml:space="preserve">MXN / </w:t>
            </w:r>
            <w:r w:rsidR="00912796">
              <w:rPr>
                <w:rFonts w:ascii="ITC Avant Garde" w:hAnsi="ITC Avant Garde"/>
                <w:sz w:val="18"/>
                <w:szCs w:val="18"/>
              </w:rPr>
              <w:t>m</w:t>
            </w:r>
            <w:r w:rsidR="00912796" w:rsidRPr="00912796">
              <w:rPr>
                <w:rFonts w:ascii="ITC Avant Garde" w:hAnsi="ITC Avant Garde"/>
                <w:sz w:val="18"/>
                <w:szCs w:val="18"/>
                <w:vertAlign w:val="superscript"/>
              </w:rPr>
              <w:t>2</w:t>
            </w:r>
            <w:r w:rsidR="00912796">
              <w:rPr>
                <w:rFonts w:ascii="ITC Avant Garde" w:hAnsi="ITC Avant Garde"/>
                <w:sz w:val="18"/>
                <w:szCs w:val="18"/>
              </w:rPr>
              <w:t xml:space="preserve"> /</w:t>
            </w:r>
            <w:r w:rsidRPr="00390B03">
              <w:rPr>
                <w:rFonts w:ascii="ITC Avant Garde" w:hAnsi="ITC Avant Garde"/>
                <w:sz w:val="18"/>
                <w:szCs w:val="18"/>
              </w:rPr>
              <w:t xml:space="preserve">Mes </w:t>
            </w:r>
          </w:p>
        </w:tc>
        <w:tc>
          <w:tcPr>
            <w:tcW w:w="1789" w:type="dxa"/>
            <w:shd w:val="clear" w:color="auto" w:fill="auto"/>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$39.80 M.N.</w:t>
            </w:r>
          </w:p>
        </w:tc>
        <w:tc>
          <w:tcPr>
            <w:tcW w:w="1770"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$89.97 M.N.</w:t>
            </w:r>
          </w:p>
        </w:tc>
        <w:tc>
          <w:tcPr>
            <w:tcW w:w="1770" w:type="dxa"/>
          </w:tcPr>
          <w:p w:rsidR="00390B03" w:rsidRPr="00390B03" w:rsidRDefault="00390B03" w:rsidP="007C6CB7">
            <w:pPr>
              <w:spacing w:before="120"/>
              <w:jc w:val="center"/>
              <w:rPr>
                <w:rFonts w:ascii="ITC Avant Garde" w:hAnsi="ITC Avant Garde"/>
                <w:sz w:val="18"/>
                <w:szCs w:val="18"/>
              </w:rPr>
            </w:pPr>
            <w:r w:rsidRPr="00390B03">
              <w:rPr>
                <w:rFonts w:ascii="ITC Avant Garde" w:hAnsi="ITC Avant Garde" w:cs="Arial"/>
                <w:sz w:val="18"/>
                <w:szCs w:val="18"/>
              </w:rPr>
              <w:t>$178.97 M.N.</w:t>
            </w:r>
          </w:p>
        </w:tc>
      </w:tr>
    </w:tbl>
    <w:p w:rsidR="00390B03" w:rsidRDefault="00390B03" w:rsidP="00390B03">
      <w:pPr>
        <w:pStyle w:val="CondicionesFinales"/>
        <w:ind w:left="0" w:right="49"/>
        <w:rPr>
          <w:color w:val="000000" w:themeColor="text1"/>
          <w:lang w:val="es-MX"/>
        </w:rPr>
      </w:pPr>
    </w:p>
    <w:p w:rsidR="00390B03" w:rsidRDefault="00390B03" w:rsidP="00235C21">
      <w:pPr>
        <w:pStyle w:val="CondicionesFinales"/>
        <w:rPr>
          <w:color w:val="000000" w:themeColor="text1"/>
        </w:rPr>
      </w:pPr>
      <w:r w:rsidRPr="00C432AD">
        <w:t xml:space="preserve">En caso que el AEP no sea propietario, el </w:t>
      </w:r>
      <w:r w:rsidRPr="00A23788">
        <w:rPr>
          <w:color w:val="000000" w:themeColor="text1"/>
        </w:rPr>
        <w:t>Concesionario Solicitante</w:t>
      </w:r>
      <w:r w:rsidRPr="00C432AD">
        <w:rPr>
          <w:color w:val="000000" w:themeColor="text1"/>
        </w:rPr>
        <w:t xml:space="preserve"> deberá cubrir las cantidades mensuales pro-rata que resulten dependiendo del monto que </w:t>
      </w:r>
      <w:r w:rsidR="001C17D3">
        <w:rPr>
          <w:color w:val="000000" w:themeColor="text1"/>
        </w:rPr>
        <w:t>Telnor</w:t>
      </w:r>
      <w:r w:rsidRPr="00C432AD">
        <w:rPr>
          <w:color w:val="000000" w:themeColor="text1"/>
        </w:rPr>
        <w:t xml:space="preserve"> deba pagar conforme a lo pactado en cada uno de los Títulos de Ocupación.</w:t>
      </w:r>
    </w:p>
    <w:p w:rsidR="00390B03" w:rsidRPr="006326DC" w:rsidRDefault="00390B03" w:rsidP="00237A9D">
      <w:pPr>
        <w:pStyle w:val="Texto"/>
        <w:spacing w:before="240" w:after="200" w:line="276" w:lineRule="auto"/>
        <w:ind w:left="3" w:firstLine="1"/>
        <w:rPr>
          <w:rFonts w:ascii="ITC Avant Garde" w:hAnsi="ITC Avant Garde"/>
          <w:b/>
          <w:sz w:val="22"/>
          <w:szCs w:val="22"/>
          <w:u w:val="single"/>
        </w:rPr>
      </w:pPr>
      <w:r w:rsidRPr="006326DC">
        <w:rPr>
          <w:rFonts w:ascii="ITC Avant Garde" w:hAnsi="ITC Avant Garde"/>
          <w:b/>
          <w:sz w:val="22"/>
          <w:szCs w:val="22"/>
          <w:u w:val="single"/>
        </w:rPr>
        <w:t>Otros elementos disponibles</w:t>
      </w:r>
    </w:p>
    <w:p w:rsidR="00390B03" w:rsidRPr="00B17D04" w:rsidRDefault="00390B03" w:rsidP="00390B03">
      <w:pPr>
        <w:pStyle w:val="IFTnormal"/>
        <w:spacing w:before="240"/>
        <w:ind w:left="720"/>
        <w:rPr>
          <w:b/>
        </w:rPr>
      </w:pPr>
      <w:r w:rsidRPr="00A41DFE">
        <w:rPr>
          <w:b/>
        </w:rPr>
        <w:t>Servicio de Aire Acondicionado</w:t>
      </w:r>
    </w:p>
    <w:p w:rsidR="00390B03" w:rsidRPr="00B17D04" w:rsidRDefault="00390B03" w:rsidP="00235C21">
      <w:pPr>
        <w:pStyle w:val="CondicionesFinales"/>
      </w:pPr>
      <w:r>
        <w:t xml:space="preserve">De existir Capacidad Excedente, por la utilización de equipos de aire acondicionado, la </w:t>
      </w:r>
      <w:r w:rsidRPr="00B17D04">
        <w:t xml:space="preserve">tarifa para el servicio de aire acondicionado será calculada en función de la capacidad requerida por los Concesionarios Solicitantes para enfriar sus equipos, así como del uso proporcional de la energía eléctrica utilizada por los equipos </w:t>
      </w:r>
      <w:r w:rsidR="001C17D3">
        <w:t>Telnor</w:t>
      </w:r>
      <w:r w:rsidRPr="00B17D04">
        <w:t xml:space="preserve"> para la provisión del servicio de aire acondicionado. En este caso, el aire acondicionado necesario que solicite el Concesionario Solicitante al Agente Económico Preponderante deberá considerarse en unidades medidas en BTU/h (“british thermal unit” por hora)</w:t>
      </w:r>
      <w:r w:rsidRPr="00B17D04">
        <w:rPr>
          <w:rStyle w:val="Refdecomentario"/>
        </w:rPr>
        <w:t xml:space="preserve"> </w:t>
      </w:r>
      <w:r w:rsidRPr="00B17D04">
        <w:t xml:space="preserve">dependiendo de los BTU/h asociados a cada uno de los equipos del Concesionario Solicitante. </w:t>
      </w:r>
    </w:p>
    <w:p w:rsidR="00390B03" w:rsidRPr="00B17D04" w:rsidRDefault="00390B03" w:rsidP="00390B03">
      <w:pPr>
        <w:pStyle w:val="IFTnormal"/>
      </w:pPr>
      <m:oMathPara>
        <m:oMath>
          <m:r>
            <w:rPr>
              <w:rFonts w:ascii="Cambria Math" w:hAnsi="Cambria Math"/>
            </w:rPr>
            <m:t>Tarifa mensual de AC=Tarifa por tonelada de AC+Valor del uso de energía para AC</m:t>
          </m:r>
        </m:oMath>
      </m:oMathPara>
    </w:p>
    <w:p w:rsidR="00390B03" w:rsidRPr="00B17D04" w:rsidRDefault="00390B03" w:rsidP="00235C21">
      <w:pPr>
        <w:pStyle w:val="CondicionesFinales"/>
      </w:pPr>
      <w:r w:rsidRPr="00B17D04">
        <w:t>La tarifa por tonelada de AC se calcula como:</w:t>
      </w:r>
    </w:p>
    <w:p w:rsidR="00390B03" w:rsidRPr="00B17D04" w:rsidRDefault="00390B03" w:rsidP="00390B03">
      <w:pPr>
        <w:pStyle w:val="IFTnormal"/>
      </w:pPr>
      <m:oMathPara>
        <m:oMath>
          <m:r>
            <w:rPr>
              <w:rFonts w:ascii="Cambria Math" w:hAnsi="Cambria Math"/>
            </w:rPr>
            <m:t>Tarifa por tonelada de AC=</m:t>
          </m:r>
          <m:f>
            <m:fPr>
              <m:ctrlPr>
                <w:rPr>
                  <w:rFonts w:ascii="Cambria Math" w:hAnsi="Cambria Math"/>
                  <w:i/>
                </w:rPr>
              </m:ctrlPr>
            </m:fPr>
            <m:num>
              <m:sSub>
                <m:sSubPr>
                  <m:ctrlPr>
                    <w:rPr>
                      <w:rFonts w:ascii="Cambria Math" w:hAnsi="Cambria Math"/>
                      <w:i/>
                    </w:rPr>
                  </m:ctrlPr>
                </m:sSubPr>
                <m:e>
                  <m:r>
                    <w:rPr>
                      <w:rFonts w:ascii="Cambria Math" w:hAnsi="Cambria Math"/>
                    </w:rPr>
                    <m:t>AC</m:t>
                  </m:r>
                </m:e>
                <m:sub>
                  <m:r>
                    <w:rPr>
                      <w:rFonts w:ascii="Cambria Math" w:hAnsi="Cambria Math"/>
                    </w:rPr>
                    <m:t>del CS</m:t>
                  </m:r>
                </m:sub>
              </m:sSub>
            </m:num>
            <m:den>
              <m:r>
                <w:rPr>
                  <w:rFonts w:ascii="Cambria Math" w:hAnsi="Cambria Math"/>
                </w:rPr>
                <m:t>12,000</m:t>
              </m:r>
              <m:f>
                <m:fPr>
                  <m:type m:val="lin"/>
                  <m:ctrlPr>
                    <w:rPr>
                      <w:rFonts w:ascii="Cambria Math" w:hAnsi="Cambria Math"/>
                      <w:i/>
                    </w:rPr>
                  </m:ctrlPr>
                </m:fPr>
                <m:num>
                  <m:r>
                    <w:rPr>
                      <w:rFonts w:ascii="Cambria Math" w:hAnsi="Cambria Math"/>
                    </w:rPr>
                    <m:t>BTU</m:t>
                  </m:r>
                </m:num>
                <m:den>
                  <m:r>
                    <w:rPr>
                      <w:rFonts w:ascii="Cambria Math" w:hAnsi="Cambria Math"/>
                    </w:rPr>
                    <m:t>h</m:t>
                  </m:r>
                </m:den>
              </m:f>
            </m:den>
          </m:f>
          <m:r>
            <w:rPr>
              <w:rFonts w:ascii="Cambria Math" w:hAnsi="Cambria Math"/>
            </w:rPr>
            <m:t>×$18,980.37 M.N.</m:t>
          </m:r>
        </m:oMath>
      </m:oMathPara>
    </w:p>
    <w:p w:rsidR="00390B03" w:rsidRPr="00B17D04" w:rsidRDefault="00390B03" w:rsidP="00235C21">
      <w:pPr>
        <w:pStyle w:val="CondicionesFinales"/>
      </w:pPr>
      <w:r w:rsidRPr="00B17D04">
        <w:t xml:space="preserve">Donde: </w:t>
      </w:r>
    </w:p>
    <w:p w:rsidR="00390B03" w:rsidRPr="00390B03" w:rsidRDefault="002C04D7">
      <w:pPr>
        <w:pStyle w:val="CondicionesFinales"/>
      </w:pPr>
      <m:oMath>
        <m:sSub>
          <m:sSubPr>
            <m:ctrlPr>
              <w:rPr>
                <w:rFonts w:ascii="Cambria Math" w:hAnsi="Cambria Math"/>
              </w:rPr>
            </m:ctrlPr>
          </m:sSubPr>
          <m:e>
            <m:r>
              <m:rPr>
                <m:sty m:val="bi"/>
              </m:rPr>
              <w:rPr>
                <w:rFonts w:ascii="Cambria Math" w:hAnsi="Cambria Math"/>
              </w:rPr>
              <m:t>AC</m:t>
            </m:r>
          </m:e>
          <m:sub>
            <m:r>
              <m:rPr>
                <m:sty m:val="bi"/>
              </m:rPr>
              <w:rPr>
                <w:rFonts w:ascii="Cambria Math" w:hAnsi="Cambria Math"/>
              </w:rPr>
              <m:t>del</m:t>
            </m:r>
            <m:r>
              <m:rPr>
                <m:sty m:val="p"/>
              </m:rPr>
              <w:rPr>
                <w:rFonts w:ascii="Cambria Math" w:hAnsi="Cambria Math"/>
              </w:rPr>
              <m:t xml:space="preserve"> </m:t>
            </m:r>
            <m:r>
              <m:rPr>
                <m:sty m:val="bi"/>
              </m:rPr>
              <w:rPr>
                <w:rFonts w:ascii="Cambria Math" w:hAnsi="Cambria Math"/>
              </w:rPr>
              <m:t>CS</m:t>
            </m:r>
          </m:sub>
        </m:sSub>
      </m:oMath>
      <w:r w:rsidR="00390B03" w:rsidRPr="00B17D04">
        <w:t xml:space="preserve">, se refiere a la cantidad de BTU/h asociados a todos los equipos del </w:t>
      </w:r>
      <w:r w:rsidR="00390B03" w:rsidRPr="00390B03">
        <w:t>C</w:t>
      </w:r>
      <w:r w:rsidR="00390B03" w:rsidRPr="00B17D04">
        <w:t xml:space="preserve">oncesionario </w:t>
      </w:r>
      <w:r w:rsidR="00390B03" w:rsidRPr="00390B03">
        <w:t>S</w:t>
      </w:r>
      <w:r w:rsidR="00390B03" w:rsidRPr="00B17D04">
        <w:t>olicitante.</w:t>
      </w:r>
    </w:p>
    <w:p w:rsidR="00390B03" w:rsidRPr="00390B03" w:rsidRDefault="00390B03">
      <w:pPr>
        <w:pStyle w:val="CondicionesFinales"/>
      </w:pPr>
      <m:oMath>
        <m:r>
          <m:rPr>
            <m:sty m:val="b"/>
          </m:rPr>
          <w:rPr>
            <w:rFonts w:ascii="Cambria Math" w:hAnsi="Cambria Math"/>
          </w:rPr>
          <m:t>12</m:t>
        </m:r>
        <m:r>
          <m:rPr>
            <m:sty m:val="p"/>
          </m:rPr>
          <w:rPr>
            <w:rFonts w:ascii="Cambria Math" w:hAnsi="Cambria Math"/>
          </w:rPr>
          <m:t>,</m:t>
        </m:r>
        <m:r>
          <m:rPr>
            <m:sty m:val="b"/>
          </m:rPr>
          <w:rPr>
            <w:rFonts w:ascii="Cambria Math" w:hAnsi="Cambria Math"/>
          </w:rPr>
          <m:t>000</m:t>
        </m:r>
        <m:r>
          <m:rPr>
            <m:sty m:val="p"/>
          </m:rPr>
          <w:rPr>
            <w:rFonts w:ascii="Cambria Math" w:hAnsi="Cambria Math"/>
          </w:rPr>
          <m:t xml:space="preserve"> </m:t>
        </m:r>
        <m:r>
          <m:rPr>
            <m:sty m:val="bi"/>
          </m:rPr>
          <w:rPr>
            <w:rFonts w:ascii="Cambria Math" w:hAnsi="Cambria Math"/>
          </w:rPr>
          <m:t>BTU</m:t>
        </m:r>
        <m:r>
          <m:rPr>
            <m:sty m:val="p"/>
          </m:rPr>
          <w:rPr>
            <w:rFonts w:ascii="Cambria Math" w:hAnsi="Cambria Math"/>
          </w:rPr>
          <m:t>/</m:t>
        </m:r>
        <m:r>
          <m:rPr>
            <m:sty m:val="bi"/>
          </m:rPr>
          <w:rPr>
            <w:rFonts w:ascii="Cambria Math" w:hAnsi="Cambria Math"/>
          </w:rPr>
          <m:t>h</m:t>
        </m:r>
      </m:oMath>
      <w:r w:rsidRPr="00B17D04">
        <w:t>, refiere a una tonelada de refrigeración en términos de BTU/h.</w:t>
      </w:r>
    </w:p>
    <w:p w:rsidR="00390B03" w:rsidRPr="00390B03" w:rsidRDefault="00390B03">
      <w:pPr>
        <w:pStyle w:val="CondicionesFinales"/>
      </w:pPr>
      <m:oMath>
        <m:r>
          <m:rPr>
            <m:sty m:val="p"/>
          </m:rPr>
          <w:rPr>
            <w:rFonts w:ascii="Cambria Math" w:hAnsi="Cambria Math"/>
          </w:rPr>
          <m:t>$</m:t>
        </m:r>
        <m:r>
          <m:rPr>
            <m:sty m:val="b"/>
          </m:rPr>
          <w:rPr>
            <w:rFonts w:ascii="Cambria Math" w:hAnsi="Cambria Math"/>
          </w:rPr>
          <m:t>18</m:t>
        </m:r>
        <m:r>
          <m:rPr>
            <m:sty m:val="p"/>
          </m:rPr>
          <w:rPr>
            <w:rFonts w:ascii="Cambria Math" w:hAnsi="Cambria Math"/>
          </w:rPr>
          <m:t>,</m:t>
        </m:r>
        <m:r>
          <m:rPr>
            <m:sty m:val="b"/>
          </m:rPr>
          <w:rPr>
            <w:rFonts w:ascii="Cambria Math" w:hAnsi="Cambria Math"/>
          </w:rPr>
          <m:t>980</m:t>
        </m:r>
        <m:r>
          <m:rPr>
            <m:sty m:val="p"/>
          </m:rPr>
          <w:rPr>
            <w:rFonts w:ascii="Cambria Math" w:hAnsi="Cambria Math"/>
          </w:rPr>
          <m:t>.</m:t>
        </m:r>
        <m:r>
          <m:rPr>
            <m:sty m:val="b"/>
          </m:rPr>
          <w:rPr>
            <w:rFonts w:ascii="Cambria Math" w:hAnsi="Cambria Math"/>
          </w:rPr>
          <m:t>37</m:t>
        </m:r>
        <m:r>
          <m:rPr>
            <m:sty m:val="p"/>
          </m:rPr>
          <w:rPr>
            <w:rFonts w:ascii="Cambria Math" w:hAnsi="Cambria Math"/>
          </w:rPr>
          <m:t xml:space="preserve"> </m:t>
        </m:r>
        <m:r>
          <m:rPr>
            <m:sty m:val="bi"/>
          </m:rPr>
          <w:rPr>
            <w:rFonts w:ascii="Cambria Math" w:hAnsi="Cambria Math"/>
          </w:rPr>
          <m:t>M</m:t>
        </m:r>
        <m:r>
          <m:rPr>
            <m:sty m:val="p"/>
          </m:rPr>
          <w:rPr>
            <w:rFonts w:ascii="Cambria Math" w:hAnsi="Cambria Math"/>
          </w:rPr>
          <m:t>.</m:t>
        </m:r>
        <m:r>
          <m:rPr>
            <m:sty m:val="bi"/>
          </m:rPr>
          <w:rPr>
            <w:rFonts w:ascii="Cambria Math" w:hAnsi="Cambria Math"/>
          </w:rPr>
          <m:t>N</m:t>
        </m:r>
        <m:r>
          <m:rPr>
            <m:sty m:val="p"/>
          </m:rPr>
          <w:rPr>
            <w:rFonts w:ascii="Cambria Math" w:hAnsi="Cambria Math"/>
          </w:rPr>
          <m:t>.</m:t>
        </m:r>
      </m:oMath>
      <w:r w:rsidRPr="00B17D04">
        <w:t xml:space="preserve">, corresponde al CAPEX y OPEX mensual en pesos por tonelada del equipo para refrigeración. </w:t>
      </w:r>
    </w:p>
    <w:p w:rsidR="00390B03" w:rsidRPr="00B17D04" w:rsidRDefault="00390B03">
      <w:pPr>
        <w:pStyle w:val="CondicionesFinales"/>
      </w:pPr>
      <w:r w:rsidRPr="00B17D04">
        <w:lastRenderedPageBreak/>
        <w:t>El valor del uso de energía para AC se calcula con base en el monto de consumo mensual eléctrico del equipo de aire acondicionado, multiplicado por la proporción de consumo de refrigeración que utiliza el Concesionario Solicitante respecto a cada tonelada de refrigeración:</w:t>
      </w:r>
    </w:p>
    <w:p w:rsidR="00390B03" w:rsidRPr="00B17D04" w:rsidRDefault="00390B03" w:rsidP="00390B03">
      <w:pPr>
        <w:pStyle w:val="IFTnormal"/>
      </w:pPr>
      <m:oMathPara>
        <m:oMath>
          <m:r>
            <w:rPr>
              <w:rFonts w:ascii="Cambria Math" w:hAnsi="Cambria Math"/>
            </w:rPr>
            <m:t>Valor del uso de energía para AC=</m:t>
          </m:r>
          <m:f>
            <m:fPr>
              <m:ctrlPr>
                <w:rPr>
                  <w:rFonts w:ascii="Cambria Math" w:hAnsi="Cambria Math"/>
                  <w:i/>
                </w:rPr>
              </m:ctrlPr>
            </m:fPr>
            <m:num>
              <m:sSub>
                <m:sSubPr>
                  <m:ctrlPr>
                    <w:rPr>
                      <w:rFonts w:ascii="Cambria Math" w:hAnsi="Cambria Math"/>
                      <w:i/>
                    </w:rPr>
                  </m:ctrlPr>
                </m:sSubPr>
                <m:e>
                  <m:r>
                    <w:rPr>
                      <w:rFonts w:ascii="Cambria Math" w:hAnsi="Cambria Math"/>
                    </w:rPr>
                    <m:t>AC</m:t>
                  </m:r>
                </m:e>
                <m:sub>
                  <m:r>
                    <w:rPr>
                      <w:rFonts w:ascii="Cambria Math" w:hAnsi="Cambria Math"/>
                    </w:rPr>
                    <m:t>del CS</m:t>
                  </m:r>
                </m:sub>
              </m:sSub>
            </m:num>
            <m:den>
              <m:r>
                <w:rPr>
                  <w:rFonts w:ascii="Cambria Math" w:hAnsi="Cambria Math"/>
                </w:rPr>
                <m:t>12,000</m:t>
              </m:r>
              <m:f>
                <m:fPr>
                  <m:type m:val="lin"/>
                  <m:ctrlPr>
                    <w:rPr>
                      <w:rFonts w:ascii="Cambria Math" w:hAnsi="Cambria Math"/>
                      <w:i/>
                    </w:rPr>
                  </m:ctrlPr>
                </m:fPr>
                <m:num>
                  <m:r>
                    <w:rPr>
                      <w:rFonts w:ascii="Cambria Math" w:hAnsi="Cambria Math"/>
                    </w:rPr>
                    <m:t>BTU</m:t>
                  </m:r>
                </m:num>
                <m:den>
                  <m:r>
                    <w:rPr>
                      <w:rFonts w:ascii="Cambria Math" w:hAnsi="Cambria Math"/>
                    </w:rPr>
                    <m:t>h</m:t>
                  </m:r>
                </m:den>
              </m:f>
            </m:den>
          </m:f>
          <m:r>
            <w:rPr>
              <w:rFonts w:ascii="Cambria Math" w:hAnsi="Cambria Math"/>
            </w:rPr>
            <m:t>×CE</m:t>
          </m:r>
        </m:oMath>
      </m:oMathPara>
    </w:p>
    <w:p w:rsidR="00390B03" w:rsidRPr="00B17D04" w:rsidRDefault="00390B03" w:rsidP="00235C21">
      <w:pPr>
        <w:pStyle w:val="CondicionesFinales"/>
      </w:pPr>
      <w:r w:rsidRPr="00B17D04">
        <w:t>Donde:</w:t>
      </w:r>
    </w:p>
    <w:p w:rsidR="00390B03" w:rsidRPr="00B17D04" w:rsidRDefault="00390B03">
      <w:pPr>
        <w:pStyle w:val="CondicionesFinales"/>
      </w:pPr>
      <m:oMath>
        <m:r>
          <m:rPr>
            <m:sty m:val="bi"/>
          </m:rPr>
          <w:rPr>
            <w:rFonts w:ascii="Cambria Math" w:hAnsi="Cambria Math"/>
          </w:rPr>
          <m:t>CE</m:t>
        </m:r>
      </m:oMath>
      <w:r w:rsidRPr="00B17D04">
        <w:t>, se refiere al costo de energía mensual por el uso del aire acondicionado.</w:t>
      </w:r>
    </w:p>
    <w:p w:rsidR="00390B03" w:rsidRPr="00CC3D14" w:rsidDel="006326DC" w:rsidRDefault="00390B03" w:rsidP="00390B03">
      <w:pPr>
        <w:pStyle w:val="IFTnormal"/>
        <w:spacing w:before="240"/>
        <w:rPr>
          <w:b/>
          <w:u w:val="single"/>
        </w:rPr>
      </w:pPr>
      <w:r w:rsidRPr="00CC3D14">
        <w:rPr>
          <w:b/>
          <w:u w:val="single"/>
        </w:rPr>
        <w:t>Fuentes de Energía</w:t>
      </w:r>
    </w:p>
    <w:p w:rsidR="00390B03" w:rsidRPr="00390B03" w:rsidRDefault="00390B03" w:rsidP="00235C21">
      <w:pPr>
        <w:pStyle w:val="CondicionesFinales"/>
      </w:pPr>
      <w:r w:rsidRPr="00390B03">
        <w:t xml:space="preserve">De existir Capacidad Excedente y tanto permitido por la legislación aplicable, por la utilización de fuentes de energía el Concesionario pagará a </w:t>
      </w:r>
      <w:r w:rsidR="001C17D3">
        <w:t>Telnor</w:t>
      </w:r>
      <w:r w:rsidRPr="00390B03">
        <w:t xml:space="preserve"> la tarifa para el servicio de Fuentes de Energía asociada a los equipos que instale el Concesionario Solicitante en los sitios de </w:t>
      </w:r>
      <w:r w:rsidR="001C17D3">
        <w:t>Telnor</w:t>
      </w:r>
      <w:r w:rsidR="00931D01">
        <w:t xml:space="preserve"> se</w:t>
      </w:r>
      <w:r w:rsidRPr="00390B03">
        <w:t xml:space="preserve"> aplicará según la disponibilidad en cada sitio. De esta forma la tarifa de Fuentes de Energía se calculará dependiendo de las características de los espacios físicos solicitados y en función del consumo eléctrico necesario para el Concesionario Solicitante, así como del gasto total en energía eléctrica en la sala en cuestión. </w:t>
      </w:r>
    </w:p>
    <w:p w:rsidR="00390B03" w:rsidRPr="00B17D04" w:rsidRDefault="00390B03" w:rsidP="00390B03">
      <w:pPr>
        <w:rPr>
          <w:rFonts w:ascii="ITC Avant Garde" w:eastAsiaTheme="minorEastAsia" w:hAnsi="ITC Avant Garde"/>
          <w:lang w:val="es-ES_tradnl"/>
        </w:rPr>
      </w:pPr>
      <m:oMathPara>
        <m:oMath>
          <m:r>
            <w:rPr>
              <w:rFonts w:ascii="Cambria Math" w:hAnsi="Cambria Math"/>
              <w:lang w:val="es-ES_tradnl"/>
            </w:rPr>
            <m:t>Tarifa de alimentación electrica=</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 xml:space="preserve">Energía necesaria </m:t>
                  </m:r>
                </m:e>
                <m:sub>
                  <m:r>
                    <w:rPr>
                      <w:rFonts w:ascii="Cambria Math" w:hAnsi="Cambria Math"/>
                      <w:lang w:val="es-ES_tradnl"/>
                    </w:rPr>
                    <m:t>del CS</m:t>
                  </m:r>
                </m:sub>
              </m:sSub>
            </m:num>
            <m:den>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Energía necesaria</m:t>
                  </m:r>
                </m:e>
                <m:sub>
                  <m:r>
                    <w:rPr>
                      <w:rFonts w:ascii="Cambria Math" w:hAnsi="Cambria Math"/>
                      <w:lang w:val="es-ES_tradnl"/>
                    </w:rPr>
                    <m:t xml:space="preserve"> en sala</m:t>
                  </m:r>
                </m:sub>
              </m:sSub>
            </m:den>
          </m:f>
          <m:r>
            <w:rPr>
              <w:rFonts w:ascii="Cambria Math" w:hAnsi="Cambria Math"/>
              <w:lang w:val="es-ES_tradnl"/>
            </w:rPr>
            <m:t xml:space="preserve">×$Costo por sitio M.N. </m:t>
          </m:r>
        </m:oMath>
      </m:oMathPara>
    </w:p>
    <w:p w:rsidR="00390B03" w:rsidRPr="00B17D04" w:rsidRDefault="00390B03" w:rsidP="00235C21">
      <w:pPr>
        <w:pStyle w:val="CondicionesFinales"/>
        <w:rPr>
          <w:rFonts w:eastAsiaTheme="minorEastAsia"/>
        </w:rPr>
      </w:pPr>
      <w:r w:rsidRPr="00B17D04">
        <w:rPr>
          <w:rFonts w:eastAsiaTheme="minorEastAsia"/>
        </w:rPr>
        <w:t>Donde:</w:t>
      </w:r>
    </w:p>
    <w:p w:rsidR="00390B03" w:rsidRPr="00390B03" w:rsidRDefault="002C04D7" w:rsidP="00A04C3E">
      <w:pPr>
        <w:pStyle w:val="Listaconvietas"/>
        <w:numPr>
          <w:ilvl w:val="0"/>
          <w:numId w:val="222"/>
        </w:numPr>
        <w:rPr>
          <w:rFonts w:eastAsia="MS Mincho"/>
        </w:rPr>
      </w:pPr>
      <m:oMath>
        <m:sSub>
          <m:sSubPr>
            <m:ctrlPr>
              <w:rPr>
                <w:rFonts w:ascii="Cambria Math" w:eastAsia="MS Mincho" w:hAnsi="Cambria Math"/>
              </w:rPr>
            </m:ctrlPr>
          </m:sSubPr>
          <m:e>
            <m:r>
              <m:rPr>
                <m:sty m:val="bi"/>
              </m:rPr>
              <w:rPr>
                <w:rFonts w:ascii="Cambria Math" w:eastAsia="MS Mincho" w:hAnsi="Cambria Math"/>
              </w:rPr>
              <m:t>Energ</m:t>
            </m:r>
            <m:r>
              <m:rPr>
                <m:sty m:val="b"/>
              </m:rPr>
              <w:rPr>
                <w:rFonts w:ascii="Cambria Math" w:eastAsia="MS Mincho" w:hAnsi="Cambria Math"/>
              </w:rPr>
              <m:t>í</m:t>
            </m:r>
            <m:r>
              <m:rPr>
                <m:sty m:val="bi"/>
              </m:rPr>
              <w:rPr>
                <w:rFonts w:ascii="Cambria Math" w:eastAsia="MS Mincho" w:hAnsi="Cambria Math"/>
              </w:rPr>
              <m:t>a</m:t>
            </m:r>
            <m:r>
              <m:rPr>
                <m:sty m:val="b"/>
              </m:rPr>
              <w:rPr>
                <w:rFonts w:ascii="Cambria Math" w:eastAsia="MS Mincho" w:hAnsi="Cambria Math"/>
              </w:rPr>
              <m:t xml:space="preserve"> </m:t>
            </m:r>
            <m:r>
              <m:rPr>
                <m:sty m:val="bi"/>
              </m:rPr>
              <w:rPr>
                <w:rFonts w:ascii="Cambria Math" w:eastAsia="MS Mincho" w:hAnsi="Cambria Math"/>
              </w:rPr>
              <m:t>necesaria</m:t>
            </m:r>
            <m:r>
              <m:rPr>
                <m:sty m:val="b"/>
              </m:rPr>
              <w:rPr>
                <w:rFonts w:ascii="Cambria Math" w:eastAsia="MS Mincho" w:hAnsi="Cambria Math"/>
              </w:rPr>
              <m:t xml:space="preserve"> </m:t>
            </m:r>
          </m:e>
          <m:sub>
            <m:r>
              <m:rPr>
                <m:sty m:val="bi"/>
              </m:rPr>
              <w:rPr>
                <w:rFonts w:ascii="Cambria Math" w:eastAsia="MS Mincho" w:hAnsi="Cambria Math"/>
              </w:rPr>
              <m:t>del</m:t>
            </m:r>
            <m:r>
              <m:rPr>
                <m:sty m:val="b"/>
              </m:rPr>
              <w:rPr>
                <w:rFonts w:ascii="Cambria Math" w:eastAsia="MS Mincho" w:hAnsi="Cambria Math"/>
              </w:rPr>
              <m:t xml:space="preserve"> </m:t>
            </m:r>
            <m:r>
              <m:rPr>
                <m:sty m:val="bi"/>
              </m:rPr>
              <w:rPr>
                <w:rFonts w:ascii="Cambria Math" w:eastAsia="MS Mincho" w:hAnsi="Cambria Math"/>
              </w:rPr>
              <m:t>CS</m:t>
            </m:r>
          </m:sub>
        </m:sSub>
      </m:oMath>
      <w:r w:rsidR="00390B03" w:rsidRPr="00390B03">
        <w:rPr>
          <w:rFonts w:eastAsia="MS Mincho"/>
        </w:rPr>
        <w:t xml:space="preserve">, </w:t>
      </w:r>
      <w:r w:rsidR="00390B03" w:rsidRPr="00A04C3E">
        <w:rPr>
          <w:rFonts w:eastAsia="MS Mincho"/>
          <w:b w:val="0"/>
        </w:rPr>
        <w:t>se refiere al consumo de energía necesario para los equipos del Concesionario Solicitante</w:t>
      </w:r>
      <w:r w:rsidR="00390B03" w:rsidRPr="00390B03">
        <w:rPr>
          <w:rFonts w:eastAsia="MS Mincho"/>
        </w:rPr>
        <w:t>.</w:t>
      </w:r>
    </w:p>
    <w:p w:rsidR="00237A9D" w:rsidRPr="00390B03" w:rsidRDefault="00237A9D" w:rsidP="00237A9D">
      <w:pPr>
        <w:pStyle w:val="Listaconvietas"/>
        <w:numPr>
          <w:ilvl w:val="0"/>
          <w:numId w:val="0"/>
        </w:numPr>
        <w:ind w:left="1080"/>
        <w:rPr>
          <w:rFonts w:eastAsia="MS Mincho"/>
        </w:rPr>
      </w:pPr>
    </w:p>
    <w:p w:rsidR="00390B03" w:rsidRPr="00390B03" w:rsidRDefault="002C04D7" w:rsidP="00A04C3E">
      <w:pPr>
        <w:pStyle w:val="Listaconvietas"/>
        <w:numPr>
          <w:ilvl w:val="0"/>
          <w:numId w:val="222"/>
        </w:numPr>
        <w:rPr>
          <w:rFonts w:eastAsia="MS Mincho"/>
        </w:rPr>
      </w:pPr>
      <m:oMath>
        <m:sSub>
          <m:sSubPr>
            <m:ctrlPr>
              <w:rPr>
                <w:rFonts w:ascii="Cambria Math" w:eastAsia="MS Mincho" w:hAnsi="Cambria Math"/>
              </w:rPr>
            </m:ctrlPr>
          </m:sSubPr>
          <m:e>
            <m:r>
              <m:rPr>
                <m:sty m:val="bi"/>
              </m:rPr>
              <w:rPr>
                <w:rFonts w:ascii="Cambria Math" w:eastAsia="MS Mincho" w:hAnsi="Cambria Math"/>
              </w:rPr>
              <m:t>Energ</m:t>
            </m:r>
            <m:r>
              <m:rPr>
                <m:sty m:val="b"/>
              </m:rPr>
              <w:rPr>
                <w:rFonts w:ascii="Cambria Math" w:eastAsia="MS Mincho" w:hAnsi="Cambria Math"/>
              </w:rPr>
              <m:t>í</m:t>
            </m:r>
            <m:r>
              <m:rPr>
                <m:sty m:val="bi"/>
              </m:rPr>
              <w:rPr>
                <w:rFonts w:ascii="Cambria Math" w:eastAsia="MS Mincho" w:hAnsi="Cambria Math"/>
              </w:rPr>
              <m:t>a</m:t>
            </m:r>
            <m:r>
              <m:rPr>
                <m:sty m:val="b"/>
              </m:rPr>
              <w:rPr>
                <w:rFonts w:ascii="Cambria Math" w:eastAsia="MS Mincho" w:hAnsi="Cambria Math"/>
              </w:rPr>
              <m:t xml:space="preserve"> </m:t>
            </m:r>
            <m:r>
              <m:rPr>
                <m:sty m:val="bi"/>
              </m:rPr>
              <w:rPr>
                <w:rFonts w:ascii="Cambria Math" w:eastAsia="MS Mincho" w:hAnsi="Cambria Math"/>
              </w:rPr>
              <m:t>necesaria</m:t>
            </m:r>
            <m:r>
              <m:rPr>
                <m:sty m:val="b"/>
              </m:rPr>
              <w:rPr>
                <w:rFonts w:ascii="Cambria Math" w:eastAsia="MS Mincho" w:hAnsi="Cambria Math"/>
              </w:rPr>
              <m:t xml:space="preserve"> </m:t>
            </m:r>
          </m:e>
          <m:sub>
            <m:r>
              <m:rPr>
                <m:sty m:val="bi"/>
              </m:rPr>
              <w:rPr>
                <w:rFonts w:ascii="Cambria Math" w:eastAsia="MS Mincho" w:hAnsi="Cambria Math"/>
              </w:rPr>
              <m:t>en</m:t>
            </m:r>
            <m:r>
              <m:rPr>
                <m:sty m:val="b"/>
              </m:rPr>
              <w:rPr>
                <w:rFonts w:ascii="Cambria Math" w:eastAsia="MS Mincho" w:hAnsi="Cambria Math"/>
              </w:rPr>
              <m:t xml:space="preserve"> </m:t>
            </m:r>
            <m:r>
              <m:rPr>
                <m:sty m:val="bi"/>
              </m:rPr>
              <w:rPr>
                <w:rFonts w:ascii="Cambria Math" w:eastAsia="MS Mincho" w:hAnsi="Cambria Math"/>
              </w:rPr>
              <m:t>sala</m:t>
            </m:r>
          </m:sub>
        </m:sSub>
      </m:oMath>
      <w:r w:rsidR="00390B03" w:rsidRPr="00390B03">
        <w:rPr>
          <w:rFonts w:eastAsia="MS Mincho"/>
        </w:rPr>
        <w:t xml:space="preserve">, </w:t>
      </w:r>
      <w:r w:rsidR="00390B03" w:rsidRPr="00A04C3E">
        <w:rPr>
          <w:rFonts w:eastAsia="MS Mincho"/>
          <w:b w:val="0"/>
        </w:rPr>
        <w:t xml:space="preserve">se refiere al consumo de energía total </w:t>
      </w:r>
      <w:r w:rsidR="00390B03" w:rsidRPr="00A04C3E">
        <w:rPr>
          <w:rFonts w:eastAsia="MS Mincho"/>
          <w:b w:val="0"/>
          <w:lang w:val="es-MX"/>
        </w:rPr>
        <w:t xml:space="preserve">necesaria para los equipos de </w:t>
      </w:r>
      <w:r w:rsidR="001C17D3">
        <w:rPr>
          <w:rFonts w:eastAsia="MS Mincho"/>
          <w:b w:val="0"/>
        </w:rPr>
        <w:t>Telnor</w:t>
      </w:r>
      <w:r w:rsidR="00390B03" w:rsidRPr="00A04C3E">
        <w:rPr>
          <w:rFonts w:eastAsia="MS Mincho"/>
          <w:b w:val="0"/>
          <w:lang w:val="es-MX"/>
        </w:rPr>
        <w:t xml:space="preserve"> y del C</w:t>
      </w:r>
      <w:r w:rsidR="00390B03" w:rsidRPr="00A04C3E">
        <w:rPr>
          <w:rFonts w:eastAsia="MS Mincho"/>
          <w:b w:val="0"/>
        </w:rPr>
        <w:t xml:space="preserve">oncesionario </w:t>
      </w:r>
      <w:r w:rsidR="00390B03" w:rsidRPr="00A04C3E">
        <w:rPr>
          <w:rFonts w:eastAsia="MS Mincho"/>
          <w:b w:val="0"/>
          <w:lang w:val="es-MX"/>
        </w:rPr>
        <w:t>S</w:t>
      </w:r>
      <w:r w:rsidR="00390B03" w:rsidRPr="00A04C3E">
        <w:rPr>
          <w:rFonts w:eastAsia="MS Mincho"/>
          <w:b w:val="0"/>
        </w:rPr>
        <w:t>olicitante</w:t>
      </w:r>
      <w:r w:rsidR="00390B03" w:rsidRPr="00A04C3E">
        <w:rPr>
          <w:rFonts w:eastAsia="MS Mincho"/>
          <w:b w:val="0"/>
          <w:lang w:val="es-MX"/>
        </w:rPr>
        <w:t xml:space="preserve"> en la sala donde estén instalados</w:t>
      </w:r>
      <w:r w:rsidR="00390B03" w:rsidRPr="00A04C3E">
        <w:rPr>
          <w:rFonts w:eastAsia="MS Mincho"/>
          <w:b w:val="0"/>
        </w:rPr>
        <w:t>.</w:t>
      </w:r>
    </w:p>
    <w:p w:rsidR="00237A9D" w:rsidRPr="00237A9D" w:rsidRDefault="00237A9D" w:rsidP="00237A9D">
      <w:pPr>
        <w:pStyle w:val="Prrafodelista"/>
        <w:rPr>
          <w:rFonts w:eastAsia="MS Mincho"/>
          <w:b/>
        </w:rPr>
      </w:pPr>
    </w:p>
    <w:p w:rsidR="00390B03" w:rsidRPr="00B17D04" w:rsidRDefault="00390B03" w:rsidP="00A04C3E">
      <w:pPr>
        <w:pStyle w:val="Listaconvietas"/>
        <w:numPr>
          <w:ilvl w:val="0"/>
          <w:numId w:val="222"/>
        </w:numPr>
        <w:rPr>
          <w:rFonts w:eastAsia="Calibri"/>
          <w:i/>
        </w:rPr>
      </w:pPr>
      <m:oMath>
        <m:r>
          <m:rPr>
            <m:sty m:val="b"/>
          </m:rPr>
          <w:rPr>
            <w:rFonts w:ascii="Cambria Math" w:eastAsia="MS Mincho" w:hAnsi="Cambria Math"/>
          </w:rPr>
          <w:lastRenderedPageBreak/>
          <m:t>$</m:t>
        </m:r>
        <m:r>
          <m:rPr>
            <m:sty m:val="bi"/>
          </m:rPr>
          <w:rPr>
            <w:rFonts w:ascii="Cambria Math" w:eastAsia="MS Mincho" w:hAnsi="Cambria Math"/>
          </w:rPr>
          <m:t>Costo</m:t>
        </m:r>
        <m:r>
          <m:rPr>
            <m:sty m:val="b"/>
          </m:rPr>
          <w:rPr>
            <w:rFonts w:ascii="Cambria Math" w:eastAsia="MS Mincho" w:hAnsi="Cambria Math"/>
          </w:rPr>
          <m:t xml:space="preserve"> </m:t>
        </m:r>
        <m:r>
          <m:rPr>
            <m:sty m:val="bi"/>
          </m:rPr>
          <w:rPr>
            <w:rFonts w:ascii="Cambria Math" w:eastAsia="MS Mincho" w:hAnsi="Cambria Math"/>
          </w:rPr>
          <m:t>por</m:t>
        </m:r>
        <m:r>
          <m:rPr>
            <m:sty m:val="b"/>
          </m:rPr>
          <w:rPr>
            <w:rFonts w:ascii="Cambria Math" w:eastAsia="MS Mincho" w:hAnsi="Cambria Math"/>
          </w:rPr>
          <m:t xml:space="preserve"> </m:t>
        </m:r>
        <m:r>
          <m:rPr>
            <m:sty m:val="bi"/>
          </m:rPr>
          <w:rPr>
            <w:rFonts w:ascii="Cambria Math" w:eastAsia="MS Mincho" w:hAnsi="Cambria Math"/>
          </w:rPr>
          <m:t>sitio</m:t>
        </m:r>
        <m:r>
          <m:rPr>
            <m:sty m:val="b"/>
          </m:rPr>
          <w:rPr>
            <w:rFonts w:ascii="Cambria Math" w:eastAsia="MS Mincho" w:hAnsi="Cambria Math"/>
          </w:rPr>
          <m:t xml:space="preserve"> </m:t>
        </m:r>
        <m:r>
          <m:rPr>
            <m:sty m:val="bi"/>
          </m:rPr>
          <w:rPr>
            <w:rFonts w:ascii="Cambria Math" w:eastAsia="MS Mincho" w:hAnsi="Cambria Math"/>
          </w:rPr>
          <m:t>M</m:t>
        </m:r>
        <m:r>
          <m:rPr>
            <m:sty m:val="b"/>
          </m:rPr>
          <w:rPr>
            <w:rFonts w:ascii="Cambria Math" w:eastAsia="MS Mincho" w:hAnsi="Cambria Math"/>
          </w:rPr>
          <m:t>.</m:t>
        </m:r>
        <m:r>
          <m:rPr>
            <m:sty m:val="bi"/>
          </m:rPr>
          <w:rPr>
            <w:rFonts w:ascii="Cambria Math" w:eastAsia="MS Mincho" w:hAnsi="Cambria Math"/>
          </w:rPr>
          <m:t>N</m:t>
        </m:r>
        <m:r>
          <m:rPr>
            <m:sty m:val="b"/>
          </m:rPr>
          <w:rPr>
            <w:rFonts w:ascii="Cambria Math" w:eastAsia="MS Mincho" w:hAnsi="Cambria Math"/>
          </w:rPr>
          <m:t>.</m:t>
        </m:r>
      </m:oMath>
      <w:r w:rsidRPr="00390B03">
        <w:rPr>
          <w:rFonts w:eastAsia="MS Mincho"/>
        </w:rPr>
        <w:t xml:space="preserve">, </w:t>
      </w:r>
      <w:r w:rsidRPr="00A04C3E">
        <w:rPr>
          <w:rFonts w:eastAsia="MS Mincho"/>
          <w:b w:val="0"/>
        </w:rPr>
        <w:t>se refiere al gasto mensual en pesos para la provisión del servicio de energía. Corresponde a los costos mensuales de alimentación eléctrica en proporción del uso de ductos, conductos y canalizaciones, elementos de seguridad (restrictores de acceso), instalaciones de equipo y alimentaciones conexas, existentes en el sitio. Estos rubros deben aplicarse únicamente en relación a la sala donde se instalaron los equipos</w:t>
      </w:r>
      <w:r w:rsidRPr="00A04C3E">
        <w:rPr>
          <w:rFonts w:eastAsia="Calibri"/>
          <w:b w:val="0"/>
        </w:rPr>
        <w:t>.</w:t>
      </w:r>
    </w:p>
    <w:p w:rsidR="00A04C3E" w:rsidRDefault="00A04C3E" w:rsidP="00390B03">
      <w:pPr>
        <w:pStyle w:val="IFTnormal"/>
        <w:rPr>
          <w:rFonts w:eastAsia="Calibri"/>
        </w:rPr>
      </w:pPr>
    </w:p>
    <w:p w:rsidR="00390B03" w:rsidRPr="00B17D04" w:rsidRDefault="00390B03" w:rsidP="00235C21">
      <w:pPr>
        <w:pStyle w:val="CondicionesFinales"/>
      </w:pPr>
      <w:r w:rsidRPr="00B17D04">
        <w:rPr>
          <w:rFonts w:eastAsia="Calibri"/>
        </w:rPr>
        <w:t>Adicional a lo anterior, se deberá cubrir el costo correspondiente al consumo efectivamente realizado.</w:t>
      </w:r>
    </w:p>
    <w:p w:rsidR="00390B03" w:rsidRPr="001C1693" w:rsidRDefault="00390B03" w:rsidP="00390B03">
      <w:pPr>
        <w:pStyle w:val="Texto"/>
        <w:numPr>
          <w:ilvl w:val="0"/>
          <w:numId w:val="223"/>
        </w:numPr>
        <w:spacing w:after="0" w:line="276" w:lineRule="auto"/>
        <w:rPr>
          <w:rFonts w:ascii="ITC Avant Garde" w:hAnsi="ITC Avant Garde"/>
          <w:b/>
          <w:i/>
          <w:sz w:val="22"/>
          <w:szCs w:val="22"/>
          <w:lang w:val="es-ES_tradnl"/>
        </w:rPr>
      </w:pPr>
      <w:r w:rsidRPr="001C1693">
        <w:rPr>
          <w:rFonts w:ascii="ITC Avant Garde" w:hAnsi="ITC Avant Garde"/>
          <w:b/>
          <w:i/>
          <w:sz w:val="22"/>
          <w:szCs w:val="22"/>
          <w:lang w:val="es-ES_tradnl"/>
        </w:rPr>
        <w:t>Servicio de Uso de Espacios Físicos</w:t>
      </w:r>
    </w:p>
    <w:p w:rsidR="00390B03" w:rsidRDefault="00390B03" w:rsidP="00390B03">
      <w:pPr>
        <w:pStyle w:val="Texto"/>
        <w:spacing w:after="0" w:line="276" w:lineRule="auto"/>
        <w:ind w:left="780" w:firstLine="0"/>
        <w:rPr>
          <w:rFonts w:ascii="ITC Avant Garde" w:hAnsi="ITC Avant Garde"/>
          <w:b/>
          <w:sz w:val="22"/>
          <w:szCs w:val="22"/>
          <w:lang w:val="es-ES_tradnl"/>
        </w:rPr>
      </w:pPr>
    </w:p>
    <w:p w:rsidR="00390B03" w:rsidRPr="00637550" w:rsidRDefault="00390B03" w:rsidP="00235C21">
      <w:pPr>
        <w:pStyle w:val="CondicionesFinales"/>
      </w:pPr>
      <w:r w:rsidRPr="00637550">
        <w:t>La contraprestación mensual por el uso del espacio dependerá del trabajo ejecutivo y la zona del sitio, predio o espacio físico solicitado y servicios auxiliares necesarios. Así mismo se indicará la cuota de mantenimiento asociada al servicio.</w:t>
      </w:r>
    </w:p>
    <w:p w:rsidR="00390B03" w:rsidRPr="00637550" w:rsidRDefault="00390B03">
      <w:pPr>
        <w:pStyle w:val="CondicionesFinales"/>
      </w:pPr>
      <w:r w:rsidRPr="00637550">
        <w:t>La cuota de mantenimiento incluye el pago de los siguientes servicios vigilancia, limpieza</w:t>
      </w:r>
      <w:r>
        <w:t xml:space="preserve"> </w:t>
      </w:r>
      <w:r w:rsidRPr="00637550">
        <w:t>de áreas comunes, iluminación de áreas comunes, contratos de mantenimiento de</w:t>
      </w:r>
      <w:r>
        <w:t xml:space="preserve"> </w:t>
      </w:r>
      <w:r w:rsidRPr="00637550">
        <w:t>equipos (elevadores, bombeo, alarmas contra incendio, control, alarmas de seguridad,</w:t>
      </w:r>
      <w:r w:rsidR="00A04C3E">
        <w:t xml:space="preserve"> </w:t>
      </w:r>
      <w:r w:rsidRPr="00637550">
        <w:t>planta de emergencia común, subestaciones, entre otros), seguros del edificio.</w:t>
      </w:r>
    </w:p>
    <w:p w:rsidR="00390B03" w:rsidRPr="001C1693" w:rsidRDefault="00390B03" w:rsidP="00390B03">
      <w:pPr>
        <w:pStyle w:val="Texto"/>
        <w:numPr>
          <w:ilvl w:val="0"/>
          <w:numId w:val="223"/>
        </w:numPr>
        <w:spacing w:after="0" w:line="276" w:lineRule="auto"/>
        <w:rPr>
          <w:rFonts w:ascii="ITC Avant Garde" w:hAnsi="ITC Avant Garde"/>
          <w:b/>
          <w:i/>
          <w:sz w:val="22"/>
          <w:szCs w:val="22"/>
        </w:rPr>
      </w:pPr>
      <w:r w:rsidRPr="001C1693">
        <w:rPr>
          <w:rFonts w:ascii="ITC Avant Garde" w:hAnsi="ITC Avant Garde"/>
          <w:b/>
          <w:i/>
          <w:sz w:val="22"/>
          <w:szCs w:val="22"/>
        </w:rPr>
        <w:t xml:space="preserve">Servicio de </w:t>
      </w:r>
      <w:r>
        <w:rPr>
          <w:rFonts w:ascii="ITC Avant Garde" w:hAnsi="ITC Avant Garde"/>
          <w:b/>
          <w:i/>
          <w:sz w:val="22"/>
          <w:szCs w:val="22"/>
        </w:rPr>
        <w:t>T</w:t>
      </w:r>
      <w:r w:rsidRPr="001C1693">
        <w:rPr>
          <w:rFonts w:ascii="ITC Avant Garde" w:hAnsi="ITC Avant Garde"/>
          <w:b/>
          <w:i/>
          <w:sz w:val="22"/>
          <w:szCs w:val="22"/>
        </w:rPr>
        <w:t xml:space="preserve">endido de </w:t>
      </w:r>
      <w:r>
        <w:rPr>
          <w:rFonts w:ascii="ITC Avant Garde" w:hAnsi="ITC Avant Garde"/>
          <w:b/>
          <w:i/>
          <w:sz w:val="22"/>
          <w:szCs w:val="22"/>
        </w:rPr>
        <w:t>C</w:t>
      </w:r>
      <w:r w:rsidRPr="001C1693">
        <w:rPr>
          <w:rFonts w:ascii="ITC Avant Garde" w:hAnsi="ITC Avant Garde"/>
          <w:b/>
          <w:i/>
          <w:sz w:val="22"/>
          <w:szCs w:val="22"/>
        </w:rPr>
        <w:t xml:space="preserve">able sobre </w:t>
      </w:r>
      <w:r>
        <w:rPr>
          <w:rFonts w:ascii="ITC Avant Garde" w:hAnsi="ITC Avant Garde"/>
          <w:b/>
          <w:i/>
          <w:sz w:val="22"/>
          <w:szCs w:val="22"/>
        </w:rPr>
        <w:t>I</w:t>
      </w:r>
      <w:r w:rsidRPr="001C1693">
        <w:rPr>
          <w:rFonts w:ascii="ITC Avant Garde" w:hAnsi="ITC Avant Garde"/>
          <w:b/>
          <w:i/>
          <w:sz w:val="22"/>
          <w:szCs w:val="22"/>
        </w:rPr>
        <w:t xml:space="preserve">nfraestructura </w:t>
      </w:r>
      <w:r w:rsidRPr="00A41DFE">
        <w:rPr>
          <w:rFonts w:ascii="ITC Avant Garde" w:hAnsi="ITC Avant Garde"/>
          <w:b/>
          <w:i/>
          <w:sz w:val="22"/>
          <w:szCs w:val="22"/>
        </w:rPr>
        <w:t>Desagregada</w:t>
      </w:r>
      <w:r w:rsidRPr="001C1693">
        <w:rPr>
          <w:rFonts w:ascii="ITC Avant Garde" w:hAnsi="ITC Avant Garde"/>
          <w:b/>
          <w:i/>
          <w:sz w:val="22"/>
          <w:szCs w:val="22"/>
        </w:rPr>
        <w:t>:</w:t>
      </w:r>
    </w:p>
    <w:p w:rsidR="00390B03" w:rsidRPr="003253D4" w:rsidRDefault="00390B03" w:rsidP="00390B03">
      <w:pPr>
        <w:pStyle w:val="ROMANOS"/>
        <w:spacing w:after="0" w:line="276" w:lineRule="auto"/>
        <w:ind w:left="0" w:firstLine="0"/>
        <w:rPr>
          <w:rFonts w:ascii="ITC Avant Garde" w:hAnsi="ITC Avant Garde"/>
          <w:sz w:val="22"/>
          <w:szCs w:val="22"/>
        </w:rPr>
      </w:pPr>
    </w:p>
    <w:p w:rsidR="00390B03" w:rsidRPr="00B17D04" w:rsidRDefault="00390B03" w:rsidP="00A04C3E">
      <w:pPr>
        <w:pStyle w:val="Listaconvietas"/>
      </w:pPr>
      <w:r w:rsidRPr="00B17D04">
        <w:t xml:space="preserve">Instalación por </w:t>
      </w:r>
      <w:r>
        <w:t>T</w:t>
      </w:r>
      <w:r w:rsidRPr="00B17D04">
        <w:t xml:space="preserve">endido de </w:t>
      </w:r>
      <w:r w:rsidRPr="00A41DFE">
        <w:t>Cable</w:t>
      </w:r>
    </w:p>
    <w:p w:rsidR="00390B03" w:rsidRPr="00B17D04" w:rsidRDefault="00390B03" w:rsidP="00390B03">
      <w:pPr>
        <w:pStyle w:val="Texto"/>
        <w:spacing w:after="0" w:line="276" w:lineRule="auto"/>
        <w:ind w:firstLine="0"/>
        <w:rPr>
          <w:rFonts w:ascii="ITC Avant Garde" w:hAnsi="ITC Avant Garde"/>
          <w:sz w:val="22"/>
          <w:szCs w:val="22"/>
          <w:u w:val="single"/>
        </w:rPr>
      </w:pPr>
    </w:p>
    <w:p w:rsidR="00390B03" w:rsidRPr="00B17D04" w:rsidRDefault="00390B03" w:rsidP="00235C21">
      <w:pPr>
        <w:pStyle w:val="CondicionesFinales"/>
      </w:pPr>
      <w:r w:rsidRPr="00B17D04">
        <w:t>La contraprestación (por evento) de instalación por tendido de cable se deberá determinar de acuerdo a la cantidad de hilos de fibra óptica en el interior del cable, como el resultado de la suma de dos componentes una fija</w:t>
      </w:r>
      <w:r w:rsidRPr="00B17D04">
        <w:rPr>
          <w:rStyle w:val="Refdenotaalpie"/>
        </w:rPr>
        <w:footnoteReference w:id="16"/>
      </w:r>
      <w:r w:rsidRPr="00B17D04">
        <w:t xml:space="preserve"> y otra variable (dependiente de los metros lineales del cable involucrado), de conformidad con lo siguiente:</w:t>
      </w:r>
    </w:p>
    <w:p w:rsidR="00390B03" w:rsidRPr="00B17D04" w:rsidRDefault="00390B03" w:rsidP="00390B03">
      <w:pPr>
        <w:pStyle w:val="Texto"/>
        <w:spacing w:after="0" w:line="276" w:lineRule="auto"/>
        <w:ind w:firstLine="0"/>
        <w:rPr>
          <w:rFonts w:ascii="ITC Avant Garde" w:hAnsi="ITC Avant Garde"/>
          <w:b/>
          <w:sz w:val="22"/>
          <w:szCs w:val="22"/>
        </w:rPr>
      </w:pPr>
    </w:p>
    <w:tbl>
      <w:tblPr>
        <w:tblStyle w:val="Tablaconcuadrcula"/>
        <w:tblW w:w="0" w:type="auto"/>
        <w:jc w:val="center"/>
        <w:tblLook w:val="04A0" w:firstRow="1" w:lastRow="0" w:firstColumn="1" w:lastColumn="0" w:noHBand="0" w:noVBand="1"/>
        <w:tblCaption w:val="Tabla"/>
        <w:tblDescription w:val="Instalación por Tendido de Cable"/>
      </w:tblPr>
      <w:tblGrid>
        <w:gridCol w:w="2925"/>
        <w:gridCol w:w="2926"/>
        <w:gridCol w:w="2926"/>
      </w:tblGrid>
      <w:tr w:rsidR="00390B03" w:rsidRPr="00390B03" w:rsidTr="005C782A">
        <w:trPr>
          <w:trHeight w:val="59"/>
          <w:tblHeader/>
          <w:jc w:val="center"/>
        </w:trPr>
        <w:tc>
          <w:tcPr>
            <w:tcW w:w="2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B03" w:rsidRPr="00390B03" w:rsidRDefault="00390B03" w:rsidP="007C6CB7">
            <w:pPr>
              <w:pStyle w:val="TxtListado"/>
              <w:jc w:val="center"/>
              <w:rPr>
                <w:b/>
                <w:sz w:val="18"/>
                <w:szCs w:val="18"/>
              </w:rPr>
            </w:pPr>
            <w:r w:rsidRPr="00390B03">
              <w:rPr>
                <w:b/>
                <w:sz w:val="18"/>
                <w:szCs w:val="18"/>
              </w:rPr>
              <w:t>Instalación por Tendido de Cable</w:t>
            </w:r>
          </w:p>
        </w:tc>
        <w:tc>
          <w:tcPr>
            <w:tcW w:w="2926" w:type="dxa"/>
            <w:tcBorders>
              <w:left w:val="single" w:sz="4" w:space="0" w:color="auto"/>
            </w:tcBorders>
            <w:shd w:val="clear" w:color="auto" w:fill="D9D9D9" w:themeFill="background1" w:themeFillShade="D9"/>
            <w:vAlign w:val="center"/>
          </w:tcPr>
          <w:p w:rsidR="00390B03" w:rsidRPr="00390B03" w:rsidRDefault="00390B03" w:rsidP="007C6CB7">
            <w:pPr>
              <w:pStyle w:val="TxtListado"/>
              <w:jc w:val="center"/>
              <w:rPr>
                <w:b/>
                <w:sz w:val="18"/>
                <w:szCs w:val="18"/>
              </w:rPr>
            </w:pPr>
            <w:r w:rsidRPr="00390B03">
              <w:rPr>
                <w:b/>
                <w:sz w:val="18"/>
                <w:szCs w:val="18"/>
              </w:rPr>
              <w:t>Cable de 48 fibras</w:t>
            </w:r>
          </w:p>
        </w:tc>
        <w:tc>
          <w:tcPr>
            <w:tcW w:w="2926" w:type="dxa"/>
            <w:tcBorders>
              <w:left w:val="single" w:sz="4" w:space="0" w:color="auto"/>
            </w:tcBorders>
            <w:shd w:val="clear" w:color="auto" w:fill="D9D9D9" w:themeFill="background1" w:themeFillShade="D9"/>
            <w:vAlign w:val="center"/>
          </w:tcPr>
          <w:p w:rsidR="00390B03" w:rsidRPr="00390B03" w:rsidRDefault="00390B03" w:rsidP="007C6CB7">
            <w:pPr>
              <w:pStyle w:val="TxtListado"/>
              <w:jc w:val="center"/>
              <w:rPr>
                <w:b/>
                <w:sz w:val="18"/>
                <w:szCs w:val="18"/>
              </w:rPr>
            </w:pPr>
            <w:r w:rsidRPr="00390B03">
              <w:rPr>
                <w:b/>
                <w:sz w:val="18"/>
                <w:szCs w:val="18"/>
              </w:rPr>
              <w:t>Cable de 96 fibras</w:t>
            </w:r>
          </w:p>
        </w:tc>
      </w:tr>
      <w:tr w:rsidR="00390B03" w:rsidRPr="00390B03" w:rsidTr="007C6CB7">
        <w:trPr>
          <w:trHeight w:val="92"/>
          <w:jc w:val="center"/>
        </w:trPr>
        <w:tc>
          <w:tcPr>
            <w:tcW w:w="2925" w:type="dxa"/>
            <w:tcBorders>
              <w:top w:val="single" w:sz="4" w:space="0" w:color="auto"/>
            </w:tcBorders>
            <w:shd w:val="clear" w:color="auto" w:fill="auto"/>
            <w:vAlign w:val="center"/>
          </w:tcPr>
          <w:p w:rsidR="00390B03" w:rsidRPr="00390B03" w:rsidRDefault="00390B03" w:rsidP="007C6CB7">
            <w:pPr>
              <w:pStyle w:val="TxtListado"/>
              <w:tabs>
                <w:tab w:val="center" w:pos="1878"/>
              </w:tabs>
              <w:jc w:val="both"/>
              <w:rPr>
                <w:sz w:val="18"/>
                <w:szCs w:val="18"/>
              </w:rPr>
            </w:pPr>
            <w:r w:rsidRPr="00390B03">
              <w:rPr>
                <w:sz w:val="18"/>
                <w:szCs w:val="18"/>
              </w:rPr>
              <w:t>Componente fija</w:t>
            </w:r>
            <w:r w:rsidRPr="00390B03">
              <w:rPr>
                <w:rStyle w:val="Refdenotaalpie"/>
                <w:sz w:val="18"/>
                <w:szCs w:val="18"/>
              </w:rPr>
              <w:footnoteReference w:id="17"/>
            </w:r>
          </w:p>
        </w:tc>
        <w:tc>
          <w:tcPr>
            <w:tcW w:w="2926" w:type="dxa"/>
            <w:shd w:val="clear" w:color="auto" w:fill="auto"/>
            <w:vAlign w:val="center"/>
          </w:tcPr>
          <w:p w:rsidR="00390B03" w:rsidRPr="00390B03" w:rsidRDefault="00390B03" w:rsidP="007C6CB7">
            <w:pPr>
              <w:pStyle w:val="TxtListado"/>
              <w:jc w:val="center"/>
              <w:rPr>
                <w:sz w:val="18"/>
                <w:szCs w:val="18"/>
              </w:rPr>
            </w:pPr>
            <w:r w:rsidRPr="00390B03">
              <w:rPr>
                <w:sz w:val="18"/>
                <w:szCs w:val="18"/>
              </w:rPr>
              <w:t>$4,961.87 M.N.</w:t>
            </w:r>
          </w:p>
        </w:tc>
        <w:tc>
          <w:tcPr>
            <w:tcW w:w="2926" w:type="dxa"/>
            <w:vAlign w:val="center"/>
          </w:tcPr>
          <w:p w:rsidR="00390B03" w:rsidRPr="00390B03" w:rsidRDefault="00390B03" w:rsidP="007C6CB7">
            <w:pPr>
              <w:pStyle w:val="TxtListado"/>
              <w:jc w:val="center"/>
              <w:rPr>
                <w:sz w:val="18"/>
                <w:szCs w:val="18"/>
              </w:rPr>
            </w:pPr>
            <w:r w:rsidRPr="00390B03">
              <w:rPr>
                <w:sz w:val="18"/>
                <w:szCs w:val="18"/>
              </w:rPr>
              <w:t>$5,064.64 M.N.</w:t>
            </w:r>
          </w:p>
        </w:tc>
      </w:tr>
      <w:tr w:rsidR="00390B03" w:rsidRPr="00390B03" w:rsidTr="007C6CB7">
        <w:trPr>
          <w:trHeight w:val="92"/>
          <w:jc w:val="center"/>
        </w:trPr>
        <w:tc>
          <w:tcPr>
            <w:tcW w:w="2925" w:type="dxa"/>
            <w:shd w:val="clear" w:color="auto" w:fill="auto"/>
            <w:vAlign w:val="center"/>
          </w:tcPr>
          <w:p w:rsidR="00390B03" w:rsidRPr="00390B03" w:rsidRDefault="00390B03" w:rsidP="007C6CB7">
            <w:pPr>
              <w:pStyle w:val="TxtListado"/>
              <w:jc w:val="both"/>
              <w:rPr>
                <w:sz w:val="18"/>
                <w:szCs w:val="18"/>
              </w:rPr>
            </w:pPr>
            <w:r w:rsidRPr="00390B03">
              <w:rPr>
                <w:sz w:val="18"/>
                <w:szCs w:val="18"/>
              </w:rPr>
              <w:t xml:space="preserve">Componente variable (por metro lineal de tendido de cable desagregado) </w:t>
            </w:r>
          </w:p>
        </w:tc>
        <w:tc>
          <w:tcPr>
            <w:tcW w:w="2926" w:type="dxa"/>
            <w:shd w:val="clear" w:color="auto" w:fill="auto"/>
            <w:vAlign w:val="center"/>
          </w:tcPr>
          <w:p w:rsidR="00390B03" w:rsidRPr="00390B03" w:rsidRDefault="00390B03" w:rsidP="007C6CB7">
            <w:pPr>
              <w:pStyle w:val="TxtListado"/>
              <w:jc w:val="center"/>
              <w:rPr>
                <w:sz w:val="18"/>
                <w:szCs w:val="18"/>
              </w:rPr>
            </w:pPr>
            <w:r w:rsidRPr="00390B03">
              <w:rPr>
                <w:sz w:val="18"/>
                <w:szCs w:val="18"/>
              </w:rPr>
              <w:t>$19.46 M.N. / metro lineal de tendido de cable desagregado</w:t>
            </w:r>
          </w:p>
        </w:tc>
        <w:tc>
          <w:tcPr>
            <w:tcW w:w="2926" w:type="dxa"/>
            <w:vAlign w:val="center"/>
          </w:tcPr>
          <w:p w:rsidR="00390B03" w:rsidRPr="00390B03" w:rsidRDefault="00390B03" w:rsidP="007C6CB7">
            <w:pPr>
              <w:pStyle w:val="TxtListado"/>
              <w:jc w:val="center"/>
              <w:rPr>
                <w:sz w:val="18"/>
                <w:szCs w:val="18"/>
              </w:rPr>
            </w:pPr>
            <w:r w:rsidRPr="00390B03">
              <w:rPr>
                <w:sz w:val="18"/>
                <w:szCs w:val="18"/>
              </w:rPr>
              <w:t>$26.60 M.N. / metro lineal de tendido de cable desagregado</w:t>
            </w:r>
          </w:p>
        </w:tc>
      </w:tr>
    </w:tbl>
    <w:p w:rsidR="00390B03" w:rsidRPr="00B17D04" w:rsidRDefault="00390B03" w:rsidP="00390B03">
      <w:pPr>
        <w:pStyle w:val="Texto"/>
        <w:spacing w:after="0" w:line="276" w:lineRule="auto"/>
        <w:ind w:firstLine="0"/>
        <w:rPr>
          <w:rFonts w:ascii="ITC Avant Garde" w:hAnsi="ITC Avant Garde"/>
          <w:b/>
          <w:sz w:val="22"/>
          <w:szCs w:val="22"/>
        </w:rPr>
      </w:pPr>
    </w:p>
    <w:p w:rsidR="00390B03" w:rsidRPr="00A04C3E" w:rsidRDefault="00390B03" w:rsidP="00A04C3E">
      <w:pPr>
        <w:pStyle w:val="Listaconvietas"/>
      </w:pPr>
      <w:r w:rsidRPr="00A04C3E">
        <w:t>Empalme por hilo de fibra óptica /cobre</w:t>
      </w:r>
    </w:p>
    <w:p w:rsidR="00390B03" w:rsidRPr="00B17D04" w:rsidRDefault="00390B03" w:rsidP="00390B03">
      <w:pPr>
        <w:pStyle w:val="Texto"/>
        <w:spacing w:after="0" w:line="276" w:lineRule="auto"/>
        <w:ind w:firstLine="0"/>
        <w:rPr>
          <w:rFonts w:ascii="ITC Avant Garde" w:hAnsi="ITC Avant Garde"/>
          <w:sz w:val="22"/>
          <w:szCs w:val="22"/>
        </w:rPr>
      </w:pPr>
    </w:p>
    <w:p w:rsidR="00390B03" w:rsidRPr="00B17D04" w:rsidRDefault="00390B03" w:rsidP="00235C21">
      <w:pPr>
        <w:pStyle w:val="CondicionesFinales"/>
      </w:pPr>
      <w:r w:rsidRPr="00B17D04">
        <w:t>La contraprestación de cada empalme por hilo de fibra óptica/cobre se deberá determinar por cada evento de acuerdo con lo siguiente:</w:t>
      </w:r>
    </w:p>
    <w:p w:rsidR="00390B03" w:rsidRPr="00B17D04" w:rsidRDefault="00390B03" w:rsidP="00390B03">
      <w:pPr>
        <w:pStyle w:val="Texto"/>
        <w:spacing w:after="0" w:line="276" w:lineRule="auto"/>
        <w:ind w:firstLine="0"/>
        <w:rPr>
          <w:rFonts w:ascii="ITC Avant Garde" w:hAnsi="ITC Avant Garde"/>
          <w:b/>
          <w:sz w:val="22"/>
          <w:szCs w:val="22"/>
        </w:rPr>
      </w:pPr>
    </w:p>
    <w:tbl>
      <w:tblPr>
        <w:tblStyle w:val="Tablaconcuadrcula"/>
        <w:tblW w:w="8051" w:type="dxa"/>
        <w:jc w:val="center"/>
        <w:tblLook w:val="04A0" w:firstRow="1" w:lastRow="0" w:firstColumn="1" w:lastColumn="0" w:noHBand="0" w:noVBand="1"/>
        <w:tblCaption w:val="Tabla"/>
        <w:tblDescription w:val="Contraprestación (por evento)"/>
      </w:tblPr>
      <w:tblGrid>
        <w:gridCol w:w="4680"/>
        <w:gridCol w:w="3371"/>
      </w:tblGrid>
      <w:tr w:rsidR="00390B03" w:rsidRPr="00390B03" w:rsidTr="005C782A">
        <w:trPr>
          <w:trHeight w:val="59"/>
          <w:tblHeader/>
          <w:jc w:val="center"/>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B03" w:rsidRPr="00390B03" w:rsidRDefault="00390B03" w:rsidP="007C6CB7">
            <w:pPr>
              <w:pStyle w:val="TxtListado"/>
              <w:rPr>
                <w:b/>
                <w:sz w:val="18"/>
                <w:szCs w:val="18"/>
              </w:rPr>
            </w:pPr>
            <w:r w:rsidRPr="00390B03">
              <w:rPr>
                <w:b/>
                <w:sz w:val="18"/>
                <w:szCs w:val="18"/>
              </w:rPr>
              <w:t>Concepto</w:t>
            </w:r>
          </w:p>
        </w:tc>
        <w:tc>
          <w:tcPr>
            <w:tcW w:w="3371" w:type="dxa"/>
            <w:tcBorders>
              <w:left w:val="single" w:sz="4" w:space="0" w:color="auto"/>
            </w:tcBorders>
            <w:shd w:val="clear" w:color="auto" w:fill="D9D9D9" w:themeFill="background1" w:themeFillShade="D9"/>
            <w:vAlign w:val="center"/>
          </w:tcPr>
          <w:p w:rsidR="00390B03" w:rsidRPr="00390B03" w:rsidRDefault="00390B03" w:rsidP="007C6CB7">
            <w:pPr>
              <w:pStyle w:val="TxtListado"/>
              <w:jc w:val="center"/>
              <w:rPr>
                <w:b/>
                <w:sz w:val="18"/>
                <w:szCs w:val="18"/>
              </w:rPr>
            </w:pPr>
            <w:r w:rsidRPr="00390B03">
              <w:rPr>
                <w:b/>
                <w:sz w:val="18"/>
                <w:szCs w:val="18"/>
              </w:rPr>
              <w:t>Contraprestación (por evento)</w:t>
            </w:r>
          </w:p>
        </w:tc>
      </w:tr>
      <w:tr w:rsidR="00390B03" w:rsidRPr="00390B03" w:rsidTr="007C6CB7">
        <w:trPr>
          <w:trHeight w:val="92"/>
          <w:jc w:val="center"/>
        </w:trPr>
        <w:tc>
          <w:tcPr>
            <w:tcW w:w="4680" w:type="dxa"/>
            <w:tcBorders>
              <w:top w:val="single" w:sz="4" w:space="0" w:color="auto"/>
            </w:tcBorders>
            <w:shd w:val="clear" w:color="auto" w:fill="auto"/>
            <w:vAlign w:val="center"/>
          </w:tcPr>
          <w:p w:rsidR="00390B03" w:rsidRPr="00390B03" w:rsidRDefault="00390B03" w:rsidP="007C6CB7">
            <w:pPr>
              <w:pStyle w:val="TxtListado"/>
              <w:tabs>
                <w:tab w:val="center" w:pos="1878"/>
              </w:tabs>
              <w:jc w:val="both"/>
              <w:rPr>
                <w:sz w:val="18"/>
                <w:szCs w:val="18"/>
              </w:rPr>
            </w:pPr>
            <w:r w:rsidRPr="00390B03">
              <w:rPr>
                <w:sz w:val="18"/>
                <w:szCs w:val="18"/>
              </w:rPr>
              <w:t>Empalme por hilo de fibra óptica/cobre</w:t>
            </w:r>
          </w:p>
        </w:tc>
        <w:tc>
          <w:tcPr>
            <w:tcW w:w="3371" w:type="dxa"/>
            <w:shd w:val="clear" w:color="auto" w:fill="auto"/>
            <w:vAlign w:val="center"/>
          </w:tcPr>
          <w:p w:rsidR="00390B03" w:rsidRPr="00390B03" w:rsidRDefault="00390B03" w:rsidP="007C6CB7">
            <w:pPr>
              <w:pStyle w:val="TxtListado"/>
              <w:jc w:val="center"/>
              <w:rPr>
                <w:sz w:val="18"/>
                <w:szCs w:val="18"/>
              </w:rPr>
            </w:pPr>
            <w:r w:rsidRPr="00390B03">
              <w:rPr>
                <w:sz w:val="18"/>
                <w:szCs w:val="18"/>
              </w:rPr>
              <w:t>$2.14 M.N. (por evento)</w:t>
            </w:r>
          </w:p>
        </w:tc>
      </w:tr>
    </w:tbl>
    <w:p w:rsidR="00390B03" w:rsidRPr="00B17D04" w:rsidRDefault="00390B03" w:rsidP="00390B03">
      <w:pPr>
        <w:pStyle w:val="Texto"/>
        <w:spacing w:after="0" w:line="276" w:lineRule="auto"/>
        <w:ind w:firstLine="0"/>
        <w:rPr>
          <w:rFonts w:ascii="ITC Avant Garde" w:hAnsi="ITC Avant Garde"/>
          <w:i/>
          <w:sz w:val="22"/>
          <w:szCs w:val="22"/>
          <w:u w:val="single"/>
        </w:rPr>
      </w:pPr>
    </w:p>
    <w:p w:rsidR="00390B03" w:rsidRPr="00B17D04" w:rsidRDefault="00390B03" w:rsidP="00A04C3E">
      <w:pPr>
        <w:pStyle w:val="Listaconvietas"/>
      </w:pPr>
      <w:r w:rsidRPr="00B17D04">
        <w:t>Uso y mantenimiento de la trayectoria para cable</w:t>
      </w:r>
    </w:p>
    <w:p w:rsidR="00390B03" w:rsidRPr="00B17D04" w:rsidRDefault="00390B03" w:rsidP="00390B03">
      <w:pPr>
        <w:pStyle w:val="ROMANOS"/>
        <w:spacing w:after="0" w:line="276" w:lineRule="auto"/>
        <w:rPr>
          <w:rFonts w:ascii="ITC Avant Garde" w:hAnsi="ITC Avant Garde"/>
          <w:sz w:val="22"/>
          <w:szCs w:val="22"/>
        </w:rPr>
      </w:pPr>
    </w:p>
    <w:p w:rsidR="00390B03" w:rsidRPr="00B17D04" w:rsidRDefault="00390B03" w:rsidP="00235C21">
      <w:pPr>
        <w:pStyle w:val="CondicionesFinales"/>
        <w:rPr>
          <w:b/>
        </w:rPr>
      </w:pPr>
      <w:r w:rsidRPr="00B17D04">
        <w:t xml:space="preserve">La contraprestación anual por uso y mantenimiento de la trayectoria para cable se deberá determinar por la longitud del cable contratado en el servicio </w:t>
      </w:r>
      <w:r w:rsidRPr="00B17D04">
        <w:rPr>
          <w:i/>
        </w:rPr>
        <w:t>Instalación por tendido de cable</w:t>
      </w:r>
      <w:r w:rsidRPr="00B17D04">
        <w:t>. Dicho valor se calculará como la suma de dos componentes una fija</w:t>
      </w:r>
      <w:r w:rsidRPr="00B17D04">
        <w:rPr>
          <w:rStyle w:val="Refdenotaalpie"/>
        </w:rPr>
        <w:footnoteReference w:id="18"/>
      </w:r>
      <w:r w:rsidRPr="00B17D04">
        <w:t xml:space="preserve"> y otra variable (dependiente de los metros lineales del cable aludido), de conformidad con lo siguiente:</w:t>
      </w:r>
    </w:p>
    <w:p w:rsidR="00390B03" w:rsidRPr="00B17D04" w:rsidRDefault="00390B03" w:rsidP="00390B03">
      <w:pPr>
        <w:pStyle w:val="Texto"/>
        <w:spacing w:after="0" w:line="276" w:lineRule="auto"/>
        <w:ind w:firstLine="0"/>
        <w:rPr>
          <w:rFonts w:ascii="ITC Avant Garde" w:hAnsi="ITC Avant Garde"/>
          <w:b/>
          <w:sz w:val="22"/>
          <w:szCs w:val="22"/>
        </w:rPr>
      </w:pPr>
    </w:p>
    <w:tbl>
      <w:tblPr>
        <w:tblStyle w:val="Tablaconcuadrcula"/>
        <w:tblW w:w="5000" w:type="pct"/>
        <w:jc w:val="center"/>
        <w:tblLook w:val="04A0" w:firstRow="1" w:lastRow="0" w:firstColumn="1" w:lastColumn="0" w:noHBand="0" w:noVBand="1"/>
        <w:tblCaption w:val="Tabla"/>
        <w:tblDescription w:val="Uso y mantenimiento de la trayectoria para cable"/>
      </w:tblPr>
      <w:tblGrid>
        <w:gridCol w:w="4415"/>
        <w:gridCol w:w="4415"/>
      </w:tblGrid>
      <w:tr w:rsidR="00390B03" w:rsidRPr="00B17D04" w:rsidTr="005C782A">
        <w:trPr>
          <w:trHeight w:val="59"/>
          <w:tblHeader/>
          <w:jc w:val="center"/>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B03" w:rsidRPr="00B17D04" w:rsidRDefault="00390B03" w:rsidP="007C6CB7">
            <w:pPr>
              <w:pStyle w:val="TxtListado"/>
              <w:jc w:val="center"/>
              <w:rPr>
                <w:b/>
                <w:szCs w:val="22"/>
              </w:rPr>
            </w:pPr>
            <w:r w:rsidRPr="00B17D04">
              <w:rPr>
                <w:b/>
              </w:rPr>
              <w:t>Uso y mantenimiento de la trayectoria para cable</w:t>
            </w:r>
          </w:p>
        </w:tc>
        <w:tc>
          <w:tcPr>
            <w:tcW w:w="2500" w:type="pct"/>
            <w:tcBorders>
              <w:left w:val="single" w:sz="4" w:space="0" w:color="auto"/>
            </w:tcBorders>
            <w:shd w:val="clear" w:color="auto" w:fill="D9D9D9" w:themeFill="background1" w:themeFillShade="D9"/>
            <w:vAlign w:val="center"/>
          </w:tcPr>
          <w:p w:rsidR="00390B03" w:rsidRPr="00B17D04" w:rsidRDefault="00390B03" w:rsidP="007C6CB7">
            <w:pPr>
              <w:pStyle w:val="TxtListado"/>
              <w:jc w:val="center"/>
              <w:rPr>
                <w:b/>
                <w:szCs w:val="22"/>
              </w:rPr>
            </w:pPr>
            <w:r w:rsidRPr="00B17D04">
              <w:rPr>
                <w:b/>
                <w:szCs w:val="22"/>
              </w:rPr>
              <w:t xml:space="preserve">Contraprestación </w:t>
            </w:r>
            <w:r w:rsidRPr="00B17D04">
              <w:rPr>
                <w:b/>
              </w:rPr>
              <w:t>anual</w:t>
            </w:r>
          </w:p>
        </w:tc>
      </w:tr>
      <w:tr w:rsidR="00390B03" w:rsidRPr="00B17D04" w:rsidTr="007C6CB7">
        <w:trPr>
          <w:trHeight w:val="92"/>
          <w:jc w:val="center"/>
        </w:trPr>
        <w:tc>
          <w:tcPr>
            <w:tcW w:w="2500" w:type="pct"/>
            <w:tcBorders>
              <w:top w:val="single" w:sz="4" w:space="0" w:color="auto"/>
            </w:tcBorders>
            <w:shd w:val="clear" w:color="auto" w:fill="auto"/>
            <w:vAlign w:val="center"/>
          </w:tcPr>
          <w:p w:rsidR="00390B03" w:rsidRPr="00B17D04" w:rsidRDefault="00390B03" w:rsidP="007C6CB7">
            <w:pPr>
              <w:pStyle w:val="TxtListado"/>
              <w:tabs>
                <w:tab w:val="center" w:pos="1878"/>
              </w:tabs>
              <w:jc w:val="both"/>
            </w:pPr>
            <w:r w:rsidRPr="00B17D04">
              <w:t>Componente fija</w:t>
            </w:r>
          </w:p>
        </w:tc>
        <w:tc>
          <w:tcPr>
            <w:tcW w:w="2500" w:type="pct"/>
            <w:shd w:val="clear" w:color="auto" w:fill="auto"/>
            <w:vAlign w:val="center"/>
          </w:tcPr>
          <w:p w:rsidR="00390B03" w:rsidRPr="00276D9F" w:rsidRDefault="00390B03" w:rsidP="007C6CB7">
            <w:pPr>
              <w:pStyle w:val="TxtListado"/>
              <w:jc w:val="center"/>
            </w:pPr>
            <w:r w:rsidRPr="00276D9F">
              <w:t>$</w:t>
            </w:r>
            <w:r>
              <w:t>1,805</w:t>
            </w:r>
            <w:r w:rsidRPr="00276D9F">
              <w:t>.</w:t>
            </w:r>
            <w:r>
              <w:t>32</w:t>
            </w:r>
            <w:r w:rsidRPr="00276D9F">
              <w:t xml:space="preserve"> M.N. </w:t>
            </w:r>
          </w:p>
        </w:tc>
      </w:tr>
      <w:tr w:rsidR="00390B03" w:rsidRPr="00B17D04" w:rsidTr="007C6CB7">
        <w:trPr>
          <w:trHeight w:val="92"/>
          <w:jc w:val="center"/>
        </w:trPr>
        <w:tc>
          <w:tcPr>
            <w:tcW w:w="2500" w:type="pct"/>
            <w:shd w:val="clear" w:color="auto" w:fill="auto"/>
            <w:vAlign w:val="center"/>
          </w:tcPr>
          <w:p w:rsidR="00390B03" w:rsidRPr="00B17D04" w:rsidRDefault="00390B03" w:rsidP="007C6CB7">
            <w:pPr>
              <w:pStyle w:val="TxtListado"/>
              <w:jc w:val="both"/>
            </w:pPr>
            <w:r w:rsidRPr="00B17D04">
              <w:lastRenderedPageBreak/>
              <w:t>Componente variable (por metro lineal de tendido de cable desagregado)</w:t>
            </w:r>
          </w:p>
        </w:tc>
        <w:tc>
          <w:tcPr>
            <w:tcW w:w="2500" w:type="pct"/>
            <w:shd w:val="clear" w:color="auto" w:fill="auto"/>
            <w:vAlign w:val="center"/>
          </w:tcPr>
          <w:p w:rsidR="00390B03" w:rsidRPr="00276D9F" w:rsidRDefault="00390B03" w:rsidP="007C6CB7">
            <w:pPr>
              <w:pStyle w:val="TxtListado"/>
              <w:jc w:val="center"/>
            </w:pPr>
            <w:r w:rsidRPr="00276D9F">
              <w:t>$</w:t>
            </w:r>
            <w:r>
              <w:t>2.51</w:t>
            </w:r>
            <w:r w:rsidRPr="00276D9F">
              <w:t xml:space="preserve"> M.N. / por metro lineal de tendido de cable desagregado</w:t>
            </w:r>
          </w:p>
        </w:tc>
      </w:tr>
    </w:tbl>
    <w:p w:rsidR="00390B03" w:rsidRPr="00B17D04" w:rsidRDefault="00390B03" w:rsidP="00390B03">
      <w:pPr>
        <w:pStyle w:val="Texto"/>
        <w:spacing w:after="0" w:line="276" w:lineRule="auto"/>
        <w:ind w:firstLine="0"/>
        <w:rPr>
          <w:rFonts w:ascii="ITC Avant Garde" w:hAnsi="ITC Avant Garde"/>
          <w:b/>
          <w:sz w:val="22"/>
          <w:szCs w:val="22"/>
        </w:rPr>
      </w:pPr>
    </w:p>
    <w:p w:rsidR="00390B03" w:rsidRDefault="00390B03" w:rsidP="00390B03">
      <w:pPr>
        <w:pStyle w:val="Texto"/>
        <w:numPr>
          <w:ilvl w:val="0"/>
          <w:numId w:val="223"/>
        </w:numPr>
        <w:spacing w:after="0" w:line="276" w:lineRule="auto"/>
        <w:rPr>
          <w:rFonts w:ascii="ITC Avant Garde" w:hAnsi="ITC Avant Garde"/>
          <w:b/>
          <w:sz w:val="22"/>
          <w:szCs w:val="22"/>
        </w:rPr>
      </w:pPr>
      <w:r w:rsidRPr="00D02878">
        <w:rPr>
          <w:rFonts w:ascii="ITC Avant Garde" w:hAnsi="ITC Avant Garde"/>
          <w:b/>
          <w:sz w:val="22"/>
          <w:szCs w:val="22"/>
        </w:rPr>
        <w:t>Canales Ópticos de Alta Capacidad de Transporte</w:t>
      </w:r>
    </w:p>
    <w:p w:rsidR="00390B03" w:rsidRDefault="00390B03" w:rsidP="00235C21">
      <w:pPr>
        <w:pStyle w:val="CondicionesFinales"/>
      </w:pPr>
      <w:r w:rsidRPr="00B17D04">
        <w:t>Con relación al servicio de canales ópticos de alta capacidad, cuando en la ruta de transporte solicitada no exista capacidad excedente en un ducto ni en rutas alternativas al mismo, la tarifa del servicio de canales ópticos de alta capacidad será</w:t>
      </w:r>
      <w:r>
        <w:t>:</w:t>
      </w:r>
    </w:p>
    <w:p w:rsidR="004874D0" w:rsidRDefault="004874D0" w:rsidP="00235C21">
      <w:pPr>
        <w:pStyle w:val="CondicionesFinales"/>
      </w:pPr>
    </w:p>
    <w:tbl>
      <w:tblPr>
        <w:tblStyle w:val="Tablaconcuadrcula"/>
        <w:tblW w:w="8051" w:type="dxa"/>
        <w:jc w:val="center"/>
        <w:tblLook w:val="04A0" w:firstRow="1" w:lastRow="0" w:firstColumn="1" w:lastColumn="0" w:noHBand="0" w:noVBand="1"/>
        <w:tblCaption w:val="Tabla"/>
        <w:tblDescription w:val="Contraprestación (por evento)"/>
      </w:tblPr>
      <w:tblGrid>
        <w:gridCol w:w="4680"/>
        <w:gridCol w:w="3371"/>
      </w:tblGrid>
      <w:tr w:rsidR="00390B03" w:rsidRPr="00390B03" w:rsidTr="00403494">
        <w:trPr>
          <w:trHeight w:val="59"/>
          <w:tblHeader/>
          <w:jc w:val="center"/>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B03" w:rsidRPr="00390B03" w:rsidRDefault="00390B03" w:rsidP="007C6CB7">
            <w:pPr>
              <w:pStyle w:val="TxtListado"/>
              <w:rPr>
                <w:b/>
                <w:sz w:val="18"/>
                <w:szCs w:val="18"/>
              </w:rPr>
            </w:pPr>
            <w:r w:rsidRPr="00390B03">
              <w:rPr>
                <w:b/>
                <w:sz w:val="18"/>
                <w:szCs w:val="18"/>
              </w:rPr>
              <w:t>Concepto</w:t>
            </w:r>
          </w:p>
        </w:tc>
        <w:tc>
          <w:tcPr>
            <w:tcW w:w="3371" w:type="dxa"/>
            <w:tcBorders>
              <w:left w:val="single" w:sz="4" w:space="0" w:color="auto"/>
            </w:tcBorders>
            <w:shd w:val="clear" w:color="auto" w:fill="D9D9D9" w:themeFill="background1" w:themeFillShade="D9"/>
            <w:vAlign w:val="center"/>
          </w:tcPr>
          <w:p w:rsidR="00390B03" w:rsidRPr="00390B03" w:rsidRDefault="00390B03" w:rsidP="007C6CB7">
            <w:pPr>
              <w:pStyle w:val="TxtListado"/>
              <w:jc w:val="center"/>
              <w:rPr>
                <w:b/>
                <w:sz w:val="18"/>
                <w:szCs w:val="18"/>
              </w:rPr>
            </w:pPr>
            <w:r w:rsidRPr="00390B03">
              <w:rPr>
                <w:b/>
                <w:sz w:val="18"/>
                <w:szCs w:val="18"/>
              </w:rPr>
              <w:t>Contraprestación (por evento)</w:t>
            </w:r>
          </w:p>
        </w:tc>
      </w:tr>
      <w:tr w:rsidR="00390B03" w:rsidRPr="00390B03" w:rsidTr="007C6CB7">
        <w:trPr>
          <w:trHeight w:val="92"/>
          <w:jc w:val="center"/>
        </w:trPr>
        <w:tc>
          <w:tcPr>
            <w:tcW w:w="4680" w:type="dxa"/>
            <w:tcBorders>
              <w:top w:val="single" w:sz="4" w:space="0" w:color="auto"/>
            </w:tcBorders>
            <w:shd w:val="clear" w:color="auto" w:fill="auto"/>
            <w:vAlign w:val="center"/>
          </w:tcPr>
          <w:p w:rsidR="00390B03" w:rsidRPr="00390B03" w:rsidRDefault="00390B03" w:rsidP="007C6CB7">
            <w:pPr>
              <w:pStyle w:val="TxtListado"/>
              <w:tabs>
                <w:tab w:val="center" w:pos="1878"/>
              </w:tabs>
              <w:jc w:val="both"/>
              <w:rPr>
                <w:sz w:val="18"/>
                <w:szCs w:val="18"/>
              </w:rPr>
            </w:pPr>
            <w:r w:rsidRPr="00390B03">
              <w:rPr>
                <w:sz w:val="18"/>
                <w:szCs w:val="18"/>
              </w:rPr>
              <w:t>Gastos de Instalación</w:t>
            </w:r>
            <w:r w:rsidRPr="00390B03">
              <w:rPr>
                <w:rStyle w:val="Refdenotaalpie"/>
                <w:sz w:val="18"/>
                <w:szCs w:val="18"/>
              </w:rPr>
              <w:footnoteReference w:id="19"/>
            </w:r>
          </w:p>
        </w:tc>
        <w:tc>
          <w:tcPr>
            <w:tcW w:w="3371" w:type="dxa"/>
            <w:shd w:val="clear" w:color="auto" w:fill="auto"/>
            <w:vAlign w:val="center"/>
          </w:tcPr>
          <w:p w:rsidR="00390B03" w:rsidRPr="00390B03" w:rsidRDefault="00390B03" w:rsidP="00E0585E">
            <w:pPr>
              <w:pStyle w:val="TxtListado"/>
              <w:jc w:val="center"/>
              <w:rPr>
                <w:sz w:val="18"/>
                <w:szCs w:val="18"/>
              </w:rPr>
            </w:pPr>
            <w:r w:rsidRPr="00390B03">
              <w:rPr>
                <w:sz w:val="18"/>
                <w:szCs w:val="18"/>
              </w:rPr>
              <w:t>$</w:t>
            </w:r>
            <w:r w:rsidR="00617DB1">
              <w:rPr>
                <w:sz w:val="18"/>
                <w:szCs w:val="18"/>
              </w:rPr>
              <w:t>135,714.66</w:t>
            </w:r>
            <w:r w:rsidRPr="00390B03">
              <w:rPr>
                <w:sz w:val="18"/>
                <w:szCs w:val="18"/>
              </w:rPr>
              <w:t xml:space="preserve"> M.N.</w:t>
            </w:r>
          </w:p>
        </w:tc>
      </w:tr>
    </w:tbl>
    <w:p w:rsidR="00390B03" w:rsidRDefault="00390B03" w:rsidP="00390B03">
      <w:pPr>
        <w:pStyle w:val="IFTnormal"/>
        <w:spacing w:before="240"/>
        <w:rPr>
          <w:i/>
        </w:rPr>
      </w:pPr>
    </w:p>
    <w:tbl>
      <w:tblPr>
        <w:tblStyle w:val="Tablaconcuadrcula"/>
        <w:tblW w:w="0" w:type="auto"/>
        <w:jc w:val="center"/>
        <w:tblLook w:val="04A0" w:firstRow="1" w:lastRow="0" w:firstColumn="1" w:lastColumn="0" w:noHBand="0" w:noVBand="1"/>
        <w:tblCaption w:val="Tabla"/>
        <w:tblDescription w:val="Velocidad del servicio"/>
      </w:tblPr>
      <w:tblGrid>
        <w:gridCol w:w="2483"/>
        <w:gridCol w:w="3897"/>
      </w:tblGrid>
      <w:tr w:rsidR="00390B03" w:rsidRPr="00390B03" w:rsidTr="00403494">
        <w:trPr>
          <w:trHeight w:val="41"/>
          <w:tblHeader/>
          <w:jc w:val="center"/>
        </w:trPr>
        <w:tc>
          <w:tcPr>
            <w:tcW w:w="2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B03" w:rsidRPr="00390B03" w:rsidRDefault="00390B03" w:rsidP="007C6CB7">
            <w:pPr>
              <w:pStyle w:val="TxtListado"/>
              <w:jc w:val="center"/>
              <w:rPr>
                <w:b/>
                <w:sz w:val="18"/>
                <w:szCs w:val="18"/>
              </w:rPr>
            </w:pPr>
            <w:r w:rsidRPr="00390B03">
              <w:rPr>
                <w:b/>
                <w:sz w:val="18"/>
                <w:szCs w:val="18"/>
              </w:rPr>
              <w:t>Velocidad del servicio</w:t>
            </w:r>
          </w:p>
        </w:tc>
        <w:tc>
          <w:tcPr>
            <w:tcW w:w="3897" w:type="dxa"/>
            <w:tcBorders>
              <w:left w:val="single" w:sz="4" w:space="0" w:color="auto"/>
            </w:tcBorders>
            <w:shd w:val="clear" w:color="auto" w:fill="D9D9D9" w:themeFill="background1" w:themeFillShade="D9"/>
            <w:vAlign w:val="center"/>
          </w:tcPr>
          <w:p w:rsidR="00390B03" w:rsidRPr="00390B03" w:rsidRDefault="00390B03" w:rsidP="007C6CB7">
            <w:pPr>
              <w:pStyle w:val="TxtListado"/>
              <w:jc w:val="center"/>
              <w:rPr>
                <w:b/>
                <w:sz w:val="18"/>
                <w:szCs w:val="18"/>
              </w:rPr>
            </w:pPr>
            <w:r w:rsidRPr="00390B03">
              <w:rPr>
                <w:b/>
                <w:sz w:val="18"/>
                <w:szCs w:val="18"/>
              </w:rPr>
              <w:t>Contraprestación mensual</w:t>
            </w:r>
          </w:p>
        </w:tc>
      </w:tr>
      <w:tr w:rsidR="00390B03" w:rsidRPr="00390B03" w:rsidTr="007C6CB7">
        <w:trPr>
          <w:trHeight w:val="65"/>
          <w:jc w:val="center"/>
        </w:trPr>
        <w:tc>
          <w:tcPr>
            <w:tcW w:w="2483" w:type="dxa"/>
            <w:tcBorders>
              <w:top w:val="single" w:sz="4" w:space="0" w:color="auto"/>
            </w:tcBorders>
            <w:shd w:val="clear" w:color="auto" w:fill="auto"/>
          </w:tcPr>
          <w:p w:rsidR="00390B03" w:rsidRPr="00390B03" w:rsidRDefault="00390B03" w:rsidP="007C6CB7">
            <w:pPr>
              <w:pStyle w:val="TxtListado"/>
              <w:tabs>
                <w:tab w:val="center" w:pos="1878"/>
              </w:tabs>
              <w:jc w:val="both"/>
              <w:rPr>
                <w:sz w:val="18"/>
                <w:szCs w:val="18"/>
              </w:rPr>
            </w:pPr>
            <w:r w:rsidRPr="00390B03">
              <w:rPr>
                <w:sz w:val="18"/>
                <w:szCs w:val="18"/>
              </w:rPr>
              <w:t>STM-16</w:t>
            </w:r>
          </w:p>
        </w:tc>
        <w:tc>
          <w:tcPr>
            <w:tcW w:w="3897" w:type="dxa"/>
            <w:shd w:val="clear" w:color="auto" w:fill="auto"/>
            <w:vAlign w:val="center"/>
          </w:tcPr>
          <w:p w:rsidR="00390B03" w:rsidRPr="00390B03" w:rsidRDefault="00390B03" w:rsidP="00E0585E">
            <w:pPr>
              <w:pStyle w:val="TxtListado"/>
              <w:jc w:val="center"/>
              <w:rPr>
                <w:sz w:val="18"/>
                <w:szCs w:val="18"/>
              </w:rPr>
            </w:pPr>
            <w:r w:rsidRPr="00390B03">
              <w:rPr>
                <w:sz w:val="18"/>
                <w:szCs w:val="18"/>
              </w:rPr>
              <w:t>$</w:t>
            </w:r>
            <w:r w:rsidR="00E0585E">
              <w:rPr>
                <w:sz w:val="18"/>
                <w:szCs w:val="18"/>
              </w:rPr>
              <w:t>105,529.39</w:t>
            </w:r>
            <w:r w:rsidRPr="00390B03">
              <w:rPr>
                <w:sz w:val="18"/>
                <w:szCs w:val="18"/>
              </w:rPr>
              <w:t xml:space="preserve"> M.N.</w:t>
            </w:r>
          </w:p>
        </w:tc>
      </w:tr>
      <w:tr w:rsidR="00390B03" w:rsidRPr="00390B03" w:rsidTr="007C6CB7">
        <w:trPr>
          <w:trHeight w:val="65"/>
          <w:jc w:val="center"/>
        </w:trPr>
        <w:tc>
          <w:tcPr>
            <w:tcW w:w="2483" w:type="dxa"/>
            <w:shd w:val="clear" w:color="auto" w:fill="auto"/>
          </w:tcPr>
          <w:p w:rsidR="00390B03" w:rsidRPr="00390B03" w:rsidRDefault="00390B03" w:rsidP="007C6CB7">
            <w:pPr>
              <w:pStyle w:val="TxtListado"/>
              <w:jc w:val="both"/>
              <w:rPr>
                <w:sz w:val="18"/>
                <w:szCs w:val="18"/>
              </w:rPr>
            </w:pPr>
            <w:r w:rsidRPr="00390B03">
              <w:rPr>
                <w:sz w:val="18"/>
                <w:szCs w:val="18"/>
              </w:rPr>
              <w:t>STM-64</w:t>
            </w:r>
          </w:p>
        </w:tc>
        <w:tc>
          <w:tcPr>
            <w:tcW w:w="3897" w:type="dxa"/>
            <w:shd w:val="clear" w:color="auto" w:fill="auto"/>
            <w:vAlign w:val="center"/>
          </w:tcPr>
          <w:p w:rsidR="00390B03" w:rsidRPr="00390B03" w:rsidRDefault="00390B03" w:rsidP="00E0585E">
            <w:pPr>
              <w:pStyle w:val="TxtListado"/>
              <w:jc w:val="center"/>
              <w:rPr>
                <w:sz w:val="18"/>
                <w:szCs w:val="18"/>
              </w:rPr>
            </w:pPr>
            <w:r w:rsidRPr="00390B03">
              <w:rPr>
                <w:sz w:val="18"/>
                <w:szCs w:val="18"/>
              </w:rPr>
              <w:t>$</w:t>
            </w:r>
            <w:r w:rsidR="00E0585E">
              <w:rPr>
                <w:sz w:val="18"/>
                <w:szCs w:val="18"/>
              </w:rPr>
              <w:t>242,442.87</w:t>
            </w:r>
            <w:r w:rsidRPr="00390B03">
              <w:rPr>
                <w:sz w:val="18"/>
                <w:szCs w:val="18"/>
              </w:rPr>
              <w:t xml:space="preserve"> M.N.</w:t>
            </w:r>
          </w:p>
        </w:tc>
      </w:tr>
      <w:tr w:rsidR="00390B03" w:rsidRPr="00390B03" w:rsidTr="007C6CB7">
        <w:trPr>
          <w:trHeight w:val="65"/>
          <w:jc w:val="center"/>
        </w:trPr>
        <w:tc>
          <w:tcPr>
            <w:tcW w:w="2483" w:type="dxa"/>
            <w:shd w:val="clear" w:color="auto" w:fill="auto"/>
          </w:tcPr>
          <w:p w:rsidR="00390B03" w:rsidRPr="00390B03" w:rsidRDefault="00390B03" w:rsidP="007C6CB7">
            <w:pPr>
              <w:pStyle w:val="TxtListado"/>
              <w:jc w:val="both"/>
              <w:rPr>
                <w:sz w:val="18"/>
                <w:szCs w:val="18"/>
              </w:rPr>
            </w:pPr>
            <w:r w:rsidRPr="00390B03">
              <w:rPr>
                <w:sz w:val="18"/>
                <w:szCs w:val="18"/>
              </w:rPr>
              <w:t>1 GE</w:t>
            </w:r>
          </w:p>
        </w:tc>
        <w:tc>
          <w:tcPr>
            <w:tcW w:w="3897" w:type="dxa"/>
            <w:shd w:val="clear" w:color="auto" w:fill="auto"/>
          </w:tcPr>
          <w:p w:rsidR="00390B03" w:rsidRPr="00390B03" w:rsidRDefault="00390B03" w:rsidP="00E0585E">
            <w:pPr>
              <w:pStyle w:val="TxtListado"/>
              <w:jc w:val="center"/>
              <w:rPr>
                <w:sz w:val="18"/>
                <w:szCs w:val="18"/>
              </w:rPr>
            </w:pPr>
            <w:r w:rsidRPr="00390B03">
              <w:rPr>
                <w:sz w:val="18"/>
                <w:szCs w:val="18"/>
              </w:rPr>
              <w:t>$</w:t>
            </w:r>
            <w:r w:rsidR="00E0585E">
              <w:rPr>
                <w:sz w:val="18"/>
                <w:szCs w:val="18"/>
              </w:rPr>
              <w:t>40,094.22</w:t>
            </w:r>
            <w:r w:rsidRPr="00390B03">
              <w:rPr>
                <w:sz w:val="18"/>
                <w:szCs w:val="18"/>
              </w:rPr>
              <w:t xml:space="preserve"> M.N.</w:t>
            </w:r>
          </w:p>
        </w:tc>
      </w:tr>
      <w:tr w:rsidR="00390B03" w:rsidRPr="00390B03" w:rsidTr="007C6CB7">
        <w:trPr>
          <w:trHeight w:val="65"/>
          <w:jc w:val="center"/>
        </w:trPr>
        <w:tc>
          <w:tcPr>
            <w:tcW w:w="2483" w:type="dxa"/>
            <w:shd w:val="clear" w:color="auto" w:fill="auto"/>
          </w:tcPr>
          <w:p w:rsidR="00390B03" w:rsidRPr="00390B03" w:rsidRDefault="00390B03" w:rsidP="007C6CB7">
            <w:pPr>
              <w:pStyle w:val="TxtListado"/>
              <w:jc w:val="both"/>
              <w:rPr>
                <w:sz w:val="18"/>
                <w:szCs w:val="18"/>
              </w:rPr>
            </w:pPr>
            <w:r w:rsidRPr="00390B03">
              <w:rPr>
                <w:sz w:val="18"/>
                <w:szCs w:val="18"/>
              </w:rPr>
              <w:t>10 GE</w:t>
            </w:r>
          </w:p>
        </w:tc>
        <w:tc>
          <w:tcPr>
            <w:tcW w:w="3897" w:type="dxa"/>
            <w:shd w:val="clear" w:color="auto" w:fill="auto"/>
          </w:tcPr>
          <w:p w:rsidR="00390B03" w:rsidRPr="00390B03" w:rsidRDefault="00390B03" w:rsidP="00E0585E">
            <w:pPr>
              <w:pStyle w:val="TxtListado"/>
              <w:jc w:val="center"/>
              <w:rPr>
                <w:sz w:val="18"/>
                <w:szCs w:val="18"/>
              </w:rPr>
            </w:pPr>
            <w:r w:rsidRPr="00390B03">
              <w:rPr>
                <w:sz w:val="18"/>
                <w:szCs w:val="18"/>
              </w:rPr>
              <w:t>$</w:t>
            </w:r>
            <w:r w:rsidR="00E0585E">
              <w:rPr>
                <w:sz w:val="18"/>
                <w:szCs w:val="18"/>
              </w:rPr>
              <w:t>135,856.92</w:t>
            </w:r>
            <w:r w:rsidRPr="00390B03">
              <w:rPr>
                <w:sz w:val="18"/>
                <w:szCs w:val="18"/>
              </w:rPr>
              <w:t xml:space="preserve"> M.N.</w:t>
            </w:r>
          </w:p>
        </w:tc>
      </w:tr>
      <w:tr w:rsidR="00390B03" w:rsidRPr="00390B03" w:rsidTr="007C6CB7">
        <w:trPr>
          <w:trHeight w:val="65"/>
          <w:jc w:val="center"/>
        </w:trPr>
        <w:tc>
          <w:tcPr>
            <w:tcW w:w="2483" w:type="dxa"/>
            <w:shd w:val="clear" w:color="auto" w:fill="auto"/>
          </w:tcPr>
          <w:p w:rsidR="00390B03" w:rsidRPr="00390B03" w:rsidRDefault="00390B03" w:rsidP="007C6CB7">
            <w:pPr>
              <w:pStyle w:val="TxtListado"/>
              <w:jc w:val="both"/>
              <w:rPr>
                <w:sz w:val="18"/>
                <w:szCs w:val="18"/>
              </w:rPr>
            </w:pPr>
            <w:r w:rsidRPr="00390B03">
              <w:rPr>
                <w:sz w:val="18"/>
                <w:szCs w:val="18"/>
              </w:rPr>
              <w:t>100 GE</w:t>
            </w:r>
          </w:p>
        </w:tc>
        <w:tc>
          <w:tcPr>
            <w:tcW w:w="3897" w:type="dxa"/>
            <w:shd w:val="clear" w:color="auto" w:fill="auto"/>
          </w:tcPr>
          <w:p w:rsidR="00390B03" w:rsidRPr="00390B03" w:rsidRDefault="00390B03" w:rsidP="00E0585E">
            <w:pPr>
              <w:pStyle w:val="TxtListado"/>
              <w:jc w:val="center"/>
              <w:rPr>
                <w:sz w:val="18"/>
                <w:szCs w:val="18"/>
              </w:rPr>
            </w:pPr>
            <w:r w:rsidRPr="00390B03">
              <w:rPr>
                <w:sz w:val="18"/>
                <w:szCs w:val="18"/>
              </w:rPr>
              <w:t>$</w:t>
            </w:r>
            <w:r w:rsidR="00E0585E">
              <w:rPr>
                <w:sz w:val="18"/>
                <w:szCs w:val="18"/>
              </w:rPr>
              <w:t>460,343.23</w:t>
            </w:r>
            <w:r w:rsidRPr="00390B03">
              <w:rPr>
                <w:sz w:val="18"/>
                <w:szCs w:val="18"/>
              </w:rPr>
              <w:t xml:space="preserve"> M.N.</w:t>
            </w:r>
          </w:p>
        </w:tc>
      </w:tr>
    </w:tbl>
    <w:p w:rsidR="00390B03" w:rsidRPr="00CF37E4" w:rsidRDefault="00390B03" w:rsidP="00390B03">
      <w:pPr>
        <w:pStyle w:val="IFTnormal"/>
        <w:spacing w:before="240"/>
        <w:rPr>
          <w:i/>
        </w:rPr>
      </w:pPr>
    </w:p>
    <w:p w:rsidR="00390B03" w:rsidRPr="0046051E" w:rsidRDefault="00390B03" w:rsidP="00390B03">
      <w:pPr>
        <w:pStyle w:val="Texto"/>
        <w:numPr>
          <w:ilvl w:val="0"/>
          <w:numId w:val="223"/>
        </w:numPr>
        <w:spacing w:after="0" w:line="276" w:lineRule="auto"/>
        <w:rPr>
          <w:rFonts w:ascii="ITC Avant Garde" w:hAnsi="ITC Avant Garde"/>
          <w:b/>
          <w:sz w:val="22"/>
          <w:szCs w:val="22"/>
        </w:rPr>
      </w:pPr>
      <w:r w:rsidRPr="006957A1">
        <w:rPr>
          <w:rFonts w:ascii="ITC Avant Garde" w:hAnsi="ITC Avant Garde"/>
          <w:b/>
          <w:sz w:val="22"/>
          <w:szCs w:val="22"/>
        </w:rPr>
        <w:t xml:space="preserve">Actividades de apoyo </w:t>
      </w:r>
    </w:p>
    <w:p w:rsidR="00390B03" w:rsidRPr="0026758A" w:rsidRDefault="00390B03" w:rsidP="00390B03">
      <w:pPr>
        <w:pStyle w:val="Texto"/>
        <w:spacing w:after="0" w:line="276" w:lineRule="auto"/>
        <w:ind w:left="720" w:firstLine="0"/>
        <w:rPr>
          <w:rFonts w:ascii="ITC Avant Garde" w:hAnsi="ITC Avant Garde"/>
          <w:b/>
          <w:sz w:val="12"/>
          <w:szCs w:val="22"/>
        </w:rPr>
      </w:pPr>
    </w:p>
    <w:p w:rsidR="00390B03" w:rsidRDefault="00390B03" w:rsidP="00390B03">
      <w:pPr>
        <w:pStyle w:val="IFTnormal"/>
        <w:spacing w:before="240"/>
        <w:ind w:left="720"/>
        <w:rPr>
          <w:b/>
        </w:rPr>
      </w:pPr>
      <w:r>
        <w:rPr>
          <w:b/>
        </w:rPr>
        <w:lastRenderedPageBreak/>
        <w:t xml:space="preserve">a. </w:t>
      </w:r>
      <w:r w:rsidRPr="00B17D04">
        <w:rPr>
          <w:b/>
        </w:rPr>
        <w:t>Visita</w:t>
      </w:r>
      <w:r>
        <w:rPr>
          <w:b/>
        </w:rPr>
        <w:t>s</w:t>
      </w:r>
      <w:r w:rsidRPr="00B17D04">
        <w:rPr>
          <w:b/>
        </w:rPr>
        <w:t xml:space="preserve"> Técnica</w:t>
      </w:r>
      <w:r>
        <w:rPr>
          <w:b/>
        </w:rPr>
        <w:t>s</w:t>
      </w:r>
      <w:r w:rsidRPr="00B17D04">
        <w:rPr>
          <w:b/>
        </w:rPr>
        <w:t>.</w:t>
      </w:r>
    </w:p>
    <w:p w:rsidR="00A31107" w:rsidRDefault="00390B03" w:rsidP="00E0585E">
      <w:pPr>
        <w:pStyle w:val="CondicionesFinales"/>
        <w:rPr>
          <w:b/>
        </w:rPr>
      </w:pPr>
      <w:r>
        <w:t>Existen cinco tipos de visita que podrá solicitar el Concesionario Solicitante, el cobro dependerá de las actividades que se deban realizar para cada uno, dependiendo de la solicitud del Concesionario Solicitante.</w:t>
      </w:r>
    </w:p>
    <w:tbl>
      <w:tblPr>
        <w:tblStyle w:val="Tablanormal11"/>
        <w:tblW w:w="7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ipo de Visita Técnica"/>
      </w:tblPr>
      <w:tblGrid>
        <w:gridCol w:w="3848"/>
        <w:gridCol w:w="3248"/>
      </w:tblGrid>
      <w:tr w:rsidR="00390B03" w:rsidRPr="00C25263" w:rsidTr="007C6CB7">
        <w:trPr>
          <w:trHeight w:val="397"/>
          <w:tblHeader/>
          <w:jc w:val="center"/>
        </w:trPr>
        <w:tc>
          <w:tcPr>
            <w:tcW w:w="3848" w:type="dxa"/>
            <w:shd w:val="clear" w:color="auto" w:fill="D9D9D9" w:themeFill="background1" w:themeFillShade="D9"/>
            <w:vAlign w:val="center"/>
            <w:hideMark/>
          </w:tcPr>
          <w:p w:rsidR="00390B03" w:rsidRPr="00C25263" w:rsidRDefault="00390B03" w:rsidP="007C6CB7">
            <w:pPr>
              <w:pStyle w:val="Texto"/>
              <w:spacing w:after="0" w:line="240" w:lineRule="auto"/>
              <w:jc w:val="center"/>
              <w:rPr>
                <w:rFonts w:ascii="ITC Avant Garde" w:hAnsi="ITC Avant Garde"/>
                <w:lang w:val="es-MX"/>
              </w:rPr>
            </w:pPr>
            <w:r w:rsidRPr="00C25263">
              <w:rPr>
                <w:rFonts w:ascii="ITC Avant Garde" w:hAnsi="ITC Avant Garde"/>
                <w:b/>
                <w:bCs/>
                <w:lang w:val="es-MX"/>
              </w:rPr>
              <w:t>Tipo de Visita Técnica</w:t>
            </w:r>
          </w:p>
        </w:tc>
        <w:tc>
          <w:tcPr>
            <w:tcW w:w="3248" w:type="dxa"/>
            <w:shd w:val="clear" w:color="auto" w:fill="D9D9D9" w:themeFill="background1" w:themeFillShade="D9"/>
            <w:vAlign w:val="center"/>
            <w:hideMark/>
          </w:tcPr>
          <w:p w:rsidR="00390B03" w:rsidRPr="00C25263" w:rsidRDefault="00390B03" w:rsidP="007C6CB7">
            <w:pPr>
              <w:pStyle w:val="Texto"/>
              <w:spacing w:after="0" w:line="240" w:lineRule="auto"/>
              <w:ind w:hanging="14"/>
              <w:jc w:val="center"/>
              <w:rPr>
                <w:rFonts w:ascii="ITC Avant Garde" w:hAnsi="ITC Avant Garde"/>
                <w:lang w:val="es-MX"/>
              </w:rPr>
            </w:pPr>
            <w:r w:rsidRPr="00C25263">
              <w:rPr>
                <w:rFonts w:ascii="ITC Avant Garde" w:hAnsi="ITC Avant Garde"/>
                <w:b/>
                <w:bCs/>
                <w:lang w:val="es-MX"/>
              </w:rPr>
              <w:t>Contraprestación única</w:t>
            </w:r>
          </w:p>
        </w:tc>
      </w:tr>
      <w:tr w:rsidR="00390B03" w:rsidRPr="00C25263" w:rsidTr="007C6CB7">
        <w:trPr>
          <w:trHeight w:val="397"/>
          <w:jc w:val="center"/>
        </w:trPr>
        <w:tc>
          <w:tcPr>
            <w:tcW w:w="3848" w:type="dxa"/>
            <w:hideMark/>
          </w:tcPr>
          <w:p w:rsidR="00390B03" w:rsidRPr="00C25263" w:rsidRDefault="00390B03" w:rsidP="007C6CB7">
            <w:pPr>
              <w:pStyle w:val="Texto"/>
              <w:spacing w:after="0" w:line="240" w:lineRule="auto"/>
              <w:rPr>
                <w:rFonts w:ascii="ITC Avant Garde" w:hAnsi="ITC Avant Garde"/>
                <w:lang w:val="es-MX"/>
              </w:rPr>
            </w:pPr>
            <w:r w:rsidRPr="00C25263">
              <w:rPr>
                <w:rFonts w:ascii="ITC Avant Garde" w:hAnsi="ITC Avant Garde"/>
                <w:lang w:val="es-MX"/>
              </w:rPr>
              <w:t>Para Postes</w:t>
            </w:r>
          </w:p>
        </w:tc>
        <w:tc>
          <w:tcPr>
            <w:tcW w:w="3248" w:type="dxa"/>
            <w:hideMark/>
          </w:tcPr>
          <w:p w:rsidR="00390B03" w:rsidRPr="00C25263" w:rsidRDefault="00390B03" w:rsidP="007C6CB7">
            <w:pPr>
              <w:pStyle w:val="Texto"/>
              <w:spacing w:after="0" w:line="240" w:lineRule="auto"/>
              <w:jc w:val="center"/>
              <w:rPr>
                <w:rFonts w:ascii="ITC Avant Garde" w:hAnsi="ITC Avant Garde"/>
                <w:lang w:val="es-MX"/>
              </w:rPr>
            </w:pPr>
            <w:r w:rsidRPr="00C25263">
              <w:rPr>
                <w:rFonts w:ascii="ITC Avant Garde" w:hAnsi="ITC Avant Garde"/>
                <w:lang w:val="es-MX"/>
              </w:rPr>
              <w:t>$</w:t>
            </w:r>
            <w:r w:rsidRPr="00C25263" w:rsidDel="00AE566D">
              <w:rPr>
                <w:rFonts w:ascii="ITC Avant Garde" w:hAnsi="ITC Avant Garde"/>
                <w:lang w:val="es-MX"/>
              </w:rPr>
              <w:t>1,</w:t>
            </w:r>
            <w:r>
              <w:rPr>
                <w:rFonts w:ascii="ITC Avant Garde" w:hAnsi="ITC Avant Garde"/>
                <w:lang w:val="es-MX"/>
              </w:rPr>
              <w:t>391.33</w:t>
            </w:r>
            <w:r w:rsidRPr="00C25263">
              <w:rPr>
                <w:rFonts w:ascii="ITC Avant Garde" w:hAnsi="ITC Avant Garde"/>
                <w:lang w:val="es-MX"/>
              </w:rPr>
              <w:t xml:space="preserve"> M.N. por km</w:t>
            </w:r>
          </w:p>
        </w:tc>
      </w:tr>
      <w:tr w:rsidR="00390B03" w:rsidRPr="00C25263" w:rsidTr="007C6CB7">
        <w:trPr>
          <w:trHeight w:val="397"/>
          <w:jc w:val="center"/>
        </w:trPr>
        <w:tc>
          <w:tcPr>
            <w:tcW w:w="3848" w:type="dxa"/>
            <w:hideMark/>
          </w:tcPr>
          <w:p w:rsidR="00390B03" w:rsidRPr="00C25263" w:rsidRDefault="00390B03" w:rsidP="007C6CB7">
            <w:pPr>
              <w:pStyle w:val="Texto"/>
              <w:spacing w:after="0" w:line="240" w:lineRule="auto"/>
              <w:rPr>
                <w:rFonts w:ascii="ITC Avant Garde" w:hAnsi="ITC Avant Garde"/>
                <w:lang w:val="es-MX"/>
              </w:rPr>
            </w:pPr>
            <w:r w:rsidRPr="00C25263">
              <w:rPr>
                <w:rFonts w:ascii="ITC Avant Garde" w:hAnsi="ITC Avant Garde"/>
                <w:lang w:val="es-MX"/>
              </w:rPr>
              <w:t>Para Pozos y Canalizaciones</w:t>
            </w:r>
          </w:p>
        </w:tc>
        <w:tc>
          <w:tcPr>
            <w:tcW w:w="3248" w:type="dxa"/>
            <w:hideMark/>
          </w:tcPr>
          <w:p w:rsidR="00390B03" w:rsidRPr="00C25263" w:rsidRDefault="00390B03" w:rsidP="007C6CB7">
            <w:pPr>
              <w:pStyle w:val="Texto"/>
              <w:spacing w:after="0" w:line="240" w:lineRule="auto"/>
              <w:jc w:val="center"/>
              <w:rPr>
                <w:rFonts w:ascii="ITC Avant Garde" w:hAnsi="ITC Avant Garde"/>
                <w:lang w:val="es-MX"/>
              </w:rPr>
            </w:pPr>
            <w:r w:rsidRPr="00C25263">
              <w:rPr>
                <w:rFonts w:ascii="ITC Avant Garde" w:hAnsi="ITC Avant Garde"/>
                <w:lang w:val="es-MX"/>
              </w:rPr>
              <w:t>$</w:t>
            </w:r>
            <w:r>
              <w:rPr>
                <w:rFonts w:ascii="ITC Avant Garde" w:hAnsi="ITC Avant Garde"/>
                <w:lang w:val="es-MX"/>
              </w:rPr>
              <w:t>6,968.33</w:t>
            </w:r>
            <w:r w:rsidRPr="00C25263">
              <w:rPr>
                <w:rFonts w:ascii="ITC Avant Garde" w:hAnsi="ITC Avant Garde"/>
                <w:lang w:val="es-MX"/>
              </w:rPr>
              <w:t xml:space="preserve"> M.N. por km</w:t>
            </w:r>
          </w:p>
        </w:tc>
      </w:tr>
      <w:tr w:rsidR="00390B03" w:rsidRPr="00C25263" w:rsidTr="007C6CB7">
        <w:trPr>
          <w:trHeight w:val="397"/>
          <w:jc w:val="center"/>
        </w:trPr>
        <w:tc>
          <w:tcPr>
            <w:tcW w:w="3848" w:type="dxa"/>
          </w:tcPr>
          <w:p w:rsidR="00390B03" w:rsidRPr="00C25263" w:rsidRDefault="00390B03" w:rsidP="007C6CB7">
            <w:pPr>
              <w:pStyle w:val="Texto"/>
              <w:spacing w:after="0" w:line="240" w:lineRule="auto"/>
              <w:rPr>
                <w:rFonts w:ascii="ITC Avant Garde" w:hAnsi="ITC Avant Garde"/>
                <w:lang w:val="es-MX"/>
              </w:rPr>
            </w:pPr>
            <w:r>
              <w:rPr>
                <w:rFonts w:ascii="ITC Avant Garde" w:hAnsi="ITC Avant Garde"/>
                <w:lang w:val="es-MX"/>
              </w:rPr>
              <w:t>Para el servicio de Torres</w:t>
            </w:r>
          </w:p>
        </w:tc>
        <w:tc>
          <w:tcPr>
            <w:tcW w:w="3248" w:type="dxa"/>
          </w:tcPr>
          <w:p w:rsidR="00390B03" w:rsidRPr="00C25263" w:rsidRDefault="00390B03" w:rsidP="007C6CB7">
            <w:pPr>
              <w:pStyle w:val="Texto"/>
              <w:spacing w:after="0" w:line="240" w:lineRule="auto"/>
              <w:jc w:val="center"/>
              <w:rPr>
                <w:rFonts w:ascii="ITC Avant Garde" w:hAnsi="ITC Avant Garde"/>
                <w:lang w:val="es-MX"/>
              </w:rPr>
            </w:pPr>
            <w:r w:rsidRPr="00C25263">
              <w:rPr>
                <w:rFonts w:ascii="ITC Avant Garde" w:hAnsi="ITC Avant Garde"/>
                <w:lang w:val="es-MX"/>
              </w:rPr>
              <w:t>$</w:t>
            </w:r>
            <w:r>
              <w:rPr>
                <w:rFonts w:ascii="ITC Avant Garde" w:hAnsi="ITC Avant Garde"/>
                <w:lang w:val="es-MX"/>
              </w:rPr>
              <w:t>11,691.82</w:t>
            </w:r>
            <w:r w:rsidRPr="00C25263">
              <w:rPr>
                <w:rFonts w:ascii="ITC Avant Garde" w:hAnsi="ITC Avant Garde"/>
                <w:lang w:val="es-MX"/>
              </w:rPr>
              <w:t xml:space="preserve"> M.N. por </w:t>
            </w:r>
            <w:r>
              <w:rPr>
                <w:rFonts w:ascii="ITC Avant Garde" w:hAnsi="ITC Avant Garde"/>
                <w:lang w:val="es-MX"/>
              </w:rPr>
              <w:t>Torre</w:t>
            </w:r>
          </w:p>
        </w:tc>
      </w:tr>
      <w:tr w:rsidR="00390B03" w:rsidRPr="00C25263" w:rsidTr="007C6CB7">
        <w:trPr>
          <w:trHeight w:val="397"/>
          <w:jc w:val="center"/>
        </w:trPr>
        <w:tc>
          <w:tcPr>
            <w:tcW w:w="3848" w:type="dxa"/>
          </w:tcPr>
          <w:p w:rsidR="00390B03" w:rsidRDefault="00390B03" w:rsidP="007C6CB7">
            <w:pPr>
              <w:pStyle w:val="Texto"/>
              <w:spacing w:after="0" w:line="240" w:lineRule="auto"/>
              <w:rPr>
                <w:rFonts w:ascii="ITC Avant Garde" w:hAnsi="ITC Avant Garde"/>
                <w:lang w:val="es-MX"/>
              </w:rPr>
            </w:pPr>
            <w:r>
              <w:rPr>
                <w:rFonts w:ascii="ITC Avant Garde" w:hAnsi="ITC Avant Garde"/>
                <w:lang w:val="es-MX"/>
              </w:rPr>
              <w:t>Para Sitios, Predios y Espacios Físicos*</w:t>
            </w:r>
          </w:p>
        </w:tc>
        <w:tc>
          <w:tcPr>
            <w:tcW w:w="3248" w:type="dxa"/>
          </w:tcPr>
          <w:p w:rsidR="00390B03" w:rsidRDefault="00390B03" w:rsidP="007C6CB7">
            <w:pPr>
              <w:pStyle w:val="Texto"/>
              <w:spacing w:after="0" w:line="240" w:lineRule="auto"/>
              <w:jc w:val="center"/>
              <w:rPr>
                <w:rFonts w:ascii="ITC Avant Garde" w:hAnsi="ITC Avant Garde"/>
                <w:lang w:val="es-MX"/>
              </w:rPr>
            </w:pPr>
            <w:r w:rsidRPr="00C25263">
              <w:rPr>
                <w:rFonts w:ascii="ITC Avant Garde" w:hAnsi="ITC Avant Garde"/>
                <w:lang w:val="es-MX"/>
              </w:rPr>
              <w:t>$</w:t>
            </w:r>
            <w:r>
              <w:rPr>
                <w:rFonts w:ascii="ITC Avant Garde" w:hAnsi="ITC Avant Garde"/>
                <w:lang w:val="es-MX"/>
              </w:rPr>
              <w:t>5,714.38 M.N. por Predio</w:t>
            </w:r>
          </w:p>
        </w:tc>
      </w:tr>
      <w:tr w:rsidR="00390B03" w:rsidRPr="00C25263" w:rsidTr="007C6CB7">
        <w:trPr>
          <w:trHeight w:val="397"/>
          <w:jc w:val="center"/>
        </w:trPr>
        <w:tc>
          <w:tcPr>
            <w:tcW w:w="3848" w:type="dxa"/>
          </w:tcPr>
          <w:p w:rsidR="00390B03" w:rsidRDefault="00390B03" w:rsidP="007C6CB7">
            <w:pPr>
              <w:pStyle w:val="Texto"/>
              <w:spacing w:after="0" w:line="240" w:lineRule="auto"/>
              <w:rPr>
                <w:rFonts w:ascii="ITC Avant Garde" w:hAnsi="ITC Avant Garde"/>
                <w:lang w:val="es-MX"/>
              </w:rPr>
            </w:pPr>
            <w:r>
              <w:rPr>
                <w:rFonts w:ascii="ITC Avant Garde" w:hAnsi="ITC Avant Garde"/>
                <w:lang w:val="es-MX"/>
              </w:rPr>
              <w:t>Para Tendido de Cable sobre Infraestructura Desagregada.</w:t>
            </w:r>
          </w:p>
        </w:tc>
        <w:tc>
          <w:tcPr>
            <w:tcW w:w="3248" w:type="dxa"/>
          </w:tcPr>
          <w:p w:rsidR="00390B03" w:rsidRDefault="00390B03" w:rsidP="007C6CB7">
            <w:pPr>
              <w:pStyle w:val="Texto"/>
              <w:spacing w:after="0" w:line="240" w:lineRule="auto"/>
              <w:jc w:val="center"/>
              <w:rPr>
                <w:rFonts w:ascii="ITC Avant Garde" w:hAnsi="ITC Avant Garde"/>
                <w:lang w:val="es-MX"/>
              </w:rPr>
            </w:pPr>
            <w:r w:rsidRPr="00C25263">
              <w:rPr>
                <w:rFonts w:ascii="ITC Avant Garde" w:hAnsi="ITC Avant Garde"/>
                <w:lang w:val="es-MX"/>
              </w:rPr>
              <w:t>$</w:t>
            </w:r>
            <w:r>
              <w:rPr>
                <w:rFonts w:ascii="ITC Avant Garde" w:hAnsi="ITC Avant Garde"/>
                <w:lang w:val="es-MX"/>
              </w:rPr>
              <w:t>5,714.38 M.N. por Evento</w:t>
            </w:r>
          </w:p>
        </w:tc>
      </w:tr>
    </w:tbl>
    <w:p w:rsidR="00A31107" w:rsidRDefault="00390B03" w:rsidP="00E0585E">
      <w:pPr>
        <w:pStyle w:val="CondicionesFinales"/>
        <w:rPr>
          <w:rFonts w:eastAsiaTheme="minorEastAsia"/>
        </w:rPr>
      </w:pPr>
      <w:r>
        <w:rPr>
          <w:rFonts w:eastAsiaTheme="minorEastAsia"/>
        </w:rPr>
        <w:t>*</w:t>
      </w:r>
      <w:r w:rsidRPr="00AE566D">
        <w:rPr>
          <w:rFonts w:eastAsiaTheme="minorEastAsia"/>
        </w:rPr>
        <w:t xml:space="preserve"> Sólo para el servicio de sitios, predios y espacios físicos la unidad base para el cobro es: periodo de 8 horas</w:t>
      </w:r>
      <w:r>
        <w:rPr>
          <w:rFonts w:eastAsiaTheme="minorEastAsia"/>
        </w:rPr>
        <w:t>.</w:t>
      </w:r>
    </w:p>
    <w:p w:rsidR="00A31107" w:rsidRDefault="00390B03" w:rsidP="00D62984">
      <w:pPr>
        <w:pStyle w:val="CondicionesFinales"/>
        <w:jc w:val="center"/>
        <w:rPr>
          <w:rFonts w:eastAsiaTheme="minorEastAsia"/>
        </w:rPr>
      </w:pPr>
      <w:r w:rsidRPr="00AE566D">
        <w:rPr>
          <w:rFonts w:eastAsiaTheme="minorEastAsia"/>
        </w:rPr>
        <w:t>Cobro único: unidad base * número total de días de visita</w:t>
      </w:r>
    </w:p>
    <w:p w:rsidR="00A31107" w:rsidRDefault="00390B03" w:rsidP="00E0585E">
      <w:pPr>
        <w:pStyle w:val="CondicionesFinales"/>
        <w:rPr>
          <w:rFonts w:eastAsiaTheme="minorEastAsia"/>
        </w:rPr>
      </w:pPr>
      <w:r w:rsidRPr="00C25263">
        <w:rPr>
          <w:rFonts w:eastAsiaTheme="minorEastAsia"/>
        </w:rPr>
        <w:t>Si es necesario realizar trabajos adicionales, el Concesionario Solicitante deberá cubrir la totalidad de los costos de las actividades de:</w:t>
      </w:r>
    </w:p>
    <w:tbl>
      <w:tblPr>
        <w:tblStyle w:val="Tablanormal1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Contraprestación única"/>
      </w:tblPr>
      <w:tblGrid>
        <w:gridCol w:w="3685"/>
        <w:gridCol w:w="3685"/>
      </w:tblGrid>
      <w:tr w:rsidR="00390B03" w:rsidRPr="00C25263" w:rsidTr="007C6CB7">
        <w:trPr>
          <w:trHeight w:val="283"/>
          <w:tblHeader/>
          <w:jc w:val="center"/>
        </w:trPr>
        <w:tc>
          <w:tcPr>
            <w:tcW w:w="3685" w:type="dxa"/>
            <w:shd w:val="clear" w:color="auto" w:fill="D9D9D9" w:themeFill="background1" w:themeFillShade="D9"/>
            <w:vAlign w:val="center"/>
            <w:hideMark/>
          </w:tcPr>
          <w:p w:rsidR="00390B03" w:rsidRPr="00C25263" w:rsidRDefault="00390B03" w:rsidP="007C6CB7">
            <w:pPr>
              <w:pStyle w:val="IFTnormal"/>
              <w:spacing w:after="0" w:line="240" w:lineRule="auto"/>
              <w:jc w:val="center"/>
              <w:rPr>
                <w:sz w:val="18"/>
                <w:szCs w:val="18"/>
              </w:rPr>
            </w:pPr>
            <w:r w:rsidRPr="00C25263">
              <w:rPr>
                <w:b/>
                <w:sz w:val="18"/>
                <w:szCs w:val="18"/>
              </w:rPr>
              <w:t>Concepto</w:t>
            </w:r>
          </w:p>
        </w:tc>
        <w:tc>
          <w:tcPr>
            <w:tcW w:w="3685" w:type="dxa"/>
            <w:shd w:val="clear" w:color="auto" w:fill="D9D9D9" w:themeFill="background1" w:themeFillShade="D9"/>
            <w:vAlign w:val="center"/>
            <w:hideMark/>
          </w:tcPr>
          <w:p w:rsidR="00390B03" w:rsidRPr="00C25263" w:rsidRDefault="00390B03" w:rsidP="007C6CB7">
            <w:pPr>
              <w:pStyle w:val="IFTnormal"/>
              <w:spacing w:after="0" w:line="240" w:lineRule="auto"/>
              <w:ind w:left="112"/>
              <w:jc w:val="center"/>
              <w:rPr>
                <w:sz w:val="18"/>
                <w:szCs w:val="18"/>
              </w:rPr>
            </w:pPr>
            <w:r w:rsidRPr="00C25263">
              <w:rPr>
                <w:b/>
                <w:sz w:val="18"/>
                <w:szCs w:val="18"/>
              </w:rPr>
              <w:t>Contraprestación única</w:t>
            </w:r>
          </w:p>
        </w:tc>
      </w:tr>
      <w:tr w:rsidR="00390B03" w:rsidRPr="00C25263" w:rsidTr="007C6CB7">
        <w:trPr>
          <w:trHeight w:val="283"/>
          <w:jc w:val="center"/>
        </w:trPr>
        <w:tc>
          <w:tcPr>
            <w:tcW w:w="3685" w:type="dxa"/>
            <w:hideMark/>
          </w:tcPr>
          <w:p w:rsidR="00390B03" w:rsidRPr="00C25263" w:rsidRDefault="00390B03" w:rsidP="007C6CB7">
            <w:pPr>
              <w:pStyle w:val="IFTnormal"/>
              <w:spacing w:after="0" w:line="240" w:lineRule="auto"/>
              <w:ind w:left="-135"/>
              <w:jc w:val="center"/>
              <w:rPr>
                <w:sz w:val="18"/>
                <w:szCs w:val="18"/>
              </w:rPr>
            </w:pPr>
            <w:r w:rsidRPr="00C25263">
              <w:rPr>
                <w:sz w:val="18"/>
                <w:szCs w:val="18"/>
              </w:rPr>
              <w:t>Apertura de un pozo</w:t>
            </w:r>
          </w:p>
        </w:tc>
        <w:tc>
          <w:tcPr>
            <w:tcW w:w="3685" w:type="dxa"/>
            <w:hideMark/>
          </w:tcPr>
          <w:p w:rsidR="00390B03" w:rsidRPr="00C25263" w:rsidRDefault="00390B03" w:rsidP="007C6CB7">
            <w:pPr>
              <w:pStyle w:val="IFTnormal"/>
              <w:spacing w:after="0" w:line="240" w:lineRule="auto"/>
              <w:jc w:val="center"/>
              <w:rPr>
                <w:sz w:val="18"/>
                <w:szCs w:val="18"/>
              </w:rPr>
            </w:pPr>
            <w:r w:rsidRPr="00C25263">
              <w:rPr>
                <w:sz w:val="18"/>
                <w:szCs w:val="18"/>
              </w:rPr>
              <w:t>$</w:t>
            </w:r>
            <w:r>
              <w:rPr>
                <w:sz w:val="18"/>
                <w:szCs w:val="18"/>
              </w:rPr>
              <w:t>473.52</w:t>
            </w:r>
            <w:r w:rsidRPr="00C25263">
              <w:rPr>
                <w:sz w:val="18"/>
                <w:szCs w:val="18"/>
              </w:rPr>
              <w:t xml:space="preserve"> M.N. por evento</w:t>
            </w:r>
          </w:p>
        </w:tc>
      </w:tr>
      <w:tr w:rsidR="00390B03" w:rsidRPr="00C25263" w:rsidTr="007C6CB7">
        <w:trPr>
          <w:trHeight w:val="283"/>
          <w:jc w:val="center"/>
        </w:trPr>
        <w:tc>
          <w:tcPr>
            <w:tcW w:w="3685" w:type="dxa"/>
            <w:hideMark/>
          </w:tcPr>
          <w:p w:rsidR="00390B03" w:rsidRPr="00C25263" w:rsidRDefault="00390B03" w:rsidP="007C6CB7">
            <w:pPr>
              <w:pStyle w:val="IFTnormal"/>
              <w:spacing w:after="0" w:line="240" w:lineRule="auto"/>
              <w:ind w:left="-135"/>
              <w:jc w:val="center"/>
              <w:rPr>
                <w:sz w:val="18"/>
                <w:szCs w:val="18"/>
              </w:rPr>
            </w:pPr>
            <w:r w:rsidRPr="00C25263">
              <w:rPr>
                <w:sz w:val="18"/>
                <w:szCs w:val="18"/>
              </w:rPr>
              <w:t>Desazolve de un pozo</w:t>
            </w:r>
          </w:p>
        </w:tc>
        <w:tc>
          <w:tcPr>
            <w:tcW w:w="3685" w:type="dxa"/>
            <w:hideMark/>
          </w:tcPr>
          <w:p w:rsidR="00390B03" w:rsidRPr="00C25263" w:rsidRDefault="00390B03" w:rsidP="007C6CB7">
            <w:pPr>
              <w:pStyle w:val="IFTnormal"/>
              <w:spacing w:after="0" w:line="240" w:lineRule="auto"/>
              <w:jc w:val="center"/>
              <w:rPr>
                <w:sz w:val="18"/>
                <w:szCs w:val="18"/>
              </w:rPr>
            </w:pPr>
            <w:r w:rsidRPr="00C25263">
              <w:rPr>
                <w:sz w:val="18"/>
                <w:szCs w:val="18"/>
              </w:rPr>
              <w:t>$</w:t>
            </w:r>
            <w:r>
              <w:rPr>
                <w:sz w:val="18"/>
                <w:szCs w:val="18"/>
              </w:rPr>
              <w:t>666.43</w:t>
            </w:r>
            <w:r w:rsidRPr="00C25263">
              <w:rPr>
                <w:sz w:val="18"/>
                <w:szCs w:val="18"/>
              </w:rPr>
              <w:t xml:space="preserve"> M.N. por evento</w:t>
            </w:r>
          </w:p>
        </w:tc>
      </w:tr>
      <w:tr w:rsidR="00390B03" w:rsidRPr="00C25263" w:rsidTr="007C6CB7">
        <w:trPr>
          <w:trHeight w:val="283"/>
          <w:jc w:val="center"/>
        </w:trPr>
        <w:tc>
          <w:tcPr>
            <w:tcW w:w="3685" w:type="dxa"/>
            <w:hideMark/>
          </w:tcPr>
          <w:p w:rsidR="00390B03" w:rsidRPr="00C25263" w:rsidRDefault="00390B03" w:rsidP="007C6CB7">
            <w:pPr>
              <w:pStyle w:val="IFTnormal"/>
              <w:spacing w:after="0" w:line="240" w:lineRule="auto"/>
              <w:ind w:left="-135"/>
              <w:jc w:val="center"/>
              <w:rPr>
                <w:sz w:val="18"/>
                <w:szCs w:val="18"/>
              </w:rPr>
            </w:pPr>
            <w:r w:rsidRPr="00C25263">
              <w:rPr>
                <w:sz w:val="18"/>
                <w:szCs w:val="18"/>
              </w:rPr>
              <w:t>Desagüe de un pozo</w:t>
            </w:r>
          </w:p>
        </w:tc>
        <w:tc>
          <w:tcPr>
            <w:tcW w:w="3685" w:type="dxa"/>
            <w:hideMark/>
          </w:tcPr>
          <w:p w:rsidR="00390B03" w:rsidRPr="00C25263" w:rsidRDefault="00390B03" w:rsidP="007C6CB7">
            <w:pPr>
              <w:pStyle w:val="IFTnormal"/>
              <w:spacing w:after="0" w:line="240" w:lineRule="auto"/>
              <w:jc w:val="center"/>
              <w:rPr>
                <w:sz w:val="18"/>
                <w:szCs w:val="18"/>
              </w:rPr>
            </w:pPr>
            <w:r w:rsidRPr="00C25263">
              <w:rPr>
                <w:sz w:val="18"/>
                <w:szCs w:val="18"/>
              </w:rPr>
              <w:t>$</w:t>
            </w:r>
            <w:r>
              <w:rPr>
                <w:sz w:val="18"/>
                <w:szCs w:val="18"/>
              </w:rPr>
              <w:t>417.98</w:t>
            </w:r>
            <w:r w:rsidRPr="00C25263">
              <w:rPr>
                <w:sz w:val="18"/>
                <w:szCs w:val="18"/>
              </w:rPr>
              <w:t xml:space="preserve"> M.N. por evento</w:t>
            </w:r>
          </w:p>
        </w:tc>
      </w:tr>
    </w:tbl>
    <w:p w:rsidR="004874D0" w:rsidRDefault="004874D0" w:rsidP="00390B03">
      <w:pPr>
        <w:pStyle w:val="IFTnormal"/>
        <w:spacing w:before="240"/>
        <w:ind w:left="720"/>
        <w:rPr>
          <w:b/>
        </w:rPr>
      </w:pPr>
    </w:p>
    <w:p w:rsidR="004874D0" w:rsidRDefault="00390B03" w:rsidP="004874D0">
      <w:pPr>
        <w:pStyle w:val="IFTnormal"/>
        <w:spacing w:before="240"/>
        <w:ind w:left="720"/>
        <w:rPr>
          <w:b/>
        </w:rPr>
      </w:pPr>
      <w:r>
        <w:rPr>
          <w:b/>
        </w:rPr>
        <w:t xml:space="preserve">b. </w:t>
      </w:r>
      <w:r w:rsidRPr="00C25263">
        <w:rPr>
          <w:b/>
        </w:rPr>
        <w:t>Análisis de Factibilidad.</w:t>
      </w:r>
    </w:p>
    <w:p w:rsidR="004874D0" w:rsidRPr="00C25263" w:rsidRDefault="004874D0" w:rsidP="004874D0">
      <w:pPr>
        <w:pStyle w:val="IFTnormal"/>
        <w:spacing w:before="240"/>
        <w:ind w:left="720"/>
        <w:rPr>
          <w:b/>
        </w:rPr>
      </w:pPr>
    </w:p>
    <w:p w:rsidR="00A31107" w:rsidRDefault="00390B03" w:rsidP="00E0585E">
      <w:pPr>
        <w:pStyle w:val="CondicionesFinales"/>
      </w:pPr>
      <w:r>
        <w:t>El Análisis de Factibilidad consiste en la evaluación del anteproyecto o solicitud de Compartición de Infraestructura Pasiva presentado por el Concesionario Solicitante. El Análisis de Factibilidad puede ser de la siguiente manera:</w:t>
      </w:r>
    </w:p>
    <w:p w:rsidR="004874D0" w:rsidRDefault="004874D0" w:rsidP="00E0585E">
      <w:pPr>
        <w:pStyle w:val="CondicionesFinales"/>
      </w:pPr>
    </w:p>
    <w:tbl>
      <w:tblPr>
        <w:tblStyle w:val="Cuadrculadetablaclara1"/>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ipo de análisis de factibilidad"/>
      </w:tblPr>
      <w:tblGrid>
        <w:gridCol w:w="5529"/>
        <w:gridCol w:w="2976"/>
      </w:tblGrid>
      <w:tr w:rsidR="00390B03" w:rsidRPr="00C25263" w:rsidTr="007C6CB7">
        <w:trPr>
          <w:trHeight w:val="445"/>
          <w:tblHeader/>
          <w:jc w:val="center"/>
        </w:trPr>
        <w:tc>
          <w:tcPr>
            <w:tcW w:w="5529" w:type="dxa"/>
            <w:shd w:val="clear" w:color="auto" w:fill="D9D9D9" w:themeFill="background1" w:themeFillShade="D9"/>
            <w:vAlign w:val="center"/>
            <w:hideMark/>
          </w:tcPr>
          <w:p w:rsidR="00390B03" w:rsidRPr="00C25263" w:rsidRDefault="00390B03" w:rsidP="007C6CB7">
            <w:pPr>
              <w:pStyle w:val="IFTnormal"/>
              <w:spacing w:after="0" w:line="240" w:lineRule="auto"/>
              <w:ind w:left="7"/>
              <w:jc w:val="center"/>
              <w:rPr>
                <w:b/>
                <w:sz w:val="18"/>
                <w:szCs w:val="18"/>
              </w:rPr>
            </w:pPr>
            <w:r w:rsidRPr="00C25263">
              <w:rPr>
                <w:b/>
                <w:sz w:val="18"/>
                <w:szCs w:val="18"/>
              </w:rPr>
              <w:lastRenderedPageBreak/>
              <w:t>Tipo de análisis de factibilidad</w:t>
            </w:r>
          </w:p>
        </w:tc>
        <w:tc>
          <w:tcPr>
            <w:tcW w:w="2976" w:type="dxa"/>
            <w:shd w:val="clear" w:color="auto" w:fill="D9D9D9" w:themeFill="background1" w:themeFillShade="D9"/>
            <w:vAlign w:val="center"/>
            <w:hideMark/>
          </w:tcPr>
          <w:p w:rsidR="00390B03" w:rsidRPr="00C25263" w:rsidRDefault="00390B03" w:rsidP="007C6CB7">
            <w:pPr>
              <w:pStyle w:val="IFTnormal"/>
              <w:spacing w:after="0" w:line="240" w:lineRule="auto"/>
              <w:ind w:left="425"/>
              <w:jc w:val="center"/>
              <w:rPr>
                <w:b/>
                <w:sz w:val="18"/>
                <w:szCs w:val="18"/>
              </w:rPr>
            </w:pPr>
            <w:r w:rsidRPr="00C25263">
              <w:rPr>
                <w:b/>
                <w:sz w:val="18"/>
                <w:szCs w:val="18"/>
              </w:rPr>
              <w:t>Contraprestación única</w:t>
            </w:r>
          </w:p>
        </w:tc>
      </w:tr>
      <w:tr w:rsidR="00390B03" w:rsidRPr="00C25263" w:rsidTr="007C6CB7">
        <w:trPr>
          <w:trHeight w:val="445"/>
          <w:jc w:val="center"/>
        </w:trPr>
        <w:tc>
          <w:tcPr>
            <w:tcW w:w="5529" w:type="dxa"/>
            <w:hideMark/>
          </w:tcPr>
          <w:p w:rsidR="00390B03" w:rsidRPr="00C25263" w:rsidRDefault="00390B03" w:rsidP="007C6CB7">
            <w:pPr>
              <w:pStyle w:val="IFTnormal"/>
              <w:spacing w:after="0" w:line="240" w:lineRule="auto"/>
              <w:ind w:left="7"/>
              <w:jc w:val="left"/>
              <w:rPr>
                <w:sz w:val="18"/>
                <w:szCs w:val="18"/>
              </w:rPr>
            </w:pPr>
            <w:r w:rsidRPr="00C25263">
              <w:rPr>
                <w:sz w:val="18"/>
                <w:szCs w:val="18"/>
              </w:rPr>
              <w:t>Para la compartición de postes</w:t>
            </w:r>
          </w:p>
        </w:tc>
        <w:tc>
          <w:tcPr>
            <w:tcW w:w="2976" w:type="dxa"/>
            <w:hideMark/>
          </w:tcPr>
          <w:p w:rsidR="00390B03" w:rsidRPr="00C25263" w:rsidRDefault="00390B03" w:rsidP="007C6CB7">
            <w:pPr>
              <w:pStyle w:val="IFTnormal"/>
              <w:spacing w:after="0" w:line="240" w:lineRule="auto"/>
              <w:jc w:val="center"/>
              <w:rPr>
                <w:sz w:val="18"/>
                <w:szCs w:val="18"/>
              </w:rPr>
            </w:pPr>
            <w:r w:rsidRPr="00C25263">
              <w:rPr>
                <w:sz w:val="18"/>
                <w:szCs w:val="18"/>
              </w:rPr>
              <w:t>$</w:t>
            </w:r>
            <w:r>
              <w:rPr>
                <w:sz w:val="18"/>
                <w:szCs w:val="18"/>
              </w:rPr>
              <w:t>745.35</w:t>
            </w:r>
            <w:r w:rsidRPr="00C25263">
              <w:rPr>
                <w:sz w:val="18"/>
                <w:szCs w:val="18"/>
              </w:rPr>
              <w:t xml:space="preserve"> M.N. por km</w:t>
            </w:r>
          </w:p>
        </w:tc>
      </w:tr>
      <w:tr w:rsidR="00390B03" w:rsidRPr="00C25263" w:rsidTr="007C6CB7">
        <w:trPr>
          <w:trHeight w:val="445"/>
          <w:jc w:val="center"/>
        </w:trPr>
        <w:tc>
          <w:tcPr>
            <w:tcW w:w="5529" w:type="dxa"/>
            <w:hideMark/>
          </w:tcPr>
          <w:p w:rsidR="00390B03" w:rsidRPr="00C25263" w:rsidRDefault="00390B03" w:rsidP="007C6CB7">
            <w:pPr>
              <w:pStyle w:val="IFTnormal"/>
              <w:spacing w:after="0" w:line="240" w:lineRule="auto"/>
              <w:ind w:left="7"/>
              <w:jc w:val="left"/>
              <w:rPr>
                <w:sz w:val="18"/>
                <w:szCs w:val="18"/>
              </w:rPr>
            </w:pPr>
            <w:r w:rsidRPr="00C25263">
              <w:rPr>
                <w:sz w:val="18"/>
                <w:szCs w:val="18"/>
              </w:rPr>
              <w:t>Para la compartición de pozos, de ductos y canalizaciones</w:t>
            </w:r>
          </w:p>
        </w:tc>
        <w:tc>
          <w:tcPr>
            <w:tcW w:w="2976" w:type="dxa"/>
            <w:hideMark/>
          </w:tcPr>
          <w:p w:rsidR="00390B03" w:rsidRPr="00C25263" w:rsidRDefault="00390B03" w:rsidP="007C6CB7">
            <w:pPr>
              <w:pStyle w:val="IFTnormal"/>
              <w:spacing w:after="0" w:line="240" w:lineRule="auto"/>
              <w:jc w:val="center"/>
              <w:rPr>
                <w:sz w:val="18"/>
                <w:szCs w:val="18"/>
              </w:rPr>
            </w:pPr>
            <w:r w:rsidRPr="00C25263">
              <w:rPr>
                <w:sz w:val="18"/>
                <w:szCs w:val="18"/>
              </w:rPr>
              <w:t>$</w:t>
            </w:r>
            <w:r>
              <w:rPr>
                <w:sz w:val="18"/>
                <w:szCs w:val="18"/>
              </w:rPr>
              <w:t>795.04</w:t>
            </w:r>
            <w:r w:rsidRPr="00C25263">
              <w:rPr>
                <w:sz w:val="18"/>
                <w:szCs w:val="18"/>
              </w:rPr>
              <w:t xml:space="preserve"> M.N. por km</w:t>
            </w:r>
          </w:p>
        </w:tc>
      </w:tr>
      <w:tr w:rsidR="00390B03" w:rsidRPr="00C25263" w:rsidTr="007C6CB7">
        <w:trPr>
          <w:trHeight w:val="445"/>
          <w:jc w:val="center"/>
        </w:trPr>
        <w:tc>
          <w:tcPr>
            <w:tcW w:w="5529" w:type="dxa"/>
          </w:tcPr>
          <w:p w:rsidR="00390B03" w:rsidRPr="00C25263" w:rsidRDefault="00390B03" w:rsidP="007C6CB7">
            <w:pPr>
              <w:pStyle w:val="IFTnormal"/>
              <w:spacing w:after="0" w:line="240" w:lineRule="auto"/>
              <w:ind w:left="7"/>
              <w:jc w:val="left"/>
              <w:rPr>
                <w:sz w:val="18"/>
                <w:szCs w:val="18"/>
              </w:rPr>
            </w:pPr>
            <w:r>
              <w:rPr>
                <w:sz w:val="18"/>
                <w:szCs w:val="18"/>
              </w:rPr>
              <w:t>Para la compartición de torres</w:t>
            </w:r>
          </w:p>
        </w:tc>
        <w:tc>
          <w:tcPr>
            <w:tcW w:w="2976" w:type="dxa"/>
          </w:tcPr>
          <w:p w:rsidR="00390B03" w:rsidRDefault="00390B03" w:rsidP="007C6CB7">
            <w:pPr>
              <w:pStyle w:val="IFTnormal"/>
              <w:spacing w:after="0" w:line="240" w:lineRule="auto"/>
              <w:jc w:val="center"/>
              <w:rPr>
                <w:sz w:val="18"/>
                <w:szCs w:val="18"/>
              </w:rPr>
            </w:pPr>
            <w:r w:rsidRPr="00C25263">
              <w:rPr>
                <w:sz w:val="18"/>
                <w:szCs w:val="18"/>
              </w:rPr>
              <w:t>$</w:t>
            </w:r>
            <w:r>
              <w:rPr>
                <w:sz w:val="18"/>
                <w:szCs w:val="18"/>
              </w:rPr>
              <w:t>4,384.43</w:t>
            </w:r>
            <w:r w:rsidRPr="00C25263">
              <w:rPr>
                <w:sz w:val="18"/>
                <w:szCs w:val="18"/>
              </w:rPr>
              <w:t xml:space="preserve"> M.N. por </w:t>
            </w:r>
            <w:r>
              <w:rPr>
                <w:sz w:val="18"/>
                <w:szCs w:val="18"/>
              </w:rPr>
              <w:t>Torre</w:t>
            </w:r>
          </w:p>
        </w:tc>
      </w:tr>
      <w:tr w:rsidR="00390B03" w:rsidRPr="00C25263" w:rsidTr="007C6CB7">
        <w:trPr>
          <w:trHeight w:val="445"/>
          <w:jc w:val="center"/>
        </w:trPr>
        <w:tc>
          <w:tcPr>
            <w:tcW w:w="5529" w:type="dxa"/>
            <w:hideMark/>
          </w:tcPr>
          <w:p w:rsidR="00390B03" w:rsidRPr="00C25263" w:rsidRDefault="00390B03" w:rsidP="007C6CB7">
            <w:pPr>
              <w:pStyle w:val="IFTnormal"/>
              <w:spacing w:after="0" w:line="240" w:lineRule="auto"/>
              <w:ind w:left="7"/>
              <w:jc w:val="left"/>
              <w:rPr>
                <w:sz w:val="18"/>
                <w:szCs w:val="18"/>
              </w:rPr>
            </w:pPr>
            <w:r w:rsidRPr="00C25263">
              <w:rPr>
                <w:sz w:val="18"/>
                <w:szCs w:val="18"/>
              </w:rPr>
              <w:t>Construcción / Adaptación (Compartición de Espacios)</w:t>
            </w:r>
          </w:p>
        </w:tc>
        <w:tc>
          <w:tcPr>
            <w:tcW w:w="2976" w:type="dxa"/>
            <w:hideMark/>
          </w:tcPr>
          <w:p w:rsidR="00390B03" w:rsidRPr="00C25263" w:rsidRDefault="00390B03" w:rsidP="007C6CB7">
            <w:pPr>
              <w:pStyle w:val="IFTnormal"/>
              <w:spacing w:after="0" w:line="240" w:lineRule="auto"/>
              <w:jc w:val="center"/>
              <w:rPr>
                <w:sz w:val="18"/>
                <w:szCs w:val="18"/>
              </w:rPr>
            </w:pPr>
            <w:r w:rsidRPr="00C25263">
              <w:rPr>
                <w:sz w:val="18"/>
                <w:szCs w:val="18"/>
              </w:rPr>
              <w:t>$</w:t>
            </w:r>
            <w:r>
              <w:rPr>
                <w:sz w:val="18"/>
                <w:szCs w:val="18"/>
              </w:rPr>
              <w:t>44,599.69</w:t>
            </w:r>
            <w:r w:rsidRPr="00C25263">
              <w:rPr>
                <w:sz w:val="18"/>
                <w:szCs w:val="18"/>
              </w:rPr>
              <w:t xml:space="preserve"> M.N. por servicio</w:t>
            </w:r>
          </w:p>
        </w:tc>
      </w:tr>
      <w:tr w:rsidR="00390B03" w:rsidRPr="00C25263" w:rsidTr="007C6CB7">
        <w:trPr>
          <w:trHeight w:val="445"/>
          <w:jc w:val="center"/>
        </w:trPr>
        <w:tc>
          <w:tcPr>
            <w:tcW w:w="5529" w:type="dxa"/>
          </w:tcPr>
          <w:p w:rsidR="00390B03" w:rsidRPr="00C25263" w:rsidRDefault="00390B03" w:rsidP="007C6CB7">
            <w:pPr>
              <w:pStyle w:val="IFTnormal"/>
              <w:spacing w:after="0" w:line="240" w:lineRule="auto"/>
              <w:ind w:left="7"/>
              <w:jc w:val="left"/>
              <w:rPr>
                <w:sz w:val="18"/>
                <w:szCs w:val="18"/>
              </w:rPr>
            </w:pPr>
            <w:r>
              <w:rPr>
                <w:sz w:val="18"/>
                <w:szCs w:val="18"/>
              </w:rPr>
              <w:t>Infraestructura de Fuerza</w:t>
            </w:r>
          </w:p>
        </w:tc>
        <w:tc>
          <w:tcPr>
            <w:tcW w:w="2976" w:type="dxa"/>
          </w:tcPr>
          <w:p w:rsidR="00390B03" w:rsidRDefault="00390B03" w:rsidP="007C6CB7">
            <w:pPr>
              <w:pStyle w:val="IFTnormal"/>
              <w:spacing w:after="0" w:line="240" w:lineRule="auto"/>
              <w:jc w:val="center"/>
              <w:rPr>
                <w:sz w:val="18"/>
                <w:szCs w:val="18"/>
              </w:rPr>
            </w:pPr>
            <w:r w:rsidRPr="00C25263">
              <w:rPr>
                <w:sz w:val="18"/>
                <w:szCs w:val="18"/>
              </w:rPr>
              <w:t>$</w:t>
            </w:r>
            <w:r>
              <w:rPr>
                <w:sz w:val="18"/>
                <w:szCs w:val="18"/>
              </w:rPr>
              <w:t>46,767.29</w:t>
            </w:r>
            <w:r w:rsidRPr="00C25263">
              <w:rPr>
                <w:sz w:val="18"/>
                <w:szCs w:val="18"/>
              </w:rPr>
              <w:t xml:space="preserve"> M.N. por servicio</w:t>
            </w:r>
          </w:p>
        </w:tc>
      </w:tr>
      <w:tr w:rsidR="00390B03" w:rsidRPr="00C25263" w:rsidTr="007C6CB7">
        <w:trPr>
          <w:trHeight w:val="445"/>
          <w:jc w:val="center"/>
        </w:trPr>
        <w:tc>
          <w:tcPr>
            <w:tcW w:w="5529" w:type="dxa"/>
          </w:tcPr>
          <w:p w:rsidR="00390B03" w:rsidRDefault="00390B03" w:rsidP="007C6CB7">
            <w:pPr>
              <w:pStyle w:val="IFTnormal"/>
              <w:spacing w:after="0" w:line="240" w:lineRule="auto"/>
              <w:ind w:left="7"/>
              <w:jc w:val="left"/>
              <w:rPr>
                <w:sz w:val="18"/>
                <w:szCs w:val="18"/>
              </w:rPr>
            </w:pPr>
            <w:r>
              <w:rPr>
                <w:sz w:val="18"/>
                <w:szCs w:val="18"/>
              </w:rPr>
              <w:t>Renta de Espacios Físicos</w:t>
            </w:r>
          </w:p>
        </w:tc>
        <w:tc>
          <w:tcPr>
            <w:tcW w:w="2976" w:type="dxa"/>
          </w:tcPr>
          <w:p w:rsidR="00390B03" w:rsidRDefault="00390B03" w:rsidP="007C6CB7">
            <w:pPr>
              <w:pStyle w:val="IFTnormal"/>
              <w:spacing w:after="0" w:line="240" w:lineRule="auto"/>
              <w:jc w:val="center"/>
              <w:rPr>
                <w:sz w:val="18"/>
                <w:szCs w:val="18"/>
              </w:rPr>
            </w:pPr>
            <w:r w:rsidRPr="00C25263">
              <w:rPr>
                <w:sz w:val="18"/>
                <w:szCs w:val="18"/>
              </w:rPr>
              <w:t>$</w:t>
            </w:r>
            <w:r>
              <w:rPr>
                <w:sz w:val="18"/>
                <w:szCs w:val="18"/>
              </w:rPr>
              <w:t>46,767.29</w:t>
            </w:r>
            <w:r w:rsidRPr="00C25263">
              <w:rPr>
                <w:sz w:val="18"/>
                <w:szCs w:val="18"/>
              </w:rPr>
              <w:t xml:space="preserve"> M.N. por servicio</w:t>
            </w:r>
          </w:p>
        </w:tc>
      </w:tr>
      <w:tr w:rsidR="00390B03" w:rsidRPr="00C25263" w:rsidTr="007C6CB7">
        <w:trPr>
          <w:trHeight w:val="445"/>
          <w:jc w:val="center"/>
        </w:trPr>
        <w:tc>
          <w:tcPr>
            <w:tcW w:w="5529" w:type="dxa"/>
          </w:tcPr>
          <w:p w:rsidR="00390B03" w:rsidRDefault="00390B03" w:rsidP="007C6CB7">
            <w:pPr>
              <w:pStyle w:val="IFTnormal"/>
              <w:spacing w:after="0" w:line="240" w:lineRule="auto"/>
              <w:ind w:left="7"/>
              <w:jc w:val="left"/>
              <w:rPr>
                <w:sz w:val="18"/>
                <w:szCs w:val="18"/>
              </w:rPr>
            </w:pPr>
            <w:r>
              <w:rPr>
                <w:sz w:val="18"/>
                <w:szCs w:val="18"/>
              </w:rPr>
              <w:t>Renta de Predios</w:t>
            </w:r>
          </w:p>
        </w:tc>
        <w:tc>
          <w:tcPr>
            <w:tcW w:w="2976" w:type="dxa"/>
          </w:tcPr>
          <w:p w:rsidR="00390B03" w:rsidRDefault="00390B03" w:rsidP="007C6CB7">
            <w:pPr>
              <w:pStyle w:val="IFTnormal"/>
              <w:spacing w:after="0" w:line="240" w:lineRule="auto"/>
              <w:jc w:val="center"/>
              <w:rPr>
                <w:sz w:val="18"/>
                <w:szCs w:val="18"/>
              </w:rPr>
            </w:pPr>
            <w:r w:rsidRPr="00C25263">
              <w:rPr>
                <w:sz w:val="18"/>
                <w:szCs w:val="18"/>
              </w:rPr>
              <w:t>$</w:t>
            </w:r>
            <w:r>
              <w:rPr>
                <w:sz w:val="18"/>
                <w:szCs w:val="18"/>
              </w:rPr>
              <w:t>46,767.29</w:t>
            </w:r>
            <w:r w:rsidRPr="00C25263">
              <w:rPr>
                <w:sz w:val="18"/>
                <w:szCs w:val="18"/>
              </w:rPr>
              <w:t xml:space="preserve"> M.N. por servicio</w:t>
            </w:r>
          </w:p>
        </w:tc>
      </w:tr>
    </w:tbl>
    <w:p w:rsidR="00D62984" w:rsidRDefault="00D62984" w:rsidP="004874D0">
      <w:pPr>
        <w:pStyle w:val="CondicionesFinales"/>
        <w:ind w:left="0"/>
      </w:pPr>
    </w:p>
    <w:p w:rsidR="00A31107" w:rsidRDefault="00390B03" w:rsidP="00E0585E">
      <w:pPr>
        <w:pStyle w:val="CondicionesFinales"/>
      </w:pPr>
      <w:r>
        <w:t>En el anteproyecto, el Concesionario Solicitante deberá presentar las características de los equipos, cables o elementos de red que desea instalar. El Análisis de Factibilidad permite detectar qué elementos de Infraestructura Pasiva requerirán acondicionamiento, para que el Concesionario Solicitante pueda colocar los elementos presentados en el anteproyecto y en su caso sepa que puede haber un costo adicional a la tarifa por trabajos especiales.</w:t>
      </w:r>
    </w:p>
    <w:p w:rsidR="00A31107" w:rsidRDefault="00390B03" w:rsidP="00E0585E">
      <w:pPr>
        <w:pStyle w:val="CondicionesFinales"/>
      </w:pPr>
      <w:r>
        <w:t>El cobro por el concepto del Análisis de Factibilidad dependerá del tipo de análisis solicitado. En el caso de Torres, el análisis incluye tanto la revisión del anteproyecto del Concesionario Solicitante como del análisis de frecuencias para no interferencias que presente el concesionario y la capacidad de carga de la Torre.</w:t>
      </w:r>
    </w:p>
    <w:p w:rsidR="00390B03" w:rsidRPr="00C25263" w:rsidRDefault="00390B03" w:rsidP="00390B03">
      <w:pPr>
        <w:pStyle w:val="IFTnormal"/>
        <w:spacing w:before="240"/>
        <w:ind w:left="720"/>
        <w:rPr>
          <w:b/>
        </w:rPr>
      </w:pPr>
      <w:r>
        <w:rPr>
          <w:b/>
        </w:rPr>
        <w:t>c. Verificación</w:t>
      </w:r>
      <w:r w:rsidRPr="00C25263">
        <w:rPr>
          <w:b/>
        </w:rPr>
        <w:t>.</w:t>
      </w:r>
    </w:p>
    <w:p w:rsidR="00A31107" w:rsidRDefault="00390B03" w:rsidP="00E0585E">
      <w:pPr>
        <w:pStyle w:val="CondicionesFinales"/>
        <w:rPr>
          <w:rFonts w:eastAsiaTheme="minorEastAsia"/>
        </w:rPr>
      </w:pPr>
      <w:r>
        <w:t>C</w:t>
      </w:r>
      <w:r w:rsidRPr="00B17D04">
        <w:t xml:space="preserve">uando el Concesionario Solicitante realice la instalación de su red sobre la Infraestructura de </w:t>
      </w:r>
      <w:r w:rsidR="001C17D3">
        <w:t>Telnor</w:t>
      </w:r>
      <w:r w:rsidRPr="00B17D04">
        <w:t xml:space="preserve">, será necesario realizar una </w:t>
      </w:r>
      <w:r>
        <w:t>verificación</w:t>
      </w:r>
      <w:r w:rsidRPr="00B17D04">
        <w:t xml:space="preserve"> de la instalación con el objeto de verificar que se cumpla en todo momento la Normatividad Técnica. </w:t>
      </w:r>
    </w:p>
    <w:p w:rsidR="00A31107" w:rsidRDefault="00390B03" w:rsidP="00E0585E">
      <w:pPr>
        <w:pStyle w:val="CondicionesFinales"/>
        <w:rPr>
          <w:rFonts w:eastAsiaTheme="minorEastAsia"/>
        </w:rPr>
      </w:pPr>
      <w:r w:rsidRPr="00C25263">
        <w:rPr>
          <w:rFonts w:eastAsiaTheme="minorEastAsia"/>
        </w:rPr>
        <w:t>La tarifa para este servicio deberá estimarse mediante la siguiente ecuación:</w:t>
      </w:r>
    </w:p>
    <w:p w:rsidR="00390B03" w:rsidRPr="00C25263" w:rsidRDefault="00390B03" w:rsidP="00390B03">
      <w:pPr>
        <w:pStyle w:val="IFTnormal"/>
        <w:spacing w:before="240"/>
        <w:jc w:val="center"/>
      </w:pPr>
      <w:r w:rsidRPr="00F3609B">
        <w:rPr>
          <w:rFonts w:eastAsiaTheme="minorEastAsia"/>
          <w:sz w:val="18"/>
        </w:rPr>
        <w:t xml:space="preserve">Cobro único para el servicio de </w:t>
      </w:r>
      <w:r>
        <w:rPr>
          <w:rFonts w:eastAsiaTheme="minorEastAsia"/>
          <w:sz w:val="18"/>
        </w:rPr>
        <w:t>Verificación</w:t>
      </w:r>
      <w:r w:rsidRPr="00F3609B">
        <w:rPr>
          <w:rFonts w:eastAsiaTheme="minorEastAsia"/>
          <w:sz w:val="18"/>
        </w:rPr>
        <w:t xml:space="preserve"> = unidad base * </w:t>
      </w:r>
      <w:r w:rsidRPr="00F3609B">
        <w:rPr>
          <w:sz w:val="18"/>
        </w:rPr>
        <w:t xml:space="preserve">número total de días de </w:t>
      </w:r>
      <w:r>
        <w:rPr>
          <w:sz w:val="18"/>
        </w:rPr>
        <w:t>verificación</w:t>
      </w:r>
    </w:p>
    <w:tbl>
      <w:tblPr>
        <w:tblStyle w:val="Tablanormal11"/>
        <w:tblW w:w="6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Contraprestación única"/>
      </w:tblPr>
      <w:tblGrid>
        <w:gridCol w:w="3301"/>
        <w:gridCol w:w="3302"/>
      </w:tblGrid>
      <w:tr w:rsidR="00390B03" w:rsidRPr="00C25263" w:rsidTr="007C6CB7">
        <w:trPr>
          <w:trHeight w:val="494"/>
          <w:tblHeader/>
          <w:jc w:val="center"/>
        </w:trPr>
        <w:tc>
          <w:tcPr>
            <w:tcW w:w="3301" w:type="dxa"/>
            <w:shd w:val="clear" w:color="auto" w:fill="D9D9D9" w:themeFill="background1" w:themeFillShade="D9"/>
            <w:hideMark/>
          </w:tcPr>
          <w:p w:rsidR="00390B03" w:rsidRPr="00C25263" w:rsidRDefault="00390B03" w:rsidP="007C6CB7">
            <w:pPr>
              <w:pStyle w:val="Texto"/>
              <w:spacing w:after="0" w:line="240" w:lineRule="auto"/>
              <w:ind w:firstLine="0"/>
              <w:jc w:val="center"/>
              <w:rPr>
                <w:rFonts w:ascii="ITC Avant Garde" w:hAnsi="ITC Avant Garde"/>
                <w:b/>
                <w:lang w:val="es-MX"/>
              </w:rPr>
            </w:pPr>
            <w:r w:rsidRPr="00C25263">
              <w:rPr>
                <w:rFonts w:ascii="ITC Avant Garde" w:hAnsi="ITC Avant Garde"/>
                <w:b/>
                <w:lang w:val="es-MX"/>
              </w:rPr>
              <w:lastRenderedPageBreak/>
              <w:t>Concepto</w:t>
            </w:r>
          </w:p>
        </w:tc>
        <w:tc>
          <w:tcPr>
            <w:tcW w:w="3302" w:type="dxa"/>
            <w:shd w:val="clear" w:color="auto" w:fill="D9D9D9" w:themeFill="background1" w:themeFillShade="D9"/>
            <w:hideMark/>
          </w:tcPr>
          <w:p w:rsidR="00390B03" w:rsidRPr="00C25263" w:rsidRDefault="00390B03" w:rsidP="007C6CB7">
            <w:pPr>
              <w:pStyle w:val="Texto"/>
              <w:spacing w:after="0" w:line="240" w:lineRule="auto"/>
              <w:ind w:firstLine="0"/>
              <w:jc w:val="center"/>
              <w:rPr>
                <w:rFonts w:ascii="ITC Avant Garde" w:hAnsi="ITC Avant Garde"/>
                <w:b/>
                <w:lang w:val="es-MX"/>
              </w:rPr>
            </w:pPr>
            <w:r w:rsidRPr="00C25263">
              <w:rPr>
                <w:rFonts w:ascii="ITC Avant Garde" w:hAnsi="ITC Avant Garde"/>
                <w:b/>
                <w:lang w:val="es-MX"/>
              </w:rPr>
              <w:t>Contraprestación única</w:t>
            </w:r>
          </w:p>
        </w:tc>
      </w:tr>
      <w:tr w:rsidR="00390B03" w:rsidRPr="00C25263" w:rsidTr="007C6CB7">
        <w:trPr>
          <w:trHeight w:val="494"/>
          <w:jc w:val="center"/>
        </w:trPr>
        <w:tc>
          <w:tcPr>
            <w:tcW w:w="3301" w:type="dxa"/>
            <w:hideMark/>
          </w:tcPr>
          <w:p w:rsidR="00390B03" w:rsidRPr="00C25263" w:rsidRDefault="00390B03" w:rsidP="007C6CB7">
            <w:pPr>
              <w:pStyle w:val="Texto"/>
              <w:spacing w:after="0" w:line="240" w:lineRule="auto"/>
              <w:ind w:firstLine="0"/>
              <w:jc w:val="center"/>
              <w:rPr>
                <w:rFonts w:ascii="ITC Avant Garde" w:hAnsi="ITC Avant Garde"/>
                <w:lang w:val="es-MX"/>
              </w:rPr>
            </w:pPr>
            <w:r>
              <w:rPr>
                <w:rFonts w:ascii="ITC Avant Garde" w:hAnsi="ITC Avant Garde"/>
                <w:lang w:val="es-MX"/>
              </w:rPr>
              <w:t>Verificación</w:t>
            </w:r>
          </w:p>
        </w:tc>
        <w:tc>
          <w:tcPr>
            <w:tcW w:w="3302" w:type="dxa"/>
            <w:hideMark/>
          </w:tcPr>
          <w:p w:rsidR="00390B03" w:rsidRPr="00C25263" w:rsidRDefault="00390B03" w:rsidP="007C6CB7">
            <w:pPr>
              <w:pStyle w:val="Texto"/>
              <w:spacing w:after="0" w:line="240" w:lineRule="auto"/>
              <w:ind w:firstLine="0"/>
              <w:jc w:val="center"/>
              <w:rPr>
                <w:rFonts w:ascii="ITC Avant Garde" w:hAnsi="ITC Avant Garde"/>
                <w:lang w:val="es-MX"/>
              </w:rPr>
            </w:pPr>
            <w:r w:rsidRPr="00C25263">
              <w:rPr>
                <w:rFonts w:ascii="ITC Avant Garde" w:hAnsi="ITC Avant Garde"/>
                <w:lang w:val="es-MX"/>
              </w:rPr>
              <w:t>$</w:t>
            </w:r>
            <w:r>
              <w:rPr>
                <w:rFonts w:ascii="ITC Avant Garde" w:hAnsi="ITC Avant Garde"/>
                <w:lang w:val="es-MX"/>
              </w:rPr>
              <w:t>2,089.91</w:t>
            </w:r>
            <w:r w:rsidRPr="00C25263">
              <w:rPr>
                <w:rFonts w:ascii="ITC Avant Garde" w:hAnsi="ITC Avant Garde"/>
                <w:lang w:val="es-MX"/>
              </w:rPr>
              <w:t xml:space="preserve"> M.N.  (unidad base) </w:t>
            </w:r>
          </w:p>
        </w:tc>
      </w:tr>
    </w:tbl>
    <w:p w:rsidR="00D62984" w:rsidRDefault="00D62984" w:rsidP="00E0585E">
      <w:pPr>
        <w:pStyle w:val="CondicionesFinales"/>
        <w:rPr>
          <w:rFonts w:eastAsiaTheme="minorEastAsia"/>
        </w:rPr>
      </w:pPr>
    </w:p>
    <w:p w:rsidR="00A31107" w:rsidRDefault="00390B03" w:rsidP="00E0585E">
      <w:pPr>
        <w:pStyle w:val="CondicionesFinales"/>
        <w:rPr>
          <w:rFonts w:eastAsiaTheme="minorEastAsia"/>
        </w:rPr>
      </w:pPr>
      <w:r w:rsidRPr="00C25263">
        <w:rPr>
          <w:rFonts w:eastAsiaTheme="minorEastAsia"/>
        </w:rPr>
        <w:t xml:space="preserve">Para los periodos y horarios de trabajos programados y/o eventos especiales, se adicionará el 200% a la unidad base. Se entenderán por trabajos programados y/o eventos especiales los relacionados a </w:t>
      </w:r>
      <w:r>
        <w:rPr>
          <w:rFonts w:eastAsiaTheme="minorEastAsia"/>
        </w:rPr>
        <w:t>verificaciones</w:t>
      </w:r>
      <w:r w:rsidRPr="00C25263">
        <w:rPr>
          <w:rFonts w:eastAsiaTheme="minorEastAsia"/>
        </w:rPr>
        <w:t xml:space="preserve"> derivadas de inconsistencias en instalaciones realizadas por el C</w:t>
      </w:r>
      <w:r>
        <w:rPr>
          <w:rFonts w:eastAsiaTheme="minorEastAsia"/>
        </w:rPr>
        <w:t xml:space="preserve">oncesionario </w:t>
      </w:r>
      <w:r w:rsidRPr="00C25263">
        <w:rPr>
          <w:rFonts w:eastAsiaTheme="minorEastAsia"/>
        </w:rPr>
        <w:t>S</w:t>
      </w:r>
      <w:r>
        <w:rPr>
          <w:rFonts w:eastAsiaTheme="minorEastAsia"/>
        </w:rPr>
        <w:t>olicitante</w:t>
      </w:r>
      <w:r w:rsidRPr="00C25263">
        <w:rPr>
          <w:rFonts w:eastAsiaTheme="minorEastAsia"/>
        </w:rPr>
        <w:t xml:space="preserve"> respecto al anteproyecto, así como cuando se requiera </w:t>
      </w:r>
      <w:r>
        <w:rPr>
          <w:rFonts w:eastAsiaTheme="minorEastAsia"/>
        </w:rPr>
        <w:t>verificación</w:t>
      </w:r>
      <w:r w:rsidRPr="00C25263">
        <w:rPr>
          <w:rFonts w:eastAsiaTheme="minorEastAsia"/>
        </w:rPr>
        <w:t xml:space="preserve"> en caso de que algún elemento instalado en la infraestructura compartida esté causando daño o perjuicio a la misma o ponga en peligro la seguridad de las personas o la propiedad.</w:t>
      </w:r>
    </w:p>
    <w:p w:rsidR="00D62984" w:rsidRPr="00D62984" w:rsidRDefault="00D62984" w:rsidP="00D62984">
      <w:pPr>
        <w:pStyle w:val="Texto"/>
        <w:numPr>
          <w:ilvl w:val="0"/>
          <w:numId w:val="223"/>
        </w:numPr>
        <w:spacing w:after="0" w:line="276" w:lineRule="auto"/>
        <w:rPr>
          <w:rFonts w:eastAsiaTheme="minorEastAsia"/>
        </w:rPr>
      </w:pPr>
      <w:r w:rsidRPr="00D62984">
        <w:rPr>
          <w:rFonts w:ascii="ITC Avant Garde" w:hAnsi="ITC Avant Garde"/>
          <w:b/>
          <w:sz w:val="22"/>
          <w:szCs w:val="22"/>
        </w:rPr>
        <w:tab/>
        <w:t>Trabajos Especiales</w:t>
      </w:r>
    </w:p>
    <w:p w:rsidR="00D62984" w:rsidRDefault="00D62984" w:rsidP="00D62984">
      <w:pPr>
        <w:pStyle w:val="Texto"/>
        <w:spacing w:after="0" w:line="276" w:lineRule="auto"/>
        <w:ind w:left="720" w:firstLine="0"/>
        <w:rPr>
          <w:rFonts w:ascii="ITC Avant Garde" w:hAnsi="ITC Avant Garde"/>
          <w:b/>
          <w:sz w:val="22"/>
          <w:szCs w:val="22"/>
        </w:rPr>
      </w:pPr>
    </w:p>
    <w:p w:rsidR="00D62984" w:rsidRDefault="00D62984" w:rsidP="00D62984">
      <w:pPr>
        <w:pStyle w:val="CondicionesFinales"/>
        <w:rPr>
          <w:rFonts w:eastAsiaTheme="minorEastAsia"/>
        </w:rPr>
      </w:pPr>
      <w:r>
        <w:rPr>
          <w:rFonts w:eastAsiaTheme="minorEastAsia"/>
        </w:rPr>
        <w:t>Los trabajos se cotizarán de manera particular y el precio variará de acuerdo a la cantidad de elementos de infraestructura que el Concesionario Solicitante desee instalar, los trámites administrativos y solicitudes de permiso necesarias, así como lo análisis de factibilidad correspondientes y la gestión administrativa de los trabajos.</w:t>
      </w:r>
    </w:p>
    <w:p w:rsidR="00DA05F4" w:rsidRDefault="00DA05F4" w:rsidP="00D62984">
      <w:pPr>
        <w:pStyle w:val="CondicionesFinales"/>
        <w:rPr>
          <w:rFonts w:eastAsiaTheme="minorEastAsia"/>
        </w:rPr>
      </w:pPr>
    </w:p>
    <w:p w:rsidR="006308F3" w:rsidRDefault="001C17D3" w:rsidP="006308F3">
      <w:pPr>
        <w:pStyle w:val="CondicionesFinales"/>
        <w:rPr>
          <w:rFonts w:eastAsiaTheme="minorEastAsia"/>
        </w:rPr>
      </w:pPr>
      <w:r>
        <w:rPr>
          <w:rFonts w:eastAsiaTheme="minorEastAsia"/>
        </w:rPr>
        <w:t>TELNOR</w:t>
      </w:r>
      <w:r w:rsidR="006308F3">
        <w:rPr>
          <w:rFonts w:eastAsiaTheme="minorEastAsia"/>
        </w:rPr>
        <w:t xml:space="preserve"> y el CONCESIONARIO SOLICITANTE están de acuerdo y convienen que los anteriores precios y tarifas están en vigor a partir de la firma del presente Anexo y hasta el 31 de diciembre de 2018.</w:t>
      </w:r>
    </w:p>
    <w:p w:rsidR="00483567" w:rsidRDefault="006308F3" w:rsidP="006308F3">
      <w:pPr>
        <w:pStyle w:val="CondicionesFinales"/>
        <w:rPr>
          <w:rFonts w:eastAsiaTheme="minorEastAsia"/>
        </w:rPr>
      </w:pPr>
      <w:r>
        <w:rPr>
          <w:rFonts w:eastAsiaTheme="minorEastAsia"/>
        </w:rPr>
        <w:t>E</w:t>
      </w:r>
      <w:r w:rsidRPr="00266212">
        <w:rPr>
          <w:rFonts w:eastAsiaTheme="minorEastAsia"/>
        </w:rPr>
        <w:t xml:space="preserve">l presente </w:t>
      </w:r>
      <w:r>
        <w:rPr>
          <w:rFonts w:eastAsiaTheme="minorEastAsia"/>
        </w:rPr>
        <w:t>Anexo</w:t>
      </w:r>
      <w:r w:rsidRPr="00266212">
        <w:rPr>
          <w:rFonts w:eastAsiaTheme="minorEastAsia"/>
        </w:rPr>
        <w:t xml:space="preserve"> </w:t>
      </w:r>
      <w:r>
        <w:rPr>
          <w:rFonts w:eastAsiaTheme="minorEastAsia"/>
        </w:rPr>
        <w:t xml:space="preserve">se firma por triplicado </w:t>
      </w:r>
      <w:r w:rsidRPr="00266212">
        <w:rPr>
          <w:rFonts w:eastAsiaTheme="minorEastAsia"/>
        </w:rPr>
        <w:t xml:space="preserve">y </w:t>
      </w:r>
      <w:r>
        <w:rPr>
          <w:rFonts w:eastAsiaTheme="minorEastAsia"/>
        </w:rPr>
        <w:t>los representantes facultados por las partes, en la</w:t>
      </w:r>
      <w:r w:rsidRPr="00266212">
        <w:rPr>
          <w:rFonts w:eastAsiaTheme="minorEastAsia"/>
        </w:rPr>
        <w:t xml:space="preserve"> Ciudad de México, el día XX de XXXXXXXXXX de 201</w:t>
      </w:r>
      <w:r>
        <w:rPr>
          <w:rFonts w:eastAsiaTheme="minorEastAsia"/>
        </w:rPr>
        <w:t>8</w:t>
      </w:r>
      <w:r w:rsidRPr="00266212">
        <w:rPr>
          <w:rFonts w:eastAsiaTheme="minorEastAsia"/>
        </w:rPr>
        <w:t>.</w:t>
      </w:r>
    </w:p>
    <w:p w:rsidR="00483567" w:rsidRDefault="00483567">
      <w:pPr>
        <w:suppressAutoHyphens w:val="0"/>
        <w:spacing w:after="0" w:line="240" w:lineRule="auto"/>
        <w:contextualSpacing w:val="0"/>
        <w:jc w:val="left"/>
        <w:rPr>
          <w:rFonts w:ascii="ITC Avant Garde" w:eastAsiaTheme="minorEastAsia" w:hAnsi="ITC Avant Garde" w:cs="Arial"/>
          <w:bCs/>
          <w:color w:val="000000"/>
          <w:sz w:val="22"/>
          <w:szCs w:val="22"/>
          <w:lang w:val="es-ES_tradnl"/>
        </w:rPr>
      </w:pPr>
      <w:r>
        <w:rPr>
          <w:rFonts w:eastAsiaTheme="minorEastAsia"/>
        </w:rPr>
        <w:br w:type="page"/>
      </w:r>
    </w:p>
    <w:p w:rsidR="006308F3" w:rsidRPr="00266212" w:rsidRDefault="006308F3" w:rsidP="006308F3">
      <w:pPr>
        <w:pStyle w:val="CondicionesFinales"/>
        <w:rPr>
          <w:rFonts w:eastAsiaTheme="minorEastAsia"/>
        </w:rPr>
      </w:pPr>
    </w:p>
    <w:tbl>
      <w:tblPr>
        <w:tblStyle w:val="Cuadrculadetabla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abla"/>
        <w:tblDescription w:val="Tabla de firmas"/>
      </w:tblPr>
      <w:tblGrid>
        <w:gridCol w:w="3163"/>
        <w:gridCol w:w="3629"/>
      </w:tblGrid>
      <w:tr w:rsidR="006308F3" w:rsidRPr="00266212" w:rsidTr="00483567">
        <w:trPr>
          <w:trHeight w:val="1795"/>
          <w:tblHeader/>
          <w:jc w:val="center"/>
        </w:trPr>
        <w:tc>
          <w:tcPr>
            <w:tcW w:w="3163" w:type="dxa"/>
          </w:tcPr>
          <w:p w:rsidR="006308F3" w:rsidRPr="00266212" w:rsidRDefault="006308F3" w:rsidP="006308F3">
            <w:pPr>
              <w:rPr>
                <w:rFonts w:ascii="ITC Avant Garde" w:hAnsi="ITC Avant Garde" w:cs="Arial"/>
                <w:b/>
                <w:lang w:val="es-ES_tradnl"/>
              </w:rPr>
            </w:pPr>
          </w:p>
          <w:p w:rsidR="006308F3" w:rsidRPr="00266212" w:rsidRDefault="006308F3" w:rsidP="006308F3">
            <w:pPr>
              <w:jc w:val="center"/>
              <w:rPr>
                <w:rFonts w:ascii="ITC Avant Garde" w:hAnsi="ITC Avant Garde" w:cs="Arial"/>
                <w:b/>
                <w:lang w:val="es-ES_tradnl"/>
              </w:rPr>
            </w:pPr>
            <w:r w:rsidRPr="00266212">
              <w:rPr>
                <w:rFonts w:ascii="ITC Avant Garde" w:hAnsi="ITC Avant Garde" w:cs="Arial"/>
                <w:b/>
                <w:lang w:val="es-ES_tradnl"/>
              </w:rPr>
              <w:t>TELÉFONOS DE MEXICO,</w:t>
            </w:r>
          </w:p>
          <w:p w:rsidR="006308F3" w:rsidRPr="00266212" w:rsidRDefault="006308F3" w:rsidP="006308F3">
            <w:pPr>
              <w:jc w:val="center"/>
              <w:rPr>
                <w:rFonts w:ascii="ITC Avant Garde" w:hAnsi="ITC Avant Garde" w:cs="Arial"/>
                <w:lang w:val="es-ES_tradnl"/>
              </w:rPr>
            </w:pPr>
            <w:r w:rsidRPr="00266212">
              <w:rPr>
                <w:rFonts w:ascii="ITC Avant Garde" w:hAnsi="ITC Avant Garde" w:cs="Arial"/>
                <w:b/>
                <w:lang w:val="es-ES_tradnl"/>
              </w:rPr>
              <w:t>S.A.B. DE C.V.</w:t>
            </w:r>
          </w:p>
        </w:tc>
        <w:tc>
          <w:tcPr>
            <w:tcW w:w="3629" w:type="dxa"/>
          </w:tcPr>
          <w:p w:rsidR="006308F3" w:rsidRPr="00266212" w:rsidRDefault="006308F3" w:rsidP="006308F3">
            <w:pPr>
              <w:jc w:val="center"/>
              <w:rPr>
                <w:rFonts w:ascii="ITC Avant Garde" w:hAnsi="ITC Avant Garde" w:cs="Arial"/>
                <w:lang w:val="es-ES_tradnl"/>
              </w:rPr>
            </w:pPr>
            <w:r w:rsidRPr="00266212">
              <w:rPr>
                <w:rFonts w:ascii="ITC Avant Garde" w:hAnsi="ITC Avant Garde" w:cs="Arial"/>
                <w:b/>
                <w:lang w:val="es-ES_tradnl"/>
              </w:rPr>
              <w:t>XXXXXXXXXXXXXXXX</w:t>
            </w:r>
          </w:p>
        </w:tc>
      </w:tr>
      <w:tr w:rsidR="006308F3" w:rsidRPr="00266212" w:rsidTr="00483567">
        <w:trPr>
          <w:trHeight w:val="1608"/>
          <w:tblHeader/>
          <w:jc w:val="center"/>
        </w:trPr>
        <w:tc>
          <w:tcPr>
            <w:tcW w:w="3163" w:type="dxa"/>
          </w:tcPr>
          <w:p w:rsidR="006308F3" w:rsidRPr="00266212" w:rsidRDefault="006308F3" w:rsidP="006308F3">
            <w:pPr>
              <w:rPr>
                <w:rFonts w:ascii="ITC Avant Garde" w:hAnsi="ITC Avant Garde" w:cs="Arial"/>
                <w:lang w:val="es-ES_tradnl"/>
              </w:rPr>
            </w:pPr>
          </w:p>
          <w:p w:rsidR="006308F3" w:rsidRPr="00266212" w:rsidRDefault="006308F3" w:rsidP="006308F3">
            <w:pPr>
              <w:jc w:val="center"/>
              <w:rPr>
                <w:rFonts w:ascii="ITC Avant Garde" w:hAnsi="ITC Avant Garde" w:cs="Arial"/>
                <w:lang w:val="es-ES_tradnl"/>
              </w:rPr>
            </w:pPr>
            <w:r w:rsidRPr="00266212">
              <w:rPr>
                <w:rFonts w:ascii="ITC Avant Garde" w:hAnsi="ITC Avant Garde" w:cs="Arial"/>
                <w:lang w:val="es-ES_tradnl"/>
              </w:rPr>
              <w:t>________________________________</w:t>
            </w:r>
          </w:p>
        </w:tc>
        <w:tc>
          <w:tcPr>
            <w:tcW w:w="3629" w:type="dxa"/>
          </w:tcPr>
          <w:p w:rsidR="006308F3" w:rsidRPr="00266212" w:rsidRDefault="006308F3" w:rsidP="006308F3">
            <w:pPr>
              <w:rPr>
                <w:rFonts w:ascii="ITC Avant Garde" w:hAnsi="ITC Avant Garde" w:cs="Arial"/>
                <w:lang w:val="es-ES_tradnl"/>
              </w:rPr>
            </w:pPr>
          </w:p>
          <w:p w:rsidR="006308F3" w:rsidRPr="00266212" w:rsidRDefault="006308F3" w:rsidP="006308F3">
            <w:pPr>
              <w:jc w:val="center"/>
              <w:rPr>
                <w:rFonts w:ascii="ITC Avant Garde" w:hAnsi="ITC Avant Garde" w:cs="Arial"/>
                <w:lang w:val="es-ES_tradnl"/>
              </w:rPr>
            </w:pPr>
            <w:r w:rsidRPr="00266212">
              <w:rPr>
                <w:rFonts w:ascii="ITC Avant Garde" w:hAnsi="ITC Avant Garde" w:cs="Arial"/>
                <w:lang w:val="es-ES_tradnl"/>
              </w:rPr>
              <w:t>_____________________________</w:t>
            </w:r>
          </w:p>
        </w:tc>
      </w:tr>
      <w:tr w:rsidR="006308F3" w:rsidRPr="00266212" w:rsidTr="00483567">
        <w:trPr>
          <w:trHeight w:val="880"/>
          <w:tblHeader/>
          <w:jc w:val="center"/>
        </w:trPr>
        <w:tc>
          <w:tcPr>
            <w:tcW w:w="3163" w:type="dxa"/>
          </w:tcPr>
          <w:p w:rsidR="006308F3" w:rsidRPr="00266212" w:rsidRDefault="006308F3" w:rsidP="006308F3">
            <w:pPr>
              <w:jc w:val="center"/>
              <w:rPr>
                <w:rFonts w:ascii="ITC Avant Garde" w:hAnsi="ITC Avant Garde" w:cs="Arial"/>
                <w:b/>
                <w:lang w:val="es-ES_tradnl"/>
              </w:rPr>
            </w:pPr>
            <w:r w:rsidRPr="00266212">
              <w:rPr>
                <w:rFonts w:ascii="ITC Avant Garde" w:hAnsi="ITC Avant Garde" w:cs="Arial"/>
                <w:b/>
              </w:rPr>
              <w:t>XXXXXXXXXXXXXXXXXXXXXXXX</w:t>
            </w:r>
          </w:p>
        </w:tc>
        <w:tc>
          <w:tcPr>
            <w:tcW w:w="3629" w:type="dxa"/>
          </w:tcPr>
          <w:p w:rsidR="006308F3" w:rsidRPr="00266212" w:rsidRDefault="006308F3" w:rsidP="006308F3">
            <w:pPr>
              <w:jc w:val="center"/>
              <w:rPr>
                <w:rFonts w:ascii="ITC Avant Garde" w:hAnsi="ITC Avant Garde" w:cs="Arial"/>
                <w:b/>
                <w:lang w:val="es-ES_tradnl"/>
              </w:rPr>
            </w:pPr>
            <w:r w:rsidRPr="00266212">
              <w:rPr>
                <w:rFonts w:ascii="ITC Avant Garde" w:hAnsi="ITC Avant Garde" w:cs="Arial"/>
                <w:b/>
                <w:lang w:val="es-ES_tradnl"/>
              </w:rPr>
              <w:t xml:space="preserve"> XXXXXXXXXXXXXXXXXXXXX</w:t>
            </w:r>
          </w:p>
        </w:tc>
      </w:tr>
    </w:tbl>
    <w:p w:rsidR="006308F3" w:rsidRPr="00D62984" w:rsidRDefault="006308F3" w:rsidP="00D62984">
      <w:pPr>
        <w:pStyle w:val="CondicionesFinales"/>
        <w:rPr>
          <w:rFonts w:eastAsiaTheme="minorEastAsia"/>
        </w:rPr>
      </w:pPr>
    </w:p>
    <w:p w:rsidR="00D62984" w:rsidRDefault="00D62984" w:rsidP="00D62984">
      <w:pPr>
        <w:pStyle w:val="Texto"/>
        <w:spacing w:after="0" w:line="276" w:lineRule="auto"/>
        <w:ind w:left="720" w:firstLine="0"/>
        <w:rPr>
          <w:rFonts w:eastAsiaTheme="minorEastAsia"/>
        </w:rPr>
      </w:pPr>
    </w:p>
    <w:p w:rsidR="00A04C3E" w:rsidRPr="006A7AA7" w:rsidRDefault="00A04C3E" w:rsidP="006A7AA7">
      <w:pPr>
        <w:spacing w:before="240" w:after="0"/>
        <w:rPr>
          <w:rFonts w:ascii="ITC Avant Garde" w:hAnsi="ITC Avant Garde"/>
          <w:b/>
          <w:sz w:val="22"/>
          <w:szCs w:val="22"/>
        </w:rPr>
      </w:pPr>
      <w:r w:rsidRPr="006A7AA7">
        <w:rPr>
          <w:rFonts w:ascii="ITC Avant Garde" w:hAnsi="ITC Avant Garde"/>
          <w:b/>
          <w:sz w:val="22"/>
          <w:szCs w:val="22"/>
        </w:rPr>
        <w:t>CASO 3 PROPUESTA DE OFERTA DE REFERENCIA Y/O CONVENIO NO MODIFICADA</w:t>
      </w:r>
    </w:p>
    <w:p w:rsidR="00A04C3E" w:rsidRPr="00277ED0" w:rsidRDefault="00A04C3E" w:rsidP="00A04C3E">
      <w:pPr>
        <w:pStyle w:val="IFTnormal"/>
        <w:rPr>
          <w:b/>
        </w:rPr>
      </w:pPr>
      <w:r w:rsidRPr="00735C7E">
        <w:t>Derivado del análisis a los documentos que integran la Propuesta de Oferta de Referencia</w:t>
      </w:r>
      <w:r>
        <w:t xml:space="preserve">, así como la Propuesta de Convenio presentada por </w:t>
      </w:r>
      <w:r w:rsidR="001C17D3">
        <w:t>Telnor</w:t>
      </w:r>
      <w:r w:rsidRPr="00735C7E">
        <w:t xml:space="preserve">, el Instituto considera que las secciones y condiciones </w:t>
      </w:r>
      <w:r>
        <w:t xml:space="preserve">modificadas por </w:t>
      </w:r>
      <w:r w:rsidR="001C17D3">
        <w:t>Telnor</w:t>
      </w:r>
      <w:r>
        <w:t xml:space="preserve"> en dicha propuesta y </w:t>
      </w:r>
      <w:r w:rsidRPr="00735C7E">
        <w:t xml:space="preserve">no presentadas en </w:t>
      </w:r>
      <w:r>
        <w:t>el</w:t>
      </w:r>
      <w:r w:rsidRPr="00735C7E">
        <w:t xml:space="preserve"> </w:t>
      </w:r>
      <w:r>
        <w:t>CASOS 1 o CASO 2</w:t>
      </w:r>
      <w:r w:rsidRPr="00735C7E">
        <w:t xml:space="preserve"> del presente Acuerdo no atentan a lo es</w:t>
      </w:r>
      <w:r>
        <w:t>tablecido en las Medidas Fijas</w:t>
      </w:r>
      <w:r w:rsidRPr="00735C7E">
        <w:t>, no  imponen condiciones contrarias a competencia en el sector, no establecen condiciones que inhiben la competencia, no establecen requisitos innecesarios para la prestación de los servicios materia de dicha Oferta de Referencia, ni inducen condiciones discriminatorias y/o abusivas en la prestación de los mismos, por lo que se acuerda que estas secciones sean integradas a la Oferta de Referencia</w:t>
      </w:r>
      <w:r>
        <w:t xml:space="preserve"> y a su Convenio</w:t>
      </w:r>
      <w:r w:rsidRPr="00735C7E">
        <w:t>.</w:t>
      </w:r>
      <w:r>
        <w:t xml:space="preserve"> </w:t>
      </w:r>
      <w:r w:rsidRPr="00735C7E">
        <w:t>Sin perjuicio de lo anterior, el Instituto realizó modificaciones con el fin de corregir errores tipográficos, mejorar la claridad en la redacción, así como mantener consistencia con respecto a lo estipulado por el Instituto para otros apartados.</w:t>
      </w:r>
    </w:p>
    <w:p w:rsidR="00DC750F" w:rsidRPr="00BC1079" w:rsidRDefault="00DC750F" w:rsidP="00BC1079">
      <w:pPr>
        <w:pStyle w:val="IFTnormal"/>
        <w:spacing w:after="0"/>
        <w:rPr>
          <w:bCs w:val="0"/>
          <w:i/>
        </w:rPr>
      </w:pPr>
      <w:r w:rsidRPr="00BF1B2A">
        <w:rPr>
          <w:snapToGrid w:val="0"/>
        </w:rPr>
        <w:t xml:space="preserve">Por lo antes expuesto y con fundamento en los artículos 6o., apartado B, fracción II y 28, párrafos décimo quinto y décimo sexto de la Constitución Política de los Estados Unidos Mexicanos; Transitorio Trigésimo Quinto del “Decreto por el que se expiden la Ley Federal de Telecomunicaciones y Radiodifusión, y la Ley del Sistema Público de Radiodifusión del Estado Mexicano; y se reforman, adicionan y derogan </w:t>
      </w:r>
      <w:r w:rsidRPr="00BF1B2A">
        <w:rPr>
          <w:snapToGrid w:val="0"/>
        </w:rPr>
        <w:lastRenderedPageBreak/>
        <w:t>diversas disposiciones en materia de telecomunicaciones y radiodifusión” publicado en el Diario Oficial de la Federación el 14 de julio de 2014; 1, 2, 6, fr</w:t>
      </w:r>
      <w:r>
        <w:rPr>
          <w:snapToGrid w:val="0"/>
        </w:rPr>
        <w:t>acción IV, 7, 15, fracción I y LXIII y 177 fracción VIII y 268</w:t>
      </w:r>
      <w:r w:rsidRPr="00BF1B2A">
        <w:rPr>
          <w:snapToGrid w:val="0"/>
        </w:rPr>
        <w:t xml:space="preserve"> de la Ley Federal de Telecomunicaciones y Radiodifusión; 35, fracción I, 36, 38 y 39 de la Ley Federal de Procedimiento Administrativo; 1, 4, fracción I, 6, fracciones I, VI y XXXVII, del Estatuto Orgánico del Instituto Federal de Telecomunicaciones; la </w:t>
      </w:r>
      <w:r w:rsidRPr="00BF1B2A">
        <w:rPr>
          <w:i/>
          <w:snapToGrid w:val="0"/>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BF1B2A">
        <w:rPr>
          <w:snapToGrid w:val="0"/>
        </w:rPr>
        <w:t xml:space="preserve">, aprobada mediante Acuerdo P/IFT/EXT/060314/76, y el Anexo 2 denominado </w:t>
      </w:r>
      <w:r w:rsidRPr="00BF1B2A">
        <w:rPr>
          <w:i/>
          <w:snapToGrid w:val="0"/>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FIJAS”</w:t>
      </w:r>
      <w:r>
        <w:rPr>
          <w:snapToGrid w:val="0"/>
        </w:rPr>
        <w:t xml:space="preserve">; la </w:t>
      </w:r>
      <w:r w:rsidRPr="00550DA3">
        <w:t>“</w:t>
      </w:r>
      <w:r w:rsidRPr="00550DA3">
        <w:rPr>
          <w:i/>
        </w:rPr>
        <w:t>RESOLUCIÓN MEDIANTE LA CUAL EL PLENO DEL INSTITUTO FEDERAL DE TELECOMUNICACIONES SUPRIME, MODIFICA Y ADICIONA LAS MEDIDAS IMPUESTAS AL AGENTE ECONÓMICO PREPONDERANTE EN EL SECTOR DE TELECOMUNICACIONES MEDIANTE RESOLUCIÓN DE FECHA 6 DE MARZO</w:t>
      </w:r>
      <w:r>
        <w:rPr>
          <w:i/>
        </w:rPr>
        <w:t xml:space="preserve"> </w:t>
      </w:r>
      <w:r w:rsidRPr="00550DA3">
        <w:rPr>
          <w:i/>
        </w:rPr>
        <w:t>DE 2014, APROBADA MEDIANTE ACUERDO P /IFT/EXT /060314/76”</w:t>
      </w:r>
      <w:r>
        <w:t>, aprobada mediante Acuerdo P/IFT/EXT/270217/119, y el Anexo 2 “</w:t>
      </w:r>
      <w:r w:rsidRPr="007B1160">
        <w:rPr>
          <w:i/>
        </w:rPr>
        <w:t xml:space="preserve">Se </w:t>
      </w:r>
      <w:r w:rsidRPr="007B1160">
        <w:rPr>
          <w:b/>
          <w:i/>
        </w:rPr>
        <w:t>MODIFICAN</w:t>
      </w:r>
      <w:r w:rsidRPr="007B1160">
        <w:rPr>
          <w:i/>
        </w:rPr>
        <w:t xml:space="preserve"> </w:t>
      </w:r>
      <w:r w:rsidRPr="007B1160">
        <w:rPr>
          <w:i/>
          <w:lang w:val="es-ES"/>
        </w:rPr>
        <w:t xml:space="preserve">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w:t>
      </w:r>
      <w:r w:rsidRPr="007B1160">
        <w:rPr>
          <w:b/>
          <w:i/>
          <w:lang w:val="es-ES"/>
        </w:rPr>
        <w:t>ADICIONAN</w:t>
      </w:r>
      <w:r w:rsidRPr="007B1160">
        <w:rPr>
          <w:i/>
          <w:lang w:val="es-ES"/>
        </w:rPr>
        <w:t xml:space="preserve"> las medidas TERCERA, incisos 0), 3.1), 11.1), 12.1), 19.1), 19.2), 20.1), 20.2) y 24.1), SÉPTIMA, segundo párrafo, SEXAGÉSIMA CUARTA, SEXAGÉSIMA QUINTA, SEXAGÉSIMA SEXTA, SEXAGÉSIMA SÉPTIMA, SEXAGÉSIMA OCTAVA, SEXAGÉSIMA NOVENA, SEPTUAGÉSIMA y SEPTUAGÉSIMA PRIMERA, y se </w:t>
      </w:r>
      <w:r w:rsidRPr="007B1160">
        <w:rPr>
          <w:b/>
          <w:i/>
          <w:lang w:val="es-ES"/>
        </w:rPr>
        <w:t>SUPRIME</w:t>
      </w:r>
      <w:r w:rsidRPr="007B1160">
        <w:rPr>
          <w:i/>
          <w:lang w:val="es-ES"/>
        </w:rPr>
        <w:t xml:space="preserve"> la medida TERCERA, incisos 3), 13), 14), 15), 18), 19) y 29),</w:t>
      </w:r>
      <w:r w:rsidRPr="007B1160">
        <w:rPr>
          <w:rFonts w:eastAsia="Times New Roman"/>
          <w:i/>
          <w:lang w:val="es-ES"/>
        </w:rPr>
        <w:t xml:space="preserve"> todas ellas del </w:t>
      </w:r>
      <w:r w:rsidRPr="007B1160">
        <w:rPr>
          <w:rFonts w:eastAsia="Times New Roman"/>
          <w:i/>
          <w:lang w:val="es-ES"/>
        </w:rPr>
        <w:lastRenderedPageBreak/>
        <w:t>Anexo 2</w:t>
      </w:r>
      <w:r w:rsidRPr="007B1160">
        <w:rPr>
          <w:i/>
        </w:rPr>
        <w:t>, todas ellas del Anexo 2 de la Resolución AEP.</w:t>
      </w:r>
      <w:r w:rsidRPr="007B1160">
        <w:t>”</w:t>
      </w:r>
      <w:r>
        <w:rPr>
          <w:i/>
        </w:rPr>
        <w:t xml:space="preserve"> </w:t>
      </w:r>
      <w:r w:rsidRPr="00BF1B2A">
        <w:rPr>
          <w:snapToGrid w:val="0"/>
        </w:rPr>
        <w:t>el Pleno del Instituto Federal de Telecomunicaciones emite los siguientes:</w:t>
      </w:r>
    </w:p>
    <w:p w:rsidR="00DC750F" w:rsidRPr="006A7AA7" w:rsidRDefault="00DC750F" w:rsidP="006A7AA7">
      <w:pPr>
        <w:pStyle w:val="Ttulo2"/>
        <w:jc w:val="center"/>
        <w:rPr>
          <w:rFonts w:ascii="ITC Avant Garde" w:hAnsi="ITC Avant Garde"/>
          <w:sz w:val="22"/>
          <w:szCs w:val="22"/>
        </w:rPr>
      </w:pPr>
      <w:r w:rsidRPr="006A7AA7">
        <w:rPr>
          <w:rFonts w:ascii="ITC Avant Garde" w:hAnsi="ITC Avant Garde"/>
          <w:sz w:val="22"/>
          <w:szCs w:val="22"/>
        </w:rPr>
        <w:t>ACUERDOS</w:t>
      </w:r>
    </w:p>
    <w:p w:rsidR="007E01EA" w:rsidRPr="00EF35B0" w:rsidRDefault="00DC750F" w:rsidP="007E01EA">
      <w:pPr>
        <w:pStyle w:val="IFTnormal"/>
        <w:rPr>
          <w:rStyle w:val="IFTnormalCar"/>
          <w:i/>
        </w:rPr>
      </w:pPr>
      <w:r w:rsidRPr="00BF1B2A">
        <w:rPr>
          <w:b/>
        </w:rPr>
        <w:t>PRIMERO.-</w:t>
      </w:r>
      <w:r w:rsidRPr="00BF1B2A">
        <w:t xml:space="preserve"> </w:t>
      </w:r>
      <w:r w:rsidR="007E01EA" w:rsidRPr="00EF35B0">
        <w:t xml:space="preserve">Se modifica en sus términos y condiciones la Oferta de Referencia para el Acceso y Uso Compartido de Infraestructura Pasiva presentado por </w:t>
      </w:r>
      <w:r w:rsidR="00123A5B">
        <w:t>Teléfonos del Noroeste, S.A.</w:t>
      </w:r>
      <w:r w:rsidR="005102E8">
        <w:t xml:space="preserve"> de C.V.</w:t>
      </w:r>
      <w:r w:rsidR="007E01EA" w:rsidRPr="00EF35B0">
        <w:rPr>
          <w:snapToGrid w:val="0"/>
        </w:rPr>
        <w:t xml:space="preserve"> como parte del Agente Económico Preponderante</w:t>
      </w:r>
      <w:r w:rsidR="007E01EA" w:rsidRPr="00EF35B0">
        <w:t xml:space="preserve"> por las razones señaladas en el Considerando </w:t>
      </w:r>
      <w:r w:rsidR="005102E8" w:rsidRPr="00EF35B0">
        <w:t>QUINTO</w:t>
      </w:r>
      <w:r w:rsidR="007E01EA" w:rsidRPr="00EF35B0">
        <w:t>, y de conformidad con lo establecido en el Anexo ÚNICO del presente Acuerdo y que forma parte integral del mismo.</w:t>
      </w:r>
    </w:p>
    <w:p w:rsidR="00DC750F" w:rsidRPr="00BF1B2A" w:rsidRDefault="00DC750F" w:rsidP="00DC750F">
      <w:pPr>
        <w:pStyle w:val="IFTnormal"/>
      </w:pPr>
      <w:bookmarkStart w:id="138" w:name="_GoBack"/>
      <w:bookmarkEnd w:id="138"/>
      <w:r>
        <w:rPr>
          <w:b/>
        </w:rPr>
        <w:t>SEGUNDO</w:t>
      </w:r>
      <w:r w:rsidRPr="00BF1B2A">
        <w:rPr>
          <w:b/>
        </w:rPr>
        <w:t>.-</w:t>
      </w:r>
      <w:r w:rsidRPr="00BF1B2A">
        <w:t xml:space="preserve"> </w:t>
      </w:r>
      <w:r w:rsidR="005102E8" w:rsidRPr="00EF35B0">
        <w:rPr>
          <w:rFonts w:eastAsia="Times New Roman" w:cs="Times New Roman"/>
          <w:lang w:val="es-ES" w:eastAsia="es-MX"/>
        </w:rPr>
        <w:t xml:space="preserve">Notifíquese el presente Acuerdo a </w:t>
      </w:r>
      <w:r w:rsidR="00123A5B">
        <w:t>Teléfonos del Noroeste, S.A.</w:t>
      </w:r>
      <w:r w:rsidR="005102E8">
        <w:t xml:space="preserve"> de C.V.</w:t>
      </w:r>
      <w:r w:rsidR="005102E8" w:rsidRPr="00EF35B0">
        <w:rPr>
          <w:rFonts w:eastAsia="Times New Roman" w:cs="Times New Roman"/>
          <w:lang w:val="es-ES" w:eastAsia="es-MX"/>
        </w:rPr>
        <w:t>, para que en un plazo de 10 días hábiles contados a partir del día siguiente al que surta efectos su notificación, manifieste lo que a su derecho convenga y ofrezca los elementos de prueba que estimen pertinentes en relación con el presente procedimiento.</w:t>
      </w:r>
    </w:p>
    <w:p w:rsidR="00DA6EC5" w:rsidRPr="00DA6EC5" w:rsidRDefault="00DA6EC5" w:rsidP="00DA6EC5">
      <w:pPr>
        <w:spacing w:after="0" w:line="240" w:lineRule="auto"/>
        <w:rPr>
          <w:rFonts w:ascii="Calibri" w:hAnsi="Calibri"/>
          <w:sz w:val="14"/>
          <w:szCs w:val="14"/>
          <w:lang w:val="es-ES_tradnl" w:eastAsia="en-US"/>
        </w:rPr>
      </w:pPr>
      <w:r w:rsidRPr="00DA6EC5">
        <w:rPr>
          <w:rFonts w:ascii="ITC Avant Garde" w:hAnsi="ITC Avant Garde"/>
          <w:sz w:val="14"/>
          <w:szCs w:val="14"/>
          <w:lang w:val="es-ES"/>
        </w:rPr>
        <w:t xml:space="preserve">El presente Acuerdo fue aprobado por el Pleno del Instituto Federal de Telecomunicaciones en su XLII Sesión Ordinaria celebrada el 23 de octubre de 2017, </w:t>
      </w:r>
      <w:r w:rsidRPr="00DA6EC5">
        <w:rPr>
          <w:rFonts w:ascii="ITC Avant Garde" w:hAnsi="ITC Avant Garde"/>
          <w:bCs/>
          <w:sz w:val="14"/>
          <w:szCs w:val="14"/>
          <w:lang w:val="es-ES"/>
        </w:rPr>
        <w:t>por unanimidad</w:t>
      </w:r>
      <w:r w:rsidRPr="00DA6EC5">
        <w:rPr>
          <w:rFonts w:ascii="ITC Avant Garde" w:hAnsi="ITC Avant Garde"/>
          <w:sz w:val="14"/>
          <w:szCs w:val="14"/>
          <w:lang w:val="es-ES"/>
        </w:rPr>
        <w:t xml:space="preserve">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P/IFT/231017/653.</w:t>
      </w:r>
    </w:p>
    <w:p w:rsidR="00BC3F67" w:rsidRPr="006A7AA7" w:rsidRDefault="00DA6EC5" w:rsidP="006A7AA7">
      <w:pPr>
        <w:spacing w:after="0" w:line="240" w:lineRule="auto"/>
        <w:rPr>
          <w:rFonts w:ascii="ITC Avant Garde" w:hAnsi="ITC Avant Garde"/>
          <w:sz w:val="14"/>
          <w:szCs w:val="14"/>
          <w:lang w:val="es-ES"/>
        </w:rPr>
      </w:pPr>
      <w:r w:rsidRPr="006A7AA7">
        <w:rPr>
          <w:rFonts w:ascii="ITC Avant Garde" w:hAnsi="ITC Avant Garde"/>
          <w:sz w:val="14"/>
          <w:szCs w:val="14"/>
          <w:lang w:val="es-ES"/>
        </w:rPr>
        <w:t>La Comisionada María Elena Estavillo Flores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sectPr w:rsidR="00BC3F67" w:rsidRPr="006A7AA7" w:rsidSect="00BF383F">
      <w:footerReference w:type="default" r:id="rId49"/>
      <w:pgSz w:w="12242" w:h="15842" w:code="1"/>
      <w:pgMar w:top="1985" w:right="1701" w:bottom="1843" w:left="1701" w:header="624"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4D7" w:rsidRDefault="002C04D7" w:rsidP="004F6EDB">
      <w:r>
        <w:separator/>
      </w:r>
    </w:p>
  </w:endnote>
  <w:endnote w:type="continuationSeparator" w:id="0">
    <w:p w:rsidR="002C04D7" w:rsidRDefault="002C04D7" w:rsidP="004F6EDB">
      <w:r>
        <w:continuationSeparator/>
      </w:r>
    </w:p>
  </w:endnote>
  <w:endnote w:type="continuationNotice" w:id="1">
    <w:p w:rsidR="002C04D7" w:rsidRDefault="002C04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 w:name="Monotype Sorts">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504020202020204"/>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 New Roman PSMT">
    <w:altName w:val="Times New Roman PSMT"/>
    <w:panose1 w:val="00000000000000000000"/>
    <w:charset w:val="00"/>
    <w:family w:val="roman"/>
    <w:notTrueType/>
    <w:pitch w:val="default"/>
    <w:sig w:usb0="00000003" w:usb1="00000000" w:usb2="00000000" w:usb3="00000000" w:csb0="00000001" w:csb1="00000000"/>
  </w:font>
  <w:font w:name="Ericsson Roman">
    <w:altName w:val="Courier New"/>
    <w:panose1 w:val="00000000000000000000"/>
    <w:charset w:val="00"/>
    <w:family w:val="swiss"/>
    <w:notTrueType/>
    <w:pitch w:val="variable"/>
    <w:sig w:usb0="00000003" w:usb1="00000000" w:usb2="00000000" w:usb3="00000000" w:csb0="00000001" w:csb1="00000000"/>
  </w:font>
  <w:font w:name="Telefonica Text">
    <w:altName w:val="Segoe Condensed"/>
    <w:charset w:val="00"/>
    <w:family w:val="auto"/>
    <w:pitch w:val="variable"/>
    <w:sig w:usb0="00000001" w:usb1="4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iddenHorzOCR">
    <w:altName w:val="Yu Gothic UI"/>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82A" w:rsidRPr="00506035" w:rsidRDefault="005C782A" w:rsidP="00982CBD">
    <w:pPr>
      <w:pStyle w:val="Encabezado"/>
      <w:jc w:val="right"/>
      <w:rPr>
        <w:rFonts w:ascii="ITC Avant Garde" w:hAnsi="ITC Avant Gard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4D7" w:rsidRDefault="002C04D7" w:rsidP="004F6EDB">
      <w:r>
        <w:separator/>
      </w:r>
    </w:p>
  </w:footnote>
  <w:footnote w:type="continuationSeparator" w:id="0">
    <w:p w:rsidR="002C04D7" w:rsidRDefault="002C04D7" w:rsidP="004F6EDB">
      <w:r>
        <w:continuationSeparator/>
      </w:r>
    </w:p>
  </w:footnote>
  <w:footnote w:type="continuationNotice" w:id="1">
    <w:p w:rsidR="002C04D7" w:rsidRDefault="002C04D7">
      <w:pPr>
        <w:spacing w:after="0" w:line="240" w:lineRule="auto"/>
      </w:pPr>
    </w:p>
  </w:footnote>
  <w:footnote w:id="2">
    <w:p w:rsidR="005C782A" w:rsidRPr="000C64DC" w:rsidRDefault="005C782A" w:rsidP="007C4016">
      <w:pPr>
        <w:pStyle w:val="Textonotapie"/>
        <w:spacing w:after="0" w:line="240" w:lineRule="auto"/>
        <w:rPr>
          <w:rFonts w:ascii="ITC Avant Garde" w:hAnsi="ITC Avant Garde"/>
          <w:sz w:val="16"/>
          <w:szCs w:val="16"/>
        </w:rPr>
      </w:pPr>
      <w:r w:rsidRPr="000C64DC">
        <w:rPr>
          <w:rStyle w:val="Refdenotaalpie"/>
          <w:rFonts w:ascii="ITC Avant Garde" w:hAnsi="ITC Avant Garde"/>
          <w:sz w:val="16"/>
          <w:szCs w:val="16"/>
        </w:rPr>
        <w:footnoteRef/>
      </w:r>
      <w:r w:rsidRPr="000C64DC">
        <w:rPr>
          <w:rFonts w:ascii="ITC Avant Garde" w:hAnsi="ITC Avant Garde"/>
          <w:sz w:val="16"/>
          <w:szCs w:val="16"/>
        </w:rPr>
        <w:t xml:space="preserve"> Aplican para el Servicio de Compartición de Torres y para el Servicio de Uso de Sitios, Predios y Espacios Físicos y forman parte del servicio contratado.</w:t>
      </w:r>
    </w:p>
  </w:footnote>
  <w:footnote w:id="3">
    <w:p w:rsidR="005C782A" w:rsidRDefault="005C782A" w:rsidP="007C4016">
      <w:pPr>
        <w:pStyle w:val="Textonotapie"/>
      </w:pPr>
      <w:r>
        <w:rPr>
          <w:rStyle w:val="Refdenotaalpie"/>
        </w:rPr>
        <w:footnoteRef/>
      </w:r>
      <w:r>
        <w:t xml:space="preserve"> </w:t>
      </w:r>
      <w:r w:rsidRPr="000B2C4F">
        <w:rPr>
          <w:rFonts w:ascii="ITC Avant Garde" w:hAnsi="ITC Avant Garde"/>
          <w:sz w:val="18"/>
        </w:rPr>
        <w:t>De conformidad con la especificación de “velocidad de viento de diseño” en términos de la zonas de carga descritas mediante el apartado “</w:t>
      </w:r>
      <w:r w:rsidRPr="00C54F27">
        <w:rPr>
          <w:rFonts w:ascii="ITC Avant Garde" w:hAnsi="ITC Avant Garde"/>
          <w:sz w:val="18"/>
        </w:rPr>
        <w:t>922-82. Zonas de cargas mecánicas.”, incluido en la “</w:t>
      </w:r>
      <w:r w:rsidRPr="000B2C4F">
        <w:rPr>
          <w:rFonts w:ascii="ITC Avant Garde" w:hAnsi="ITC Avant Garde"/>
          <w:sz w:val="18"/>
        </w:rPr>
        <w:t>NORMA Oficial Mexicana NOM-001-SEDE-2012, Instalaciones Eléctricas (utilización)</w:t>
      </w:r>
      <w:r>
        <w:rPr>
          <w:rFonts w:ascii="ITC Avant Garde" w:hAnsi="ITC Avant Garde"/>
          <w:sz w:val="18"/>
        </w:rPr>
        <w:t>”</w:t>
      </w:r>
      <w:r w:rsidRPr="000B2C4F">
        <w:rPr>
          <w:rFonts w:ascii="ITC Avant Garde" w:hAnsi="ITC Avant Garde"/>
          <w:sz w:val="18"/>
        </w:rPr>
        <w:t>.</w:t>
      </w:r>
    </w:p>
  </w:footnote>
  <w:footnote w:id="4">
    <w:p w:rsidR="005C782A" w:rsidRDefault="005C782A" w:rsidP="007C4016">
      <w:pPr>
        <w:pStyle w:val="Textonotapie"/>
      </w:pPr>
      <w:r>
        <w:rPr>
          <w:rStyle w:val="Refdenotaalpie"/>
        </w:rPr>
        <w:footnoteRef/>
      </w:r>
      <w:r>
        <w:t xml:space="preserve"> </w:t>
      </w:r>
      <w:r w:rsidRPr="001A694E">
        <w:rPr>
          <w:rFonts w:ascii="ITC Avant Garde" w:hAnsi="ITC Avant Garde"/>
          <w:b/>
          <w:sz w:val="16"/>
        </w:rPr>
        <w:t>Nota:</w:t>
      </w:r>
      <w:r w:rsidRPr="001A694E">
        <w:rPr>
          <w:rFonts w:ascii="ITC Avant Garde" w:hAnsi="ITC Avant Garde"/>
          <w:sz w:val="16"/>
        </w:rPr>
        <w:t xml:space="preserve"> En el caso de que el cable involucrado integre un mensajero, el diámetro que se deberá involucrar en las estimaciones será el resultado de sumar los diámetros correspondientes al cable y al dicho mensajero.</w:t>
      </w:r>
    </w:p>
  </w:footnote>
  <w:footnote w:id="5">
    <w:p w:rsidR="005C782A" w:rsidRDefault="005C782A" w:rsidP="007C4016">
      <w:pPr>
        <w:pStyle w:val="Textonotapie"/>
      </w:pPr>
      <w:r>
        <w:rPr>
          <w:rStyle w:val="Refdenotaalpie"/>
        </w:rPr>
        <w:footnoteRef/>
      </w:r>
      <w:r>
        <w:t xml:space="preserve"> </w:t>
      </w:r>
      <w:r w:rsidRPr="00D34609">
        <w:rPr>
          <w:rFonts w:ascii="ITC Avant Garde" w:hAnsi="ITC Avant Garde"/>
          <w:sz w:val="16"/>
        </w:rPr>
        <w:t>Se considera el valor correspondiente a la zona IV asociado a la Ciudad de México, reportado en el apartado “922-82. Zonas de cargas mecánicas.”, incluido en la “NORMA Oficial Mexicana NOM-001-SEDE-2012, Instalaciones Eléctricas (utilización)”.</w:t>
      </w:r>
    </w:p>
  </w:footnote>
  <w:footnote w:id="6">
    <w:p w:rsidR="005C782A" w:rsidRDefault="005C782A" w:rsidP="007C4016">
      <w:pPr>
        <w:pStyle w:val="Textonotapie"/>
      </w:pPr>
      <w:r>
        <w:rPr>
          <w:rStyle w:val="Refdenotaalpie"/>
        </w:rPr>
        <w:footnoteRef/>
      </w:r>
      <w:r>
        <w:t xml:space="preserve"> </w:t>
      </w:r>
      <w:r w:rsidRPr="004544DA">
        <w:rPr>
          <w:rFonts w:ascii="ITC Avant Garde" w:hAnsi="ITC Avant Garde"/>
          <w:sz w:val="18"/>
        </w:rPr>
        <w:t>Se refiere a la</w:t>
      </w:r>
      <w:r w:rsidRPr="004544DA">
        <w:rPr>
          <w:rFonts w:ascii="ITC Avant Garde" w:hAnsi="ITC Avant Garde"/>
          <w:sz w:val="18"/>
          <w:szCs w:val="18"/>
        </w:rPr>
        <w:t xml:space="preserve"> carga transversal </w:t>
      </w:r>
      <w:r>
        <w:rPr>
          <w:rFonts w:ascii="ITC Avant Garde" w:hAnsi="ITC Avant Garde"/>
          <w:sz w:val="18"/>
          <w:szCs w:val="18"/>
        </w:rPr>
        <w:t xml:space="preserve">por metro </w:t>
      </w:r>
      <w:r w:rsidRPr="004544DA">
        <w:rPr>
          <w:rFonts w:ascii="ITC Avant Garde" w:hAnsi="ITC Avant Garde"/>
          <w:sz w:val="18"/>
          <w:szCs w:val="18"/>
        </w:rPr>
        <w:t>sobre la estructura debida al viento sobre los conductores y cables</w:t>
      </w:r>
      <w:r>
        <w:rPr>
          <w:rFonts w:ascii="ITC Avant Garde" w:hAnsi="ITC Avant Garde"/>
          <w:sz w:val="18"/>
          <w:szCs w:val="18"/>
        </w:rPr>
        <w:t xml:space="preserve"> cuyo factor de presión de viento está determinado en la</w:t>
      </w:r>
      <w:r w:rsidRPr="006B1C9A">
        <w:rPr>
          <w:rFonts w:ascii="ITC Avant Garde" w:hAnsi="ITC Avant Garde"/>
          <w:sz w:val="18"/>
          <w:szCs w:val="18"/>
        </w:rPr>
        <w:t>“NORMA Oficial Mexicana NOM-001-SEDE-2012, Instalaciones Eléctricas (utilización)”</w:t>
      </w:r>
      <w:r w:rsidRPr="004544DA">
        <w:rPr>
          <w:rFonts w:ascii="ITC Avant Garde" w:hAnsi="ITC Avant Garde"/>
          <w:sz w:val="18"/>
          <w:szCs w:val="18"/>
        </w:rPr>
        <w:t>.</w:t>
      </w:r>
    </w:p>
  </w:footnote>
  <w:footnote w:id="7">
    <w:p w:rsidR="005C782A" w:rsidRDefault="005C782A" w:rsidP="007C4016">
      <w:pPr>
        <w:pStyle w:val="Textonotapie"/>
      </w:pPr>
      <w:r>
        <w:rPr>
          <w:rStyle w:val="Refdenotaalpie"/>
        </w:rPr>
        <w:footnoteRef/>
      </w:r>
      <w:r>
        <w:t xml:space="preserve"> </w:t>
      </w:r>
      <w:r w:rsidRPr="000B2C4F">
        <w:rPr>
          <w:rFonts w:ascii="ITC Avant Garde" w:hAnsi="ITC Avant Garde"/>
          <w:sz w:val="18"/>
        </w:rPr>
        <w:t>De conformidad con la especificación de “velocidad de viento de diseño” en términos de la zonas de carga descritas mediante el apartado “</w:t>
      </w:r>
      <w:r w:rsidRPr="00C54F27">
        <w:rPr>
          <w:rFonts w:ascii="ITC Avant Garde" w:hAnsi="ITC Avant Garde"/>
          <w:sz w:val="18"/>
        </w:rPr>
        <w:t>922-82. Zonas de cargas mecánicas.”, incluido en la “</w:t>
      </w:r>
      <w:r w:rsidRPr="000B2C4F">
        <w:rPr>
          <w:rFonts w:ascii="ITC Avant Garde" w:hAnsi="ITC Avant Garde"/>
          <w:sz w:val="18"/>
        </w:rPr>
        <w:t>NORMA Oficial Mexicana NOM-001-SEDE-2012, Instalaciones Eléctricas (utilización)</w:t>
      </w:r>
      <w:r>
        <w:rPr>
          <w:rFonts w:ascii="ITC Avant Garde" w:hAnsi="ITC Avant Garde"/>
          <w:sz w:val="18"/>
        </w:rPr>
        <w:t>”</w:t>
      </w:r>
      <w:r w:rsidRPr="000B2C4F">
        <w:rPr>
          <w:rFonts w:ascii="ITC Avant Garde" w:hAnsi="ITC Avant Garde"/>
          <w:sz w:val="18"/>
        </w:rPr>
        <w:t>.</w:t>
      </w:r>
    </w:p>
  </w:footnote>
  <w:footnote w:id="8">
    <w:p w:rsidR="005C782A" w:rsidRDefault="005C782A" w:rsidP="007C4016">
      <w:pPr>
        <w:pStyle w:val="Textonotapie"/>
      </w:pPr>
      <w:r>
        <w:rPr>
          <w:rStyle w:val="Refdenotaalpie"/>
        </w:rPr>
        <w:footnoteRef/>
      </w:r>
      <w:r>
        <w:t xml:space="preserve"> </w:t>
      </w:r>
      <w:r w:rsidRPr="00350050">
        <w:rPr>
          <w:rFonts w:ascii="ITC Avant Garde" w:hAnsi="ITC Avant Garde"/>
          <w:b/>
          <w:sz w:val="18"/>
        </w:rPr>
        <w:t>Nota:</w:t>
      </w:r>
      <w:r w:rsidRPr="00350050">
        <w:rPr>
          <w:rFonts w:ascii="ITC Avant Garde" w:hAnsi="ITC Avant Garde"/>
          <w:sz w:val="18"/>
        </w:rPr>
        <w:t xml:space="preserve"> En el caso de que el cable involucrado integre un mensajero, el diámetro que se deberá involucrar en las estimaciones será el resultado de sumar los diámetros correspondientes al cable y al dicho mensajero.</w:t>
      </w:r>
    </w:p>
  </w:footnote>
  <w:footnote w:id="9">
    <w:p w:rsidR="005C782A" w:rsidRPr="00D43578" w:rsidRDefault="005C782A" w:rsidP="007C4016">
      <w:pPr>
        <w:pStyle w:val="Textonotapie"/>
        <w:spacing w:after="0" w:line="240" w:lineRule="auto"/>
        <w:rPr>
          <w:rFonts w:ascii="ITC Avant Garde" w:hAnsi="ITC Avant Garde"/>
          <w:i/>
          <w:sz w:val="18"/>
          <w:szCs w:val="18"/>
          <w:lang w:val="es-MX"/>
        </w:rPr>
      </w:pPr>
      <w:r>
        <w:rPr>
          <w:rFonts w:ascii="ITC Avant Garde" w:hAnsi="ITC Avant Garde"/>
          <w:i/>
          <w:sz w:val="18"/>
          <w:szCs w:val="18"/>
        </w:rPr>
        <w:t>“</w:t>
      </w:r>
      <w:r w:rsidRPr="00D43578">
        <w:rPr>
          <w:rStyle w:val="Refdenotaalpie"/>
          <w:rFonts w:ascii="ITC Avant Garde" w:hAnsi="ITC Avant Garde"/>
          <w:i/>
          <w:sz w:val="18"/>
          <w:szCs w:val="18"/>
        </w:rPr>
        <w:footnoteRef/>
      </w:r>
      <w:r w:rsidRPr="00D43578">
        <w:rPr>
          <w:rFonts w:ascii="ITC Avant Garde" w:hAnsi="ITC Avant Garde"/>
          <w:i/>
          <w:sz w:val="18"/>
          <w:szCs w:val="18"/>
        </w:rPr>
        <w:t xml:space="preserve"> Todo aquel equipo que: (a) sea instalado en la infraestructura pasiva de un determinado Sitio con posterioridad a la instalación del equipo del CONCESIONARIO SOLICITANTE, así como (b) aquel equipo del CONCESIONARIO SOLICITANTE y/o Equipo Preexistente que hubiese sido modificado en los parámetros de operación o bien, haya sido sustituido en todo o parte por otro diverso, con posterioridad a la fecha en la cual comienza la prestación efectiva de los SERVICIOS</w:t>
      </w:r>
      <w:r>
        <w:rPr>
          <w:rFonts w:ascii="ITC Avant Garde" w:hAnsi="ITC Avant Garde"/>
          <w:i/>
          <w:sz w:val="18"/>
          <w:szCs w:val="18"/>
        </w:rPr>
        <w:t>”</w:t>
      </w:r>
      <w:r w:rsidRPr="00D43578">
        <w:rPr>
          <w:rFonts w:ascii="ITC Avant Garde" w:hAnsi="ITC Avant Garde"/>
          <w:i/>
          <w:sz w:val="18"/>
          <w:szCs w:val="18"/>
        </w:rPr>
        <w:t>.</w:t>
      </w:r>
    </w:p>
  </w:footnote>
  <w:footnote w:id="10">
    <w:p w:rsidR="005C782A" w:rsidRDefault="005C782A" w:rsidP="000314A8">
      <w:pPr>
        <w:pStyle w:val="Textonotapie"/>
      </w:pPr>
      <w:r>
        <w:rPr>
          <w:rStyle w:val="Refdenotaalpie"/>
        </w:rPr>
        <w:footnoteRef/>
      </w:r>
      <w:r>
        <w:t xml:space="preserve"> </w:t>
      </w:r>
      <w:r w:rsidRPr="00D34609">
        <w:rPr>
          <w:rFonts w:ascii="ITC Avant Garde" w:hAnsi="ITC Avant Garde"/>
          <w:sz w:val="16"/>
        </w:rPr>
        <w:t>Se considera el valor correspondiente a la zona IV asociado a la Ciudad de México, reportado en el apartado “922-82. Zonas de cargas mecánicas.”, incluido en la “NORMA Oficial Mexicana NOM-001-SEDE-2012, Instalaciones Eléctricas (utilización)”.</w:t>
      </w:r>
    </w:p>
  </w:footnote>
  <w:footnote w:id="11">
    <w:p w:rsidR="00483567" w:rsidRPr="00912796" w:rsidRDefault="00483567" w:rsidP="00483567">
      <w:pPr>
        <w:pStyle w:val="Textonotapie"/>
        <w:spacing w:after="0" w:line="240" w:lineRule="auto"/>
        <w:rPr>
          <w:lang w:val="es-MX"/>
        </w:rPr>
      </w:pPr>
      <w:r>
        <w:rPr>
          <w:rStyle w:val="Refdenotaalpie"/>
        </w:rPr>
        <w:footnoteRef/>
      </w:r>
      <w:r>
        <w:t xml:space="preserve"> </w:t>
      </w:r>
      <w:r w:rsidRPr="00912796">
        <w:rPr>
          <w:sz w:val="16"/>
          <w:szCs w:val="16"/>
        </w:rPr>
        <w:t>T</w:t>
      </w:r>
      <w:r w:rsidRPr="00912796">
        <w:rPr>
          <w:rFonts w:ascii="ITC Avant Garde" w:hAnsi="ITC Avant Garde"/>
          <w:sz w:val="16"/>
          <w:szCs w:val="16"/>
        </w:rPr>
        <w:t>arifa por uso de 6.6 metros cuadrados de espacio horizontal, incluyendo el uso de espacios comunes y compartidos.</w:t>
      </w:r>
    </w:p>
  </w:footnote>
  <w:footnote w:id="12">
    <w:p w:rsidR="005C782A" w:rsidRPr="00AD2400" w:rsidRDefault="005C782A" w:rsidP="005C782A">
      <w:pPr>
        <w:pStyle w:val="Textonotapie"/>
        <w:spacing w:after="0" w:line="240" w:lineRule="auto"/>
        <w:rPr>
          <w:lang w:val="es-MX"/>
        </w:rPr>
      </w:pPr>
      <w:r>
        <w:rPr>
          <w:rStyle w:val="Refdenotaalpie"/>
        </w:rPr>
        <w:footnoteRef/>
      </w:r>
      <w:r w:rsidRPr="00B240E2">
        <w:rPr>
          <w:lang w:val="es-MX"/>
        </w:rPr>
        <w:t xml:space="preserve"> </w:t>
      </w:r>
      <w:r w:rsidRPr="00957186">
        <w:rPr>
          <w:rFonts w:ascii="ITC Avant Garde" w:hAnsi="ITC Avant Garde"/>
          <w:sz w:val="16"/>
          <w:szCs w:val="16"/>
          <w:lang w:val="es-MX"/>
        </w:rPr>
        <w:t xml:space="preserve">Los valores numéricos corresponden a la clasificación de regiones socioeconómicas de México, elaborada por el Instituto Nacional de Estadística y Geografía (INEGI). Véase </w:t>
      </w:r>
      <w:r w:rsidRPr="005C782A">
        <w:rPr>
          <w:rFonts w:ascii="ITC Avant Garde" w:hAnsi="ITC Avant Garde"/>
          <w:sz w:val="16"/>
          <w:szCs w:val="16"/>
          <w:lang w:val="es-MX"/>
        </w:rPr>
        <w:t>http://sc.inegi.gob.mx/niveles/index.jsp</w:t>
      </w:r>
      <w:r w:rsidRPr="00957186">
        <w:rPr>
          <w:rFonts w:ascii="ITC Avant Garde" w:hAnsi="ITC Avant Garde"/>
          <w:sz w:val="16"/>
          <w:szCs w:val="16"/>
          <w:lang w:val="es-MX"/>
        </w:rPr>
        <w:t>.</w:t>
      </w:r>
    </w:p>
  </w:footnote>
  <w:footnote w:id="13">
    <w:p w:rsidR="005C782A" w:rsidRPr="00AD2400" w:rsidRDefault="005C782A" w:rsidP="005C782A">
      <w:pPr>
        <w:pStyle w:val="Textonotapie"/>
        <w:spacing w:after="0" w:line="240" w:lineRule="auto"/>
        <w:rPr>
          <w:lang w:val="es-MX"/>
        </w:rPr>
      </w:pPr>
      <w:r>
        <w:rPr>
          <w:rStyle w:val="Refdenotaalpie"/>
        </w:rPr>
        <w:footnoteRef/>
      </w:r>
      <w:r w:rsidRPr="00B240E2">
        <w:rPr>
          <w:lang w:val="es-MX"/>
        </w:rPr>
        <w:t xml:space="preserve"> </w:t>
      </w:r>
      <w:r w:rsidRPr="00957186">
        <w:rPr>
          <w:rFonts w:ascii="ITC Avant Garde" w:hAnsi="ITC Avant Garde"/>
          <w:sz w:val="16"/>
          <w:lang w:val="es-ES_tradnl"/>
        </w:rPr>
        <w:t>Se trata de sitios ubicados en zonas o parques industriales</w:t>
      </w:r>
      <w:r w:rsidRPr="00957186">
        <w:rPr>
          <w:rFonts w:ascii="ITC Avant Garde" w:hAnsi="ITC Avant Garde"/>
          <w:sz w:val="16"/>
          <w:lang w:val="es-MX"/>
        </w:rPr>
        <w:t>.</w:t>
      </w:r>
    </w:p>
  </w:footnote>
  <w:footnote w:id="14">
    <w:p w:rsidR="005C782A" w:rsidRPr="00FD1B0C" w:rsidRDefault="005C782A" w:rsidP="005C782A">
      <w:pPr>
        <w:pStyle w:val="Textonotapie"/>
        <w:spacing w:after="0" w:line="240" w:lineRule="auto"/>
      </w:pPr>
      <w:r>
        <w:rPr>
          <w:rStyle w:val="Refdenotaalpie"/>
        </w:rPr>
        <w:footnoteRef/>
      </w:r>
      <w:r w:rsidRPr="00D72E0F">
        <w:rPr>
          <w:rStyle w:val="Refdenotaalpie"/>
        </w:rPr>
        <w:t xml:space="preserve"> </w:t>
      </w:r>
      <w:r w:rsidRPr="00957186">
        <w:rPr>
          <w:rFonts w:ascii="ITC Avant Garde" w:hAnsi="ITC Avant Garde"/>
          <w:sz w:val="16"/>
          <w:lang w:val="es-MX"/>
        </w:rPr>
        <w:t>El área residual calculada es la que se desprende de restarle al área del predio las áreas necesarias para la base de la torre, la caseta y el espacio necesario para el Concesionario Solicitante.</w:t>
      </w:r>
    </w:p>
  </w:footnote>
  <w:footnote w:id="15">
    <w:p w:rsidR="005C782A" w:rsidRPr="00AD2400" w:rsidRDefault="005C782A" w:rsidP="00390B03">
      <w:pPr>
        <w:pStyle w:val="Textonotapie"/>
        <w:rPr>
          <w:lang w:val="es-MX"/>
        </w:rPr>
      </w:pPr>
      <w:r>
        <w:rPr>
          <w:rStyle w:val="Refdenotaalpie"/>
        </w:rPr>
        <w:footnoteRef/>
      </w:r>
      <w:r w:rsidRPr="00B240E2">
        <w:rPr>
          <w:lang w:val="es-MX"/>
        </w:rPr>
        <w:t xml:space="preserve"> </w:t>
      </w:r>
      <w:r w:rsidRPr="00957186">
        <w:rPr>
          <w:rFonts w:ascii="ITC Avant Garde" w:hAnsi="ITC Avant Garde"/>
          <w:sz w:val="16"/>
          <w:lang w:val="es-ES_tradnl"/>
        </w:rPr>
        <w:t>Se trata de sitios ubicados en zonas o parques industriales</w:t>
      </w:r>
      <w:r w:rsidRPr="00957186">
        <w:rPr>
          <w:rFonts w:ascii="ITC Avant Garde" w:hAnsi="ITC Avant Garde"/>
          <w:sz w:val="16"/>
          <w:lang w:val="es-MX"/>
        </w:rPr>
        <w:t>.</w:t>
      </w:r>
    </w:p>
  </w:footnote>
  <w:footnote w:id="16">
    <w:p w:rsidR="005C782A" w:rsidRDefault="005C782A" w:rsidP="005C782A">
      <w:pPr>
        <w:pStyle w:val="Textonotapie"/>
        <w:spacing w:line="240" w:lineRule="auto"/>
      </w:pPr>
      <w:r>
        <w:rPr>
          <w:rStyle w:val="Refdenotaalpie"/>
        </w:rPr>
        <w:footnoteRef/>
      </w:r>
      <w:r>
        <w:t xml:space="preserve"> </w:t>
      </w:r>
      <w:r w:rsidRPr="000F51FD">
        <w:rPr>
          <w:rFonts w:ascii="ITC Avant Garde" w:hAnsi="ITC Avant Garde"/>
          <w:sz w:val="16"/>
        </w:rPr>
        <w:t xml:space="preserve">Relativa a los diversos elementos de infraestructura </w:t>
      </w:r>
      <w:r>
        <w:rPr>
          <w:rFonts w:ascii="ITC Avant Garde" w:hAnsi="ITC Avant Garde"/>
          <w:sz w:val="16"/>
        </w:rPr>
        <w:t>e instalación necesarios para brindar el servicio</w:t>
      </w:r>
      <w:r w:rsidRPr="000F51FD">
        <w:rPr>
          <w:rFonts w:ascii="ITC Avant Garde" w:hAnsi="ITC Avant Garde"/>
          <w:sz w:val="16"/>
        </w:rPr>
        <w:t>, sin considerar el cable</w:t>
      </w:r>
      <w:r>
        <w:rPr>
          <w:rFonts w:ascii="ITC Avant Garde" w:hAnsi="ITC Avant Garde"/>
          <w:sz w:val="16"/>
        </w:rPr>
        <w:t>.</w:t>
      </w:r>
    </w:p>
  </w:footnote>
  <w:footnote w:id="17">
    <w:p w:rsidR="005C782A" w:rsidRPr="0000043A" w:rsidRDefault="005C782A" w:rsidP="005C782A">
      <w:pPr>
        <w:pStyle w:val="Textonotapie"/>
        <w:spacing w:line="240" w:lineRule="auto"/>
      </w:pPr>
      <w:r>
        <w:rPr>
          <w:rStyle w:val="Refdenotaalpie"/>
        </w:rPr>
        <w:footnoteRef/>
      </w:r>
      <w:r>
        <w:t xml:space="preserve"> </w:t>
      </w:r>
      <w:r w:rsidRPr="0000043A">
        <w:rPr>
          <w:rFonts w:ascii="ITC Avant Garde" w:hAnsi="ITC Avant Garde"/>
          <w:sz w:val="16"/>
        </w:rPr>
        <w:t>Incluye un cierre de empalme de las 48 o 96 fibras.</w:t>
      </w:r>
    </w:p>
  </w:footnote>
  <w:footnote w:id="18">
    <w:p w:rsidR="005C782A" w:rsidRDefault="005C782A" w:rsidP="00390B03">
      <w:pPr>
        <w:pStyle w:val="Textonotapie"/>
      </w:pPr>
      <w:r>
        <w:rPr>
          <w:rStyle w:val="Refdenotaalpie"/>
        </w:rPr>
        <w:footnoteRef/>
      </w:r>
      <w:r>
        <w:t xml:space="preserve"> </w:t>
      </w:r>
      <w:r w:rsidRPr="000F51FD">
        <w:rPr>
          <w:rFonts w:ascii="ITC Avant Garde" w:hAnsi="ITC Avant Garde"/>
          <w:sz w:val="16"/>
        </w:rPr>
        <w:t>Relativa a los diversos elementos de infraestructura de los que hace uso dicho servicio</w:t>
      </w:r>
      <w:r>
        <w:rPr>
          <w:rFonts w:ascii="ITC Avant Garde" w:hAnsi="ITC Avant Garde"/>
          <w:sz w:val="16"/>
        </w:rPr>
        <w:t>.</w:t>
      </w:r>
    </w:p>
  </w:footnote>
  <w:footnote w:id="19">
    <w:p w:rsidR="005C782A" w:rsidRPr="00211895" w:rsidRDefault="005C782A" w:rsidP="00403494">
      <w:pPr>
        <w:pStyle w:val="Textonotapie"/>
        <w:spacing w:line="240" w:lineRule="auto"/>
        <w:rPr>
          <w:lang w:val="es-MX"/>
        </w:rPr>
      </w:pPr>
      <w:r>
        <w:rPr>
          <w:rStyle w:val="Refdenotaalpie"/>
        </w:rPr>
        <w:footnoteRef/>
      </w:r>
      <w:r>
        <w:t xml:space="preserve"> </w:t>
      </w:r>
      <w:r w:rsidRPr="00211895">
        <w:rPr>
          <w:rFonts w:ascii="ITC Avant Garde" w:hAnsi="ITC Avant Garde"/>
          <w:sz w:val="16"/>
        </w:rPr>
        <w:t>Comprende los empalmes y elementos necesarios para la conexión de las puntas de fibra en los puntos de entrega</w:t>
      </w:r>
      <w:r>
        <w:rPr>
          <w:rFonts w:ascii="ITC Avant Garde" w:hAnsi="ITC Avant Garde"/>
          <w:sz w:val="16"/>
        </w:rPr>
        <w:t xml:space="preserve">. </w:t>
      </w:r>
      <w:r w:rsidRPr="00015085">
        <w:rPr>
          <w:rFonts w:ascii="ITC Avant Garde" w:hAnsi="ITC Avant Garde"/>
          <w:sz w:val="16"/>
        </w:rPr>
        <w:t>El AEP deberá indicar “n” cantidad de hilos en el o los segmentos de interés.</w:t>
      </w:r>
      <w:r>
        <w:rPr>
          <w:rFonts w:ascii="ITC Avant Garde" w:hAnsi="ITC Avant Garde"/>
          <w:sz w:val="16"/>
        </w:rPr>
        <w:t xml:space="preserve"> </w:t>
      </w:r>
      <w:r w:rsidRPr="00015085">
        <w:rPr>
          <w:rFonts w:ascii="ITC Avant Garde" w:hAnsi="ITC Avant Garde"/>
          <w:sz w:val="16"/>
        </w:rPr>
        <w:t>Se considerará que la capacidad mínima que deberá ofrecer el AEP, será la correspondiente a la capacidad de un hilo de fibra óptica.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1.7pt;height:115pt;flip:x;visibility:visible;mso-wrap-style:square" o:bullet="t">
        <v:imagedata r:id="rId1" o:title=""/>
      </v:shape>
    </w:pict>
  </w:numPicBullet>
  <w:abstractNum w:abstractNumId="0" w15:restartNumberingAfterBreak="0">
    <w:nsid w:val="00000003"/>
    <w:multiLevelType w:val="singleLevel"/>
    <w:tmpl w:val="00000003"/>
    <w:name w:val="WW8Num8"/>
    <w:lvl w:ilvl="0">
      <w:start w:val="1"/>
      <w:numFmt w:val="decimal"/>
      <w:lvlText w:val="6.12.%1"/>
      <w:lvlJc w:val="left"/>
      <w:pPr>
        <w:tabs>
          <w:tab w:val="num" w:pos="1080"/>
        </w:tabs>
      </w:pPr>
      <w:rPr>
        <w:rFonts w:cs="Times New Roman"/>
        <w:sz w:val="20"/>
      </w:rPr>
    </w:lvl>
  </w:abstractNum>
  <w:abstractNum w:abstractNumId="1" w15:restartNumberingAfterBreak="0">
    <w:nsid w:val="000A1ECE"/>
    <w:multiLevelType w:val="hybridMultilevel"/>
    <w:tmpl w:val="D736F1B0"/>
    <w:lvl w:ilvl="0" w:tplc="080A0003">
      <w:start w:val="1"/>
      <w:numFmt w:val="bullet"/>
      <w:lvlText w:val="o"/>
      <w:lvlJc w:val="left"/>
      <w:pPr>
        <w:ind w:left="1287" w:hanging="360"/>
      </w:pPr>
      <w:rPr>
        <w:rFonts w:ascii="Courier New" w:hAnsi="Courier New" w:cs="Courier New"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06E35C5"/>
    <w:multiLevelType w:val="hybridMultilevel"/>
    <w:tmpl w:val="F3F8FFC0"/>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01984E64"/>
    <w:multiLevelType w:val="hybridMultilevel"/>
    <w:tmpl w:val="41BC481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15:restartNumberingAfterBreak="0">
    <w:nsid w:val="01D62EF3"/>
    <w:multiLevelType w:val="hybridMultilevel"/>
    <w:tmpl w:val="D046BAC6"/>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02051713"/>
    <w:multiLevelType w:val="hybridMultilevel"/>
    <w:tmpl w:val="E9E6CCB4"/>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022153EC"/>
    <w:multiLevelType w:val="hybridMultilevel"/>
    <w:tmpl w:val="AB7C3526"/>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02B92848"/>
    <w:multiLevelType w:val="hybridMultilevel"/>
    <w:tmpl w:val="25F0B7D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2C023D8"/>
    <w:multiLevelType w:val="hybridMultilevel"/>
    <w:tmpl w:val="BD5E66EA"/>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3546E85"/>
    <w:multiLevelType w:val="hybridMultilevel"/>
    <w:tmpl w:val="4338089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4380719"/>
    <w:multiLevelType w:val="hybridMultilevel"/>
    <w:tmpl w:val="D0F6F36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04CC47A8"/>
    <w:multiLevelType w:val="hybridMultilevel"/>
    <w:tmpl w:val="9F9008FE"/>
    <w:lvl w:ilvl="0" w:tplc="A13CE35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064A05DB"/>
    <w:multiLevelType w:val="hybridMultilevel"/>
    <w:tmpl w:val="941469D6"/>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076443D7"/>
    <w:multiLevelType w:val="hybridMultilevel"/>
    <w:tmpl w:val="C00E60C0"/>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7975650"/>
    <w:multiLevelType w:val="hybridMultilevel"/>
    <w:tmpl w:val="0F429B3C"/>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8000D08"/>
    <w:multiLevelType w:val="hybridMultilevel"/>
    <w:tmpl w:val="3A4C077E"/>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087051F0"/>
    <w:multiLevelType w:val="multilevel"/>
    <w:tmpl w:val="7C8EB2C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09012F3D"/>
    <w:multiLevelType w:val="hybridMultilevel"/>
    <w:tmpl w:val="EFA0967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09443425"/>
    <w:multiLevelType w:val="hybridMultilevel"/>
    <w:tmpl w:val="746E286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09774B0C"/>
    <w:multiLevelType w:val="hybridMultilevel"/>
    <w:tmpl w:val="7FA0812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0A5A542F"/>
    <w:multiLevelType w:val="hybridMultilevel"/>
    <w:tmpl w:val="D09EDF30"/>
    <w:lvl w:ilvl="0" w:tplc="080A0003">
      <w:start w:val="1"/>
      <w:numFmt w:val="bullet"/>
      <w:lvlText w:val="o"/>
      <w:lvlJc w:val="left"/>
      <w:pPr>
        <w:ind w:left="721" w:hanging="360"/>
      </w:pPr>
      <w:rPr>
        <w:rFonts w:ascii="Courier New" w:hAnsi="Courier New" w:cs="Courier New"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21" w15:restartNumberingAfterBreak="0">
    <w:nsid w:val="0A627437"/>
    <w:multiLevelType w:val="hybridMultilevel"/>
    <w:tmpl w:val="C7F4729C"/>
    <w:lvl w:ilvl="0" w:tplc="0C0A0017">
      <w:start w:val="1"/>
      <w:numFmt w:val="lowerLetter"/>
      <w:pStyle w:val="aOpcional"/>
      <w:lvlText w:val="%1)"/>
      <w:lvlJc w:val="left"/>
      <w:pPr>
        <w:tabs>
          <w:tab w:val="num" w:pos="397"/>
        </w:tabs>
        <w:ind w:left="397" w:hanging="397"/>
      </w:pPr>
      <w:rPr>
        <w:rFonts w:cs="Times New Roman" w:hint="default"/>
        <w:b/>
        <w:i w:val="0"/>
        <w:iCs w:val="0"/>
        <w:caps w:val="0"/>
        <w:smallCaps w:val="0"/>
        <w:strike w:val="0"/>
        <w:dstrike w:val="0"/>
        <w:vanish w:val="0"/>
        <w:color w:val="000000"/>
        <w:spacing w:val="0"/>
        <w:kern w:val="0"/>
        <w:position w:val="0"/>
        <w:u w:val="none"/>
        <w:vertAlign w:val="baseline"/>
      </w:rPr>
    </w:lvl>
    <w:lvl w:ilvl="1" w:tplc="0C0A0019" w:tentative="1">
      <w:start w:val="1"/>
      <w:numFmt w:val="lowerLetter"/>
      <w:lvlText w:val="%2."/>
      <w:lvlJc w:val="left"/>
      <w:pPr>
        <w:tabs>
          <w:tab w:val="num" w:pos="1383"/>
        </w:tabs>
        <w:ind w:left="1383" w:hanging="360"/>
      </w:pPr>
      <w:rPr>
        <w:rFonts w:cs="Times New Roman"/>
      </w:rPr>
    </w:lvl>
    <w:lvl w:ilvl="2" w:tplc="0C0A001B" w:tentative="1">
      <w:start w:val="1"/>
      <w:numFmt w:val="lowerRoman"/>
      <w:lvlText w:val="%3."/>
      <w:lvlJc w:val="right"/>
      <w:pPr>
        <w:tabs>
          <w:tab w:val="num" w:pos="2103"/>
        </w:tabs>
        <w:ind w:left="2103" w:hanging="180"/>
      </w:pPr>
      <w:rPr>
        <w:rFonts w:cs="Times New Roman"/>
      </w:rPr>
    </w:lvl>
    <w:lvl w:ilvl="3" w:tplc="0C0A000F" w:tentative="1">
      <w:start w:val="1"/>
      <w:numFmt w:val="decimal"/>
      <w:lvlText w:val="%4."/>
      <w:lvlJc w:val="left"/>
      <w:pPr>
        <w:tabs>
          <w:tab w:val="num" w:pos="2823"/>
        </w:tabs>
        <w:ind w:left="2823" w:hanging="360"/>
      </w:pPr>
      <w:rPr>
        <w:rFonts w:cs="Times New Roman"/>
      </w:rPr>
    </w:lvl>
    <w:lvl w:ilvl="4" w:tplc="0C0A0019" w:tentative="1">
      <w:start w:val="1"/>
      <w:numFmt w:val="lowerLetter"/>
      <w:lvlText w:val="%5."/>
      <w:lvlJc w:val="left"/>
      <w:pPr>
        <w:tabs>
          <w:tab w:val="num" w:pos="3543"/>
        </w:tabs>
        <w:ind w:left="3543" w:hanging="360"/>
      </w:pPr>
      <w:rPr>
        <w:rFonts w:cs="Times New Roman"/>
      </w:rPr>
    </w:lvl>
    <w:lvl w:ilvl="5" w:tplc="0C0A001B" w:tentative="1">
      <w:start w:val="1"/>
      <w:numFmt w:val="lowerRoman"/>
      <w:lvlText w:val="%6."/>
      <w:lvlJc w:val="right"/>
      <w:pPr>
        <w:tabs>
          <w:tab w:val="num" w:pos="4263"/>
        </w:tabs>
        <w:ind w:left="4263" w:hanging="180"/>
      </w:pPr>
      <w:rPr>
        <w:rFonts w:cs="Times New Roman"/>
      </w:rPr>
    </w:lvl>
    <w:lvl w:ilvl="6" w:tplc="0C0A000F" w:tentative="1">
      <w:start w:val="1"/>
      <w:numFmt w:val="decimal"/>
      <w:lvlText w:val="%7."/>
      <w:lvlJc w:val="left"/>
      <w:pPr>
        <w:tabs>
          <w:tab w:val="num" w:pos="4983"/>
        </w:tabs>
        <w:ind w:left="4983" w:hanging="360"/>
      </w:pPr>
      <w:rPr>
        <w:rFonts w:cs="Times New Roman"/>
      </w:rPr>
    </w:lvl>
    <w:lvl w:ilvl="7" w:tplc="0C0A0019" w:tentative="1">
      <w:start w:val="1"/>
      <w:numFmt w:val="lowerLetter"/>
      <w:lvlText w:val="%8."/>
      <w:lvlJc w:val="left"/>
      <w:pPr>
        <w:tabs>
          <w:tab w:val="num" w:pos="5703"/>
        </w:tabs>
        <w:ind w:left="5703" w:hanging="360"/>
      </w:pPr>
      <w:rPr>
        <w:rFonts w:cs="Times New Roman"/>
      </w:rPr>
    </w:lvl>
    <w:lvl w:ilvl="8" w:tplc="0C0A001B" w:tentative="1">
      <w:start w:val="1"/>
      <w:numFmt w:val="lowerRoman"/>
      <w:lvlText w:val="%9."/>
      <w:lvlJc w:val="right"/>
      <w:pPr>
        <w:tabs>
          <w:tab w:val="num" w:pos="6423"/>
        </w:tabs>
        <w:ind w:left="6423" w:hanging="180"/>
      </w:pPr>
      <w:rPr>
        <w:rFonts w:cs="Times New Roman"/>
      </w:rPr>
    </w:lvl>
  </w:abstractNum>
  <w:abstractNum w:abstractNumId="22" w15:restartNumberingAfterBreak="0">
    <w:nsid w:val="0B614989"/>
    <w:multiLevelType w:val="multilevel"/>
    <w:tmpl w:val="5492D068"/>
    <w:lvl w:ilvl="0">
      <w:start w:val="1"/>
      <w:numFmt w:val="decimal"/>
      <w:pStyle w:val="PiedeFoto"/>
      <w:lvlText w:val="Figura 6.%1. "/>
      <w:lvlJc w:val="left"/>
      <w:pPr>
        <w:tabs>
          <w:tab w:val="num" w:pos="1080"/>
        </w:tabs>
        <w:ind w:left="0" w:firstLine="0"/>
      </w:pPr>
      <w:rPr>
        <w:b w:val="0"/>
        <w:i w:val="0"/>
        <w:iCs w:val="0"/>
        <w:caps w:val="0"/>
        <w:smallCaps w:val="0"/>
        <w:strike w:val="0"/>
        <w:dstrike w:val="0"/>
        <w:noProof w:val="0"/>
        <w:vanish w:val="0"/>
        <w:color w:val="000000"/>
        <w:spacing w:val="0"/>
        <w:kern w:val="0"/>
        <w:position w:val="0"/>
        <w:sz w:val="20"/>
        <w:u w:val="none"/>
        <w:vertAlign w:val="baseline"/>
        <w:em w:val="none"/>
      </w:rPr>
    </w:lvl>
    <w:lvl w:ilvl="1">
      <w:start w:val="1"/>
      <w:numFmt w:val="decimal"/>
      <w:lvlText w:val="Figura 4.%2."/>
      <w:lvlJc w:val="left"/>
      <w:pPr>
        <w:tabs>
          <w:tab w:val="num" w:pos="1080"/>
        </w:tabs>
        <w:ind w:left="0" w:firstLine="0"/>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15:restartNumberingAfterBreak="0">
    <w:nsid w:val="0BBB3806"/>
    <w:multiLevelType w:val="hybridMultilevel"/>
    <w:tmpl w:val="7C14AC6A"/>
    <w:lvl w:ilvl="0" w:tplc="47980204">
      <w:numFmt w:val="bullet"/>
      <w:lvlText w:val="•"/>
      <w:lvlJc w:val="left"/>
      <w:pPr>
        <w:ind w:left="2063" w:hanging="1211"/>
      </w:pPr>
      <w:rPr>
        <w:rFonts w:ascii="ITC Avant Garde" w:eastAsia="Times New Roman" w:hAnsi="ITC Avant Garde" w:cs="Arial" w:hint="default"/>
      </w:rPr>
    </w:lvl>
    <w:lvl w:ilvl="1" w:tplc="080A0003" w:tentative="1">
      <w:start w:val="1"/>
      <w:numFmt w:val="bullet"/>
      <w:lvlText w:val="o"/>
      <w:lvlJc w:val="left"/>
      <w:pPr>
        <w:ind w:left="1932" w:hanging="360"/>
      </w:pPr>
      <w:rPr>
        <w:rFonts w:ascii="Courier New" w:hAnsi="Courier New" w:cs="Courier New" w:hint="default"/>
      </w:rPr>
    </w:lvl>
    <w:lvl w:ilvl="2" w:tplc="080A0005" w:tentative="1">
      <w:start w:val="1"/>
      <w:numFmt w:val="bullet"/>
      <w:lvlText w:val=""/>
      <w:lvlJc w:val="left"/>
      <w:pPr>
        <w:ind w:left="2652" w:hanging="360"/>
      </w:pPr>
      <w:rPr>
        <w:rFonts w:ascii="Wingdings" w:hAnsi="Wingdings" w:hint="default"/>
      </w:rPr>
    </w:lvl>
    <w:lvl w:ilvl="3" w:tplc="080A0001" w:tentative="1">
      <w:start w:val="1"/>
      <w:numFmt w:val="bullet"/>
      <w:lvlText w:val=""/>
      <w:lvlJc w:val="left"/>
      <w:pPr>
        <w:ind w:left="3372" w:hanging="360"/>
      </w:pPr>
      <w:rPr>
        <w:rFonts w:ascii="Symbol" w:hAnsi="Symbol" w:hint="default"/>
      </w:rPr>
    </w:lvl>
    <w:lvl w:ilvl="4" w:tplc="080A0003" w:tentative="1">
      <w:start w:val="1"/>
      <w:numFmt w:val="bullet"/>
      <w:lvlText w:val="o"/>
      <w:lvlJc w:val="left"/>
      <w:pPr>
        <w:ind w:left="4092" w:hanging="360"/>
      </w:pPr>
      <w:rPr>
        <w:rFonts w:ascii="Courier New" w:hAnsi="Courier New" w:cs="Courier New" w:hint="default"/>
      </w:rPr>
    </w:lvl>
    <w:lvl w:ilvl="5" w:tplc="080A0005" w:tentative="1">
      <w:start w:val="1"/>
      <w:numFmt w:val="bullet"/>
      <w:lvlText w:val=""/>
      <w:lvlJc w:val="left"/>
      <w:pPr>
        <w:ind w:left="4812" w:hanging="360"/>
      </w:pPr>
      <w:rPr>
        <w:rFonts w:ascii="Wingdings" w:hAnsi="Wingdings" w:hint="default"/>
      </w:rPr>
    </w:lvl>
    <w:lvl w:ilvl="6" w:tplc="080A0001" w:tentative="1">
      <w:start w:val="1"/>
      <w:numFmt w:val="bullet"/>
      <w:lvlText w:val=""/>
      <w:lvlJc w:val="left"/>
      <w:pPr>
        <w:ind w:left="5532" w:hanging="360"/>
      </w:pPr>
      <w:rPr>
        <w:rFonts w:ascii="Symbol" w:hAnsi="Symbol" w:hint="default"/>
      </w:rPr>
    </w:lvl>
    <w:lvl w:ilvl="7" w:tplc="080A0003" w:tentative="1">
      <w:start w:val="1"/>
      <w:numFmt w:val="bullet"/>
      <w:lvlText w:val="o"/>
      <w:lvlJc w:val="left"/>
      <w:pPr>
        <w:ind w:left="6252" w:hanging="360"/>
      </w:pPr>
      <w:rPr>
        <w:rFonts w:ascii="Courier New" w:hAnsi="Courier New" w:cs="Courier New" w:hint="default"/>
      </w:rPr>
    </w:lvl>
    <w:lvl w:ilvl="8" w:tplc="080A0005" w:tentative="1">
      <w:start w:val="1"/>
      <w:numFmt w:val="bullet"/>
      <w:lvlText w:val=""/>
      <w:lvlJc w:val="left"/>
      <w:pPr>
        <w:ind w:left="6972" w:hanging="360"/>
      </w:pPr>
      <w:rPr>
        <w:rFonts w:ascii="Wingdings" w:hAnsi="Wingdings" w:hint="default"/>
      </w:rPr>
    </w:lvl>
  </w:abstractNum>
  <w:abstractNum w:abstractNumId="24" w15:restartNumberingAfterBreak="0">
    <w:nsid w:val="0BCC3D99"/>
    <w:multiLevelType w:val="hybridMultilevel"/>
    <w:tmpl w:val="DCF423A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15:restartNumberingAfterBreak="0">
    <w:nsid w:val="0C582D28"/>
    <w:multiLevelType w:val="hybridMultilevel"/>
    <w:tmpl w:val="8D7C5D4E"/>
    <w:lvl w:ilvl="0" w:tplc="FFFFFFFF">
      <w:start w:val="1"/>
      <w:numFmt w:val="decimal"/>
      <w:pStyle w:val="Titulo2"/>
      <w:lvlText w:val="6.1.%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15:restartNumberingAfterBreak="0">
    <w:nsid w:val="0C664A39"/>
    <w:multiLevelType w:val="hybridMultilevel"/>
    <w:tmpl w:val="7084E446"/>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0CBE79AE"/>
    <w:multiLevelType w:val="hybridMultilevel"/>
    <w:tmpl w:val="9FDC3496"/>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0CC34139"/>
    <w:multiLevelType w:val="hybridMultilevel"/>
    <w:tmpl w:val="B43C106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0DED62F9"/>
    <w:multiLevelType w:val="hybridMultilevel"/>
    <w:tmpl w:val="FC2839A4"/>
    <w:lvl w:ilvl="0" w:tplc="FFFFFFFF">
      <w:start w:val="1"/>
      <w:numFmt w:val="decimal"/>
      <w:pStyle w:val="EstiloTitulo3Negrita"/>
      <w:lvlText w:val="5.4.%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0E311D13"/>
    <w:multiLevelType w:val="hybridMultilevel"/>
    <w:tmpl w:val="13DA0F5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0C86EB4"/>
    <w:multiLevelType w:val="hybridMultilevel"/>
    <w:tmpl w:val="80B419C8"/>
    <w:lvl w:ilvl="0" w:tplc="080A0003">
      <w:start w:val="1"/>
      <w:numFmt w:val="bullet"/>
      <w:lvlText w:val="o"/>
      <w:lvlJc w:val="left"/>
      <w:pPr>
        <w:ind w:left="1287" w:hanging="360"/>
      </w:pPr>
      <w:rPr>
        <w:rFonts w:ascii="Courier New" w:hAnsi="Courier New" w:cs="Courier New"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112E3D58"/>
    <w:multiLevelType w:val="hybridMultilevel"/>
    <w:tmpl w:val="11A68C6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11DB3834"/>
    <w:multiLevelType w:val="multilevel"/>
    <w:tmpl w:val="ACF6D3A0"/>
    <w:lvl w:ilvl="0">
      <w:start w:val="2"/>
      <w:numFmt w:val="upperRoman"/>
      <w:lvlText w:val="%1."/>
      <w:lvlJc w:val="left"/>
      <w:pPr>
        <w:ind w:left="361" w:hanging="360"/>
      </w:pPr>
      <w:rPr>
        <w:rFonts w:hint="default"/>
      </w:rPr>
    </w:lvl>
    <w:lvl w:ilvl="1">
      <w:start w:val="1"/>
      <w:numFmt w:val="bullet"/>
      <w:lvlText w:val=""/>
      <w:lvlJc w:val="left"/>
      <w:pPr>
        <w:ind w:left="766" w:hanging="405"/>
      </w:pPr>
      <w:rPr>
        <w:rFonts w:ascii="Symbol" w:hAnsi="Symbol" w:hint="default"/>
        <w:i/>
      </w:rPr>
    </w:lvl>
    <w:lvl w:ilvl="2">
      <w:start w:val="1"/>
      <w:numFmt w:val="lowerLetter"/>
      <w:lvlText w:val="%3)"/>
      <w:lvlJc w:val="left"/>
      <w:pPr>
        <w:ind w:left="1081" w:hanging="360"/>
      </w:pPr>
      <w:rPr>
        <w:rFonts w:hint="default"/>
      </w:rPr>
    </w:lvl>
    <w:lvl w:ilvl="3">
      <w:start w:val="1"/>
      <w:numFmt w:val="decimal"/>
      <w:lvlText w:val="(%4)"/>
      <w:lvlJc w:val="left"/>
      <w:pPr>
        <w:ind w:left="1441" w:hanging="360"/>
      </w:pPr>
      <w:rPr>
        <w:rFonts w:hint="default"/>
      </w:rPr>
    </w:lvl>
    <w:lvl w:ilvl="4">
      <w:start w:val="1"/>
      <w:numFmt w:val="lowerLetter"/>
      <w:lvlText w:val="(%5)"/>
      <w:lvlJc w:val="left"/>
      <w:pPr>
        <w:ind w:left="1801" w:hanging="360"/>
      </w:pPr>
      <w:rPr>
        <w:rFonts w:hint="default"/>
      </w:rPr>
    </w:lvl>
    <w:lvl w:ilvl="5">
      <w:start w:val="1"/>
      <w:numFmt w:val="lowerRoman"/>
      <w:lvlText w:val="(%6)"/>
      <w:lvlJc w:val="left"/>
      <w:pPr>
        <w:ind w:left="2161" w:hanging="360"/>
      </w:pPr>
      <w:rPr>
        <w:rFonts w:hint="default"/>
      </w:rPr>
    </w:lvl>
    <w:lvl w:ilvl="6">
      <w:start w:val="1"/>
      <w:numFmt w:val="decimal"/>
      <w:lvlText w:val="%7."/>
      <w:lvlJc w:val="left"/>
      <w:pPr>
        <w:ind w:left="2521" w:hanging="360"/>
      </w:pPr>
      <w:rPr>
        <w:rFonts w:hint="default"/>
      </w:rPr>
    </w:lvl>
    <w:lvl w:ilvl="7">
      <w:start w:val="1"/>
      <w:numFmt w:val="bullet"/>
      <w:lvlText w:val=""/>
      <w:lvlJc w:val="left"/>
      <w:pPr>
        <w:ind w:left="2881" w:hanging="360"/>
      </w:pPr>
      <w:rPr>
        <w:rFonts w:ascii="Symbol" w:hAnsi="Symbol" w:hint="default"/>
      </w:rPr>
    </w:lvl>
    <w:lvl w:ilvl="8">
      <w:start w:val="1"/>
      <w:numFmt w:val="lowerRoman"/>
      <w:lvlText w:val="%9."/>
      <w:lvlJc w:val="left"/>
      <w:pPr>
        <w:ind w:left="3241" w:hanging="360"/>
      </w:pPr>
      <w:rPr>
        <w:rFonts w:hint="default"/>
      </w:rPr>
    </w:lvl>
  </w:abstractNum>
  <w:abstractNum w:abstractNumId="34" w15:restartNumberingAfterBreak="0">
    <w:nsid w:val="12B0163A"/>
    <w:multiLevelType w:val="hybridMultilevel"/>
    <w:tmpl w:val="B83E910E"/>
    <w:lvl w:ilvl="0" w:tplc="080A0003">
      <w:start w:val="1"/>
      <w:numFmt w:val="bullet"/>
      <w:lvlText w:val="o"/>
      <w:lvlJc w:val="left"/>
      <w:pPr>
        <w:ind w:left="1574" w:hanging="360"/>
      </w:pPr>
      <w:rPr>
        <w:rFonts w:ascii="Courier New" w:hAnsi="Courier New" w:cs="Courier New" w:hint="default"/>
      </w:rPr>
    </w:lvl>
    <w:lvl w:ilvl="1" w:tplc="080A0003" w:tentative="1">
      <w:start w:val="1"/>
      <w:numFmt w:val="bullet"/>
      <w:lvlText w:val="o"/>
      <w:lvlJc w:val="left"/>
      <w:pPr>
        <w:ind w:left="2294" w:hanging="360"/>
      </w:pPr>
      <w:rPr>
        <w:rFonts w:ascii="Courier New" w:hAnsi="Courier New" w:cs="Courier New" w:hint="default"/>
      </w:rPr>
    </w:lvl>
    <w:lvl w:ilvl="2" w:tplc="080A0005" w:tentative="1">
      <w:start w:val="1"/>
      <w:numFmt w:val="bullet"/>
      <w:lvlText w:val=""/>
      <w:lvlJc w:val="left"/>
      <w:pPr>
        <w:ind w:left="3014" w:hanging="360"/>
      </w:pPr>
      <w:rPr>
        <w:rFonts w:ascii="Wingdings" w:hAnsi="Wingdings" w:hint="default"/>
      </w:rPr>
    </w:lvl>
    <w:lvl w:ilvl="3" w:tplc="080A0001" w:tentative="1">
      <w:start w:val="1"/>
      <w:numFmt w:val="bullet"/>
      <w:lvlText w:val=""/>
      <w:lvlJc w:val="left"/>
      <w:pPr>
        <w:ind w:left="3734" w:hanging="360"/>
      </w:pPr>
      <w:rPr>
        <w:rFonts w:ascii="Symbol" w:hAnsi="Symbol" w:hint="default"/>
      </w:rPr>
    </w:lvl>
    <w:lvl w:ilvl="4" w:tplc="080A0003" w:tentative="1">
      <w:start w:val="1"/>
      <w:numFmt w:val="bullet"/>
      <w:lvlText w:val="o"/>
      <w:lvlJc w:val="left"/>
      <w:pPr>
        <w:ind w:left="4454" w:hanging="360"/>
      </w:pPr>
      <w:rPr>
        <w:rFonts w:ascii="Courier New" w:hAnsi="Courier New" w:cs="Courier New" w:hint="default"/>
      </w:rPr>
    </w:lvl>
    <w:lvl w:ilvl="5" w:tplc="080A0005" w:tentative="1">
      <w:start w:val="1"/>
      <w:numFmt w:val="bullet"/>
      <w:lvlText w:val=""/>
      <w:lvlJc w:val="left"/>
      <w:pPr>
        <w:ind w:left="5174" w:hanging="360"/>
      </w:pPr>
      <w:rPr>
        <w:rFonts w:ascii="Wingdings" w:hAnsi="Wingdings" w:hint="default"/>
      </w:rPr>
    </w:lvl>
    <w:lvl w:ilvl="6" w:tplc="080A0001" w:tentative="1">
      <w:start w:val="1"/>
      <w:numFmt w:val="bullet"/>
      <w:lvlText w:val=""/>
      <w:lvlJc w:val="left"/>
      <w:pPr>
        <w:ind w:left="5894" w:hanging="360"/>
      </w:pPr>
      <w:rPr>
        <w:rFonts w:ascii="Symbol" w:hAnsi="Symbol" w:hint="default"/>
      </w:rPr>
    </w:lvl>
    <w:lvl w:ilvl="7" w:tplc="080A0003" w:tentative="1">
      <w:start w:val="1"/>
      <w:numFmt w:val="bullet"/>
      <w:lvlText w:val="o"/>
      <w:lvlJc w:val="left"/>
      <w:pPr>
        <w:ind w:left="6614" w:hanging="360"/>
      </w:pPr>
      <w:rPr>
        <w:rFonts w:ascii="Courier New" w:hAnsi="Courier New" w:cs="Courier New" w:hint="default"/>
      </w:rPr>
    </w:lvl>
    <w:lvl w:ilvl="8" w:tplc="080A0005" w:tentative="1">
      <w:start w:val="1"/>
      <w:numFmt w:val="bullet"/>
      <w:lvlText w:val=""/>
      <w:lvlJc w:val="left"/>
      <w:pPr>
        <w:ind w:left="7334" w:hanging="360"/>
      </w:pPr>
      <w:rPr>
        <w:rFonts w:ascii="Wingdings" w:hAnsi="Wingdings" w:hint="default"/>
      </w:rPr>
    </w:lvl>
  </w:abstractNum>
  <w:abstractNum w:abstractNumId="35" w15:restartNumberingAfterBreak="0">
    <w:nsid w:val="12F752D3"/>
    <w:multiLevelType w:val="hybridMultilevel"/>
    <w:tmpl w:val="4DC042E2"/>
    <w:lvl w:ilvl="0" w:tplc="0C0A0001">
      <w:start w:val="1"/>
      <w:numFmt w:val="decimal"/>
      <w:pStyle w:val="Titulo3-"/>
      <w:lvlText w:val="6.3.%1."/>
      <w:lvlJc w:val="left"/>
      <w:pPr>
        <w:tabs>
          <w:tab w:val="num" w:pos="1440"/>
        </w:tabs>
        <w:ind w:left="1440" w:hanging="360"/>
      </w:pPr>
      <w:rPr>
        <w:rFonts w:cs="Times New Roman" w:hint="default"/>
        <w:b/>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36" w15:restartNumberingAfterBreak="0">
    <w:nsid w:val="13C52C76"/>
    <w:multiLevelType w:val="hybridMultilevel"/>
    <w:tmpl w:val="4B5A4984"/>
    <w:lvl w:ilvl="0" w:tplc="C0AAE30A">
      <w:start w:val="1"/>
      <w:numFmt w:val="bullet"/>
      <w:pStyle w:val="Bullet1ernivel"/>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15:restartNumberingAfterBreak="0">
    <w:nsid w:val="14541E03"/>
    <w:multiLevelType w:val="hybridMultilevel"/>
    <w:tmpl w:val="292CCBD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155E6C3E"/>
    <w:multiLevelType w:val="hybridMultilevel"/>
    <w:tmpl w:val="B5EC9D58"/>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15:restartNumberingAfterBreak="0">
    <w:nsid w:val="161027F6"/>
    <w:multiLevelType w:val="hybridMultilevel"/>
    <w:tmpl w:val="764A75AC"/>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8036C6B"/>
    <w:multiLevelType w:val="hybridMultilevel"/>
    <w:tmpl w:val="0CB013DC"/>
    <w:lvl w:ilvl="0" w:tplc="080A0019">
      <w:start w:val="1"/>
      <w:numFmt w:val="lowerLetter"/>
      <w:lvlText w:val="%1."/>
      <w:lvlJc w:val="left"/>
      <w:pPr>
        <w:ind w:left="1571" w:hanging="360"/>
      </w:pPr>
    </w:lvl>
    <w:lvl w:ilvl="1" w:tplc="4AA4D7A0">
      <w:start w:val="1"/>
      <w:numFmt w:val="decimal"/>
      <w:lvlText w:val="%2)"/>
      <w:lvlJc w:val="left"/>
      <w:pPr>
        <w:ind w:left="2291" w:hanging="360"/>
      </w:pPr>
      <w:rPr>
        <w:rFonts w:hint="default"/>
      </w:r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15:restartNumberingAfterBreak="0">
    <w:nsid w:val="19406998"/>
    <w:multiLevelType w:val="hybridMultilevel"/>
    <w:tmpl w:val="645EE6C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19591843"/>
    <w:multiLevelType w:val="hybridMultilevel"/>
    <w:tmpl w:val="E02EEF1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3" w15:restartNumberingAfterBreak="0">
    <w:nsid w:val="19992FE5"/>
    <w:multiLevelType w:val="hybridMultilevel"/>
    <w:tmpl w:val="C7603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19AA48D7"/>
    <w:multiLevelType w:val="hybridMultilevel"/>
    <w:tmpl w:val="2272E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19E04C52"/>
    <w:multiLevelType w:val="hybridMultilevel"/>
    <w:tmpl w:val="73B2D97C"/>
    <w:lvl w:ilvl="0" w:tplc="080A0001">
      <w:start w:val="1"/>
      <w:numFmt w:val="bullet"/>
      <w:lvlText w:val=""/>
      <w:lvlJc w:val="left"/>
      <w:pPr>
        <w:ind w:left="1566" w:hanging="360"/>
      </w:pPr>
      <w:rPr>
        <w:rFonts w:ascii="Symbol" w:hAnsi="Symbol" w:hint="default"/>
      </w:rPr>
    </w:lvl>
    <w:lvl w:ilvl="1" w:tplc="080A0003" w:tentative="1">
      <w:start w:val="1"/>
      <w:numFmt w:val="bullet"/>
      <w:lvlText w:val="o"/>
      <w:lvlJc w:val="left"/>
      <w:pPr>
        <w:ind w:left="2286" w:hanging="360"/>
      </w:pPr>
      <w:rPr>
        <w:rFonts w:ascii="Courier New" w:hAnsi="Courier New" w:cs="Courier New" w:hint="default"/>
      </w:rPr>
    </w:lvl>
    <w:lvl w:ilvl="2" w:tplc="080A0005" w:tentative="1">
      <w:start w:val="1"/>
      <w:numFmt w:val="bullet"/>
      <w:lvlText w:val=""/>
      <w:lvlJc w:val="left"/>
      <w:pPr>
        <w:ind w:left="3006" w:hanging="360"/>
      </w:pPr>
      <w:rPr>
        <w:rFonts w:ascii="Wingdings" w:hAnsi="Wingdings" w:hint="default"/>
      </w:rPr>
    </w:lvl>
    <w:lvl w:ilvl="3" w:tplc="080A0001" w:tentative="1">
      <w:start w:val="1"/>
      <w:numFmt w:val="bullet"/>
      <w:lvlText w:val=""/>
      <w:lvlJc w:val="left"/>
      <w:pPr>
        <w:ind w:left="3726" w:hanging="360"/>
      </w:pPr>
      <w:rPr>
        <w:rFonts w:ascii="Symbol" w:hAnsi="Symbol" w:hint="default"/>
      </w:rPr>
    </w:lvl>
    <w:lvl w:ilvl="4" w:tplc="080A0003" w:tentative="1">
      <w:start w:val="1"/>
      <w:numFmt w:val="bullet"/>
      <w:lvlText w:val="o"/>
      <w:lvlJc w:val="left"/>
      <w:pPr>
        <w:ind w:left="4446" w:hanging="360"/>
      </w:pPr>
      <w:rPr>
        <w:rFonts w:ascii="Courier New" w:hAnsi="Courier New" w:cs="Courier New" w:hint="default"/>
      </w:rPr>
    </w:lvl>
    <w:lvl w:ilvl="5" w:tplc="080A0005" w:tentative="1">
      <w:start w:val="1"/>
      <w:numFmt w:val="bullet"/>
      <w:lvlText w:val=""/>
      <w:lvlJc w:val="left"/>
      <w:pPr>
        <w:ind w:left="5166" w:hanging="360"/>
      </w:pPr>
      <w:rPr>
        <w:rFonts w:ascii="Wingdings" w:hAnsi="Wingdings" w:hint="default"/>
      </w:rPr>
    </w:lvl>
    <w:lvl w:ilvl="6" w:tplc="080A0001" w:tentative="1">
      <w:start w:val="1"/>
      <w:numFmt w:val="bullet"/>
      <w:lvlText w:val=""/>
      <w:lvlJc w:val="left"/>
      <w:pPr>
        <w:ind w:left="5886" w:hanging="360"/>
      </w:pPr>
      <w:rPr>
        <w:rFonts w:ascii="Symbol" w:hAnsi="Symbol" w:hint="default"/>
      </w:rPr>
    </w:lvl>
    <w:lvl w:ilvl="7" w:tplc="080A0003" w:tentative="1">
      <w:start w:val="1"/>
      <w:numFmt w:val="bullet"/>
      <w:lvlText w:val="o"/>
      <w:lvlJc w:val="left"/>
      <w:pPr>
        <w:ind w:left="6606" w:hanging="360"/>
      </w:pPr>
      <w:rPr>
        <w:rFonts w:ascii="Courier New" w:hAnsi="Courier New" w:cs="Courier New" w:hint="default"/>
      </w:rPr>
    </w:lvl>
    <w:lvl w:ilvl="8" w:tplc="080A0005" w:tentative="1">
      <w:start w:val="1"/>
      <w:numFmt w:val="bullet"/>
      <w:lvlText w:val=""/>
      <w:lvlJc w:val="left"/>
      <w:pPr>
        <w:ind w:left="7326" w:hanging="360"/>
      </w:pPr>
      <w:rPr>
        <w:rFonts w:ascii="Wingdings" w:hAnsi="Wingdings" w:hint="default"/>
      </w:rPr>
    </w:lvl>
  </w:abstractNum>
  <w:abstractNum w:abstractNumId="46" w15:restartNumberingAfterBreak="0">
    <w:nsid w:val="1C0C309D"/>
    <w:multiLevelType w:val="hybridMultilevel"/>
    <w:tmpl w:val="62CE1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1E4618D2"/>
    <w:multiLevelType w:val="hybridMultilevel"/>
    <w:tmpl w:val="E78C9180"/>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8" w15:restartNumberingAfterBreak="0">
    <w:nsid w:val="1EDC130A"/>
    <w:multiLevelType w:val="hybridMultilevel"/>
    <w:tmpl w:val="68EC92E8"/>
    <w:lvl w:ilvl="0" w:tplc="080A0019">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1F6A63D7"/>
    <w:multiLevelType w:val="hybridMultilevel"/>
    <w:tmpl w:val="0312471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0" w15:restartNumberingAfterBreak="0">
    <w:nsid w:val="1FDA33D3"/>
    <w:multiLevelType w:val="hybridMultilevel"/>
    <w:tmpl w:val="CD18BF96"/>
    <w:lvl w:ilvl="0" w:tplc="680E606C">
      <w:start w:val="1"/>
      <w:numFmt w:val="bullet"/>
      <w:lvlText w:val=""/>
      <w:lvlPicBulletId w:val="0"/>
      <w:lvlJc w:val="left"/>
      <w:pPr>
        <w:tabs>
          <w:tab w:val="num" w:pos="360"/>
        </w:tabs>
        <w:ind w:left="360" w:hanging="360"/>
      </w:pPr>
      <w:rPr>
        <w:rFonts w:ascii="Symbol" w:hAnsi="Symbol" w:hint="default"/>
      </w:rPr>
    </w:lvl>
    <w:lvl w:ilvl="1" w:tplc="73C0F000" w:tentative="1">
      <w:start w:val="1"/>
      <w:numFmt w:val="bullet"/>
      <w:lvlText w:val=""/>
      <w:lvlJc w:val="left"/>
      <w:pPr>
        <w:tabs>
          <w:tab w:val="num" w:pos="1080"/>
        </w:tabs>
        <w:ind w:left="1080" w:hanging="360"/>
      </w:pPr>
      <w:rPr>
        <w:rFonts w:ascii="Symbol" w:hAnsi="Symbol" w:hint="default"/>
      </w:rPr>
    </w:lvl>
    <w:lvl w:ilvl="2" w:tplc="DF9C14B6" w:tentative="1">
      <w:start w:val="1"/>
      <w:numFmt w:val="bullet"/>
      <w:lvlText w:val=""/>
      <w:lvlJc w:val="left"/>
      <w:pPr>
        <w:tabs>
          <w:tab w:val="num" w:pos="1800"/>
        </w:tabs>
        <w:ind w:left="1800" w:hanging="360"/>
      </w:pPr>
      <w:rPr>
        <w:rFonts w:ascii="Symbol" w:hAnsi="Symbol" w:hint="default"/>
      </w:rPr>
    </w:lvl>
    <w:lvl w:ilvl="3" w:tplc="D88AE69A" w:tentative="1">
      <w:start w:val="1"/>
      <w:numFmt w:val="bullet"/>
      <w:lvlText w:val=""/>
      <w:lvlJc w:val="left"/>
      <w:pPr>
        <w:tabs>
          <w:tab w:val="num" w:pos="2520"/>
        </w:tabs>
        <w:ind w:left="2520" w:hanging="360"/>
      </w:pPr>
      <w:rPr>
        <w:rFonts w:ascii="Symbol" w:hAnsi="Symbol" w:hint="default"/>
      </w:rPr>
    </w:lvl>
    <w:lvl w:ilvl="4" w:tplc="22FA4FC8" w:tentative="1">
      <w:start w:val="1"/>
      <w:numFmt w:val="bullet"/>
      <w:lvlText w:val=""/>
      <w:lvlJc w:val="left"/>
      <w:pPr>
        <w:tabs>
          <w:tab w:val="num" w:pos="3240"/>
        </w:tabs>
        <w:ind w:left="3240" w:hanging="360"/>
      </w:pPr>
      <w:rPr>
        <w:rFonts w:ascii="Symbol" w:hAnsi="Symbol" w:hint="default"/>
      </w:rPr>
    </w:lvl>
    <w:lvl w:ilvl="5" w:tplc="2ADEFCDE" w:tentative="1">
      <w:start w:val="1"/>
      <w:numFmt w:val="bullet"/>
      <w:lvlText w:val=""/>
      <w:lvlJc w:val="left"/>
      <w:pPr>
        <w:tabs>
          <w:tab w:val="num" w:pos="3960"/>
        </w:tabs>
        <w:ind w:left="3960" w:hanging="360"/>
      </w:pPr>
      <w:rPr>
        <w:rFonts w:ascii="Symbol" w:hAnsi="Symbol" w:hint="default"/>
      </w:rPr>
    </w:lvl>
    <w:lvl w:ilvl="6" w:tplc="748CAD20" w:tentative="1">
      <w:start w:val="1"/>
      <w:numFmt w:val="bullet"/>
      <w:lvlText w:val=""/>
      <w:lvlJc w:val="left"/>
      <w:pPr>
        <w:tabs>
          <w:tab w:val="num" w:pos="4680"/>
        </w:tabs>
        <w:ind w:left="4680" w:hanging="360"/>
      </w:pPr>
      <w:rPr>
        <w:rFonts w:ascii="Symbol" w:hAnsi="Symbol" w:hint="default"/>
      </w:rPr>
    </w:lvl>
    <w:lvl w:ilvl="7" w:tplc="438CA678" w:tentative="1">
      <w:start w:val="1"/>
      <w:numFmt w:val="bullet"/>
      <w:lvlText w:val=""/>
      <w:lvlJc w:val="left"/>
      <w:pPr>
        <w:tabs>
          <w:tab w:val="num" w:pos="5400"/>
        </w:tabs>
        <w:ind w:left="5400" w:hanging="360"/>
      </w:pPr>
      <w:rPr>
        <w:rFonts w:ascii="Symbol" w:hAnsi="Symbol" w:hint="default"/>
      </w:rPr>
    </w:lvl>
    <w:lvl w:ilvl="8" w:tplc="C29E9E60" w:tentative="1">
      <w:start w:val="1"/>
      <w:numFmt w:val="bullet"/>
      <w:lvlText w:val=""/>
      <w:lvlJc w:val="left"/>
      <w:pPr>
        <w:tabs>
          <w:tab w:val="num" w:pos="6120"/>
        </w:tabs>
        <w:ind w:left="6120" w:hanging="360"/>
      </w:pPr>
      <w:rPr>
        <w:rFonts w:ascii="Symbol" w:hAnsi="Symbol" w:hint="default"/>
      </w:rPr>
    </w:lvl>
  </w:abstractNum>
  <w:abstractNum w:abstractNumId="51" w15:restartNumberingAfterBreak="0">
    <w:nsid w:val="208E1210"/>
    <w:multiLevelType w:val="multilevel"/>
    <w:tmpl w:val="5D7484B0"/>
    <w:lvl w:ilvl="0">
      <w:start w:val="1"/>
      <w:numFmt w:val="decimal"/>
      <w:lvlText w:val="%1."/>
      <w:lvlJc w:val="left"/>
      <w:pPr>
        <w:tabs>
          <w:tab w:val="num" w:pos="0"/>
        </w:tabs>
        <w:ind w:left="360" w:hanging="360"/>
      </w:pPr>
      <w:rPr>
        <w:rFonts w:cs="Times New Roman" w:hint="default"/>
      </w:rPr>
    </w:lvl>
    <w:lvl w:ilvl="1">
      <w:numFmt w:val="none"/>
      <w:lvlText w:val="%26.1."/>
      <w:lvlJc w:val="left"/>
      <w:pPr>
        <w:tabs>
          <w:tab w:val="num" w:pos="0"/>
        </w:tabs>
        <w:ind w:left="43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pStyle w:val="SUBCAP4"/>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2" w15:restartNumberingAfterBreak="0">
    <w:nsid w:val="22485103"/>
    <w:multiLevelType w:val="hybridMultilevel"/>
    <w:tmpl w:val="5B18FB3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23994E98"/>
    <w:multiLevelType w:val="hybridMultilevel"/>
    <w:tmpl w:val="BDB20D6C"/>
    <w:lvl w:ilvl="0" w:tplc="A8F2C5D6">
      <w:start w:val="3"/>
      <w:numFmt w:val="upperRoman"/>
      <w:lvlText w:val="%1."/>
      <w:lvlJc w:val="right"/>
      <w:pPr>
        <w:ind w:left="157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41F726B"/>
    <w:multiLevelType w:val="hybridMultilevel"/>
    <w:tmpl w:val="AA3442A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24242B81"/>
    <w:multiLevelType w:val="hybridMultilevel"/>
    <w:tmpl w:val="41887DA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6" w15:restartNumberingAfterBreak="0">
    <w:nsid w:val="247901FE"/>
    <w:multiLevelType w:val="hybridMultilevel"/>
    <w:tmpl w:val="525CFBA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24B440F8"/>
    <w:multiLevelType w:val="hybridMultilevel"/>
    <w:tmpl w:val="4F061F3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8" w15:restartNumberingAfterBreak="0">
    <w:nsid w:val="250F5E1E"/>
    <w:multiLevelType w:val="hybridMultilevel"/>
    <w:tmpl w:val="C9D44B60"/>
    <w:lvl w:ilvl="0" w:tplc="4E0CB69A">
      <w:start w:val="3"/>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25B713A9"/>
    <w:multiLevelType w:val="hybridMultilevel"/>
    <w:tmpl w:val="E7401F5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268B57DC"/>
    <w:multiLevelType w:val="hybridMultilevel"/>
    <w:tmpl w:val="BA22621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1" w15:restartNumberingAfterBreak="0">
    <w:nsid w:val="26C87973"/>
    <w:multiLevelType w:val="hybridMultilevel"/>
    <w:tmpl w:val="9F2C0A12"/>
    <w:lvl w:ilvl="0" w:tplc="A5005950">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272C6D7D"/>
    <w:multiLevelType w:val="hybridMultilevel"/>
    <w:tmpl w:val="519E9C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7870F0F"/>
    <w:multiLevelType w:val="hybridMultilevel"/>
    <w:tmpl w:val="C02AC788"/>
    <w:lvl w:ilvl="0" w:tplc="BE72BC1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4" w15:restartNumberingAfterBreak="0">
    <w:nsid w:val="28947F54"/>
    <w:multiLevelType w:val="hybridMultilevel"/>
    <w:tmpl w:val="32CC1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28B01550"/>
    <w:multiLevelType w:val="hybridMultilevel"/>
    <w:tmpl w:val="A306C60C"/>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28DE03BC"/>
    <w:multiLevelType w:val="hybridMultilevel"/>
    <w:tmpl w:val="BF3880D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7" w15:restartNumberingAfterBreak="0">
    <w:nsid w:val="29531AD3"/>
    <w:multiLevelType w:val="hybridMultilevel"/>
    <w:tmpl w:val="9AE8602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2C154EA7"/>
    <w:multiLevelType w:val="hybridMultilevel"/>
    <w:tmpl w:val="668EBBEC"/>
    <w:lvl w:ilvl="0" w:tplc="080A0001">
      <w:start w:val="1"/>
      <w:numFmt w:val="bullet"/>
      <w:lvlText w:val=""/>
      <w:lvlJc w:val="left"/>
      <w:pPr>
        <w:ind w:left="1573" w:hanging="360"/>
      </w:pPr>
      <w:rPr>
        <w:rFonts w:ascii="Symbol" w:hAnsi="Symbol" w:hint="default"/>
      </w:rPr>
    </w:lvl>
    <w:lvl w:ilvl="1" w:tplc="080A0003" w:tentative="1">
      <w:start w:val="1"/>
      <w:numFmt w:val="bullet"/>
      <w:lvlText w:val="o"/>
      <w:lvlJc w:val="left"/>
      <w:pPr>
        <w:ind w:left="2293" w:hanging="360"/>
      </w:pPr>
      <w:rPr>
        <w:rFonts w:ascii="Courier New" w:hAnsi="Courier New" w:cs="Courier New" w:hint="default"/>
      </w:rPr>
    </w:lvl>
    <w:lvl w:ilvl="2" w:tplc="080A0005" w:tentative="1">
      <w:start w:val="1"/>
      <w:numFmt w:val="bullet"/>
      <w:lvlText w:val=""/>
      <w:lvlJc w:val="left"/>
      <w:pPr>
        <w:ind w:left="3013" w:hanging="360"/>
      </w:pPr>
      <w:rPr>
        <w:rFonts w:ascii="Wingdings" w:hAnsi="Wingdings" w:hint="default"/>
      </w:rPr>
    </w:lvl>
    <w:lvl w:ilvl="3" w:tplc="080A0001" w:tentative="1">
      <w:start w:val="1"/>
      <w:numFmt w:val="bullet"/>
      <w:lvlText w:val=""/>
      <w:lvlJc w:val="left"/>
      <w:pPr>
        <w:ind w:left="3733" w:hanging="360"/>
      </w:pPr>
      <w:rPr>
        <w:rFonts w:ascii="Symbol" w:hAnsi="Symbol" w:hint="default"/>
      </w:rPr>
    </w:lvl>
    <w:lvl w:ilvl="4" w:tplc="080A0003" w:tentative="1">
      <w:start w:val="1"/>
      <w:numFmt w:val="bullet"/>
      <w:lvlText w:val="o"/>
      <w:lvlJc w:val="left"/>
      <w:pPr>
        <w:ind w:left="4453" w:hanging="360"/>
      </w:pPr>
      <w:rPr>
        <w:rFonts w:ascii="Courier New" w:hAnsi="Courier New" w:cs="Courier New" w:hint="default"/>
      </w:rPr>
    </w:lvl>
    <w:lvl w:ilvl="5" w:tplc="080A0005" w:tentative="1">
      <w:start w:val="1"/>
      <w:numFmt w:val="bullet"/>
      <w:lvlText w:val=""/>
      <w:lvlJc w:val="left"/>
      <w:pPr>
        <w:ind w:left="5173" w:hanging="360"/>
      </w:pPr>
      <w:rPr>
        <w:rFonts w:ascii="Wingdings" w:hAnsi="Wingdings" w:hint="default"/>
      </w:rPr>
    </w:lvl>
    <w:lvl w:ilvl="6" w:tplc="080A0001" w:tentative="1">
      <w:start w:val="1"/>
      <w:numFmt w:val="bullet"/>
      <w:lvlText w:val=""/>
      <w:lvlJc w:val="left"/>
      <w:pPr>
        <w:ind w:left="5893" w:hanging="360"/>
      </w:pPr>
      <w:rPr>
        <w:rFonts w:ascii="Symbol" w:hAnsi="Symbol" w:hint="default"/>
      </w:rPr>
    </w:lvl>
    <w:lvl w:ilvl="7" w:tplc="080A0003" w:tentative="1">
      <w:start w:val="1"/>
      <w:numFmt w:val="bullet"/>
      <w:lvlText w:val="o"/>
      <w:lvlJc w:val="left"/>
      <w:pPr>
        <w:ind w:left="6613" w:hanging="360"/>
      </w:pPr>
      <w:rPr>
        <w:rFonts w:ascii="Courier New" w:hAnsi="Courier New" w:cs="Courier New" w:hint="default"/>
      </w:rPr>
    </w:lvl>
    <w:lvl w:ilvl="8" w:tplc="080A0005" w:tentative="1">
      <w:start w:val="1"/>
      <w:numFmt w:val="bullet"/>
      <w:lvlText w:val=""/>
      <w:lvlJc w:val="left"/>
      <w:pPr>
        <w:ind w:left="7333" w:hanging="360"/>
      </w:pPr>
      <w:rPr>
        <w:rFonts w:ascii="Wingdings" w:hAnsi="Wingdings" w:hint="default"/>
      </w:rPr>
    </w:lvl>
  </w:abstractNum>
  <w:abstractNum w:abstractNumId="69" w15:restartNumberingAfterBreak="0">
    <w:nsid w:val="2C8B09EF"/>
    <w:multiLevelType w:val="multilevel"/>
    <w:tmpl w:val="B9BE2D34"/>
    <w:styleLink w:val="Estilo1"/>
    <w:lvl w:ilvl="0">
      <w:start w:val="1"/>
      <w:numFmt w:val="decimal"/>
      <w:lvlText w:val="%1."/>
      <w:lvlJc w:val="left"/>
      <w:pPr>
        <w:tabs>
          <w:tab w:val="num" w:pos="360"/>
        </w:tabs>
        <w:ind w:left="360" w:hanging="360"/>
      </w:pPr>
      <w:rPr>
        <w:rFonts w:cs="Times New Roman" w:hint="default"/>
        <w:sz w:val="32"/>
      </w:rPr>
    </w:lvl>
    <w:lvl w:ilvl="1">
      <w:start w:val="1"/>
      <w:numFmt w:val="decimal"/>
      <w:lvlText w:val="%1.%2."/>
      <w:lvlJc w:val="left"/>
      <w:pPr>
        <w:tabs>
          <w:tab w:val="num" w:pos="1142"/>
        </w:tabs>
        <w:ind w:left="1142" w:hanging="432"/>
      </w:pPr>
      <w:rPr>
        <w:rFonts w:cs="Times New Roman" w:hint="default"/>
        <w:sz w:val="28"/>
        <w:szCs w:val="28"/>
      </w:rPr>
    </w:lvl>
    <w:lvl w:ilvl="2">
      <w:start w:val="1"/>
      <w:numFmt w:val="decimal"/>
      <w:lvlText w:val="%1.%2.%3."/>
      <w:lvlJc w:val="left"/>
      <w:pPr>
        <w:tabs>
          <w:tab w:val="num" w:pos="1922"/>
        </w:tabs>
        <w:ind w:left="1922" w:hanging="504"/>
      </w:pPr>
      <w:rPr>
        <w:rFonts w:cs="Times New Roman" w:hint="default"/>
      </w:rPr>
    </w:lvl>
    <w:lvl w:ilvl="3">
      <w:start w:val="1"/>
      <w:numFmt w:val="decimal"/>
      <w:lvlText w:val="%1.%2.%3.%4."/>
      <w:lvlJc w:val="left"/>
      <w:pPr>
        <w:tabs>
          <w:tab w:val="num" w:pos="1728"/>
        </w:tabs>
        <w:ind w:left="1728" w:hanging="648"/>
      </w:pPr>
      <w:rPr>
        <w:rFonts w:cs="Times New Roman" w:hint="default"/>
        <w:b/>
        <w:bCs/>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0" w15:restartNumberingAfterBreak="0">
    <w:nsid w:val="2D280930"/>
    <w:multiLevelType w:val="hybridMultilevel"/>
    <w:tmpl w:val="CAFA712C"/>
    <w:lvl w:ilvl="0" w:tplc="26480BF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2E070249"/>
    <w:multiLevelType w:val="hybridMultilevel"/>
    <w:tmpl w:val="BFE08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2E623277"/>
    <w:multiLevelType w:val="hybridMultilevel"/>
    <w:tmpl w:val="866AF6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2E6F02E9"/>
    <w:multiLevelType w:val="hybridMultilevel"/>
    <w:tmpl w:val="AD447CF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4" w15:restartNumberingAfterBreak="0">
    <w:nsid w:val="2F545D54"/>
    <w:multiLevelType w:val="hybridMultilevel"/>
    <w:tmpl w:val="30B4FAA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308F17F9"/>
    <w:multiLevelType w:val="hybridMultilevel"/>
    <w:tmpl w:val="53CC3504"/>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6" w15:restartNumberingAfterBreak="0">
    <w:nsid w:val="30DA58B5"/>
    <w:multiLevelType w:val="hybridMultilevel"/>
    <w:tmpl w:val="F6A6DD36"/>
    <w:lvl w:ilvl="0" w:tplc="080A0019">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31401E45"/>
    <w:multiLevelType w:val="hybridMultilevel"/>
    <w:tmpl w:val="CDA0F6C4"/>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8" w15:restartNumberingAfterBreak="0">
    <w:nsid w:val="321F1E6F"/>
    <w:multiLevelType w:val="hybridMultilevel"/>
    <w:tmpl w:val="610697E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324D6D07"/>
    <w:multiLevelType w:val="hybridMultilevel"/>
    <w:tmpl w:val="06F8B346"/>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0" w15:restartNumberingAfterBreak="0">
    <w:nsid w:val="325A6871"/>
    <w:multiLevelType w:val="multilevel"/>
    <w:tmpl w:val="1B04A9B4"/>
    <w:lvl w:ilvl="0">
      <w:start w:val="1"/>
      <w:numFmt w:val="decimal"/>
      <w:lvlText w:val="%1."/>
      <w:lvlJc w:val="left"/>
      <w:pPr>
        <w:ind w:left="720" w:hanging="360"/>
      </w:pPr>
    </w:lvl>
    <w:lvl w:ilvl="1">
      <w:start w:val="2"/>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044" w:hanging="72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386" w:hanging="108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abstractNum w:abstractNumId="81" w15:restartNumberingAfterBreak="0">
    <w:nsid w:val="32C44216"/>
    <w:multiLevelType w:val="hybridMultilevel"/>
    <w:tmpl w:val="8B8882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2" w15:restartNumberingAfterBreak="0">
    <w:nsid w:val="32D97D9A"/>
    <w:multiLevelType w:val="hybridMultilevel"/>
    <w:tmpl w:val="7FE4B4D4"/>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3" w15:restartNumberingAfterBreak="0">
    <w:nsid w:val="345A1F23"/>
    <w:multiLevelType w:val="hybridMultilevel"/>
    <w:tmpl w:val="8E5AB70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4" w15:restartNumberingAfterBreak="0">
    <w:nsid w:val="348A45BA"/>
    <w:multiLevelType w:val="hybridMultilevel"/>
    <w:tmpl w:val="4F643F4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360052EB"/>
    <w:multiLevelType w:val="multilevel"/>
    <w:tmpl w:val="1E561432"/>
    <w:lvl w:ilvl="0">
      <w:start w:val="2"/>
      <w:numFmt w:val="upperRoman"/>
      <w:lvlText w:val="%1."/>
      <w:lvlJc w:val="left"/>
      <w:pPr>
        <w:ind w:left="361" w:hanging="360"/>
      </w:pPr>
      <w:rPr>
        <w:rFonts w:hint="default"/>
      </w:rPr>
    </w:lvl>
    <w:lvl w:ilvl="1">
      <w:start w:val="1"/>
      <w:numFmt w:val="decimal"/>
      <w:lvlText w:val="%1.%2."/>
      <w:lvlJc w:val="left"/>
      <w:pPr>
        <w:ind w:left="766" w:hanging="405"/>
      </w:pPr>
      <w:rPr>
        <w:rFonts w:ascii="ITC Avant Garde" w:hAnsi="ITC Avant Garde" w:hint="default"/>
        <w:i/>
      </w:rPr>
    </w:lvl>
    <w:lvl w:ilvl="2">
      <w:start w:val="1"/>
      <w:numFmt w:val="lowerLetter"/>
      <w:lvlText w:val="%3)"/>
      <w:lvlJc w:val="left"/>
      <w:pPr>
        <w:ind w:left="1081" w:hanging="360"/>
      </w:pPr>
      <w:rPr>
        <w:rFonts w:hint="default"/>
      </w:rPr>
    </w:lvl>
    <w:lvl w:ilvl="3">
      <w:start w:val="1"/>
      <w:numFmt w:val="decimal"/>
      <w:lvlText w:val="(%4)"/>
      <w:lvlJc w:val="left"/>
      <w:pPr>
        <w:ind w:left="1441" w:hanging="360"/>
      </w:pPr>
      <w:rPr>
        <w:rFonts w:hint="default"/>
      </w:rPr>
    </w:lvl>
    <w:lvl w:ilvl="4">
      <w:start w:val="1"/>
      <w:numFmt w:val="lowerLetter"/>
      <w:lvlText w:val="(%5)"/>
      <w:lvlJc w:val="left"/>
      <w:pPr>
        <w:ind w:left="1801" w:hanging="360"/>
      </w:pPr>
      <w:rPr>
        <w:rFonts w:hint="default"/>
      </w:rPr>
    </w:lvl>
    <w:lvl w:ilvl="5">
      <w:start w:val="1"/>
      <w:numFmt w:val="lowerRoman"/>
      <w:lvlText w:val="(%6)"/>
      <w:lvlJc w:val="left"/>
      <w:pPr>
        <w:ind w:left="2161" w:hanging="360"/>
      </w:pPr>
      <w:rPr>
        <w:rFonts w:hint="default"/>
      </w:rPr>
    </w:lvl>
    <w:lvl w:ilvl="6">
      <w:start w:val="1"/>
      <w:numFmt w:val="decimal"/>
      <w:lvlText w:val="%7."/>
      <w:lvlJc w:val="left"/>
      <w:pPr>
        <w:ind w:left="2521" w:hanging="360"/>
      </w:pPr>
      <w:rPr>
        <w:rFonts w:hint="default"/>
      </w:rPr>
    </w:lvl>
    <w:lvl w:ilvl="7">
      <w:start w:val="1"/>
      <w:numFmt w:val="lowerLetter"/>
      <w:lvlText w:val="%8."/>
      <w:lvlJc w:val="left"/>
      <w:pPr>
        <w:ind w:left="2881" w:hanging="360"/>
      </w:pPr>
      <w:rPr>
        <w:rFonts w:hint="default"/>
      </w:rPr>
    </w:lvl>
    <w:lvl w:ilvl="8">
      <w:start w:val="1"/>
      <w:numFmt w:val="lowerRoman"/>
      <w:lvlText w:val="%9."/>
      <w:lvlJc w:val="left"/>
      <w:pPr>
        <w:ind w:left="3241" w:hanging="360"/>
      </w:pPr>
      <w:rPr>
        <w:rFonts w:hint="default"/>
      </w:rPr>
    </w:lvl>
  </w:abstractNum>
  <w:abstractNum w:abstractNumId="86" w15:restartNumberingAfterBreak="0">
    <w:nsid w:val="37EA52F8"/>
    <w:multiLevelType w:val="hybridMultilevel"/>
    <w:tmpl w:val="5F36FFD2"/>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7" w15:restartNumberingAfterBreak="0">
    <w:nsid w:val="3896170D"/>
    <w:multiLevelType w:val="hybridMultilevel"/>
    <w:tmpl w:val="16341D14"/>
    <w:lvl w:ilvl="0" w:tplc="0C0A0001">
      <w:start w:val="1"/>
      <w:numFmt w:val="bullet"/>
      <w:pStyle w:val="NormalBulletLevel2"/>
      <w:lvlText w:val=""/>
      <w:lvlJc w:val="left"/>
      <w:pPr>
        <w:tabs>
          <w:tab w:val="num" w:pos="9000"/>
        </w:tabs>
        <w:ind w:left="9000" w:hanging="360"/>
      </w:pPr>
      <w:rPr>
        <w:rFonts w:ascii="Symbol" w:hAnsi="Symbol" w:hint="default"/>
        <w:color w:val="auto"/>
      </w:rPr>
    </w:lvl>
    <w:lvl w:ilvl="1" w:tplc="0C0A0003">
      <w:start w:val="1"/>
      <w:numFmt w:val="bullet"/>
      <w:lvlText w:val="o"/>
      <w:lvlJc w:val="left"/>
      <w:pPr>
        <w:tabs>
          <w:tab w:val="num" w:pos="5400"/>
        </w:tabs>
        <w:ind w:left="5400" w:hanging="360"/>
      </w:pPr>
      <w:rPr>
        <w:rFonts w:ascii="Courier New" w:hAnsi="Courier New" w:hint="default"/>
      </w:rPr>
    </w:lvl>
    <w:lvl w:ilvl="2" w:tplc="0C0A0005" w:tentative="1">
      <w:start w:val="1"/>
      <w:numFmt w:val="bullet"/>
      <w:lvlText w:val=""/>
      <w:lvlJc w:val="left"/>
      <w:pPr>
        <w:tabs>
          <w:tab w:val="num" w:pos="6120"/>
        </w:tabs>
        <w:ind w:left="6120" w:hanging="360"/>
      </w:pPr>
      <w:rPr>
        <w:rFonts w:ascii="Wingdings" w:hAnsi="Wingdings" w:hint="default"/>
      </w:rPr>
    </w:lvl>
    <w:lvl w:ilvl="3" w:tplc="0C0A0001" w:tentative="1">
      <w:start w:val="1"/>
      <w:numFmt w:val="bullet"/>
      <w:lvlText w:val=""/>
      <w:lvlJc w:val="left"/>
      <w:pPr>
        <w:tabs>
          <w:tab w:val="num" w:pos="6840"/>
        </w:tabs>
        <w:ind w:left="6840" w:hanging="360"/>
      </w:pPr>
      <w:rPr>
        <w:rFonts w:ascii="Symbol" w:hAnsi="Symbol" w:hint="default"/>
      </w:rPr>
    </w:lvl>
    <w:lvl w:ilvl="4" w:tplc="0C0A0003" w:tentative="1">
      <w:start w:val="1"/>
      <w:numFmt w:val="bullet"/>
      <w:lvlText w:val="o"/>
      <w:lvlJc w:val="left"/>
      <w:pPr>
        <w:tabs>
          <w:tab w:val="num" w:pos="7560"/>
        </w:tabs>
        <w:ind w:left="7560" w:hanging="360"/>
      </w:pPr>
      <w:rPr>
        <w:rFonts w:ascii="Courier New" w:hAnsi="Courier New" w:hint="default"/>
      </w:rPr>
    </w:lvl>
    <w:lvl w:ilvl="5" w:tplc="0C0A0005" w:tentative="1">
      <w:start w:val="1"/>
      <w:numFmt w:val="bullet"/>
      <w:lvlText w:val=""/>
      <w:lvlJc w:val="left"/>
      <w:pPr>
        <w:tabs>
          <w:tab w:val="num" w:pos="8280"/>
        </w:tabs>
        <w:ind w:left="8280" w:hanging="360"/>
      </w:pPr>
      <w:rPr>
        <w:rFonts w:ascii="Wingdings" w:hAnsi="Wingdings" w:hint="default"/>
      </w:rPr>
    </w:lvl>
    <w:lvl w:ilvl="6" w:tplc="0C0A0001" w:tentative="1">
      <w:start w:val="1"/>
      <w:numFmt w:val="bullet"/>
      <w:lvlText w:val=""/>
      <w:lvlJc w:val="left"/>
      <w:pPr>
        <w:tabs>
          <w:tab w:val="num" w:pos="9000"/>
        </w:tabs>
        <w:ind w:left="9000" w:hanging="360"/>
      </w:pPr>
      <w:rPr>
        <w:rFonts w:ascii="Symbol" w:hAnsi="Symbol" w:hint="default"/>
      </w:rPr>
    </w:lvl>
    <w:lvl w:ilvl="7" w:tplc="0C0A0003" w:tentative="1">
      <w:start w:val="1"/>
      <w:numFmt w:val="bullet"/>
      <w:lvlText w:val="o"/>
      <w:lvlJc w:val="left"/>
      <w:pPr>
        <w:tabs>
          <w:tab w:val="num" w:pos="9720"/>
        </w:tabs>
        <w:ind w:left="9720" w:hanging="360"/>
      </w:pPr>
      <w:rPr>
        <w:rFonts w:ascii="Courier New" w:hAnsi="Courier New" w:hint="default"/>
      </w:rPr>
    </w:lvl>
    <w:lvl w:ilvl="8" w:tplc="0C0A0005" w:tentative="1">
      <w:start w:val="1"/>
      <w:numFmt w:val="bullet"/>
      <w:lvlText w:val=""/>
      <w:lvlJc w:val="left"/>
      <w:pPr>
        <w:tabs>
          <w:tab w:val="num" w:pos="10440"/>
        </w:tabs>
        <w:ind w:left="10440" w:hanging="360"/>
      </w:pPr>
      <w:rPr>
        <w:rFonts w:ascii="Wingdings" w:hAnsi="Wingdings" w:hint="default"/>
      </w:rPr>
    </w:lvl>
  </w:abstractNum>
  <w:abstractNum w:abstractNumId="88" w15:restartNumberingAfterBreak="0">
    <w:nsid w:val="38A67C25"/>
    <w:multiLevelType w:val="hybridMultilevel"/>
    <w:tmpl w:val="E674B4B8"/>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9" w15:restartNumberingAfterBreak="0">
    <w:nsid w:val="3A4C46E5"/>
    <w:multiLevelType w:val="hybridMultilevel"/>
    <w:tmpl w:val="0AF46E6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3A57663E"/>
    <w:multiLevelType w:val="hybridMultilevel"/>
    <w:tmpl w:val="343EA2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3A5D4558"/>
    <w:multiLevelType w:val="hybridMultilevel"/>
    <w:tmpl w:val="71D8DCF0"/>
    <w:lvl w:ilvl="0" w:tplc="E74A90CC">
      <w:start w:val="1"/>
      <w:numFmt w:val="decimal"/>
      <w:pStyle w:val="Titulo3"/>
      <w:lvlText w:val="5.5.%1."/>
      <w:lvlJc w:val="left"/>
      <w:pPr>
        <w:tabs>
          <w:tab w:val="num" w:pos="1440"/>
        </w:tabs>
        <w:ind w:left="1440" w:hanging="360"/>
      </w:pPr>
      <w:rPr>
        <w:rFonts w:cs="Times New Roman" w:hint="default"/>
        <w:b/>
      </w:rPr>
    </w:lvl>
    <w:lvl w:ilvl="1" w:tplc="61928B96" w:tentative="1">
      <w:start w:val="1"/>
      <w:numFmt w:val="lowerLetter"/>
      <w:lvlText w:val="%2."/>
      <w:lvlJc w:val="left"/>
      <w:pPr>
        <w:tabs>
          <w:tab w:val="num" w:pos="1440"/>
        </w:tabs>
        <w:ind w:left="1440" w:hanging="360"/>
      </w:pPr>
      <w:rPr>
        <w:rFonts w:cs="Times New Roman"/>
      </w:rPr>
    </w:lvl>
    <w:lvl w:ilvl="2" w:tplc="90FC7C24" w:tentative="1">
      <w:start w:val="1"/>
      <w:numFmt w:val="lowerRoman"/>
      <w:lvlText w:val="%3."/>
      <w:lvlJc w:val="right"/>
      <w:pPr>
        <w:tabs>
          <w:tab w:val="num" w:pos="2160"/>
        </w:tabs>
        <w:ind w:left="2160" w:hanging="180"/>
      </w:pPr>
      <w:rPr>
        <w:rFonts w:cs="Times New Roman"/>
      </w:rPr>
    </w:lvl>
    <w:lvl w:ilvl="3" w:tplc="F18ACDDA" w:tentative="1">
      <w:start w:val="1"/>
      <w:numFmt w:val="decimal"/>
      <w:lvlText w:val="%4."/>
      <w:lvlJc w:val="left"/>
      <w:pPr>
        <w:tabs>
          <w:tab w:val="num" w:pos="2880"/>
        </w:tabs>
        <w:ind w:left="2880" w:hanging="360"/>
      </w:pPr>
      <w:rPr>
        <w:rFonts w:cs="Times New Roman"/>
      </w:rPr>
    </w:lvl>
    <w:lvl w:ilvl="4" w:tplc="A776F5D8" w:tentative="1">
      <w:start w:val="1"/>
      <w:numFmt w:val="lowerLetter"/>
      <w:lvlText w:val="%5."/>
      <w:lvlJc w:val="left"/>
      <w:pPr>
        <w:tabs>
          <w:tab w:val="num" w:pos="3600"/>
        </w:tabs>
        <w:ind w:left="3600" w:hanging="360"/>
      </w:pPr>
      <w:rPr>
        <w:rFonts w:cs="Times New Roman"/>
      </w:rPr>
    </w:lvl>
    <w:lvl w:ilvl="5" w:tplc="15548B24" w:tentative="1">
      <w:start w:val="1"/>
      <w:numFmt w:val="lowerRoman"/>
      <w:lvlText w:val="%6."/>
      <w:lvlJc w:val="right"/>
      <w:pPr>
        <w:tabs>
          <w:tab w:val="num" w:pos="4320"/>
        </w:tabs>
        <w:ind w:left="4320" w:hanging="180"/>
      </w:pPr>
      <w:rPr>
        <w:rFonts w:cs="Times New Roman"/>
      </w:rPr>
    </w:lvl>
    <w:lvl w:ilvl="6" w:tplc="8D100DDA" w:tentative="1">
      <w:start w:val="1"/>
      <w:numFmt w:val="decimal"/>
      <w:lvlText w:val="%7."/>
      <w:lvlJc w:val="left"/>
      <w:pPr>
        <w:tabs>
          <w:tab w:val="num" w:pos="5040"/>
        </w:tabs>
        <w:ind w:left="5040" w:hanging="360"/>
      </w:pPr>
      <w:rPr>
        <w:rFonts w:cs="Times New Roman"/>
      </w:rPr>
    </w:lvl>
    <w:lvl w:ilvl="7" w:tplc="BC80ED2A" w:tentative="1">
      <w:start w:val="1"/>
      <w:numFmt w:val="lowerLetter"/>
      <w:lvlText w:val="%8."/>
      <w:lvlJc w:val="left"/>
      <w:pPr>
        <w:tabs>
          <w:tab w:val="num" w:pos="5760"/>
        </w:tabs>
        <w:ind w:left="5760" w:hanging="360"/>
      </w:pPr>
      <w:rPr>
        <w:rFonts w:cs="Times New Roman"/>
      </w:rPr>
    </w:lvl>
    <w:lvl w:ilvl="8" w:tplc="0AF8484E" w:tentative="1">
      <w:start w:val="1"/>
      <w:numFmt w:val="lowerRoman"/>
      <w:lvlText w:val="%9."/>
      <w:lvlJc w:val="right"/>
      <w:pPr>
        <w:tabs>
          <w:tab w:val="num" w:pos="6480"/>
        </w:tabs>
        <w:ind w:left="6480" w:hanging="180"/>
      </w:pPr>
      <w:rPr>
        <w:rFonts w:cs="Times New Roman"/>
      </w:rPr>
    </w:lvl>
  </w:abstractNum>
  <w:abstractNum w:abstractNumId="92" w15:restartNumberingAfterBreak="0">
    <w:nsid w:val="3ACC63B6"/>
    <w:multiLevelType w:val="hybridMultilevel"/>
    <w:tmpl w:val="070A8F4E"/>
    <w:lvl w:ilvl="0" w:tplc="080A0001">
      <w:start w:val="1"/>
      <w:numFmt w:val="bullet"/>
      <w:lvlText w:val=""/>
      <w:lvlJc w:val="left"/>
      <w:pPr>
        <w:ind w:left="1569" w:hanging="360"/>
      </w:pPr>
      <w:rPr>
        <w:rFonts w:ascii="Symbol" w:hAnsi="Symbol" w:hint="default"/>
      </w:rPr>
    </w:lvl>
    <w:lvl w:ilvl="1" w:tplc="080A0003" w:tentative="1">
      <w:start w:val="1"/>
      <w:numFmt w:val="bullet"/>
      <w:lvlText w:val="o"/>
      <w:lvlJc w:val="left"/>
      <w:pPr>
        <w:ind w:left="2289" w:hanging="360"/>
      </w:pPr>
      <w:rPr>
        <w:rFonts w:ascii="Courier New" w:hAnsi="Courier New" w:cs="Courier New" w:hint="default"/>
      </w:rPr>
    </w:lvl>
    <w:lvl w:ilvl="2" w:tplc="080A0005" w:tentative="1">
      <w:start w:val="1"/>
      <w:numFmt w:val="bullet"/>
      <w:lvlText w:val=""/>
      <w:lvlJc w:val="left"/>
      <w:pPr>
        <w:ind w:left="3009" w:hanging="360"/>
      </w:pPr>
      <w:rPr>
        <w:rFonts w:ascii="Wingdings" w:hAnsi="Wingdings" w:hint="default"/>
      </w:rPr>
    </w:lvl>
    <w:lvl w:ilvl="3" w:tplc="080A0001" w:tentative="1">
      <w:start w:val="1"/>
      <w:numFmt w:val="bullet"/>
      <w:lvlText w:val=""/>
      <w:lvlJc w:val="left"/>
      <w:pPr>
        <w:ind w:left="3729" w:hanging="360"/>
      </w:pPr>
      <w:rPr>
        <w:rFonts w:ascii="Symbol" w:hAnsi="Symbol" w:hint="default"/>
      </w:rPr>
    </w:lvl>
    <w:lvl w:ilvl="4" w:tplc="080A0003" w:tentative="1">
      <w:start w:val="1"/>
      <w:numFmt w:val="bullet"/>
      <w:lvlText w:val="o"/>
      <w:lvlJc w:val="left"/>
      <w:pPr>
        <w:ind w:left="4449" w:hanging="360"/>
      </w:pPr>
      <w:rPr>
        <w:rFonts w:ascii="Courier New" w:hAnsi="Courier New" w:cs="Courier New" w:hint="default"/>
      </w:rPr>
    </w:lvl>
    <w:lvl w:ilvl="5" w:tplc="080A0005" w:tentative="1">
      <w:start w:val="1"/>
      <w:numFmt w:val="bullet"/>
      <w:lvlText w:val=""/>
      <w:lvlJc w:val="left"/>
      <w:pPr>
        <w:ind w:left="5169" w:hanging="360"/>
      </w:pPr>
      <w:rPr>
        <w:rFonts w:ascii="Wingdings" w:hAnsi="Wingdings" w:hint="default"/>
      </w:rPr>
    </w:lvl>
    <w:lvl w:ilvl="6" w:tplc="080A0001" w:tentative="1">
      <w:start w:val="1"/>
      <w:numFmt w:val="bullet"/>
      <w:lvlText w:val=""/>
      <w:lvlJc w:val="left"/>
      <w:pPr>
        <w:ind w:left="5889" w:hanging="360"/>
      </w:pPr>
      <w:rPr>
        <w:rFonts w:ascii="Symbol" w:hAnsi="Symbol" w:hint="default"/>
      </w:rPr>
    </w:lvl>
    <w:lvl w:ilvl="7" w:tplc="080A0003" w:tentative="1">
      <w:start w:val="1"/>
      <w:numFmt w:val="bullet"/>
      <w:lvlText w:val="o"/>
      <w:lvlJc w:val="left"/>
      <w:pPr>
        <w:ind w:left="6609" w:hanging="360"/>
      </w:pPr>
      <w:rPr>
        <w:rFonts w:ascii="Courier New" w:hAnsi="Courier New" w:cs="Courier New" w:hint="default"/>
      </w:rPr>
    </w:lvl>
    <w:lvl w:ilvl="8" w:tplc="080A0005" w:tentative="1">
      <w:start w:val="1"/>
      <w:numFmt w:val="bullet"/>
      <w:lvlText w:val=""/>
      <w:lvlJc w:val="left"/>
      <w:pPr>
        <w:ind w:left="7329" w:hanging="360"/>
      </w:pPr>
      <w:rPr>
        <w:rFonts w:ascii="Wingdings" w:hAnsi="Wingdings" w:hint="default"/>
      </w:rPr>
    </w:lvl>
  </w:abstractNum>
  <w:abstractNum w:abstractNumId="93" w15:restartNumberingAfterBreak="0">
    <w:nsid w:val="3ACD118A"/>
    <w:multiLevelType w:val="hybridMultilevel"/>
    <w:tmpl w:val="399CA0E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4" w15:restartNumberingAfterBreak="0">
    <w:nsid w:val="3B3E6BDC"/>
    <w:multiLevelType w:val="hybridMultilevel"/>
    <w:tmpl w:val="5A3C19F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3B893A3B"/>
    <w:multiLevelType w:val="hybridMultilevel"/>
    <w:tmpl w:val="613244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3CDB57D1"/>
    <w:multiLevelType w:val="hybridMultilevel"/>
    <w:tmpl w:val="70805446"/>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7" w15:restartNumberingAfterBreak="0">
    <w:nsid w:val="3CDF7488"/>
    <w:multiLevelType w:val="hybridMultilevel"/>
    <w:tmpl w:val="A190B15A"/>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8" w15:restartNumberingAfterBreak="0">
    <w:nsid w:val="3D5B7B23"/>
    <w:multiLevelType w:val="hybridMultilevel"/>
    <w:tmpl w:val="9C86518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9" w15:restartNumberingAfterBreak="0">
    <w:nsid w:val="3DFA5D36"/>
    <w:multiLevelType w:val="hybridMultilevel"/>
    <w:tmpl w:val="AB88098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0" w15:restartNumberingAfterBreak="0">
    <w:nsid w:val="3E307C6E"/>
    <w:multiLevelType w:val="hybridMultilevel"/>
    <w:tmpl w:val="9526517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1" w15:restartNumberingAfterBreak="0">
    <w:nsid w:val="3E4B7C98"/>
    <w:multiLevelType w:val="hybridMultilevel"/>
    <w:tmpl w:val="045EF168"/>
    <w:lvl w:ilvl="0" w:tplc="1BEA4BDA">
      <w:start w:val="1"/>
      <w:numFmt w:val="bullet"/>
      <w:lvlText w:val="o"/>
      <w:lvlJc w:val="left"/>
      <w:pPr>
        <w:ind w:left="1580" w:hanging="360"/>
      </w:pPr>
      <w:rPr>
        <w:rFonts w:ascii="Courier New" w:hAnsi="Courier New" w:hint="default"/>
      </w:rPr>
    </w:lvl>
    <w:lvl w:ilvl="1" w:tplc="080A0003" w:tentative="1">
      <w:start w:val="1"/>
      <w:numFmt w:val="bullet"/>
      <w:lvlText w:val="o"/>
      <w:lvlJc w:val="left"/>
      <w:pPr>
        <w:ind w:left="2300" w:hanging="360"/>
      </w:pPr>
      <w:rPr>
        <w:rFonts w:ascii="Courier New" w:hAnsi="Courier New" w:cs="Courier New" w:hint="default"/>
      </w:rPr>
    </w:lvl>
    <w:lvl w:ilvl="2" w:tplc="080A0005" w:tentative="1">
      <w:start w:val="1"/>
      <w:numFmt w:val="bullet"/>
      <w:lvlText w:val=""/>
      <w:lvlJc w:val="left"/>
      <w:pPr>
        <w:ind w:left="3020" w:hanging="360"/>
      </w:pPr>
      <w:rPr>
        <w:rFonts w:ascii="Wingdings" w:hAnsi="Wingdings" w:hint="default"/>
      </w:rPr>
    </w:lvl>
    <w:lvl w:ilvl="3" w:tplc="080A0001" w:tentative="1">
      <w:start w:val="1"/>
      <w:numFmt w:val="bullet"/>
      <w:lvlText w:val=""/>
      <w:lvlJc w:val="left"/>
      <w:pPr>
        <w:ind w:left="3740" w:hanging="360"/>
      </w:pPr>
      <w:rPr>
        <w:rFonts w:ascii="Symbol" w:hAnsi="Symbol" w:hint="default"/>
      </w:rPr>
    </w:lvl>
    <w:lvl w:ilvl="4" w:tplc="080A0003" w:tentative="1">
      <w:start w:val="1"/>
      <w:numFmt w:val="bullet"/>
      <w:lvlText w:val="o"/>
      <w:lvlJc w:val="left"/>
      <w:pPr>
        <w:ind w:left="4460" w:hanging="360"/>
      </w:pPr>
      <w:rPr>
        <w:rFonts w:ascii="Courier New" w:hAnsi="Courier New" w:cs="Courier New" w:hint="default"/>
      </w:rPr>
    </w:lvl>
    <w:lvl w:ilvl="5" w:tplc="080A0005" w:tentative="1">
      <w:start w:val="1"/>
      <w:numFmt w:val="bullet"/>
      <w:lvlText w:val=""/>
      <w:lvlJc w:val="left"/>
      <w:pPr>
        <w:ind w:left="5180" w:hanging="360"/>
      </w:pPr>
      <w:rPr>
        <w:rFonts w:ascii="Wingdings" w:hAnsi="Wingdings" w:hint="default"/>
      </w:rPr>
    </w:lvl>
    <w:lvl w:ilvl="6" w:tplc="080A0001" w:tentative="1">
      <w:start w:val="1"/>
      <w:numFmt w:val="bullet"/>
      <w:lvlText w:val=""/>
      <w:lvlJc w:val="left"/>
      <w:pPr>
        <w:ind w:left="5900" w:hanging="360"/>
      </w:pPr>
      <w:rPr>
        <w:rFonts w:ascii="Symbol" w:hAnsi="Symbol" w:hint="default"/>
      </w:rPr>
    </w:lvl>
    <w:lvl w:ilvl="7" w:tplc="080A0003" w:tentative="1">
      <w:start w:val="1"/>
      <w:numFmt w:val="bullet"/>
      <w:lvlText w:val="o"/>
      <w:lvlJc w:val="left"/>
      <w:pPr>
        <w:ind w:left="6620" w:hanging="360"/>
      </w:pPr>
      <w:rPr>
        <w:rFonts w:ascii="Courier New" w:hAnsi="Courier New" w:cs="Courier New" w:hint="default"/>
      </w:rPr>
    </w:lvl>
    <w:lvl w:ilvl="8" w:tplc="080A0005" w:tentative="1">
      <w:start w:val="1"/>
      <w:numFmt w:val="bullet"/>
      <w:lvlText w:val=""/>
      <w:lvlJc w:val="left"/>
      <w:pPr>
        <w:ind w:left="7340" w:hanging="360"/>
      </w:pPr>
      <w:rPr>
        <w:rFonts w:ascii="Wingdings" w:hAnsi="Wingdings" w:hint="default"/>
      </w:rPr>
    </w:lvl>
  </w:abstractNum>
  <w:abstractNum w:abstractNumId="102" w15:restartNumberingAfterBreak="0">
    <w:nsid w:val="3E5754BF"/>
    <w:multiLevelType w:val="hybridMultilevel"/>
    <w:tmpl w:val="C27A7AA6"/>
    <w:lvl w:ilvl="0" w:tplc="4E0CB69A">
      <w:start w:val="3"/>
      <w:numFmt w:val="bullet"/>
      <w:lvlText w:val=""/>
      <w:lvlJc w:val="left"/>
      <w:pPr>
        <w:ind w:left="1571" w:hanging="360"/>
      </w:pPr>
      <w:rPr>
        <w:rFonts w:ascii="Symbol" w:eastAsia="Calibri" w:hAnsi="Symbol" w:cs="Aria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3" w15:restartNumberingAfterBreak="0">
    <w:nsid w:val="3EEE034D"/>
    <w:multiLevelType w:val="hybridMultilevel"/>
    <w:tmpl w:val="AFEC822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4" w15:restartNumberingAfterBreak="0">
    <w:nsid w:val="3F6B2C26"/>
    <w:multiLevelType w:val="hybridMultilevel"/>
    <w:tmpl w:val="BA84D9A8"/>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5" w15:restartNumberingAfterBreak="0">
    <w:nsid w:val="40861D81"/>
    <w:multiLevelType w:val="hybridMultilevel"/>
    <w:tmpl w:val="2D4E874C"/>
    <w:lvl w:ilvl="0" w:tplc="442E04F6">
      <w:start w:val="60"/>
      <w:numFmt w:val="bullet"/>
      <w:lvlText w:val="-"/>
      <w:lvlJc w:val="left"/>
      <w:pPr>
        <w:ind w:left="1571" w:hanging="360"/>
      </w:pPr>
      <w:rPr>
        <w:rFonts w:ascii="ITC Avant Garde" w:eastAsia="Times New Roman" w:hAnsi="ITC Avant Garde" w:cs="Arial" w:hint="default"/>
        <w:b w:val="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6" w15:restartNumberingAfterBreak="0">
    <w:nsid w:val="40A66F89"/>
    <w:multiLevelType w:val="hybridMultilevel"/>
    <w:tmpl w:val="007C176E"/>
    <w:lvl w:ilvl="0" w:tplc="4EA4616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7" w15:restartNumberingAfterBreak="0">
    <w:nsid w:val="412F7174"/>
    <w:multiLevelType w:val="hybridMultilevel"/>
    <w:tmpl w:val="718A3B18"/>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8" w15:restartNumberingAfterBreak="0">
    <w:nsid w:val="41A63A4C"/>
    <w:multiLevelType w:val="hybridMultilevel"/>
    <w:tmpl w:val="5C50EAE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425C0717"/>
    <w:multiLevelType w:val="hybridMultilevel"/>
    <w:tmpl w:val="42669B22"/>
    <w:lvl w:ilvl="0" w:tplc="0C0A0001">
      <w:start w:val="1"/>
      <w:numFmt w:val="bullet"/>
      <w:pStyle w:val="NormalBulletChar"/>
      <w:lvlText w:val=""/>
      <w:lvlJc w:val="left"/>
      <w:pPr>
        <w:tabs>
          <w:tab w:val="num" w:pos="360"/>
        </w:tabs>
        <w:ind w:left="360" w:hanging="360"/>
      </w:pPr>
      <w:rPr>
        <w:rFonts w:ascii="Symbol" w:hAnsi="Symbol" w:hint="default"/>
        <w:color w:val="0000FF"/>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432F1D1A"/>
    <w:multiLevelType w:val="hybridMultilevel"/>
    <w:tmpl w:val="5E007CEC"/>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1" w15:restartNumberingAfterBreak="0">
    <w:nsid w:val="44496FEC"/>
    <w:multiLevelType w:val="hybridMultilevel"/>
    <w:tmpl w:val="E9F85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44746AC6"/>
    <w:multiLevelType w:val="hybridMultilevel"/>
    <w:tmpl w:val="F38012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3" w15:restartNumberingAfterBreak="0">
    <w:nsid w:val="45DA7825"/>
    <w:multiLevelType w:val="hybridMultilevel"/>
    <w:tmpl w:val="D2767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460F7FA5"/>
    <w:multiLevelType w:val="hybridMultilevel"/>
    <w:tmpl w:val="7E865FD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5" w15:restartNumberingAfterBreak="0">
    <w:nsid w:val="466007B5"/>
    <w:multiLevelType w:val="multilevel"/>
    <w:tmpl w:val="58AE66A4"/>
    <w:styleLink w:val="Estilo3"/>
    <w:lvl w:ilvl="0">
      <w:start w:val="1"/>
      <w:numFmt w:val="decimal"/>
      <w:lvlText w:val="%1."/>
      <w:lvlJc w:val="left"/>
      <w:pPr>
        <w:tabs>
          <w:tab w:val="num" w:pos="360"/>
        </w:tabs>
        <w:ind w:left="360" w:hanging="360"/>
      </w:pPr>
      <w:rPr>
        <w:rFonts w:cs="Times New Roman" w:hint="default"/>
        <w:sz w:val="32"/>
      </w:rPr>
    </w:lvl>
    <w:lvl w:ilvl="1">
      <w:start w:val="1"/>
      <w:numFmt w:val="decimal"/>
      <w:lvlText w:val="%1.%2."/>
      <w:lvlJc w:val="left"/>
      <w:pPr>
        <w:tabs>
          <w:tab w:val="num" w:pos="1142"/>
        </w:tabs>
        <w:ind w:left="1142" w:hanging="432"/>
      </w:pPr>
      <w:rPr>
        <w:rFonts w:cs="Times New Roman" w:hint="default"/>
        <w:sz w:val="28"/>
        <w:szCs w:val="28"/>
      </w:rPr>
    </w:lvl>
    <w:lvl w:ilvl="2">
      <w:start w:val="1"/>
      <w:numFmt w:val="decimal"/>
      <w:lvlText w:val="%1.%2.%3."/>
      <w:lvlJc w:val="left"/>
      <w:pPr>
        <w:tabs>
          <w:tab w:val="num" w:pos="1922"/>
        </w:tabs>
        <w:ind w:left="1922" w:hanging="504"/>
      </w:pPr>
      <w:rPr>
        <w:rFonts w:cs="Times New Roman" w:hint="default"/>
      </w:rPr>
    </w:lvl>
    <w:lvl w:ilvl="3">
      <w:start w:val="1"/>
      <w:numFmt w:val="decimal"/>
      <w:lvlText w:val="%1.%2.%3.%4."/>
      <w:lvlJc w:val="left"/>
      <w:pPr>
        <w:tabs>
          <w:tab w:val="num" w:pos="1728"/>
        </w:tabs>
        <w:ind w:left="1728" w:hanging="648"/>
      </w:pPr>
      <w:rPr>
        <w:rFonts w:cs="Times New Roman" w:hint="default"/>
        <w:b/>
        <w:bCs/>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6" w15:restartNumberingAfterBreak="0">
    <w:nsid w:val="46877132"/>
    <w:multiLevelType w:val="hybridMultilevel"/>
    <w:tmpl w:val="C908F1CA"/>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476232A4"/>
    <w:multiLevelType w:val="hybridMultilevel"/>
    <w:tmpl w:val="024A3176"/>
    <w:lvl w:ilvl="0" w:tplc="080A0003">
      <w:start w:val="1"/>
      <w:numFmt w:val="bullet"/>
      <w:lvlText w:val="o"/>
      <w:lvlJc w:val="left"/>
      <w:pPr>
        <w:ind w:left="721" w:hanging="360"/>
      </w:pPr>
      <w:rPr>
        <w:rFonts w:ascii="Courier New" w:hAnsi="Courier New" w:cs="Courier New"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118" w15:restartNumberingAfterBreak="0">
    <w:nsid w:val="478B62CA"/>
    <w:multiLevelType w:val="hybridMultilevel"/>
    <w:tmpl w:val="3C481B1A"/>
    <w:lvl w:ilvl="0" w:tplc="1548E4B8">
      <w:start w:val="1"/>
      <w:numFmt w:val="decimal"/>
      <w:pStyle w:val="FIGURAS"/>
      <w:lvlText w:val="Figura %1."/>
      <w:lvlJc w:val="left"/>
      <w:pPr>
        <w:ind w:left="3621" w:hanging="360"/>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color="000000"/>
        <w:vertAlign w:val="baseline"/>
      </w:rPr>
    </w:lvl>
    <w:lvl w:ilvl="1" w:tplc="E2F8F27A">
      <w:start w:val="1"/>
      <w:numFmt w:val="bullet"/>
      <w:lvlText w:val=""/>
      <w:lvlJc w:val="left"/>
      <w:pPr>
        <w:tabs>
          <w:tab w:val="num" w:pos="1440"/>
        </w:tabs>
        <w:ind w:left="1440" w:hanging="360"/>
      </w:pPr>
      <w:rPr>
        <w:rFonts w:ascii="Symbol" w:hAnsi="Symbol" w:hint="default"/>
        <w:sz w:val="24"/>
      </w:rPr>
    </w:lvl>
    <w:lvl w:ilvl="2" w:tplc="FCFAC6A4" w:tentative="1">
      <w:start w:val="1"/>
      <w:numFmt w:val="lowerRoman"/>
      <w:lvlText w:val="%3."/>
      <w:lvlJc w:val="right"/>
      <w:pPr>
        <w:ind w:left="2160" w:hanging="180"/>
      </w:pPr>
      <w:rPr>
        <w:rFonts w:cs="Times New Roman"/>
      </w:rPr>
    </w:lvl>
    <w:lvl w:ilvl="3" w:tplc="0DEC55E4" w:tentative="1">
      <w:start w:val="1"/>
      <w:numFmt w:val="decimal"/>
      <w:lvlText w:val="%4."/>
      <w:lvlJc w:val="left"/>
      <w:pPr>
        <w:ind w:left="2880" w:hanging="360"/>
      </w:pPr>
      <w:rPr>
        <w:rFonts w:cs="Times New Roman"/>
      </w:rPr>
    </w:lvl>
    <w:lvl w:ilvl="4" w:tplc="738C537C" w:tentative="1">
      <w:start w:val="1"/>
      <w:numFmt w:val="lowerLetter"/>
      <w:lvlText w:val="%5."/>
      <w:lvlJc w:val="left"/>
      <w:pPr>
        <w:ind w:left="3600" w:hanging="360"/>
      </w:pPr>
      <w:rPr>
        <w:rFonts w:cs="Times New Roman"/>
      </w:rPr>
    </w:lvl>
    <w:lvl w:ilvl="5" w:tplc="3F74B1FC" w:tentative="1">
      <w:start w:val="1"/>
      <w:numFmt w:val="lowerRoman"/>
      <w:lvlText w:val="%6."/>
      <w:lvlJc w:val="right"/>
      <w:pPr>
        <w:ind w:left="4320" w:hanging="180"/>
      </w:pPr>
      <w:rPr>
        <w:rFonts w:cs="Times New Roman"/>
      </w:rPr>
    </w:lvl>
    <w:lvl w:ilvl="6" w:tplc="C5D0588A" w:tentative="1">
      <w:start w:val="1"/>
      <w:numFmt w:val="decimal"/>
      <w:lvlText w:val="%7."/>
      <w:lvlJc w:val="left"/>
      <w:pPr>
        <w:ind w:left="5040" w:hanging="360"/>
      </w:pPr>
      <w:rPr>
        <w:rFonts w:cs="Times New Roman"/>
      </w:rPr>
    </w:lvl>
    <w:lvl w:ilvl="7" w:tplc="2C6EBDC6" w:tentative="1">
      <w:start w:val="1"/>
      <w:numFmt w:val="lowerLetter"/>
      <w:lvlText w:val="%8."/>
      <w:lvlJc w:val="left"/>
      <w:pPr>
        <w:ind w:left="5760" w:hanging="360"/>
      </w:pPr>
      <w:rPr>
        <w:rFonts w:cs="Times New Roman"/>
      </w:rPr>
    </w:lvl>
    <w:lvl w:ilvl="8" w:tplc="F7C4B532" w:tentative="1">
      <w:start w:val="1"/>
      <w:numFmt w:val="lowerRoman"/>
      <w:lvlText w:val="%9."/>
      <w:lvlJc w:val="right"/>
      <w:pPr>
        <w:ind w:left="6480" w:hanging="180"/>
      </w:pPr>
      <w:rPr>
        <w:rFonts w:cs="Times New Roman"/>
      </w:rPr>
    </w:lvl>
  </w:abstractNum>
  <w:abstractNum w:abstractNumId="119" w15:restartNumberingAfterBreak="0">
    <w:nsid w:val="479B3D6E"/>
    <w:multiLevelType w:val="hybridMultilevel"/>
    <w:tmpl w:val="BB309D7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0" w15:restartNumberingAfterBreak="0">
    <w:nsid w:val="47C76C62"/>
    <w:multiLevelType w:val="hybridMultilevel"/>
    <w:tmpl w:val="5D32C886"/>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1" w15:restartNumberingAfterBreak="0">
    <w:nsid w:val="481879A9"/>
    <w:multiLevelType w:val="hybridMultilevel"/>
    <w:tmpl w:val="3206771E"/>
    <w:lvl w:ilvl="0" w:tplc="4E0CB69A">
      <w:start w:val="3"/>
      <w:numFmt w:val="bullet"/>
      <w:lvlText w:val=""/>
      <w:lvlJc w:val="left"/>
      <w:pPr>
        <w:ind w:left="1571" w:hanging="360"/>
      </w:pPr>
      <w:rPr>
        <w:rFonts w:ascii="Symbol" w:eastAsia="Calibri" w:hAnsi="Symbol" w:cs="Aria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2" w15:restartNumberingAfterBreak="0">
    <w:nsid w:val="48786332"/>
    <w:multiLevelType w:val="hybridMultilevel"/>
    <w:tmpl w:val="153C0C3E"/>
    <w:lvl w:ilvl="0" w:tplc="0C0A0001">
      <w:start w:val="1"/>
      <w:numFmt w:val="decimal"/>
      <w:pStyle w:val="Continuarlista"/>
      <w:lvlText w:val="4.2.%1."/>
      <w:lvlJc w:val="left"/>
      <w:pPr>
        <w:tabs>
          <w:tab w:val="num" w:pos="1440"/>
        </w:tabs>
        <w:ind w:left="1440" w:hanging="36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123" w15:restartNumberingAfterBreak="0">
    <w:nsid w:val="4906277A"/>
    <w:multiLevelType w:val="hybridMultilevel"/>
    <w:tmpl w:val="578869A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49C726C9"/>
    <w:multiLevelType w:val="hybridMultilevel"/>
    <w:tmpl w:val="2B7CC142"/>
    <w:lvl w:ilvl="0" w:tplc="1BEA4BDA">
      <w:start w:val="1"/>
      <w:numFmt w:val="bullet"/>
      <w:lvlText w:val="o"/>
      <w:lvlJc w:val="left"/>
      <w:pPr>
        <w:ind w:left="157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5" w15:restartNumberingAfterBreak="0">
    <w:nsid w:val="49ED4079"/>
    <w:multiLevelType w:val="hybridMultilevel"/>
    <w:tmpl w:val="5150D666"/>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6" w15:restartNumberingAfterBreak="0">
    <w:nsid w:val="4A126397"/>
    <w:multiLevelType w:val="hybridMultilevel"/>
    <w:tmpl w:val="A83475E6"/>
    <w:lvl w:ilvl="0" w:tplc="442E04F6">
      <w:start w:val="60"/>
      <w:numFmt w:val="bullet"/>
      <w:lvlText w:val="-"/>
      <w:lvlJc w:val="left"/>
      <w:pPr>
        <w:ind w:left="1572" w:hanging="360"/>
      </w:pPr>
      <w:rPr>
        <w:rFonts w:ascii="ITC Avant Garde" w:eastAsia="Times New Roman" w:hAnsi="ITC Avant Garde" w:cs="Arial" w:hint="default"/>
        <w:b w:val="0"/>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127" w15:restartNumberingAfterBreak="0">
    <w:nsid w:val="4A195731"/>
    <w:multiLevelType w:val="hybridMultilevel"/>
    <w:tmpl w:val="9A00A140"/>
    <w:lvl w:ilvl="0" w:tplc="080A0001">
      <w:start w:val="1"/>
      <w:numFmt w:val="decimal"/>
      <w:pStyle w:val="Titulo20"/>
      <w:lvlText w:val="5.2.%1."/>
      <w:lvlJc w:val="left"/>
      <w:pPr>
        <w:tabs>
          <w:tab w:val="num" w:pos="720"/>
        </w:tabs>
        <w:ind w:left="720" w:hanging="36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28" w15:restartNumberingAfterBreak="0">
    <w:nsid w:val="4A4E4F19"/>
    <w:multiLevelType w:val="hybridMultilevel"/>
    <w:tmpl w:val="F244CDD4"/>
    <w:lvl w:ilvl="0" w:tplc="FFFFFFFF">
      <w:start w:val="1"/>
      <w:numFmt w:val="decimal"/>
      <w:pStyle w:val="Titulo3-0"/>
      <w:lvlText w:val="6.2.%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9" w15:restartNumberingAfterBreak="0">
    <w:nsid w:val="4B9439C9"/>
    <w:multiLevelType w:val="multilevel"/>
    <w:tmpl w:val="1B862F3E"/>
    <w:lvl w:ilvl="0">
      <w:start w:val="1"/>
      <w:numFmt w:val="upperRoman"/>
      <w:lvlText w:val="%1."/>
      <w:lvlJc w:val="left"/>
      <w:pPr>
        <w:ind w:left="1571" w:hanging="72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1931" w:hanging="108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130" w15:restartNumberingAfterBreak="0">
    <w:nsid w:val="4CEE1A73"/>
    <w:multiLevelType w:val="hybridMultilevel"/>
    <w:tmpl w:val="E76E15EE"/>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1" w15:restartNumberingAfterBreak="0">
    <w:nsid w:val="4D364D0F"/>
    <w:multiLevelType w:val="hybridMultilevel"/>
    <w:tmpl w:val="3376BCB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2" w15:restartNumberingAfterBreak="0">
    <w:nsid w:val="4D782A5F"/>
    <w:multiLevelType w:val="hybridMultilevel"/>
    <w:tmpl w:val="A8EE415C"/>
    <w:lvl w:ilvl="0" w:tplc="D6D2EC8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3" w15:restartNumberingAfterBreak="0">
    <w:nsid w:val="4D9B7B7D"/>
    <w:multiLevelType w:val="hybridMultilevel"/>
    <w:tmpl w:val="DA0E04CA"/>
    <w:lvl w:ilvl="0" w:tplc="080A0011">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1D775D"/>
    <w:multiLevelType w:val="hybridMultilevel"/>
    <w:tmpl w:val="53CC3504"/>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5" w15:restartNumberingAfterBreak="0">
    <w:nsid w:val="4E21051D"/>
    <w:multiLevelType w:val="hybridMultilevel"/>
    <w:tmpl w:val="CF904DC0"/>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6" w15:restartNumberingAfterBreak="0">
    <w:nsid w:val="4E2B12F8"/>
    <w:multiLevelType w:val="hybridMultilevel"/>
    <w:tmpl w:val="B2BA16B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7" w15:restartNumberingAfterBreak="0">
    <w:nsid w:val="4EF12723"/>
    <w:multiLevelType w:val="hybridMultilevel"/>
    <w:tmpl w:val="443E70A8"/>
    <w:lvl w:ilvl="0" w:tplc="0C0A0001">
      <w:start w:val="1"/>
      <w:numFmt w:val="decimal"/>
      <w:pStyle w:val="Titulo30"/>
      <w:lvlText w:val="5.%1."/>
      <w:lvlJc w:val="left"/>
      <w:pPr>
        <w:tabs>
          <w:tab w:val="num" w:pos="853"/>
        </w:tabs>
        <w:ind w:left="700" w:hanging="34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138" w15:restartNumberingAfterBreak="0">
    <w:nsid w:val="4F41316F"/>
    <w:multiLevelType w:val="hybridMultilevel"/>
    <w:tmpl w:val="E6F28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15:restartNumberingAfterBreak="0">
    <w:nsid w:val="4FF400D1"/>
    <w:multiLevelType w:val="hybridMultilevel"/>
    <w:tmpl w:val="34F6506E"/>
    <w:lvl w:ilvl="0" w:tplc="09021342">
      <w:start w:val="7"/>
      <w:numFmt w:val="decimal"/>
      <w:lvlText w:val="%1)"/>
      <w:lvlJc w:val="left"/>
      <w:pPr>
        <w:ind w:left="720" w:hanging="360"/>
      </w:pPr>
      <w:rPr>
        <w:rFonts w:ascii="ITC Avant Garde" w:hAnsi="ITC Avant Garde"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0" w15:restartNumberingAfterBreak="0">
    <w:nsid w:val="501032EB"/>
    <w:multiLevelType w:val="hybridMultilevel"/>
    <w:tmpl w:val="570A9EB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1" w15:restartNumberingAfterBreak="0">
    <w:nsid w:val="50AE56FD"/>
    <w:multiLevelType w:val="hybridMultilevel"/>
    <w:tmpl w:val="C4602F5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15:restartNumberingAfterBreak="0">
    <w:nsid w:val="50D673C9"/>
    <w:multiLevelType w:val="hybridMultilevel"/>
    <w:tmpl w:val="9A588F8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3" w15:restartNumberingAfterBreak="0">
    <w:nsid w:val="50F92608"/>
    <w:multiLevelType w:val="hybridMultilevel"/>
    <w:tmpl w:val="8E1A0702"/>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4" w15:restartNumberingAfterBreak="0">
    <w:nsid w:val="51433FA0"/>
    <w:multiLevelType w:val="multilevel"/>
    <w:tmpl w:val="E5B63796"/>
    <w:styleLink w:val="Estilo2"/>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5" w15:restartNumberingAfterBreak="0">
    <w:nsid w:val="52443970"/>
    <w:multiLevelType w:val="hybridMultilevel"/>
    <w:tmpl w:val="7244358A"/>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15:restartNumberingAfterBreak="0">
    <w:nsid w:val="53023AC7"/>
    <w:multiLevelType w:val="hybridMultilevel"/>
    <w:tmpl w:val="7EEE0E9A"/>
    <w:lvl w:ilvl="0" w:tplc="0C0A0001">
      <w:start w:val="1"/>
      <w:numFmt w:val="decimal"/>
      <w:pStyle w:val="Titulo31"/>
      <w:lvlText w:val="6.%1."/>
      <w:lvlJc w:val="left"/>
      <w:pPr>
        <w:tabs>
          <w:tab w:val="num" w:pos="853"/>
        </w:tabs>
        <w:ind w:left="700" w:hanging="34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147" w15:restartNumberingAfterBreak="0">
    <w:nsid w:val="536B0902"/>
    <w:multiLevelType w:val="hybridMultilevel"/>
    <w:tmpl w:val="9894E6B2"/>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8" w15:restartNumberingAfterBreak="0">
    <w:nsid w:val="53900134"/>
    <w:multiLevelType w:val="multilevel"/>
    <w:tmpl w:val="58BEFCB2"/>
    <w:lvl w:ilvl="0">
      <w:start w:val="1"/>
      <w:numFmt w:val="decimal"/>
      <w:lvlText w:val="%1."/>
      <w:lvlJc w:val="left"/>
      <w:pPr>
        <w:tabs>
          <w:tab w:val="num" w:pos="737"/>
        </w:tabs>
        <w:ind w:left="737" w:hanging="340"/>
      </w:pPr>
      <w:rPr>
        <w:rFonts w:cs="Times New Roman"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2025" w:hanging="720"/>
      </w:pPr>
      <w:rPr>
        <w:rFonts w:hint="default"/>
      </w:rPr>
    </w:lvl>
    <w:lvl w:ilvl="3">
      <w:start w:val="1"/>
      <w:numFmt w:val="decimal"/>
      <w:isLgl/>
      <w:lvlText w:val="%1.%2.%3.%4."/>
      <w:lvlJc w:val="left"/>
      <w:pPr>
        <w:ind w:left="2839" w:hanging="1080"/>
      </w:pPr>
      <w:rPr>
        <w:rFonts w:hint="default"/>
      </w:rPr>
    </w:lvl>
    <w:lvl w:ilvl="4">
      <w:start w:val="1"/>
      <w:numFmt w:val="decimal"/>
      <w:isLgl/>
      <w:lvlText w:val="%1.%2.%3.%4.%5."/>
      <w:lvlJc w:val="left"/>
      <w:pPr>
        <w:ind w:left="3293" w:hanging="1080"/>
      </w:pPr>
      <w:rPr>
        <w:rFonts w:hint="default"/>
      </w:rPr>
    </w:lvl>
    <w:lvl w:ilvl="5">
      <w:start w:val="1"/>
      <w:numFmt w:val="decimal"/>
      <w:isLgl/>
      <w:lvlText w:val="%1.%2.%3.%4.%5.%6."/>
      <w:lvlJc w:val="left"/>
      <w:pPr>
        <w:ind w:left="4107" w:hanging="1440"/>
      </w:pPr>
      <w:rPr>
        <w:rFonts w:hint="default"/>
      </w:rPr>
    </w:lvl>
    <w:lvl w:ilvl="6">
      <w:start w:val="1"/>
      <w:numFmt w:val="decimal"/>
      <w:isLgl/>
      <w:lvlText w:val="%1.%2.%3.%4.%5.%6.%7."/>
      <w:lvlJc w:val="left"/>
      <w:pPr>
        <w:ind w:left="4561" w:hanging="1440"/>
      </w:pPr>
      <w:rPr>
        <w:rFonts w:hint="default"/>
      </w:rPr>
    </w:lvl>
    <w:lvl w:ilvl="7">
      <w:start w:val="1"/>
      <w:numFmt w:val="decimal"/>
      <w:isLgl/>
      <w:lvlText w:val="%1.%2.%3.%4.%5.%6.%7.%8."/>
      <w:lvlJc w:val="left"/>
      <w:pPr>
        <w:ind w:left="5375" w:hanging="1800"/>
      </w:pPr>
      <w:rPr>
        <w:rFonts w:hint="default"/>
      </w:rPr>
    </w:lvl>
    <w:lvl w:ilvl="8">
      <w:start w:val="1"/>
      <w:numFmt w:val="decimal"/>
      <w:isLgl/>
      <w:lvlText w:val="%1.%2.%3.%4.%5.%6.%7.%8.%9."/>
      <w:lvlJc w:val="left"/>
      <w:pPr>
        <w:ind w:left="5829" w:hanging="1800"/>
      </w:pPr>
      <w:rPr>
        <w:rFonts w:hint="default"/>
      </w:rPr>
    </w:lvl>
  </w:abstractNum>
  <w:abstractNum w:abstractNumId="149" w15:restartNumberingAfterBreak="0">
    <w:nsid w:val="55BD6C63"/>
    <w:multiLevelType w:val="hybridMultilevel"/>
    <w:tmpl w:val="DE560C12"/>
    <w:lvl w:ilvl="0" w:tplc="1BEA4BDA">
      <w:start w:val="1"/>
      <w:numFmt w:val="bullet"/>
      <w:lvlText w:val="o"/>
      <w:lvlJc w:val="left"/>
      <w:pPr>
        <w:ind w:left="1574" w:hanging="360"/>
      </w:pPr>
      <w:rPr>
        <w:rFonts w:ascii="Courier New" w:hAnsi="Courier New" w:hint="default"/>
      </w:rPr>
    </w:lvl>
    <w:lvl w:ilvl="1" w:tplc="080A0003" w:tentative="1">
      <w:start w:val="1"/>
      <w:numFmt w:val="bullet"/>
      <w:lvlText w:val="o"/>
      <w:lvlJc w:val="left"/>
      <w:pPr>
        <w:ind w:left="2294" w:hanging="360"/>
      </w:pPr>
      <w:rPr>
        <w:rFonts w:ascii="Courier New" w:hAnsi="Courier New" w:cs="Courier New" w:hint="default"/>
      </w:rPr>
    </w:lvl>
    <w:lvl w:ilvl="2" w:tplc="080A0005" w:tentative="1">
      <w:start w:val="1"/>
      <w:numFmt w:val="bullet"/>
      <w:lvlText w:val=""/>
      <w:lvlJc w:val="left"/>
      <w:pPr>
        <w:ind w:left="3014" w:hanging="360"/>
      </w:pPr>
      <w:rPr>
        <w:rFonts w:ascii="Wingdings" w:hAnsi="Wingdings" w:hint="default"/>
      </w:rPr>
    </w:lvl>
    <w:lvl w:ilvl="3" w:tplc="080A0001" w:tentative="1">
      <w:start w:val="1"/>
      <w:numFmt w:val="bullet"/>
      <w:lvlText w:val=""/>
      <w:lvlJc w:val="left"/>
      <w:pPr>
        <w:ind w:left="3734" w:hanging="360"/>
      </w:pPr>
      <w:rPr>
        <w:rFonts w:ascii="Symbol" w:hAnsi="Symbol" w:hint="default"/>
      </w:rPr>
    </w:lvl>
    <w:lvl w:ilvl="4" w:tplc="080A0003" w:tentative="1">
      <w:start w:val="1"/>
      <w:numFmt w:val="bullet"/>
      <w:lvlText w:val="o"/>
      <w:lvlJc w:val="left"/>
      <w:pPr>
        <w:ind w:left="4454" w:hanging="360"/>
      </w:pPr>
      <w:rPr>
        <w:rFonts w:ascii="Courier New" w:hAnsi="Courier New" w:cs="Courier New" w:hint="default"/>
      </w:rPr>
    </w:lvl>
    <w:lvl w:ilvl="5" w:tplc="080A0005" w:tentative="1">
      <w:start w:val="1"/>
      <w:numFmt w:val="bullet"/>
      <w:lvlText w:val=""/>
      <w:lvlJc w:val="left"/>
      <w:pPr>
        <w:ind w:left="5174" w:hanging="360"/>
      </w:pPr>
      <w:rPr>
        <w:rFonts w:ascii="Wingdings" w:hAnsi="Wingdings" w:hint="default"/>
      </w:rPr>
    </w:lvl>
    <w:lvl w:ilvl="6" w:tplc="080A0001" w:tentative="1">
      <w:start w:val="1"/>
      <w:numFmt w:val="bullet"/>
      <w:lvlText w:val=""/>
      <w:lvlJc w:val="left"/>
      <w:pPr>
        <w:ind w:left="5894" w:hanging="360"/>
      </w:pPr>
      <w:rPr>
        <w:rFonts w:ascii="Symbol" w:hAnsi="Symbol" w:hint="default"/>
      </w:rPr>
    </w:lvl>
    <w:lvl w:ilvl="7" w:tplc="080A0003" w:tentative="1">
      <w:start w:val="1"/>
      <w:numFmt w:val="bullet"/>
      <w:lvlText w:val="o"/>
      <w:lvlJc w:val="left"/>
      <w:pPr>
        <w:ind w:left="6614" w:hanging="360"/>
      </w:pPr>
      <w:rPr>
        <w:rFonts w:ascii="Courier New" w:hAnsi="Courier New" w:cs="Courier New" w:hint="default"/>
      </w:rPr>
    </w:lvl>
    <w:lvl w:ilvl="8" w:tplc="080A0005" w:tentative="1">
      <w:start w:val="1"/>
      <w:numFmt w:val="bullet"/>
      <w:lvlText w:val=""/>
      <w:lvlJc w:val="left"/>
      <w:pPr>
        <w:ind w:left="7334" w:hanging="360"/>
      </w:pPr>
      <w:rPr>
        <w:rFonts w:ascii="Wingdings" w:hAnsi="Wingdings" w:hint="default"/>
      </w:rPr>
    </w:lvl>
  </w:abstractNum>
  <w:abstractNum w:abstractNumId="150" w15:restartNumberingAfterBreak="0">
    <w:nsid w:val="55C22D4A"/>
    <w:multiLevelType w:val="hybridMultilevel"/>
    <w:tmpl w:val="F6A82CFA"/>
    <w:lvl w:ilvl="0" w:tplc="2E7470E8">
      <w:start w:val="4"/>
      <w:numFmt w:val="decimal"/>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1" w15:restartNumberingAfterBreak="0">
    <w:nsid w:val="56583504"/>
    <w:multiLevelType w:val="hybridMultilevel"/>
    <w:tmpl w:val="1D70D20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15:restartNumberingAfterBreak="0">
    <w:nsid w:val="571D31C9"/>
    <w:multiLevelType w:val="hybridMultilevel"/>
    <w:tmpl w:val="7266559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3" w15:restartNumberingAfterBreak="0">
    <w:nsid w:val="57BC13D6"/>
    <w:multiLevelType w:val="hybridMultilevel"/>
    <w:tmpl w:val="34DAE64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4" w15:restartNumberingAfterBreak="0">
    <w:nsid w:val="589B00A4"/>
    <w:multiLevelType w:val="hybridMultilevel"/>
    <w:tmpl w:val="9E1C3AA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5" w15:restartNumberingAfterBreak="0">
    <w:nsid w:val="59696CF3"/>
    <w:multiLevelType w:val="hybridMultilevel"/>
    <w:tmpl w:val="ECFE8A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6" w15:restartNumberingAfterBreak="0">
    <w:nsid w:val="598B670E"/>
    <w:multiLevelType w:val="hybridMultilevel"/>
    <w:tmpl w:val="9A1828B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7" w15:restartNumberingAfterBreak="0">
    <w:nsid w:val="59F71B53"/>
    <w:multiLevelType w:val="hybridMultilevel"/>
    <w:tmpl w:val="B844B70C"/>
    <w:lvl w:ilvl="0" w:tplc="B290EB66">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5A4F3F2A"/>
    <w:multiLevelType w:val="hybridMultilevel"/>
    <w:tmpl w:val="BDA01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9" w15:restartNumberingAfterBreak="0">
    <w:nsid w:val="5A8B3E47"/>
    <w:multiLevelType w:val="hybridMultilevel"/>
    <w:tmpl w:val="F2CC3C82"/>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0" w15:restartNumberingAfterBreak="0">
    <w:nsid w:val="5B2C7DEE"/>
    <w:multiLevelType w:val="hybridMultilevel"/>
    <w:tmpl w:val="DACEC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1" w15:restartNumberingAfterBreak="0">
    <w:nsid w:val="5BAC1099"/>
    <w:multiLevelType w:val="hybridMultilevel"/>
    <w:tmpl w:val="BE1A73EE"/>
    <w:lvl w:ilvl="0" w:tplc="080A0001">
      <w:start w:val="1"/>
      <w:numFmt w:val="bullet"/>
      <w:lvlText w:val=""/>
      <w:lvlJc w:val="left"/>
      <w:pPr>
        <w:ind w:left="774" w:hanging="360"/>
      </w:pPr>
      <w:rPr>
        <w:rFonts w:ascii="Symbol" w:hAnsi="Symbol" w:hint="default"/>
      </w:rPr>
    </w:lvl>
    <w:lvl w:ilvl="1" w:tplc="695C8B64">
      <w:numFmt w:val="bullet"/>
      <w:lvlText w:val="-"/>
      <w:lvlJc w:val="left"/>
      <w:pPr>
        <w:tabs>
          <w:tab w:val="num" w:pos="1494"/>
        </w:tabs>
        <w:ind w:left="1494" w:hanging="360"/>
      </w:pPr>
      <w:rPr>
        <w:rFonts w:ascii="Arial" w:eastAsia="Times New Roman" w:hAnsi="Arial" w:hint="default"/>
      </w:rPr>
    </w:lvl>
    <w:lvl w:ilvl="2" w:tplc="080A0005">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62" w15:restartNumberingAfterBreak="0">
    <w:nsid w:val="5C2840DF"/>
    <w:multiLevelType w:val="hybridMultilevel"/>
    <w:tmpl w:val="F16EB61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3" w15:restartNumberingAfterBreak="0">
    <w:nsid w:val="5CF974AD"/>
    <w:multiLevelType w:val="hybridMultilevel"/>
    <w:tmpl w:val="9386F0B4"/>
    <w:lvl w:ilvl="0" w:tplc="080A0019">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5D2220FD"/>
    <w:multiLevelType w:val="hybridMultilevel"/>
    <w:tmpl w:val="783AA3B2"/>
    <w:lvl w:ilvl="0" w:tplc="1634323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5" w15:restartNumberingAfterBreak="0">
    <w:nsid w:val="5D6B15B5"/>
    <w:multiLevelType w:val="hybridMultilevel"/>
    <w:tmpl w:val="E5B626B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6" w15:restartNumberingAfterBreak="0">
    <w:nsid w:val="5DE440AB"/>
    <w:multiLevelType w:val="hybridMultilevel"/>
    <w:tmpl w:val="49440F2E"/>
    <w:lvl w:ilvl="0" w:tplc="080A0003">
      <w:start w:val="1"/>
      <w:numFmt w:val="bullet"/>
      <w:lvlText w:val="o"/>
      <w:lvlJc w:val="left"/>
      <w:pPr>
        <w:ind w:left="1287" w:hanging="360"/>
      </w:pPr>
      <w:rPr>
        <w:rFonts w:ascii="Courier New" w:hAnsi="Courier New" w:cs="Courier New"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7" w15:restartNumberingAfterBreak="0">
    <w:nsid w:val="5DE970E7"/>
    <w:multiLevelType w:val="hybridMultilevel"/>
    <w:tmpl w:val="4606AD9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8" w15:restartNumberingAfterBreak="0">
    <w:nsid w:val="5E146BB6"/>
    <w:multiLevelType w:val="hybridMultilevel"/>
    <w:tmpl w:val="F4D2AB6A"/>
    <w:lvl w:ilvl="0" w:tplc="442E04F6">
      <w:start w:val="60"/>
      <w:numFmt w:val="bullet"/>
      <w:lvlText w:val="-"/>
      <w:lvlJc w:val="left"/>
      <w:pPr>
        <w:ind w:left="1571" w:hanging="360"/>
      </w:pPr>
      <w:rPr>
        <w:rFonts w:ascii="ITC Avant Garde" w:eastAsia="Times New Roman" w:hAnsi="ITC Avant Garde" w:cs="Arial" w:hint="default"/>
        <w:b w:val="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9" w15:restartNumberingAfterBreak="0">
    <w:nsid w:val="5E162E07"/>
    <w:multiLevelType w:val="hybridMultilevel"/>
    <w:tmpl w:val="0672958C"/>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0" w15:restartNumberingAfterBreak="0">
    <w:nsid w:val="5E885104"/>
    <w:multiLevelType w:val="hybridMultilevel"/>
    <w:tmpl w:val="7E34EEBA"/>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1" w15:restartNumberingAfterBreak="0">
    <w:nsid w:val="5EC7333B"/>
    <w:multiLevelType w:val="hybridMultilevel"/>
    <w:tmpl w:val="5998790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15:restartNumberingAfterBreak="0">
    <w:nsid w:val="5F266EC4"/>
    <w:multiLevelType w:val="hybridMultilevel"/>
    <w:tmpl w:val="3BFE0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15:restartNumberingAfterBreak="0">
    <w:nsid w:val="5F5162D6"/>
    <w:multiLevelType w:val="hybridMultilevel"/>
    <w:tmpl w:val="D33AF6FE"/>
    <w:lvl w:ilvl="0" w:tplc="0B88D8B8">
      <w:start w:val="1"/>
      <w:numFmt w:val="bullet"/>
      <w:pStyle w:val="Listaconvietas"/>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15:restartNumberingAfterBreak="0">
    <w:nsid w:val="5FE514F6"/>
    <w:multiLevelType w:val="hybridMultilevel"/>
    <w:tmpl w:val="9AD8D434"/>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763" w:hanging="360"/>
      </w:pPr>
      <w:rPr>
        <w:rFonts w:ascii="Courier New" w:hAnsi="Courier New" w:hint="default"/>
      </w:rPr>
    </w:lvl>
    <w:lvl w:ilvl="2" w:tplc="080A0005" w:tentative="1">
      <w:start w:val="1"/>
      <w:numFmt w:val="bullet"/>
      <w:lvlText w:val=""/>
      <w:lvlJc w:val="left"/>
      <w:pPr>
        <w:ind w:left="2483" w:hanging="360"/>
      </w:pPr>
      <w:rPr>
        <w:rFonts w:ascii="Wingdings" w:hAnsi="Wingdings" w:hint="default"/>
      </w:rPr>
    </w:lvl>
    <w:lvl w:ilvl="3" w:tplc="080A0001" w:tentative="1">
      <w:start w:val="1"/>
      <w:numFmt w:val="bullet"/>
      <w:lvlText w:val=""/>
      <w:lvlJc w:val="left"/>
      <w:pPr>
        <w:ind w:left="3203" w:hanging="360"/>
      </w:pPr>
      <w:rPr>
        <w:rFonts w:ascii="Symbol" w:hAnsi="Symbol" w:hint="default"/>
      </w:rPr>
    </w:lvl>
    <w:lvl w:ilvl="4" w:tplc="080A0003" w:tentative="1">
      <w:start w:val="1"/>
      <w:numFmt w:val="bullet"/>
      <w:lvlText w:val="o"/>
      <w:lvlJc w:val="left"/>
      <w:pPr>
        <w:ind w:left="3923" w:hanging="360"/>
      </w:pPr>
      <w:rPr>
        <w:rFonts w:ascii="Courier New" w:hAnsi="Courier New" w:hint="default"/>
      </w:rPr>
    </w:lvl>
    <w:lvl w:ilvl="5" w:tplc="080A0005" w:tentative="1">
      <w:start w:val="1"/>
      <w:numFmt w:val="bullet"/>
      <w:lvlText w:val=""/>
      <w:lvlJc w:val="left"/>
      <w:pPr>
        <w:ind w:left="4643" w:hanging="360"/>
      </w:pPr>
      <w:rPr>
        <w:rFonts w:ascii="Wingdings" w:hAnsi="Wingdings" w:hint="default"/>
      </w:rPr>
    </w:lvl>
    <w:lvl w:ilvl="6" w:tplc="080A0001" w:tentative="1">
      <w:start w:val="1"/>
      <w:numFmt w:val="bullet"/>
      <w:lvlText w:val=""/>
      <w:lvlJc w:val="left"/>
      <w:pPr>
        <w:ind w:left="5363" w:hanging="360"/>
      </w:pPr>
      <w:rPr>
        <w:rFonts w:ascii="Symbol" w:hAnsi="Symbol" w:hint="default"/>
      </w:rPr>
    </w:lvl>
    <w:lvl w:ilvl="7" w:tplc="080A0003" w:tentative="1">
      <w:start w:val="1"/>
      <w:numFmt w:val="bullet"/>
      <w:lvlText w:val="o"/>
      <w:lvlJc w:val="left"/>
      <w:pPr>
        <w:ind w:left="6083" w:hanging="360"/>
      </w:pPr>
      <w:rPr>
        <w:rFonts w:ascii="Courier New" w:hAnsi="Courier New" w:hint="default"/>
      </w:rPr>
    </w:lvl>
    <w:lvl w:ilvl="8" w:tplc="080A0005" w:tentative="1">
      <w:start w:val="1"/>
      <w:numFmt w:val="bullet"/>
      <w:lvlText w:val=""/>
      <w:lvlJc w:val="left"/>
      <w:pPr>
        <w:ind w:left="6803" w:hanging="360"/>
      </w:pPr>
      <w:rPr>
        <w:rFonts w:ascii="Wingdings" w:hAnsi="Wingdings" w:hint="default"/>
      </w:rPr>
    </w:lvl>
  </w:abstractNum>
  <w:abstractNum w:abstractNumId="175" w15:restartNumberingAfterBreak="0">
    <w:nsid w:val="608529F6"/>
    <w:multiLevelType w:val="hybridMultilevel"/>
    <w:tmpl w:val="E0907D4E"/>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6" w15:restartNumberingAfterBreak="0">
    <w:nsid w:val="61066BEF"/>
    <w:multiLevelType w:val="multilevel"/>
    <w:tmpl w:val="1910F51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7" w15:restartNumberingAfterBreak="0">
    <w:nsid w:val="61D57187"/>
    <w:multiLevelType w:val="hybridMultilevel"/>
    <w:tmpl w:val="217288E4"/>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78" w15:restartNumberingAfterBreak="0">
    <w:nsid w:val="622C7491"/>
    <w:multiLevelType w:val="hybridMultilevel"/>
    <w:tmpl w:val="5112B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9" w15:restartNumberingAfterBreak="0">
    <w:nsid w:val="62896F71"/>
    <w:multiLevelType w:val="hybridMultilevel"/>
    <w:tmpl w:val="4414201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0" w15:restartNumberingAfterBreak="0">
    <w:nsid w:val="62B91F7A"/>
    <w:multiLevelType w:val="hybridMultilevel"/>
    <w:tmpl w:val="9CCCDF4C"/>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1" w15:restartNumberingAfterBreak="0">
    <w:nsid w:val="634405DA"/>
    <w:multiLevelType w:val="hybridMultilevel"/>
    <w:tmpl w:val="5E44B28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 w15:restartNumberingAfterBreak="0">
    <w:nsid w:val="63601744"/>
    <w:multiLevelType w:val="hybridMultilevel"/>
    <w:tmpl w:val="A600EF4A"/>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3" w15:restartNumberingAfterBreak="0">
    <w:nsid w:val="640441B9"/>
    <w:multiLevelType w:val="multilevel"/>
    <w:tmpl w:val="0CDCBC5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o"/>
      <w:lvlJc w:val="left"/>
      <w:pPr>
        <w:ind w:left="2160" w:hanging="360"/>
      </w:pPr>
      <w:rPr>
        <w:rFonts w:ascii="Courier New" w:hAnsi="Courier New" w:cs="Courier New"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4" w15:restartNumberingAfterBreak="0">
    <w:nsid w:val="644C168C"/>
    <w:multiLevelType w:val="hybridMultilevel"/>
    <w:tmpl w:val="68C493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5" w15:restartNumberingAfterBreak="0">
    <w:nsid w:val="64E43EA3"/>
    <w:multiLevelType w:val="hybridMultilevel"/>
    <w:tmpl w:val="240E9C5A"/>
    <w:lvl w:ilvl="0" w:tplc="FFFFFFFF">
      <w:start w:val="1"/>
      <w:numFmt w:val="decimal"/>
      <w:pStyle w:val="EstiloRequeridoIzquierda063cmPrimeralnea0cm"/>
      <w:lvlText w:val="R(%1) "/>
      <w:lvlJc w:val="left"/>
      <w:pPr>
        <w:tabs>
          <w:tab w:val="num" w:pos="633"/>
        </w:tabs>
        <w:ind w:left="502" w:hanging="360"/>
      </w:pPr>
      <w:rPr>
        <w:rFonts w:ascii="Arial" w:hAnsi="Arial"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rPr>
    </w:lvl>
    <w:lvl w:ilvl="1" w:tplc="FFFFFFFF">
      <w:start w:val="1"/>
      <w:numFmt w:val="bullet"/>
      <w:lvlText w:val=""/>
      <w:lvlJc w:val="left"/>
      <w:pPr>
        <w:tabs>
          <w:tab w:val="num" w:pos="1646"/>
        </w:tabs>
        <w:ind w:left="1646" w:hanging="360"/>
      </w:pPr>
      <w:rPr>
        <w:rFonts w:ascii="Symbol" w:hAnsi="Symbol" w:hint="default"/>
        <w:b/>
        <w:i w:val="0"/>
        <w:sz w:val="20"/>
      </w:rPr>
    </w:lvl>
    <w:lvl w:ilvl="2" w:tplc="FFFFFFFF">
      <w:numFmt w:val="bullet"/>
      <w:lvlText w:val="-"/>
      <w:lvlJc w:val="left"/>
      <w:pPr>
        <w:tabs>
          <w:tab w:val="num" w:pos="2891"/>
        </w:tabs>
        <w:ind w:left="2891" w:hanging="705"/>
      </w:pPr>
      <w:rPr>
        <w:rFonts w:ascii="Arial" w:eastAsia="Times New Roman" w:hAnsi="Arial" w:hint="default"/>
      </w:rPr>
    </w:lvl>
    <w:lvl w:ilvl="3" w:tplc="FFFFFFFF">
      <w:start w:val="16"/>
      <w:numFmt w:val="upperLetter"/>
      <w:lvlText w:val="%4-"/>
      <w:lvlJc w:val="left"/>
      <w:pPr>
        <w:tabs>
          <w:tab w:val="num" w:pos="3161"/>
        </w:tabs>
        <w:ind w:left="3161" w:hanging="435"/>
      </w:pPr>
      <w:rPr>
        <w:rFonts w:cs="Times New Roman" w:hint="default"/>
        <w:b w:val="0"/>
      </w:rPr>
    </w:lvl>
    <w:lvl w:ilvl="4" w:tplc="FFFFFFFF" w:tentative="1">
      <w:start w:val="1"/>
      <w:numFmt w:val="lowerLetter"/>
      <w:lvlText w:val="%5."/>
      <w:lvlJc w:val="left"/>
      <w:pPr>
        <w:tabs>
          <w:tab w:val="num" w:pos="3806"/>
        </w:tabs>
        <w:ind w:left="3806" w:hanging="360"/>
      </w:pPr>
      <w:rPr>
        <w:rFonts w:cs="Times New Roman"/>
      </w:rPr>
    </w:lvl>
    <w:lvl w:ilvl="5" w:tplc="FFFFFFFF" w:tentative="1">
      <w:start w:val="1"/>
      <w:numFmt w:val="lowerRoman"/>
      <w:lvlText w:val="%6."/>
      <w:lvlJc w:val="right"/>
      <w:pPr>
        <w:tabs>
          <w:tab w:val="num" w:pos="4526"/>
        </w:tabs>
        <w:ind w:left="4526" w:hanging="180"/>
      </w:pPr>
      <w:rPr>
        <w:rFonts w:cs="Times New Roman"/>
      </w:rPr>
    </w:lvl>
    <w:lvl w:ilvl="6" w:tplc="FFFFFFFF" w:tentative="1">
      <w:start w:val="1"/>
      <w:numFmt w:val="decimal"/>
      <w:lvlText w:val="%7."/>
      <w:lvlJc w:val="left"/>
      <w:pPr>
        <w:tabs>
          <w:tab w:val="num" w:pos="5246"/>
        </w:tabs>
        <w:ind w:left="5246" w:hanging="360"/>
      </w:pPr>
      <w:rPr>
        <w:rFonts w:cs="Times New Roman"/>
      </w:rPr>
    </w:lvl>
    <w:lvl w:ilvl="7" w:tplc="FFFFFFFF" w:tentative="1">
      <w:start w:val="1"/>
      <w:numFmt w:val="lowerLetter"/>
      <w:lvlText w:val="%8."/>
      <w:lvlJc w:val="left"/>
      <w:pPr>
        <w:tabs>
          <w:tab w:val="num" w:pos="5966"/>
        </w:tabs>
        <w:ind w:left="5966" w:hanging="360"/>
      </w:pPr>
      <w:rPr>
        <w:rFonts w:cs="Times New Roman"/>
      </w:rPr>
    </w:lvl>
    <w:lvl w:ilvl="8" w:tplc="FFFFFFFF" w:tentative="1">
      <w:start w:val="1"/>
      <w:numFmt w:val="lowerRoman"/>
      <w:lvlText w:val="%9."/>
      <w:lvlJc w:val="right"/>
      <w:pPr>
        <w:tabs>
          <w:tab w:val="num" w:pos="6686"/>
        </w:tabs>
        <w:ind w:left="6686" w:hanging="180"/>
      </w:pPr>
      <w:rPr>
        <w:rFonts w:cs="Times New Roman"/>
      </w:rPr>
    </w:lvl>
  </w:abstractNum>
  <w:abstractNum w:abstractNumId="186" w15:restartNumberingAfterBreak="0">
    <w:nsid w:val="65AB1799"/>
    <w:multiLevelType w:val="hybridMultilevel"/>
    <w:tmpl w:val="02CE1C4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7" w15:restartNumberingAfterBreak="0">
    <w:nsid w:val="660E7B67"/>
    <w:multiLevelType w:val="hybridMultilevel"/>
    <w:tmpl w:val="DC04278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8" w15:restartNumberingAfterBreak="0">
    <w:nsid w:val="66436188"/>
    <w:multiLevelType w:val="hybridMultilevel"/>
    <w:tmpl w:val="EF0E8132"/>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9" w15:restartNumberingAfterBreak="0">
    <w:nsid w:val="6668651A"/>
    <w:multiLevelType w:val="hybridMultilevel"/>
    <w:tmpl w:val="73D8BC8A"/>
    <w:lvl w:ilvl="0" w:tplc="FDE841C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0" w15:restartNumberingAfterBreak="0">
    <w:nsid w:val="668E1997"/>
    <w:multiLevelType w:val="hybridMultilevel"/>
    <w:tmpl w:val="BAA83F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66AC0F61"/>
    <w:multiLevelType w:val="hybridMultilevel"/>
    <w:tmpl w:val="741231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2" w15:restartNumberingAfterBreak="0">
    <w:nsid w:val="66C0250D"/>
    <w:multiLevelType w:val="hybridMultilevel"/>
    <w:tmpl w:val="2EE2E0F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3" w15:restartNumberingAfterBreak="0">
    <w:nsid w:val="66E35C74"/>
    <w:multiLevelType w:val="hybridMultilevel"/>
    <w:tmpl w:val="52725C4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 w15:restartNumberingAfterBreak="0">
    <w:nsid w:val="678E11A6"/>
    <w:multiLevelType w:val="hybridMultilevel"/>
    <w:tmpl w:val="690C7502"/>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5" w15:restartNumberingAfterBreak="0">
    <w:nsid w:val="68240602"/>
    <w:multiLevelType w:val="hybridMultilevel"/>
    <w:tmpl w:val="61C65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6" w15:restartNumberingAfterBreak="0">
    <w:nsid w:val="69246A85"/>
    <w:multiLevelType w:val="singleLevel"/>
    <w:tmpl w:val="5EF8A412"/>
    <w:lvl w:ilvl="0">
      <w:start w:val="1"/>
      <w:numFmt w:val="bullet"/>
      <w:pStyle w:val="Figure"/>
      <w:lvlText w:val=""/>
      <w:lvlJc w:val="left"/>
      <w:pPr>
        <w:tabs>
          <w:tab w:val="num" w:pos="936"/>
        </w:tabs>
        <w:ind w:left="936" w:hanging="360"/>
      </w:pPr>
      <w:rPr>
        <w:rFonts w:ascii="Monotype Sorts" w:hAnsi="Monotype Sorts" w:hint="default"/>
        <w:color w:val="800000"/>
        <w:sz w:val="16"/>
      </w:rPr>
    </w:lvl>
  </w:abstractNum>
  <w:abstractNum w:abstractNumId="197" w15:restartNumberingAfterBreak="0">
    <w:nsid w:val="69506FC1"/>
    <w:multiLevelType w:val="hybridMultilevel"/>
    <w:tmpl w:val="99167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8" w15:restartNumberingAfterBreak="0">
    <w:nsid w:val="69A23646"/>
    <w:multiLevelType w:val="hybridMultilevel"/>
    <w:tmpl w:val="B30C576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15:restartNumberingAfterBreak="0">
    <w:nsid w:val="6A825514"/>
    <w:multiLevelType w:val="hybridMultilevel"/>
    <w:tmpl w:val="7652B410"/>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0" w15:restartNumberingAfterBreak="0">
    <w:nsid w:val="6B032236"/>
    <w:multiLevelType w:val="hybridMultilevel"/>
    <w:tmpl w:val="40485C3C"/>
    <w:lvl w:ilvl="0" w:tplc="53C083C8">
      <w:numFmt w:val="bullet"/>
      <w:lvlText w:val="•"/>
      <w:lvlJc w:val="left"/>
      <w:pPr>
        <w:ind w:left="927" w:hanging="360"/>
      </w:pPr>
      <w:rPr>
        <w:rFonts w:ascii="ITC Avant Garde" w:eastAsiaTheme="minorHAnsi" w:hAnsi="ITC Avant Garde" w:cstheme="minorBidi" w:hint="default"/>
      </w:rPr>
    </w:lvl>
    <w:lvl w:ilvl="1" w:tplc="080A0003">
      <w:start w:val="1"/>
      <w:numFmt w:val="bullet"/>
      <w:lvlText w:val="o"/>
      <w:lvlJc w:val="left"/>
      <w:pPr>
        <w:ind w:left="1647" w:hanging="360"/>
      </w:pPr>
      <w:rPr>
        <w:rFonts w:ascii="Courier New" w:hAnsi="Courier New" w:cs="Courier New" w:hint="default"/>
      </w:rPr>
    </w:lvl>
    <w:lvl w:ilvl="2" w:tplc="080A0001">
      <w:start w:val="1"/>
      <w:numFmt w:val="bullet"/>
      <w:lvlText w:val=""/>
      <w:lvlJc w:val="left"/>
      <w:pPr>
        <w:ind w:left="2367" w:hanging="360"/>
      </w:pPr>
      <w:rPr>
        <w:rFonts w:ascii="Symbol" w:hAnsi="Symbol"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01" w15:restartNumberingAfterBreak="0">
    <w:nsid w:val="6BB6636A"/>
    <w:multiLevelType w:val="hybridMultilevel"/>
    <w:tmpl w:val="352A1862"/>
    <w:lvl w:ilvl="0" w:tplc="080A0003">
      <w:start w:val="1"/>
      <w:numFmt w:val="bullet"/>
      <w:lvlText w:val="o"/>
      <w:lvlJc w:val="left"/>
      <w:pPr>
        <w:ind w:left="1575" w:hanging="360"/>
      </w:pPr>
      <w:rPr>
        <w:rFonts w:ascii="Courier New" w:hAnsi="Courier New" w:cs="Courier New" w:hint="default"/>
      </w:rPr>
    </w:lvl>
    <w:lvl w:ilvl="1" w:tplc="080A0003" w:tentative="1">
      <w:start w:val="1"/>
      <w:numFmt w:val="bullet"/>
      <w:lvlText w:val="o"/>
      <w:lvlJc w:val="left"/>
      <w:pPr>
        <w:ind w:left="2295" w:hanging="360"/>
      </w:pPr>
      <w:rPr>
        <w:rFonts w:ascii="Courier New" w:hAnsi="Courier New" w:cs="Courier New" w:hint="default"/>
      </w:rPr>
    </w:lvl>
    <w:lvl w:ilvl="2" w:tplc="080A0005" w:tentative="1">
      <w:start w:val="1"/>
      <w:numFmt w:val="bullet"/>
      <w:lvlText w:val=""/>
      <w:lvlJc w:val="left"/>
      <w:pPr>
        <w:ind w:left="3015" w:hanging="360"/>
      </w:pPr>
      <w:rPr>
        <w:rFonts w:ascii="Wingdings" w:hAnsi="Wingdings" w:hint="default"/>
      </w:rPr>
    </w:lvl>
    <w:lvl w:ilvl="3" w:tplc="080A0001" w:tentative="1">
      <w:start w:val="1"/>
      <w:numFmt w:val="bullet"/>
      <w:lvlText w:val=""/>
      <w:lvlJc w:val="left"/>
      <w:pPr>
        <w:ind w:left="3735" w:hanging="360"/>
      </w:pPr>
      <w:rPr>
        <w:rFonts w:ascii="Symbol" w:hAnsi="Symbol" w:hint="default"/>
      </w:rPr>
    </w:lvl>
    <w:lvl w:ilvl="4" w:tplc="080A0003" w:tentative="1">
      <w:start w:val="1"/>
      <w:numFmt w:val="bullet"/>
      <w:lvlText w:val="o"/>
      <w:lvlJc w:val="left"/>
      <w:pPr>
        <w:ind w:left="4455" w:hanging="360"/>
      </w:pPr>
      <w:rPr>
        <w:rFonts w:ascii="Courier New" w:hAnsi="Courier New" w:cs="Courier New" w:hint="default"/>
      </w:rPr>
    </w:lvl>
    <w:lvl w:ilvl="5" w:tplc="080A0005" w:tentative="1">
      <w:start w:val="1"/>
      <w:numFmt w:val="bullet"/>
      <w:lvlText w:val=""/>
      <w:lvlJc w:val="left"/>
      <w:pPr>
        <w:ind w:left="5175" w:hanging="360"/>
      </w:pPr>
      <w:rPr>
        <w:rFonts w:ascii="Wingdings" w:hAnsi="Wingdings" w:hint="default"/>
      </w:rPr>
    </w:lvl>
    <w:lvl w:ilvl="6" w:tplc="080A0001" w:tentative="1">
      <w:start w:val="1"/>
      <w:numFmt w:val="bullet"/>
      <w:lvlText w:val=""/>
      <w:lvlJc w:val="left"/>
      <w:pPr>
        <w:ind w:left="5895" w:hanging="360"/>
      </w:pPr>
      <w:rPr>
        <w:rFonts w:ascii="Symbol" w:hAnsi="Symbol" w:hint="default"/>
      </w:rPr>
    </w:lvl>
    <w:lvl w:ilvl="7" w:tplc="080A0003" w:tentative="1">
      <w:start w:val="1"/>
      <w:numFmt w:val="bullet"/>
      <w:lvlText w:val="o"/>
      <w:lvlJc w:val="left"/>
      <w:pPr>
        <w:ind w:left="6615" w:hanging="360"/>
      </w:pPr>
      <w:rPr>
        <w:rFonts w:ascii="Courier New" w:hAnsi="Courier New" w:cs="Courier New" w:hint="default"/>
      </w:rPr>
    </w:lvl>
    <w:lvl w:ilvl="8" w:tplc="080A0005" w:tentative="1">
      <w:start w:val="1"/>
      <w:numFmt w:val="bullet"/>
      <w:lvlText w:val=""/>
      <w:lvlJc w:val="left"/>
      <w:pPr>
        <w:ind w:left="7335" w:hanging="360"/>
      </w:pPr>
      <w:rPr>
        <w:rFonts w:ascii="Wingdings" w:hAnsi="Wingdings" w:hint="default"/>
      </w:rPr>
    </w:lvl>
  </w:abstractNum>
  <w:abstractNum w:abstractNumId="202" w15:restartNumberingAfterBreak="0">
    <w:nsid w:val="6C153207"/>
    <w:multiLevelType w:val="hybridMultilevel"/>
    <w:tmpl w:val="EF22977C"/>
    <w:lvl w:ilvl="0" w:tplc="FF726478">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3" w15:restartNumberingAfterBreak="0">
    <w:nsid w:val="6C7B7BA4"/>
    <w:multiLevelType w:val="hybridMultilevel"/>
    <w:tmpl w:val="3FAE54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4" w15:restartNumberingAfterBreak="0">
    <w:nsid w:val="6C8E5D74"/>
    <w:multiLevelType w:val="hybridMultilevel"/>
    <w:tmpl w:val="EDB603E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5" w15:restartNumberingAfterBreak="0">
    <w:nsid w:val="6C913EA5"/>
    <w:multiLevelType w:val="hybridMultilevel"/>
    <w:tmpl w:val="DF1E455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6" w15:restartNumberingAfterBreak="0">
    <w:nsid w:val="6D273239"/>
    <w:multiLevelType w:val="hybridMultilevel"/>
    <w:tmpl w:val="A40CE1CE"/>
    <w:lvl w:ilvl="0" w:tplc="080A0019">
      <w:start w:val="1"/>
      <w:numFmt w:val="lowerLetter"/>
      <w:lvlText w:val="%1."/>
      <w:lvlJc w:val="left"/>
      <w:pPr>
        <w:ind w:left="1571" w:hanging="360"/>
      </w:pPr>
    </w:lvl>
    <w:lvl w:ilvl="1" w:tplc="49B86488">
      <w:start w:val="1"/>
      <w:numFmt w:val="decimal"/>
      <w:lvlText w:val="%2)"/>
      <w:lvlJc w:val="left"/>
      <w:pPr>
        <w:ind w:left="2291" w:hanging="360"/>
      </w:pPr>
      <w:rPr>
        <w:rFonts w:hint="default"/>
      </w:r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7" w15:restartNumberingAfterBreak="0">
    <w:nsid w:val="6D400281"/>
    <w:multiLevelType w:val="hybridMultilevel"/>
    <w:tmpl w:val="81A61EDE"/>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8" w15:restartNumberingAfterBreak="0">
    <w:nsid w:val="6D7A2BE9"/>
    <w:multiLevelType w:val="hybridMultilevel"/>
    <w:tmpl w:val="3982A7C2"/>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9" w15:restartNumberingAfterBreak="0">
    <w:nsid w:val="6F026FA1"/>
    <w:multiLevelType w:val="hybridMultilevel"/>
    <w:tmpl w:val="A4B6511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0" w15:restartNumberingAfterBreak="0">
    <w:nsid w:val="702A45AF"/>
    <w:multiLevelType w:val="hybridMultilevel"/>
    <w:tmpl w:val="138C5A5C"/>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1" w15:restartNumberingAfterBreak="0">
    <w:nsid w:val="703324DA"/>
    <w:multiLevelType w:val="hybridMultilevel"/>
    <w:tmpl w:val="E07A5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2" w15:restartNumberingAfterBreak="0">
    <w:nsid w:val="70BB17DD"/>
    <w:multiLevelType w:val="hybridMultilevel"/>
    <w:tmpl w:val="7CB22264"/>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213" w15:restartNumberingAfterBreak="0">
    <w:nsid w:val="70CE6430"/>
    <w:multiLevelType w:val="hybridMultilevel"/>
    <w:tmpl w:val="896C9DA8"/>
    <w:lvl w:ilvl="0" w:tplc="1BEA4BDA">
      <w:start w:val="1"/>
      <w:numFmt w:val="bullet"/>
      <w:lvlText w:val="o"/>
      <w:lvlJc w:val="left"/>
      <w:pPr>
        <w:ind w:left="157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4" w15:restartNumberingAfterBreak="0">
    <w:nsid w:val="712E4EC6"/>
    <w:multiLevelType w:val="hybridMultilevel"/>
    <w:tmpl w:val="41BC481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15" w15:restartNumberingAfterBreak="0">
    <w:nsid w:val="713B44E4"/>
    <w:multiLevelType w:val="hybridMultilevel"/>
    <w:tmpl w:val="20EEAF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6" w15:restartNumberingAfterBreak="0">
    <w:nsid w:val="717600A1"/>
    <w:multiLevelType w:val="hybridMultilevel"/>
    <w:tmpl w:val="031CA604"/>
    <w:lvl w:ilvl="0" w:tplc="EA8EE024">
      <w:start w:val="1"/>
      <w:numFmt w:val="decimal"/>
      <w:pStyle w:val="Titulo3--"/>
      <w:lvlText w:val="7.%1."/>
      <w:lvlJc w:val="left"/>
      <w:pPr>
        <w:tabs>
          <w:tab w:val="num" w:pos="853"/>
        </w:tabs>
        <w:ind w:left="700" w:hanging="340"/>
      </w:pPr>
      <w:rPr>
        <w:rFonts w:cs="Times New Roman" w:hint="default"/>
      </w:rPr>
    </w:lvl>
    <w:lvl w:ilvl="1" w:tplc="EA4C0350"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217" w15:restartNumberingAfterBreak="0">
    <w:nsid w:val="726D08F0"/>
    <w:multiLevelType w:val="hybridMultilevel"/>
    <w:tmpl w:val="0434ABD4"/>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8" w15:restartNumberingAfterBreak="0">
    <w:nsid w:val="72CD05BF"/>
    <w:multiLevelType w:val="hybridMultilevel"/>
    <w:tmpl w:val="580AC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9" w15:restartNumberingAfterBreak="0">
    <w:nsid w:val="73265126"/>
    <w:multiLevelType w:val="hybridMultilevel"/>
    <w:tmpl w:val="B5B2F342"/>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0" w15:restartNumberingAfterBreak="0">
    <w:nsid w:val="733B6FA7"/>
    <w:multiLevelType w:val="hybridMultilevel"/>
    <w:tmpl w:val="4546F7F0"/>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1" w15:restartNumberingAfterBreak="0">
    <w:nsid w:val="73456CEE"/>
    <w:multiLevelType w:val="hybridMultilevel"/>
    <w:tmpl w:val="4FE6C2FE"/>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2" w15:restartNumberingAfterBreak="0">
    <w:nsid w:val="73DD2CFC"/>
    <w:multiLevelType w:val="hybridMultilevel"/>
    <w:tmpl w:val="1C8210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3" w15:restartNumberingAfterBreak="0">
    <w:nsid w:val="745238E3"/>
    <w:multiLevelType w:val="hybridMultilevel"/>
    <w:tmpl w:val="15D26BFE"/>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4" w15:restartNumberingAfterBreak="0">
    <w:nsid w:val="747A411A"/>
    <w:multiLevelType w:val="hybridMultilevel"/>
    <w:tmpl w:val="8F96D1A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5" w15:restartNumberingAfterBreak="0">
    <w:nsid w:val="74890469"/>
    <w:multiLevelType w:val="hybridMultilevel"/>
    <w:tmpl w:val="A55097F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6" w15:restartNumberingAfterBreak="0">
    <w:nsid w:val="75197F82"/>
    <w:multiLevelType w:val="hybridMultilevel"/>
    <w:tmpl w:val="C1266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7" w15:restartNumberingAfterBreak="0">
    <w:nsid w:val="75632464"/>
    <w:multiLevelType w:val="multilevel"/>
    <w:tmpl w:val="707A79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8" w15:restartNumberingAfterBreak="0">
    <w:nsid w:val="772F18E9"/>
    <w:multiLevelType w:val="hybridMultilevel"/>
    <w:tmpl w:val="AC801F74"/>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9" w15:restartNumberingAfterBreak="0">
    <w:nsid w:val="77925EBB"/>
    <w:multiLevelType w:val="hybridMultilevel"/>
    <w:tmpl w:val="96C6B18C"/>
    <w:lvl w:ilvl="0" w:tplc="13B8C9F4">
      <w:start w:val="1"/>
      <w:numFmt w:val="decimal"/>
      <w:pStyle w:val="ARequeridoR"/>
      <w:lvlText w:val="(R%1):"/>
      <w:lvlJc w:val="left"/>
      <w:pPr>
        <w:tabs>
          <w:tab w:val="num" w:pos="567"/>
        </w:tabs>
        <w:ind w:left="567" w:hanging="567"/>
      </w:pPr>
      <w:rPr>
        <w:rFonts w:ascii="Times New Roman" w:hAnsi="Times New Roman" w:cs="Times New Roman" w:hint="default"/>
        <w:b/>
        <w:i/>
        <w:sz w:val="22"/>
      </w:rPr>
    </w:lvl>
    <w:lvl w:ilvl="1" w:tplc="42841CB0">
      <w:start w:val="1"/>
      <w:numFmt w:val="decimal"/>
      <w:lvlText w:val="%2)"/>
      <w:lvlJc w:val="left"/>
      <w:pPr>
        <w:tabs>
          <w:tab w:val="num" w:pos="1440"/>
        </w:tabs>
        <w:ind w:left="1440" w:hanging="360"/>
      </w:pPr>
      <w:rPr>
        <w:rFonts w:cs="Times New Roman" w:hint="default"/>
      </w:rPr>
    </w:lvl>
    <w:lvl w:ilvl="2" w:tplc="0D5E468E">
      <w:start w:val="1"/>
      <w:numFmt w:val="lowerLetter"/>
      <w:lvlText w:val="%3)"/>
      <w:lvlJc w:val="left"/>
      <w:pPr>
        <w:tabs>
          <w:tab w:val="num" w:pos="2340"/>
        </w:tabs>
        <w:ind w:left="2340" w:hanging="360"/>
      </w:pPr>
      <w:rPr>
        <w:rFonts w:cs="Times New Roman" w:hint="default"/>
      </w:rPr>
    </w:lvl>
    <w:lvl w:ilvl="3" w:tplc="064E2B02" w:tentative="1">
      <w:start w:val="1"/>
      <w:numFmt w:val="decimal"/>
      <w:lvlText w:val="%4."/>
      <w:lvlJc w:val="left"/>
      <w:pPr>
        <w:tabs>
          <w:tab w:val="num" w:pos="2880"/>
        </w:tabs>
        <w:ind w:left="2880" w:hanging="360"/>
      </w:pPr>
      <w:rPr>
        <w:rFonts w:cs="Times New Roman"/>
      </w:rPr>
    </w:lvl>
    <w:lvl w:ilvl="4" w:tplc="52DAE3A4" w:tentative="1">
      <w:start w:val="1"/>
      <w:numFmt w:val="lowerLetter"/>
      <w:lvlText w:val="%5."/>
      <w:lvlJc w:val="left"/>
      <w:pPr>
        <w:tabs>
          <w:tab w:val="num" w:pos="3600"/>
        </w:tabs>
        <w:ind w:left="3600" w:hanging="360"/>
      </w:pPr>
      <w:rPr>
        <w:rFonts w:cs="Times New Roman"/>
      </w:rPr>
    </w:lvl>
    <w:lvl w:ilvl="5" w:tplc="B8B456DC" w:tentative="1">
      <w:start w:val="1"/>
      <w:numFmt w:val="lowerRoman"/>
      <w:lvlText w:val="%6."/>
      <w:lvlJc w:val="right"/>
      <w:pPr>
        <w:tabs>
          <w:tab w:val="num" w:pos="4320"/>
        </w:tabs>
        <w:ind w:left="4320" w:hanging="180"/>
      </w:pPr>
      <w:rPr>
        <w:rFonts w:cs="Times New Roman"/>
      </w:rPr>
    </w:lvl>
    <w:lvl w:ilvl="6" w:tplc="B7BC2BE6" w:tentative="1">
      <w:start w:val="1"/>
      <w:numFmt w:val="decimal"/>
      <w:lvlText w:val="%7."/>
      <w:lvlJc w:val="left"/>
      <w:pPr>
        <w:tabs>
          <w:tab w:val="num" w:pos="5040"/>
        </w:tabs>
        <w:ind w:left="5040" w:hanging="360"/>
      </w:pPr>
      <w:rPr>
        <w:rFonts w:cs="Times New Roman"/>
      </w:rPr>
    </w:lvl>
    <w:lvl w:ilvl="7" w:tplc="679C24B8" w:tentative="1">
      <w:start w:val="1"/>
      <w:numFmt w:val="lowerLetter"/>
      <w:lvlText w:val="%8."/>
      <w:lvlJc w:val="left"/>
      <w:pPr>
        <w:tabs>
          <w:tab w:val="num" w:pos="5760"/>
        </w:tabs>
        <w:ind w:left="5760" w:hanging="360"/>
      </w:pPr>
      <w:rPr>
        <w:rFonts w:cs="Times New Roman"/>
      </w:rPr>
    </w:lvl>
    <w:lvl w:ilvl="8" w:tplc="2B082CC4" w:tentative="1">
      <w:start w:val="1"/>
      <w:numFmt w:val="lowerRoman"/>
      <w:lvlText w:val="%9."/>
      <w:lvlJc w:val="right"/>
      <w:pPr>
        <w:tabs>
          <w:tab w:val="num" w:pos="6480"/>
        </w:tabs>
        <w:ind w:left="6480" w:hanging="180"/>
      </w:pPr>
      <w:rPr>
        <w:rFonts w:cs="Times New Roman"/>
      </w:rPr>
    </w:lvl>
  </w:abstractNum>
  <w:abstractNum w:abstractNumId="230" w15:restartNumberingAfterBreak="0">
    <w:nsid w:val="781D53DB"/>
    <w:multiLevelType w:val="hybridMultilevel"/>
    <w:tmpl w:val="9A3453C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1" w15:restartNumberingAfterBreak="0">
    <w:nsid w:val="7978442D"/>
    <w:multiLevelType w:val="hybridMultilevel"/>
    <w:tmpl w:val="442A8814"/>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2" w15:restartNumberingAfterBreak="0">
    <w:nsid w:val="798669FE"/>
    <w:multiLevelType w:val="hybridMultilevel"/>
    <w:tmpl w:val="1B8C413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3" w15:restartNumberingAfterBreak="0">
    <w:nsid w:val="7A5E38F6"/>
    <w:multiLevelType w:val="hybridMultilevel"/>
    <w:tmpl w:val="2E76C8A6"/>
    <w:lvl w:ilvl="0" w:tplc="9310305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4" w15:restartNumberingAfterBreak="0">
    <w:nsid w:val="7A607F62"/>
    <w:multiLevelType w:val="hybridMultilevel"/>
    <w:tmpl w:val="5ADAF35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5" w15:restartNumberingAfterBreak="0">
    <w:nsid w:val="7A6721A5"/>
    <w:multiLevelType w:val="multilevel"/>
    <w:tmpl w:val="BC800450"/>
    <w:lvl w:ilvl="0">
      <w:start w:val="2"/>
      <w:numFmt w:val="upperRoman"/>
      <w:lvlText w:val="%1."/>
      <w:lvlJc w:val="left"/>
      <w:pPr>
        <w:ind w:left="360" w:hanging="360"/>
      </w:pPr>
      <w:rPr>
        <w:rFonts w:hint="default"/>
      </w:rPr>
    </w:lvl>
    <w:lvl w:ilvl="1">
      <w:start w:val="1"/>
      <w:numFmt w:val="decimal"/>
      <w:lvlText w:val="%1.%2."/>
      <w:lvlJc w:val="left"/>
      <w:pPr>
        <w:ind w:left="765" w:hanging="405"/>
      </w:pPr>
      <w:rPr>
        <w:rFonts w:ascii="Calibri"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6" w15:restartNumberingAfterBreak="0">
    <w:nsid w:val="7ADB7946"/>
    <w:multiLevelType w:val="hybridMultilevel"/>
    <w:tmpl w:val="7C80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7" w15:restartNumberingAfterBreak="0">
    <w:nsid w:val="7B0420A8"/>
    <w:multiLevelType w:val="hybridMultilevel"/>
    <w:tmpl w:val="F006C45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8" w15:restartNumberingAfterBreak="0">
    <w:nsid w:val="7B4B3980"/>
    <w:multiLevelType w:val="hybridMultilevel"/>
    <w:tmpl w:val="6A20B706"/>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9" w15:restartNumberingAfterBreak="0">
    <w:nsid w:val="7B820334"/>
    <w:multiLevelType w:val="hybridMultilevel"/>
    <w:tmpl w:val="2EBA02F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0" w15:restartNumberingAfterBreak="0">
    <w:nsid w:val="7C0B0DA1"/>
    <w:multiLevelType w:val="hybridMultilevel"/>
    <w:tmpl w:val="3CE8075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1" w15:restartNumberingAfterBreak="0">
    <w:nsid w:val="7ECD4062"/>
    <w:multiLevelType w:val="hybridMultilevel"/>
    <w:tmpl w:val="78583286"/>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87"/>
  </w:num>
  <w:num w:numId="2">
    <w:abstractNumId w:val="109"/>
  </w:num>
  <w:num w:numId="3">
    <w:abstractNumId w:val="185"/>
  </w:num>
  <w:num w:numId="4">
    <w:abstractNumId w:val="21"/>
  </w:num>
  <w:num w:numId="5">
    <w:abstractNumId w:val="216"/>
  </w:num>
  <w:num w:numId="6">
    <w:abstractNumId w:val="137"/>
  </w:num>
  <w:num w:numId="7">
    <w:abstractNumId w:val="146"/>
  </w:num>
  <w:num w:numId="8">
    <w:abstractNumId w:val="122"/>
  </w:num>
  <w:num w:numId="9">
    <w:abstractNumId w:val="127"/>
  </w:num>
  <w:num w:numId="10">
    <w:abstractNumId w:val="29"/>
  </w:num>
  <w:num w:numId="11">
    <w:abstractNumId w:val="91"/>
  </w:num>
  <w:num w:numId="12">
    <w:abstractNumId w:val="25"/>
  </w:num>
  <w:num w:numId="13">
    <w:abstractNumId w:val="128"/>
  </w:num>
  <w:num w:numId="14">
    <w:abstractNumId w:val="35"/>
  </w:num>
  <w:num w:numId="15">
    <w:abstractNumId w:val="196"/>
  </w:num>
  <w:num w:numId="16">
    <w:abstractNumId w:val="118"/>
  </w:num>
  <w:num w:numId="17">
    <w:abstractNumId w:val="51"/>
  </w:num>
  <w:num w:numId="18">
    <w:abstractNumId w:val="144"/>
  </w:num>
  <w:num w:numId="19">
    <w:abstractNumId w:val="229"/>
  </w:num>
  <w:num w:numId="20">
    <w:abstractNumId w:val="1"/>
  </w:num>
  <w:num w:numId="21">
    <w:abstractNumId w:val="101"/>
  </w:num>
  <w:num w:numId="22">
    <w:abstractNumId w:val="222"/>
  </w:num>
  <w:num w:numId="23">
    <w:abstractNumId w:val="19"/>
  </w:num>
  <w:num w:numId="24">
    <w:abstractNumId w:val="149"/>
  </w:num>
  <w:num w:numId="25">
    <w:abstractNumId w:val="83"/>
  </w:num>
  <w:num w:numId="26">
    <w:abstractNumId w:val="165"/>
  </w:num>
  <w:num w:numId="27">
    <w:abstractNumId w:val="60"/>
  </w:num>
  <w:num w:numId="28">
    <w:abstractNumId w:val="124"/>
  </w:num>
  <w:num w:numId="29">
    <w:abstractNumId w:val="114"/>
  </w:num>
  <w:num w:numId="30">
    <w:abstractNumId w:val="213"/>
  </w:num>
  <w:num w:numId="31">
    <w:abstractNumId w:val="136"/>
  </w:num>
  <w:num w:numId="32">
    <w:abstractNumId w:val="66"/>
  </w:num>
  <w:num w:numId="33">
    <w:abstractNumId w:val="154"/>
  </w:num>
  <w:num w:numId="34">
    <w:abstractNumId w:val="174"/>
  </w:num>
  <w:num w:numId="35">
    <w:abstractNumId w:val="112"/>
  </w:num>
  <w:num w:numId="36">
    <w:abstractNumId w:val="228"/>
  </w:num>
  <w:num w:numId="37">
    <w:abstractNumId w:val="231"/>
  </w:num>
  <w:num w:numId="38">
    <w:abstractNumId w:val="180"/>
  </w:num>
  <w:num w:numId="39">
    <w:abstractNumId w:val="102"/>
  </w:num>
  <w:num w:numId="40">
    <w:abstractNumId w:val="201"/>
  </w:num>
  <w:num w:numId="41">
    <w:abstractNumId w:val="119"/>
  </w:num>
  <w:num w:numId="42">
    <w:abstractNumId w:val="238"/>
  </w:num>
  <w:num w:numId="43">
    <w:abstractNumId w:val="104"/>
  </w:num>
  <w:num w:numId="44">
    <w:abstractNumId w:val="159"/>
  </w:num>
  <w:num w:numId="45">
    <w:abstractNumId w:val="32"/>
  </w:num>
  <w:num w:numId="46">
    <w:abstractNumId w:val="135"/>
  </w:num>
  <w:num w:numId="47">
    <w:abstractNumId w:val="47"/>
  </w:num>
  <w:num w:numId="48">
    <w:abstractNumId w:val="79"/>
  </w:num>
  <w:num w:numId="49">
    <w:abstractNumId w:val="140"/>
  </w:num>
  <w:num w:numId="50">
    <w:abstractNumId w:val="2"/>
  </w:num>
  <w:num w:numId="51">
    <w:abstractNumId w:val="230"/>
  </w:num>
  <w:num w:numId="52">
    <w:abstractNumId w:val="182"/>
  </w:num>
  <w:num w:numId="53">
    <w:abstractNumId w:val="217"/>
  </w:num>
  <w:num w:numId="54">
    <w:abstractNumId w:val="73"/>
  </w:num>
  <w:num w:numId="55">
    <w:abstractNumId w:val="27"/>
  </w:num>
  <w:num w:numId="56">
    <w:abstractNumId w:val="125"/>
  </w:num>
  <w:num w:numId="57">
    <w:abstractNumId w:val="206"/>
  </w:num>
  <w:num w:numId="58">
    <w:abstractNumId w:val="150"/>
  </w:num>
  <w:num w:numId="59">
    <w:abstractNumId w:val="107"/>
  </w:num>
  <w:num w:numId="60">
    <w:abstractNumId w:val="86"/>
  </w:num>
  <w:num w:numId="61">
    <w:abstractNumId w:val="76"/>
  </w:num>
  <w:num w:numId="62">
    <w:abstractNumId w:val="24"/>
  </w:num>
  <w:num w:numId="63">
    <w:abstractNumId w:val="205"/>
  </w:num>
  <w:num w:numId="64">
    <w:abstractNumId w:val="218"/>
  </w:num>
  <w:num w:numId="65">
    <w:abstractNumId w:val="197"/>
  </w:num>
  <w:num w:numId="66">
    <w:abstractNumId w:val="138"/>
  </w:num>
  <w:num w:numId="67">
    <w:abstractNumId w:val="211"/>
  </w:num>
  <w:num w:numId="68">
    <w:abstractNumId w:val="49"/>
  </w:num>
  <w:num w:numId="69">
    <w:abstractNumId w:val="46"/>
  </w:num>
  <w:num w:numId="70">
    <w:abstractNumId w:val="48"/>
  </w:num>
  <w:num w:numId="71">
    <w:abstractNumId w:val="157"/>
  </w:num>
  <w:num w:numId="72">
    <w:abstractNumId w:val="22"/>
  </w:num>
  <w:num w:numId="73">
    <w:abstractNumId w:val="33"/>
  </w:num>
  <w:num w:numId="74">
    <w:abstractNumId w:val="163"/>
  </w:num>
  <w:num w:numId="75">
    <w:abstractNumId w:val="195"/>
  </w:num>
  <w:num w:numId="76">
    <w:abstractNumId w:val="58"/>
  </w:num>
  <w:num w:numId="77">
    <w:abstractNumId w:val="74"/>
  </w:num>
  <w:num w:numId="78">
    <w:abstractNumId w:val="237"/>
  </w:num>
  <w:num w:numId="79">
    <w:abstractNumId w:val="239"/>
  </w:num>
  <w:num w:numId="80">
    <w:abstractNumId w:val="78"/>
  </w:num>
  <w:num w:numId="81">
    <w:abstractNumId w:val="65"/>
  </w:num>
  <w:num w:numId="82">
    <w:abstractNumId w:val="30"/>
  </w:num>
  <w:num w:numId="83">
    <w:abstractNumId w:val="52"/>
  </w:num>
  <w:num w:numId="84">
    <w:abstractNumId w:val="171"/>
  </w:num>
  <w:num w:numId="85">
    <w:abstractNumId w:val="7"/>
  </w:num>
  <w:num w:numId="86">
    <w:abstractNumId w:val="170"/>
  </w:num>
  <w:num w:numId="87">
    <w:abstractNumId w:val="84"/>
  </w:num>
  <w:num w:numId="88">
    <w:abstractNumId w:val="56"/>
  </w:num>
  <w:num w:numId="89">
    <w:abstractNumId w:val="151"/>
  </w:num>
  <w:num w:numId="90">
    <w:abstractNumId w:val="37"/>
  </w:num>
  <w:num w:numId="91">
    <w:abstractNumId w:val="39"/>
  </w:num>
  <w:num w:numId="92">
    <w:abstractNumId w:val="80"/>
  </w:num>
  <w:num w:numId="93">
    <w:abstractNumId w:val="117"/>
  </w:num>
  <w:num w:numId="94">
    <w:abstractNumId w:val="8"/>
  </w:num>
  <w:num w:numId="95">
    <w:abstractNumId w:val="191"/>
  </w:num>
  <w:num w:numId="96">
    <w:abstractNumId w:val="145"/>
  </w:num>
  <w:num w:numId="97">
    <w:abstractNumId w:val="20"/>
  </w:num>
  <w:num w:numId="98">
    <w:abstractNumId w:val="188"/>
  </w:num>
  <w:num w:numId="99">
    <w:abstractNumId w:val="225"/>
  </w:num>
  <w:num w:numId="100">
    <w:abstractNumId w:val="89"/>
  </w:num>
  <w:num w:numId="101">
    <w:abstractNumId w:val="41"/>
  </w:num>
  <w:num w:numId="102">
    <w:abstractNumId w:val="199"/>
  </w:num>
  <w:num w:numId="103">
    <w:abstractNumId w:val="28"/>
  </w:num>
  <w:num w:numId="104">
    <w:abstractNumId w:val="186"/>
  </w:num>
  <w:num w:numId="105">
    <w:abstractNumId w:val="54"/>
  </w:num>
  <w:num w:numId="106">
    <w:abstractNumId w:val="59"/>
  </w:num>
  <w:num w:numId="107">
    <w:abstractNumId w:val="108"/>
  </w:num>
  <w:num w:numId="108">
    <w:abstractNumId w:val="194"/>
  </w:num>
  <w:num w:numId="109">
    <w:abstractNumId w:val="123"/>
  </w:num>
  <w:num w:numId="110">
    <w:abstractNumId w:val="13"/>
  </w:num>
  <w:num w:numId="111">
    <w:abstractNumId w:val="232"/>
  </w:num>
  <w:num w:numId="112">
    <w:abstractNumId w:val="9"/>
  </w:num>
  <w:num w:numId="113">
    <w:abstractNumId w:val="95"/>
  </w:num>
  <w:num w:numId="114">
    <w:abstractNumId w:val="198"/>
  </w:num>
  <w:num w:numId="115">
    <w:abstractNumId w:val="234"/>
  </w:num>
  <w:num w:numId="116">
    <w:abstractNumId w:val="162"/>
  </w:num>
  <w:num w:numId="117">
    <w:abstractNumId w:val="141"/>
  </w:num>
  <w:num w:numId="118">
    <w:abstractNumId w:val="219"/>
  </w:num>
  <w:num w:numId="119">
    <w:abstractNumId w:val="169"/>
  </w:num>
  <w:num w:numId="120">
    <w:abstractNumId w:val="67"/>
  </w:num>
  <w:num w:numId="121">
    <w:abstractNumId w:val="220"/>
  </w:num>
  <w:num w:numId="122">
    <w:abstractNumId w:val="116"/>
  </w:num>
  <w:num w:numId="123">
    <w:abstractNumId w:val="14"/>
  </w:num>
  <w:num w:numId="124">
    <w:abstractNumId w:val="193"/>
  </w:num>
  <w:num w:numId="125">
    <w:abstractNumId w:val="97"/>
  </w:num>
  <w:num w:numId="126">
    <w:abstractNumId w:val="210"/>
  </w:num>
  <w:num w:numId="127">
    <w:abstractNumId w:val="181"/>
  </w:num>
  <w:num w:numId="128">
    <w:abstractNumId w:val="42"/>
  </w:num>
  <w:num w:numId="129">
    <w:abstractNumId w:val="120"/>
  </w:num>
  <w:num w:numId="130">
    <w:abstractNumId w:val="143"/>
  </w:num>
  <w:num w:numId="131">
    <w:abstractNumId w:val="82"/>
  </w:num>
  <w:num w:numId="132">
    <w:abstractNumId w:val="175"/>
  </w:num>
  <w:num w:numId="133">
    <w:abstractNumId w:val="110"/>
  </w:num>
  <w:num w:numId="134">
    <w:abstractNumId w:val="4"/>
  </w:num>
  <w:num w:numId="135">
    <w:abstractNumId w:val="134"/>
  </w:num>
  <w:num w:numId="136">
    <w:abstractNumId w:val="75"/>
  </w:num>
  <w:num w:numId="137">
    <w:abstractNumId w:val="103"/>
  </w:num>
  <w:num w:numId="138">
    <w:abstractNumId w:val="203"/>
  </w:num>
  <w:num w:numId="139">
    <w:abstractNumId w:val="184"/>
  </w:num>
  <w:num w:numId="140">
    <w:abstractNumId w:val="100"/>
  </w:num>
  <w:num w:numId="141">
    <w:abstractNumId w:val="179"/>
  </w:num>
  <w:num w:numId="142">
    <w:abstractNumId w:val="31"/>
  </w:num>
  <w:num w:numId="143">
    <w:abstractNumId w:val="166"/>
  </w:num>
  <w:num w:numId="144">
    <w:abstractNumId w:val="209"/>
  </w:num>
  <w:num w:numId="145">
    <w:abstractNumId w:val="152"/>
  </w:num>
  <w:num w:numId="146">
    <w:abstractNumId w:val="113"/>
  </w:num>
  <w:num w:numId="147">
    <w:abstractNumId w:val="62"/>
  </w:num>
  <w:num w:numId="148">
    <w:abstractNumId w:val="233"/>
  </w:num>
  <w:num w:numId="149">
    <w:abstractNumId w:val="129"/>
  </w:num>
  <w:num w:numId="150">
    <w:abstractNumId w:val="153"/>
  </w:num>
  <w:num w:numId="151">
    <w:abstractNumId w:val="227"/>
  </w:num>
  <w:num w:numId="152">
    <w:abstractNumId w:val="215"/>
  </w:num>
  <w:num w:numId="153">
    <w:abstractNumId w:val="168"/>
  </w:num>
  <w:num w:numId="154">
    <w:abstractNumId w:val="208"/>
  </w:num>
  <w:num w:numId="155">
    <w:abstractNumId w:val="45"/>
  </w:num>
  <w:num w:numId="156">
    <w:abstractNumId w:val="81"/>
  </w:num>
  <w:num w:numId="157">
    <w:abstractNumId w:val="105"/>
  </w:num>
  <w:num w:numId="158">
    <w:abstractNumId w:val="131"/>
  </w:num>
  <w:num w:numId="159">
    <w:abstractNumId w:val="88"/>
  </w:num>
  <w:num w:numId="160">
    <w:abstractNumId w:val="236"/>
  </w:num>
  <w:num w:numId="161">
    <w:abstractNumId w:val="40"/>
  </w:num>
  <w:num w:numId="162">
    <w:abstractNumId w:val="176"/>
  </w:num>
  <w:num w:numId="163">
    <w:abstractNumId w:val="36"/>
  </w:num>
  <w:num w:numId="164">
    <w:abstractNumId w:val="99"/>
  </w:num>
  <w:num w:numId="165">
    <w:abstractNumId w:val="192"/>
  </w:num>
  <w:num w:numId="166">
    <w:abstractNumId w:val="224"/>
  </w:num>
  <w:num w:numId="167">
    <w:abstractNumId w:val="57"/>
  </w:num>
  <w:num w:numId="168">
    <w:abstractNumId w:val="142"/>
  </w:num>
  <w:num w:numId="169">
    <w:abstractNumId w:val="53"/>
  </w:num>
  <w:num w:numId="170">
    <w:abstractNumId w:val="161"/>
  </w:num>
  <w:num w:numId="171">
    <w:abstractNumId w:val="71"/>
  </w:num>
  <w:num w:numId="172">
    <w:abstractNumId w:val="158"/>
  </w:num>
  <w:num w:numId="173">
    <w:abstractNumId w:val="200"/>
  </w:num>
  <w:num w:numId="174">
    <w:abstractNumId w:val="85"/>
  </w:num>
  <w:num w:numId="175">
    <w:abstractNumId w:val="23"/>
  </w:num>
  <w:num w:numId="176">
    <w:abstractNumId w:val="187"/>
  </w:num>
  <w:num w:numId="177">
    <w:abstractNumId w:val="64"/>
  </w:num>
  <w:num w:numId="178">
    <w:abstractNumId w:val="183"/>
  </w:num>
  <w:num w:numId="179">
    <w:abstractNumId w:val="16"/>
  </w:num>
  <w:num w:numId="180">
    <w:abstractNumId w:val="148"/>
  </w:num>
  <w:num w:numId="181">
    <w:abstractNumId w:val="212"/>
  </w:num>
  <w:num w:numId="182">
    <w:abstractNumId w:val="6"/>
  </w:num>
  <w:num w:numId="183">
    <w:abstractNumId w:val="18"/>
  </w:num>
  <w:num w:numId="184">
    <w:abstractNumId w:val="93"/>
  </w:num>
  <w:num w:numId="185">
    <w:abstractNumId w:val="240"/>
  </w:num>
  <w:num w:numId="186">
    <w:abstractNumId w:val="98"/>
  </w:num>
  <w:num w:numId="187">
    <w:abstractNumId w:val="167"/>
  </w:num>
  <w:num w:numId="188">
    <w:abstractNumId w:val="55"/>
  </w:num>
  <w:num w:numId="189">
    <w:abstractNumId w:val="147"/>
  </w:num>
  <w:num w:numId="190">
    <w:abstractNumId w:val="15"/>
  </w:num>
  <w:num w:numId="191">
    <w:abstractNumId w:val="204"/>
  </w:num>
  <w:num w:numId="192">
    <w:abstractNumId w:val="94"/>
  </w:num>
  <w:num w:numId="193">
    <w:abstractNumId w:val="92"/>
  </w:num>
  <w:num w:numId="194">
    <w:abstractNumId w:val="96"/>
  </w:num>
  <w:num w:numId="195">
    <w:abstractNumId w:val="121"/>
  </w:num>
  <w:num w:numId="196">
    <w:abstractNumId w:val="34"/>
  </w:num>
  <w:num w:numId="197">
    <w:abstractNumId w:val="130"/>
  </w:num>
  <w:num w:numId="198">
    <w:abstractNumId w:val="5"/>
  </w:num>
  <w:num w:numId="199">
    <w:abstractNumId w:val="3"/>
  </w:num>
  <w:num w:numId="200">
    <w:abstractNumId w:val="214"/>
  </w:num>
  <w:num w:numId="201">
    <w:abstractNumId w:val="69"/>
    <w:lvlOverride w:ilvl="0">
      <w:lvl w:ilvl="0">
        <w:start w:val="1"/>
        <w:numFmt w:val="decimal"/>
        <w:lvlText w:val="%1."/>
        <w:lvlJc w:val="left"/>
        <w:pPr>
          <w:tabs>
            <w:tab w:val="num" w:pos="360"/>
          </w:tabs>
          <w:ind w:left="360" w:hanging="360"/>
        </w:pPr>
        <w:rPr>
          <w:rFonts w:cs="Times New Roman" w:hint="default"/>
          <w:sz w:val="22"/>
          <w:szCs w:val="22"/>
        </w:rPr>
      </w:lvl>
    </w:lvlOverride>
    <w:lvlOverride w:ilvl="1">
      <w:lvl w:ilvl="1">
        <w:start w:val="1"/>
        <w:numFmt w:val="decimal"/>
        <w:lvlText w:val="%1.%2."/>
        <w:lvlJc w:val="left"/>
        <w:pPr>
          <w:tabs>
            <w:tab w:val="num" w:pos="1142"/>
          </w:tabs>
          <w:ind w:left="1142" w:hanging="432"/>
        </w:pPr>
        <w:rPr>
          <w:rFonts w:cs="Times New Roman" w:hint="default"/>
          <w:sz w:val="22"/>
          <w:szCs w:val="22"/>
        </w:rPr>
      </w:lvl>
    </w:lvlOverride>
  </w:num>
  <w:num w:numId="202">
    <w:abstractNumId w:val="241"/>
  </w:num>
  <w:num w:numId="203">
    <w:abstractNumId w:val="17"/>
  </w:num>
  <w:num w:numId="204">
    <w:abstractNumId w:val="156"/>
  </w:num>
  <w:num w:numId="205">
    <w:abstractNumId w:val="69"/>
  </w:num>
  <w:num w:numId="206">
    <w:abstractNumId w:val="38"/>
  </w:num>
  <w:num w:numId="207">
    <w:abstractNumId w:val="12"/>
  </w:num>
  <w:num w:numId="208">
    <w:abstractNumId w:val="189"/>
  </w:num>
  <w:num w:numId="209">
    <w:abstractNumId w:val="106"/>
  </w:num>
  <w:num w:numId="210">
    <w:abstractNumId w:val="202"/>
  </w:num>
  <w:num w:numId="211">
    <w:abstractNumId w:val="63"/>
  </w:num>
  <w:num w:numId="212">
    <w:abstractNumId w:val="70"/>
  </w:num>
  <w:num w:numId="213">
    <w:abstractNumId w:val="190"/>
  </w:num>
  <w:num w:numId="214">
    <w:abstractNumId w:val="132"/>
  </w:num>
  <w:num w:numId="215">
    <w:abstractNumId w:val="11"/>
  </w:num>
  <w:num w:numId="216">
    <w:abstractNumId w:val="115"/>
  </w:num>
  <w:num w:numId="217">
    <w:abstractNumId w:val="50"/>
  </w:num>
  <w:num w:numId="218">
    <w:abstractNumId w:val="10"/>
  </w:num>
  <w:num w:numId="219">
    <w:abstractNumId w:val="2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72"/>
  </w:num>
  <w:num w:numId="221">
    <w:abstractNumId w:val="173"/>
  </w:num>
  <w:num w:numId="222">
    <w:abstractNumId w:val="207"/>
  </w:num>
  <w:num w:numId="223">
    <w:abstractNumId w:val="61"/>
  </w:num>
  <w:num w:numId="224">
    <w:abstractNumId w:val="43"/>
  </w:num>
  <w:num w:numId="225">
    <w:abstractNumId w:val="111"/>
  </w:num>
  <w:num w:numId="226">
    <w:abstractNumId w:val="26"/>
  </w:num>
  <w:num w:numId="227">
    <w:abstractNumId w:val="160"/>
  </w:num>
  <w:num w:numId="228">
    <w:abstractNumId w:val="164"/>
  </w:num>
  <w:num w:numId="229">
    <w:abstractNumId w:val="221"/>
  </w:num>
  <w:num w:numId="230">
    <w:abstractNumId w:val="68"/>
  </w:num>
  <w:num w:numId="231">
    <w:abstractNumId w:val="172"/>
  </w:num>
  <w:num w:numId="232">
    <w:abstractNumId w:val="133"/>
  </w:num>
  <w:num w:numId="233">
    <w:abstractNumId w:val="90"/>
  </w:num>
  <w:num w:numId="234">
    <w:abstractNumId w:val="155"/>
  </w:num>
  <w:num w:numId="235">
    <w:abstractNumId w:val="44"/>
  </w:num>
  <w:num w:numId="236">
    <w:abstractNumId w:val="177"/>
  </w:num>
  <w:num w:numId="237">
    <w:abstractNumId w:val="126"/>
  </w:num>
  <w:num w:numId="238">
    <w:abstractNumId w:val="226"/>
  </w:num>
  <w:num w:numId="239">
    <w:abstractNumId w:val="223"/>
  </w:num>
  <w:num w:numId="240">
    <w:abstractNumId w:val="178"/>
  </w:num>
  <w:num w:numId="241">
    <w:abstractNumId w:val="77"/>
  </w:num>
  <w:num w:numId="242">
    <w:abstractNumId w:val="13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DFB"/>
    <w:rsid w:val="00000246"/>
    <w:rsid w:val="00000695"/>
    <w:rsid w:val="00000A1B"/>
    <w:rsid w:val="00000D12"/>
    <w:rsid w:val="000014DE"/>
    <w:rsid w:val="00001AFF"/>
    <w:rsid w:val="00001CEC"/>
    <w:rsid w:val="00001DD7"/>
    <w:rsid w:val="000021D9"/>
    <w:rsid w:val="00002544"/>
    <w:rsid w:val="00002582"/>
    <w:rsid w:val="00002B5B"/>
    <w:rsid w:val="00003685"/>
    <w:rsid w:val="000039B7"/>
    <w:rsid w:val="00003D55"/>
    <w:rsid w:val="00003DF3"/>
    <w:rsid w:val="00003FE6"/>
    <w:rsid w:val="00004229"/>
    <w:rsid w:val="00004419"/>
    <w:rsid w:val="000044D8"/>
    <w:rsid w:val="00004A49"/>
    <w:rsid w:val="00004EF1"/>
    <w:rsid w:val="00004FC2"/>
    <w:rsid w:val="00005300"/>
    <w:rsid w:val="000053B4"/>
    <w:rsid w:val="000054CC"/>
    <w:rsid w:val="000056CA"/>
    <w:rsid w:val="00005745"/>
    <w:rsid w:val="00005D7C"/>
    <w:rsid w:val="000060B0"/>
    <w:rsid w:val="00006D0F"/>
    <w:rsid w:val="00006D82"/>
    <w:rsid w:val="00006DA2"/>
    <w:rsid w:val="00007376"/>
    <w:rsid w:val="000073D2"/>
    <w:rsid w:val="0000757D"/>
    <w:rsid w:val="000079C9"/>
    <w:rsid w:val="00007B28"/>
    <w:rsid w:val="0001011D"/>
    <w:rsid w:val="00010212"/>
    <w:rsid w:val="000102FA"/>
    <w:rsid w:val="000106B2"/>
    <w:rsid w:val="000108E4"/>
    <w:rsid w:val="00010A0A"/>
    <w:rsid w:val="00010A57"/>
    <w:rsid w:val="00010B84"/>
    <w:rsid w:val="00010FE3"/>
    <w:rsid w:val="00011046"/>
    <w:rsid w:val="000110E5"/>
    <w:rsid w:val="00011B17"/>
    <w:rsid w:val="00012031"/>
    <w:rsid w:val="000123A5"/>
    <w:rsid w:val="00012544"/>
    <w:rsid w:val="0001269C"/>
    <w:rsid w:val="000129D1"/>
    <w:rsid w:val="00012B2A"/>
    <w:rsid w:val="00012DD9"/>
    <w:rsid w:val="00013090"/>
    <w:rsid w:val="000131CC"/>
    <w:rsid w:val="00013345"/>
    <w:rsid w:val="00013861"/>
    <w:rsid w:val="00013B7C"/>
    <w:rsid w:val="00013EDB"/>
    <w:rsid w:val="00014019"/>
    <w:rsid w:val="000141AF"/>
    <w:rsid w:val="00014680"/>
    <w:rsid w:val="00015370"/>
    <w:rsid w:val="0001567E"/>
    <w:rsid w:val="00015C4E"/>
    <w:rsid w:val="00016002"/>
    <w:rsid w:val="0001605B"/>
    <w:rsid w:val="00016063"/>
    <w:rsid w:val="000161F7"/>
    <w:rsid w:val="0001638B"/>
    <w:rsid w:val="00016499"/>
    <w:rsid w:val="0001667D"/>
    <w:rsid w:val="00016726"/>
    <w:rsid w:val="000167C0"/>
    <w:rsid w:val="00017367"/>
    <w:rsid w:val="00017464"/>
    <w:rsid w:val="0001747E"/>
    <w:rsid w:val="00017555"/>
    <w:rsid w:val="00017736"/>
    <w:rsid w:val="00017B2A"/>
    <w:rsid w:val="00017FBC"/>
    <w:rsid w:val="00020044"/>
    <w:rsid w:val="000203FE"/>
    <w:rsid w:val="0002058C"/>
    <w:rsid w:val="0002075C"/>
    <w:rsid w:val="0002078F"/>
    <w:rsid w:val="00020AD8"/>
    <w:rsid w:val="00020EE4"/>
    <w:rsid w:val="00021028"/>
    <w:rsid w:val="0002181C"/>
    <w:rsid w:val="000219F9"/>
    <w:rsid w:val="0002208B"/>
    <w:rsid w:val="0002263B"/>
    <w:rsid w:val="0002268D"/>
    <w:rsid w:val="0002287C"/>
    <w:rsid w:val="000229EC"/>
    <w:rsid w:val="0002343C"/>
    <w:rsid w:val="00023632"/>
    <w:rsid w:val="00023A09"/>
    <w:rsid w:val="00024189"/>
    <w:rsid w:val="00024584"/>
    <w:rsid w:val="00024796"/>
    <w:rsid w:val="00024853"/>
    <w:rsid w:val="00024935"/>
    <w:rsid w:val="000249E1"/>
    <w:rsid w:val="00024A96"/>
    <w:rsid w:val="00024B49"/>
    <w:rsid w:val="00024D24"/>
    <w:rsid w:val="00024E52"/>
    <w:rsid w:val="00024F23"/>
    <w:rsid w:val="00024F27"/>
    <w:rsid w:val="000255A4"/>
    <w:rsid w:val="00025E8D"/>
    <w:rsid w:val="00025F3E"/>
    <w:rsid w:val="00026145"/>
    <w:rsid w:val="000262D3"/>
    <w:rsid w:val="00026336"/>
    <w:rsid w:val="000264A3"/>
    <w:rsid w:val="000265EC"/>
    <w:rsid w:val="00026848"/>
    <w:rsid w:val="000268B1"/>
    <w:rsid w:val="00026A6B"/>
    <w:rsid w:val="00026B82"/>
    <w:rsid w:val="00026E29"/>
    <w:rsid w:val="00026EF7"/>
    <w:rsid w:val="00027125"/>
    <w:rsid w:val="00027482"/>
    <w:rsid w:val="00027D47"/>
    <w:rsid w:val="00030234"/>
    <w:rsid w:val="00030345"/>
    <w:rsid w:val="0003037A"/>
    <w:rsid w:val="000303F1"/>
    <w:rsid w:val="0003085A"/>
    <w:rsid w:val="00030F6B"/>
    <w:rsid w:val="00030F70"/>
    <w:rsid w:val="000310A2"/>
    <w:rsid w:val="000312D7"/>
    <w:rsid w:val="0003134B"/>
    <w:rsid w:val="000314A8"/>
    <w:rsid w:val="00031772"/>
    <w:rsid w:val="000318C6"/>
    <w:rsid w:val="00031ACC"/>
    <w:rsid w:val="00031E1F"/>
    <w:rsid w:val="00031E97"/>
    <w:rsid w:val="00031F64"/>
    <w:rsid w:val="00031FBB"/>
    <w:rsid w:val="0003249E"/>
    <w:rsid w:val="000324C4"/>
    <w:rsid w:val="00032736"/>
    <w:rsid w:val="000328F8"/>
    <w:rsid w:val="00032ADE"/>
    <w:rsid w:val="00032C14"/>
    <w:rsid w:val="00032D5A"/>
    <w:rsid w:val="00032D67"/>
    <w:rsid w:val="00032DC2"/>
    <w:rsid w:val="00032FF1"/>
    <w:rsid w:val="0003301A"/>
    <w:rsid w:val="000336F4"/>
    <w:rsid w:val="00033EED"/>
    <w:rsid w:val="00034019"/>
    <w:rsid w:val="000345A0"/>
    <w:rsid w:val="0003501F"/>
    <w:rsid w:val="000356A4"/>
    <w:rsid w:val="000359FE"/>
    <w:rsid w:val="00035A30"/>
    <w:rsid w:val="00035B1D"/>
    <w:rsid w:val="00035FBE"/>
    <w:rsid w:val="00036292"/>
    <w:rsid w:val="00036658"/>
    <w:rsid w:val="00036A23"/>
    <w:rsid w:val="00036C4B"/>
    <w:rsid w:val="00036DD0"/>
    <w:rsid w:val="00036EC3"/>
    <w:rsid w:val="000378C8"/>
    <w:rsid w:val="00037C12"/>
    <w:rsid w:val="00037E65"/>
    <w:rsid w:val="0004040D"/>
    <w:rsid w:val="00040BED"/>
    <w:rsid w:val="00040CA0"/>
    <w:rsid w:val="00040D10"/>
    <w:rsid w:val="00040D40"/>
    <w:rsid w:val="00040ECE"/>
    <w:rsid w:val="00040F4D"/>
    <w:rsid w:val="0004104C"/>
    <w:rsid w:val="000410E4"/>
    <w:rsid w:val="000412E7"/>
    <w:rsid w:val="00041418"/>
    <w:rsid w:val="00041723"/>
    <w:rsid w:val="000420DC"/>
    <w:rsid w:val="0004246B"/>
    <w:rsid w:val="0004258D"/>
    <w:rsid w:val="00042AFA"/>
    <w:rsid w:val="00042C68"/>
    <w:rsid w:val="00042DE9"/>
    <w:rsid w:val="00042E2F"/>
    <w:rsid w:val="0004304C"/>
    <w:rsid w:val="0004332D"/>
    <w:rsid w:val="00043EE4"/>
    <w:rsid w:val="000442A3"/>
    <w:rsid w:val="0004436D"/>
    <w:rsid w:val="00044564"/>
    <w:rsid w:val="000447AE"/>
    <w:rsid w:val="000448DB"/>
    <w:rsid w:val="00044B84"/>
    <w:rsid w:val="00045229"/>
    <w:rsid w:val="00045318"/>
    <w:rsid w:val="00045412"/>
    <w:rsid w:val="0004557F"/>
    <w:rsid w:val="000456C2"/>
    <w:rsid w:val="000458D7"/>
    <w:rsid w:val="00045912"/>
    <w:rsid w:val="00045ACE"/>
    <w:rsid w:val="0004601D"/>
    <w:rsid w:val="000464C2"/>
    <w:rsid w:val="000464CF"/>
    <w:rsid w:val="00046554"/>
    <w:rsid w:val="00046CBB"/>
    <w:rsid w:val="00046D44"/>
    <w:rsid w:val="00046F59"/>
    <w:rsid w:val="00047216"/>
    <w:rsid w:val="00047597"/>
    <w:rsid w:val="00047632"/>
    <w:rsid w:val="0004787F"/>
    <w:rsid w:val="00047972"/>
    <w:rsid w:val="000479E4"/>
    <w:rsid w:val="00047B38"/>
    <w:rsid w:val="00047FAD"/>
    <w:rsid w:val="00050398"/>
    <w:rsid w:val="000509A3"/>
    <w:rsid w:val="00050CD3"/>
    <w:rsid w:val="00051174"/>
    <w:rsid w:val="000514A5"/>
    <w:rsid w:val="00051604"/>
    <w:rsid w:val="000517BE"/>
    <w:rsid w:val="00051837"/>
    <w:rsid w:val="00051A1A"/>
    <w:rsid w:val="00051AEB"/>
    <w:rsid w:val="00051B48"/>
    <w:rsid w:val="00051CB1"/>
    <w:rsid w:val="00052170"/>
    <w:rsid w:val="000523E1"/>
    <w:rsid w:val="00052D63"/>
    <w:rsid w:val="00052D68"/>
    <w:rsid w:val="0005336E"/>
    <w:rsid w:val="00053CBC"/>
    <w:rsid w:val="00053D6D"/>
    <w:rsid w:val="0005404B"/>
    <w:rsid w:val="00054146"/>
    <w:rsid w:val="0005418B"/>
    <w:rsid w:val="000544BA"/>
    <w:rsid w:val="000547E8"/>
    <w:rsid w:val="00054843"/>
    <w:rsid w:val="0005495D"/>
    <w:rsid w:val="00054C3D"/>
    <w:rsid w:val="00054CAC"/>
    <w:rsid w:val="000550B7"/>
    <w:rsid w:val="0005516C"/>
    <w:rsid w:val="00055188"/>
    <w:rsid w:val="00055233"/>
    <w:rsid w:val="00055459"/>
    <w:rsid w:val="00055484"/>
    <w:rsid w:val="00055BBE"/>
    <w:rsid w:val="00055C80"/>
    <w:rsid w:val="00056105"/>
    <w:rsid w:val="0005649D"/>
    <w:rsid w:val="000567F3"/>
    <w:rsid w:val="000568AC"/>
    <w:rsid w:val="000568C8"/>
    <w:rsid w:val="00056A24"/>
    <w:rsid w:val="00056D5B"/>
    <w:rsid w:val="00056F02"/>
    <w:rsid w:val="00056F22"/>
    <w:rsid w:val="00057544"/>
    <w:rsid w:val="000578C1"/>
    <w:rsid w:val="0006054B"/>
    <w:rsid w:val="0006077C"/>
    <w:rsid w:val="000608C3"/>
    <w:rsid w:val="0006093B"/>
    <w:rsid w:val="00061188"/>
    <w:rsid w:val="0006149A"/>
    <w:rsid w:val="00061700"/>
    <w:rsid w:val="000618F6"/>
    <w:rsid w:val="00061B54"/>
    <w:rsid w:val="00061D66"/>
    <w:rsid w:val="00062699"/>
    <w:rsid w:val="00062B12"/>
    <w:rsid w:val="00062D0E"/>
    <w:rsid w:val="00063049"/>
    <w:rsid w:val="0006306A"/>
    <w:rsid w:val="00063C43"/>
    <w:rsid w:val="00063E15"/>
    <w:rsid w:val="00063FC6"/>
    <w:rsid w:val="0006409A"/>
    <w:rsid w:val="00064207"/>
    <w:rsid w:val="000643AB"/>
    <w:rsid w:val="000649F7"/>
    <w:rsid w:val="00064AD6"/>
    <w:rsid w:val="00064D2C"/>
    <w:rsid w:val="00064D3A"/>
    <w:rsid w:val="00064EBA"/>
    <w:rsid w:val="00065225"/>
    <w:rsid w:val="0006594C"/>
    <w:rsid w:val="0006615D"/>
    <w:rsid w:val="0006622A"/>
    <w:rsid w:val="00066296"/>
    <w:rsid w:val="000664D8"/>
    <w:rsid w:val="000668A2"/>
    <w:rsid w:val="00066B0C"/>
    <w:rsid w:val="00066EDB"/>
    <w:rsid w:val="00067274"/>
    <w:rsid w:val="000674BA"/>
    <w:rsid w:val="00067747"/>
    <w:rsid w:val="00067915"/>
    <w:rsid w:val="000679A9"/>
    <w:rsid w:val="00067AE2"/>
    <w:rsid w:val="00070026"/>
    <w:rsid w:val="00070218"/>
    <w:rsid w:val="0007033B"/>
    <w:rsid w:val="00070680"/>
    <w:rsid w:val="000707F3"/>
    <w:rsid w:val="00070BD0"/>
    <w:rsid w:val="00070D34"/>
    <w:rsid w:val="00070D5E"/>
    <w:rsid w:val="00071736"/>
    <w:rsid w:val="00071830"/>
    <w:rsid w:val="0007199E"/>
    <w:rsid w:val="00071C02"/>
    <w:rsid w:val="00071CB5"/>
    <w:rsid w:val="00071F10"/>
    <w:rsid w:val="00071F5F"/>
    <w:rsid w:val="00071F80"/>
    <w:rsid w:val="00071FA6"/>
    <w:rsid w:val="0007238B"/>
    <w:rsid w:val="000723DD"/>
    <w:rsid w:val="000723F6"/>
    <w:rsid w:val="000724D5"/>
    <w:rsid w:val="0007272E"/>
    <w:rsid w:val="00072CE9"/>
    <w:rsid w:val="00072E44"/>
    <w:rsid w:val="00073051"/>
    <w:rsid w:val="000731AF"/>
    <w:rsid w:val="0007329C"/>
    <w:rsid w:val="00073871"/>
    <w:rsid w:val="00073A46"/>
    <w:rsid w:val="000741EE"/>
    <w:rsid w:val="00074385"/>
    <w:rsid w:val="00074EFD"/>
    <w:rsid w:val="0007506F"/>
    <w:rsid w:val="00075B52"/>
    <w:rsid w:val="00075C28"/>
    <w:rsid w:val="00076EA1"/>
    <w:rsid w:val="0007783B"/>
    <w:rsid w:val="00077D74"/>
    <w:rsid w:val="00077E81"/>
    <w:rsid w:val="00080017"/>
    <w:rsid w:val="000800F0"/>
    <w:rsid w:val="0008077E"/>
    <w:rsid w:val="000808E1"/>
    <w:rsid w:val="00080936"/>
    <w:rsid w:val="000809D4"/>
    <w:rsid w:val="00080DCF"/>
    <w:rsid w:val="000811E3"/>
    <w:rsid w:val="00081334"/>
    <w:rsid w:val="0008180F"/>
    <w:rsid w:val="00081964"/>
    <w:rsid w:val="00081AB9"/>
    <w:rsid w:val="000820B9"/>
    <w:rsid w:val="000825F2"/>
    <w:rsid w:val="000826F1"/>
    <w:rsid w:val="00082704"/>
    <w:rsid w:val="0008277C"/>
    <w:rsid w:val="0008289F"/>
    <w:rsid w:val="000828F9"/>
    <w:rsid w:val="00082BCA"/>
    <w:rsid w:val="00082EC0"/>
    <w:rsid w:val="00082F83"/>
    <w:rsid w:val="00082F92"/>
    <w:rsid w:val="000832BE"/>
    <w:rsid w:val="00083AFC"/>
    <w:rsid w:val="00083C32"/>
    <w:rsid w:val="000843C5"/>
    <w:rsid w:val="00084C29"/>
    <w:rsid w:val="00085413"/>
    <w:rsid w:val="00085C4F"/>
    <w:rsid w:val="00085DF3"/>
    <w:rsid w:val="00085FD0"/>
    <w:rsid w:val="00086211"/>
    <w:rsid w:val="000862E8"/>
    <w:rsid w:val="000865C2"/>
    <w:rsid w:val="00086625"/>
    <w:rsid w:val="000867AC"/>
    <w:rsid w:val="00086BA7"/>
    <w:rsid w:val="00086BE7"/>
    <w:rsid w:val="000872F6"/>
    <w:rsid w:val="000874C7"/>
    <w:rsid w:val="000878D1"/>
    <w:rsid w:val="0008790B"/>
    <w:rsid w:val="00087A53"/>
    <w:rsid w:val="00087AF7"/>
    <w:rsid w:val="00087B0A"/>
    <w:rsid w:val="00087B90"/>
    <w:rsid w:val="00087BC8"/>
    <w:rsid w:val="00087D40"/>
    <w:rsid w:val="0009040E"/>
    <w:rsid w:val="00090449"/>
    <w:rsid w:val="0009063B"/>
    <w:rsid w:val="000907FA"/>
    <w:rsid w:val="00090884"/>
    <w:rsid w:val="00090A0B"/>
    <w:rsid w:val="00090EE9"/>
    <w:rsid w:val="00091482"/>
    <w:rsid w:val="00091A67"/>
    <w:rsid w:val="00091AA7"/>
    <w:rsid w:val="00091B7C"/>
    <w:rsid w:val="00091D5B"/>
    <w:rsid w:val="00091E77"/>
    <w:rsid w:val="00092075"/>
    <w:rsid w:val="000923B4"/>
    <w:rsid w:val="000924F8"/>
    <w:rsid w:val="0009297A"/>
    <w:rsid w:val="00092C56"/>
    <w:rsid w:val="000930C0"/>
    <w:rsid w:val="0009325E"/>
    <w:rsid w:val="0009353C"/>
    <w:rsid w:val="0009384C"/>
    <w:rsid w:val="00093A8D"/>
    <w:rsid w:val="00093BA0"/>
    <w:rsid w:val="000942B0"/>
    <w:rsid w:val="00094813"/>
    <w:rsid w:val="00094A07"/>
    <w:rsid w:val="00094B53"/>
    <w:rsid w:val="00094B8F"/>
    <w:rsid w:val="00094F88"/>
    <w:rsid w:val="000951BC"/>
    <w:rsid w:val="0009594A"/>
    <w:rsid w:val="000959BD"/>
    <w:rsid w:val="00095A26"/>
    <w:rsid w:val="000960BF"/>
    <w:rsid w:val="000966CC"/>
    <w:rsid w:val="00096790"/>
    <w:rsid w:val="0009685A"/>
    <w:rsid w:val="00096BCF"/>
    <w:rsid w:val="00096E2A"/>
    <w:rsid w:val="000977BE"/>
    <w:rsid w:val="000979A9"/>
    <w:rsid w:val="000A00EC"/>
    <w:rsid w:val="000A010D"/>
    <w:rsid w:val="000A087F"/>
    <w:rsid w:val="000A1584"/>
    <w:rsid w:val="000A17AD"/>
    <w:rsid w:val="000A18ED"/>
    <w:rsid w:val="000A19AF"/>
    <w:rsid w:val="000A1A40"/>
    <w:rsid w:val="000A1B46"/>
    <w:rsid w:val="000A1C39"/>
    <w:rsid w:val="000A1DA2"/>
    <w:rsid w:val="000A1F81"/>
    <w:rsid w:val="000A23B1"/>
    <w:rsid w:val="000A23DE"/>
    <w:rsid w:val="000A2896"/>
    <w:rsid w:val="000A2EA1"/>
    <w:rsid w:val="000A2F95"/>
    <w:rsid w:val="000A3064"/>
    <w:rsid w:val="000A3090"/>
    <w:rsid w:val="000A30CD"/>
    <w:rsid w:val="000A3B2C"/>
    <w:rsid w:val="000A3C23"/>
    <w:rsid w:val="000A3D59"/>
    <w:rsid w:val="000A3FCB"/>
    <w:rsid w:val="000A40E9"/>
    <w:rsid w:val="000A451D"/>
    <w:rsid w:val="000A459D"/>
    <w:rsid w:val="000A45A6"/>
    <w:rsid w:val="000A4DA8"/>
    <w:rsid w:val="000A4FEA"/>
    <w:rsid w:val="000A53CC"/>
    <w:rsid w:val="000A56E1"/>
    <w:rsid w:val="000A5971"/>
    <w:rsid w:val="000A5B05"/>
    <w:rsid w:val="000A61BB"/>
    <w:rsid w:val="000A6C30"/>
    <w:rsid w:val="000A6DF6"/>
    <w:rsid w:val="000A6EE2"/>
    <w:rsid w:val="000A6F33"/>
    <w:rsid w:val="000A7089"/>
    <w:rsid w:val="000A75E6"/>
    <w:rsid w:val="000A77E9"/>
    <w:rsid w:val="000A7BA0"/>
    <w:rsid w:val="000A7D99"/>
    <w:rsid w:val="000A7EC4"/>
    <w:rsid w:val="000A7FBB"/>
    <w:rsid w:val="000B048A"/>
    <w:rsid w:val="000B04EE"/>
    <w:rsid w:val="000B064D"/>
    <w:rsid w:val="000B089B"/>
    <w:rsid w:val="000B0A50"/>
    <w:rsid w:val="000B0ABA"/>
    <w:rsid w:val="000B0C22"/>
    <w:rsid w:val="000B0E88"/>
    <w:rsid w:val="000B0F62"/>
    <w:rsid w:val="000B135D"/>
    <w:rsid w:val="000B15BB"/>
    <w:rsid w:val="000B1601"/>
    <w:rsid w:val="000B1621"/>
    <w:rsid w:val="000B1864"/>
    <w:rsid w:val="000B19DD"/>
    <w:rsid w:val="000B1ADF"/>
    <w:rsid w:val="000B1BF6"/>
    <w:rsid w:val="000B1C00"/>
    <w:rsid w:val="000B212A"/>
    <w:rsid w:val="000B270D"/>
    <w:rsid w:val="000B274D"/>
    <w:rsid w:val="000B2778"/>
    <w:rsid w:val="000B284F"/>
    <w:rsid w:val="000B2C05"/>
    <w:rsid w:val="000B2E0E"/>
    <w:rsid w:val="000B2F54"/>
    <w:rsid w:val="000B3874"/>
    <w:rsid w:val="000B3DD5"/>
    <w:rsid w:val="000B3DDE"/>
    <w:rsid w:val="000B4175"/>
    <w:rsid w:val="000B449E"/>
    <w:rsid w:val="000B4603"/>
    <w:rsid w:val="000B4927"/>
    <w:rsid w:val="000B4F41"/>
    <w:rsid w:val="000B50E0"/>
    <w:rsid w:val="000B5168"/>
    <w:rsid w:val="000B604D"/>
    <w:rsid w:val="000B625C"/>
    <w:rsid w:val="000B642E"/>
    <w:rsid w:val="000B6726"/>
    <w:rsid w:val="000B6B5E"/>
    <w:rsid w:val="000B7053"/>
    <w:rsid w:val="000B750C"/>
    <w:rsid w:val="000B7969"/>
    <w:rsid w:val="000B7A8C"/>
    <w:rsid w:val="000B7C5C"/>
    <w:rsid w:val="000B7CF2"/>
    <w:rsid w:val="000C0985"/>
    <w:rsid w:val="000C0C1A"/>
    <w:rsid w:val="000C1433"/>
    <w:rsid w:val="000C1534"/>
    <w:rsid w:val="000C158C"/>
    <w:rsid w:val="000C1840"/>
    <w:rsid w:val="000C1BE9"/>
    <w:rsid w:val="000C1C75"/>
    <w:rsid w:val="000C21EF"/>
    <w:rsid w:val="000C246D"/>
    <w:rsid w:val="000C28C2"/>
    <w:rsid w:val="000C28DD"/>
    <w:rsid w:val="000C297B"/>
    <w:rsid w:val="000C2C1D"/>
    <w:rsid w:val="000C2CB8"/>
    <w:rsid w:val="000C2EB0"/>
    <w:rsid w:val="000C300B"/>
    <w:rsid w:val="000C3435"/>
    <w:rsid w:val="000C34E3"/>
    <w:rsid w:val="000C3594"/>
    <w:rsid w:val="000C365C"/>
    <w:rsid w:val="000C3986"/>
    <w:rsid w:val="000C39FE"/>
    <w:rsid w:val="000C3DDC"/>
    <w:rsid w:val="000C3F9B"/>
    <w:rsid w:val="000C444F"/>
    <w:rsid w:val="000C44E9"/>
    <w:rsid w:val="000C4874"/>
    <w:rsid w:val="000C48DB"/>
    <w:rsid w:val="000C4921"/>
    <w:rsid w:val="000C4B47"/>
    <w:rsid w:val="000C5293"/>
    <w:rsid w:val="000C5377"/>
    <w:rsid w:val="000C6020"/>
    <w:rsid w:val="000C649F"/>
    <w:rsid w:val="000C64C8"/>
    <w:rsid w:val="000C64DC"/>
    <w:rsid w:val="000C668A"/>
    <w:rsid w:val="000C68FD"/>
    <w:rsid w:val="000C6B6B"/>
    <w:rsid w:val="000C6DE9"/>
    <w:rsid w:val="000C73C8"/>
    <w:rsid w:val="000C7512"/>
    <w:rsid w:val="000C7863"/>
    <w:rsid w:val="000C79E8"/>
    <w:rsid w:val="000C7B6B"/>
    <w:rsid w:val="000C7C33"/>
    <w:rsid w:val="000C7D30"/>
    <w:rsid w:val="000C7D8A"/>
    <w:rsid w:val="000C7E8B"/>
    <w:rsid w:val="000D0171"/>
    <w:rsid w:val="000D0260"/>
    <w:rsid w:val="000D06DC"/>
    <w:rsid w:val="000D07C7"/>
    <w:rsid w:val="000D1262"/>
    <w:rsid w:val="000D1855"/>
    <w:rsid w:val="000D18EF"/>
    <w:rsid w:val="000D1D02"/>
    <w:rsid w:val="000D1DE5"/>
    <w:rsid w:val="000D20C0"/>
    <w:rsid w:val="000D252C"/>
    <w:rsid w:val="000D2E9D"/>
    <w:rsid w:val="000D2EEC"/>
    <w:rsid w:val="000D3151"/>
    <w:rsid w:val="000D324C"/>
    <w:rsid w:val="000D36C8"/>
    <w:rsid w:val="000D37DD"/>
    <w:rsid w:val="000D3B3C"/>
    <w:rsid w:val="000D3D14"/>
    <w:rsid w:val="000D4155"/>
    <w:rsid w:val="000D429C"/>
    <w:rsid w:val="000D44A5"/>
    <w:rsid w:val="000D45B6"/>
    <w:rsid w:val="000D4858"/>
    <w:rsid w:val="000D4981"/>
    <w:rsid w:val="000D4E58"/>
    <w:rsid w:val="000D5A1A"/>
    <w:rsid w:val="000D5D86"/>
    <w:rsid w:val="000D64C6"/>
    <w:rsid w:val="000D71F5"/>
    <w:rsid w:val="000D7674"/>
    <w:rsid w:val="000E001A"/>
    <w:rsid w:val="000E00FD"/>
    <w:rsid w:val="000E04CF"/>
    <w:rsid w:val="000E05E5"/>
    <w:rsid w:val="000E05F0"/>
    <w:rsid w:val="000E06D4"/>
    <w:rsid w:val="000E071A"/>
    <w:rsid w:val="000E08CC"/>
    <w:rsid w:val="000E091E"/>
    <w:rsid w:val="000E0A4D"/>
    <w:rsid w:val="000E0E52"/>
    <w:rsid w:val="000E0EC1"/>
    <w:rsid w:val="000E15D4"/>
    <w:rsid w:val="000E17EF"/>
    <w:rsid w:val="000E18A6"/>
    <w:rsid w:val="000E18A8"/>
    <w:rsid w:val="000E18FD"/>
    <w:rsid w:val="000E1C91"/>
    <w:rsid w:val="000E1EC8"/>
    <w:rsid w:val="000E1FDA"/>
    <w:rsid w:val="000E21E6"/>
    <w:rsid w:val="000E26E0"/>
    <w:rsid w:val="000E286C"/>
    <w:rsid w:val="000E3276"/>
    <w:rsid w:val="000E35D0"/>
    <w:rsid w:val="000E379E"/>
    <w:rsid w:val="000E3AF4"/>
    <w:rsid w:val="000E3BF9"/>
    <w:rsid w:val="000E3E7A"/>
    <w:rsid w:val="000E4361"/>
    <w:rsid w:val="000E47A1"/>
    <w:rsid w:val="000E4862"/>
    <w:rsid w:val="000E4B15"/>
    <w:rsid w:val="000E4D80"/>
    <w:rsid w:val="000E4E0B"/>
    <w:rsid w:val="000E56DE"/>
    <w:rsid w:val="000E573E"/>
    <w:rsid w:val="000E5910"/>
    <w:rsid w:val="000E598F"/>
    <w:rsid w:val="000E6015"/>
    <w:rsid w:val="000E65F7"/>
    <w:rsid w:val="000E67A1"/>
    <w:rsid w:val="000E6B76"/>
    <w:rsid w:val="000E6C79"/>
    <w:rsid w:val="000E6DF1"/>
    <w:rsid w:val="000E73B2"/>
    <w:rsid w:val="000E76DD"/>
    <w:rsid w:val="000E792C"/>
    <w:rsid w:val="000E7CC8"/>
    <w:rsid w:val="000F01A3"/>
    <w:rsid w:val="000F01D0"/>
    <w:rsid w:val="000F0481"/>
    <w:rsid w:val="000F04B1"/>
    <w:rsid w:val="000F06C4"/>
    <w:rsid w:val="000F0BAD"/>
    <w:rsid w:val="000F0E99"/>
    <w:rsid w:val="000F1229"/>
    <w:rsid w:val="000F2087"/>
    <w:rsid w:val="000F30DF"/>
    <w:rsid w:val="000F33DD"/>
    <w:rsid w:val="000F341A"/>
    <w:rsid w:val="000F372F"/>
    <w:rsid w:val="000F37CD"/>
    <w:rsid w:val="000F3AA8"/>
    <w:rsid w:val="000F3FD6"/>
    <w:rsid w:val="000F41EF"/>
    <w:rsid w:val="000F4534"/>
    <w:rsid w:val="000F4745"/>
    <w:rsid w:val="000F4811"/>
    <w:rsid w:val="000F48DD"/>
    <w:rsid w:val="000F4D48"/>
    <w:rsid w:val="000F4E7D"/>
    <w:rsid w:val="000F4F52"/>
    <w:rsid w:val="000F534B"/>
    <w:rsid w:val="000F56F1"/>
    <w:rsid w:val="000F59B6"/>
    <w:rsid w:val="000F5C30"/>
    <w:rsid w:val="000F5D9B"/>
    <w:rsid w:val="000F601C"/>
    <w:rsid w:val="000F6254"/>
    <w:rsid w:val="000F65E7"/>
    <w:rsid w:val="000F66AC"/>
    <w:rsid w:val="000F6887"/>
    <w:rsid w:val="000F6AD8"/>
    <w:rsid w:val="000F6BEE"/>
    <w:rsid w:val="000F6F96"/>
    <w:rsid w:val="000F729F"/>
    <w:rsid w:val="000F7552"/>
    <w:rsid w:val="000F7602"/>
    <w:rsid w:val="000F764C"/>
    <w:rsid w:val="000F767E"/>
    <w:rsid w:val="000F768B"/>
    <w:rsid w:val="000F769E"/>
    <w:rsid w:val="000F770A"/>
    <w:rsid w:val="000F7E3F"/>
    <w:rsid w:val="00100145"/>
    <w:rsid w:val="0010019E"/>
    <w:rsid w:val="001003C5"/>
    <w:rsid w:val="0010056E"/>
    <w:rsid w:val="0010062D"/>
    <w:rsid w:val="001009AB"/>
    <w:rsid w:val="00100DD5"/>
    <w:rsid w:val="00100FE4"/>
    <w:rsid w:val="0010112B"/>
    <w:rsid w:val="0010165C"/>
    <w:rsid w:val="00101A96"/>
    <w:rsid w:val="00101BD6"/>
    <w:rsid w:val="00102101"/>
    <w:rsid w:val="00102281"/>
    <w:rsid w:val="00102481"/>
    <w:rsid w:val="00102B9F"/>
    <w:rsid w:val="00102E83"/>
    <w:rsid w:val="001033E2"/>
    <w:rsid w:val="00103953"/>
    <w:rsid w:val="0010397B"/>
    <w:rsid w:val="001039BF"/>
    <w:rsid w:val="00103C87"/>
    <w:rsid w:val="00103EB2"/>
    <w:rsid w:val="00104048"/>
    <w:rsid w:val="00104063"/>
    <w:rsid w:val="001041A4"/>
    <w:rsid w:val="001043A7"/>
    <w:rsid w:val="00104463"/>
    <w:rsid w:val="001046A3"/>
    <w:rsid w:val="00104FE0"/>
    <w:rsid w:val="0010521D"/>
    <w:rsid w:val="0010552C"/>
    <w:rsid w:val="00105574"/>
    <w:rsid w:val="001056A6"/>
    <w:rsid w:val="001058D7"/>
    <w:rsid w:val="001058F1"/>
    <w:rsid w:val="001059C6"/>
    <w:rsid w:val="00105AE8"/>
    <w:rsid w:val="00105DB2"/>
    <w:rsid w:val="00105DE5"/>
    <w:rsid w:val="00105F52"/>
    <w:rsid w:val="0010622B"/>
    <w:rsid w:val="0010629A"/>
    <w:rsid w:val="001063BD"/>
    <w:rsid w:val="001064BD"/>
    <w:rsid w:val="001064F0"/>
    <w:rsid w:val="00106561"/>
    <w:rsid w:val="00106862"/>
    <w:rsid w:val="0010688D"/>
    <w:rsid w:val="001069B8"/>
    <w:rsid w:val="00106A3C"/>
    <w:rsid w:val="00106CF6"/>
    <w:rsid w:val="00106FDB"/>
    <w:rsid w:val="001070D7"/>
    <w:rsid w:val="001073AE"/>
    <w:rsid w:val="001075A9"/>
    <w:rsid w:val="001078E4"/>
    <w:rsid w:val="001079A2"/>
    <w:rsid w:val="00107BDA"/>
    <w:rsid w:val="0011024B"/>
    <w:rsid w:val="0011059C"/>
    <w:rsid w:val="00110B0B"/>
    <w:rsid w:val="00110CDA"/>
    <w:rsid w:val="00110F71"/>
    <w:rsid w:val="00110FF3"/>
    <w:rsid w:val="001110E3"/>
    <w:rsid w:val="001114E6"/>
    <w:rsid w:val="00111523"/>
    <w:rsid w:val="0011224F"/>
    <w:rsid w:val="001123C9"/>
    <w:rsid w:val="001123CE"/>
    <w:rsid w:val="0011252F"/>
    <w:rsid w:val="00112AE2"/>
    <w:rsid w:val="0011334C"/>
    <w:rsid w:val="001136EC"/>
    <w:rsid w:val="0011373B"/>
    <w:rsid w:val="00113810"/>
    <w:rsid w:val="00114127"/>
    <w:rsid w:val="00114208"/>
    <w:rsid w:val="00114430"/>
    <w:rsid w:val="00114ADA"/>
    <w:rsid w:val="00114AF8"/>
    <w:rsid w:val="00115090"/>
    <w:rsid w:val="0011527F"/>
    <w:rsid w:val="0011559F"/>
    <w:rsid w:val="00115804"/>
    <w:rsid w:val="0011630D"/>
    <w:rsid w:val="00116894"/>
    <w:rsid w:val="00116CD2"/>
    <w:rsid w:val="00116DB2"/>
    <w:rsid w:val="0011714C"/>
    <w:rsid w:val="0011737A"/>
    <w:rsid w:val="00117FC5"/>
    <w:rsid w:val="0012007D"/>
    <w:rsid w:val="00120416"/>
    <w:rsid w:val="0012062B"/>
    <w:rsid w:val="00120737"/>
    <w:rsid w:val="00120E24"/>
    <w:rsid w:val="00120F19"/>
    <w:rsid w:val="00120FC3"/>
    <w:rsid w:val="00121624"/>
    <w:rsid w:val="00121789"/>
    <w:rsid w:val="00121857"/>
    <w:rsid w:val="00121DBB"/>
    <w:rsid w:val="00121E87"/>
    <w:rsid w:val="00121F3C"/>
    <w:rsid w:val="00121F54"/>
    <w:rsid w:val="001222F5"/>
    <w:rsid w:val="00122374"/>
    <w:rsid w:val="00122390"/>
    <w:rsid w:val="00122DBE"/>
    <w:rsid w:val="00122E07"/>
    <w:rsid w:val="00123084"/>
    <w:rsid w:val="0012335E"/>
    <w:rsid w:val="001233A3"/>
    <w:rsid w:val="00123429"/>
    <w:rsid w:val="0012387F"/>
    <w:rsid w:val="00123934"/>
    <w:rsid w:val="00123A19"/>
    <w:rsid w:val="00123A5B"/>
    <w:rsid w:val="00123CF9"/>
    <w:rsid w:val="0012440D"/>
    <w:rsid w:val="00124795"/>
    <w:rsid w:val="00124B05"/>
    <w:rsid w:val="00124F3A"/>
    <w:rsid w:val="00124FB2"/>
    <w:rsid w:val="001250D5"/>
    <w:rsid w:val="00125237"/>
    <w:rsid w:val="0012527B"/>
    <w:rsid w:val="00125800"/>
    <w:rsid w:val="00125892"/>
    <w:rsid w:val="00125BD8"/>
    <w:rsid w:val="00125CCB"/>
    <w:rsid w:val="00125EF8"/>
    <w:rsid w:val="00126295"/>
    <w:rsid w:val="00126312"/>
    <w:rsid w:val="0012641E"/>
    <w:rsid w:val="001266B2"/>
    <w:rsid w:val="00126AC2"/>
    <w:rsid w:val="00126B05"/>
    <w:rsid w:val="00127529"/>
    <w:rsid w:val="00127618"/>
    <w:rsid w:val="001279F5"/>
    <w:rsid w:val="00127A72"/>
    <w:rsid w:val="00127B46"/>
    <w:rsid w:val="00127C13"/>
    <w:rsid w:val="00127D97"/>
    <w:rsid w:val="0013000F"/>
    <w:rsid w:val="00130363"/>
    <w:rsid w:val="0013055F"/>
    <w:rsid w:val="001305C5"/>
    <w:rsid w:val="00130CC4"/>
    <w:rsid w:val="00130F67"/>
    <w:rsid w:val="001311F7"/>
    <w:rsid w:val="001313F8"/>
    <w:rsid w:val="00131779"/>
    <w:rsid w:val="0013186D"/>
    <w:rsid w:val="001318ED"/>
    <w:rsid w:val="001319DA"/>
    <w:rsid w:val="00131DF4"/>
    <w:rsid w:val="00131EC2"/>
    <w:rsid w:val="00132120"/>
    <w:rsid w:val="00132462"/>
    <w:rsid w:val="001324A5"/>
    <w:rsid w:val="00132D1F"/>
    <w:rsid w:val="00132E0D"/>
    <w:rsid w:val="00132EDE"/>
    <w:rsid w:val="00132FE7"/>
    <w:rsid w:val="001330F7"/>
    <w:rsid w:val="00133686"/>
    <w:rsid w:val="00133A35"/>
    <w:rsid w:val="00133B01"/>
    <w:rsid w:val="00133CD9"/>
    <w:rsid w:val="00133D46"/>
    <w:rsid w:val="00133F64"/>
    <w:rsid w:val="0013409B"/>
    <w:rsid w:val="00134417"/>
    <w:rsid w:val="0013442E"/>
    <w:rsid w:val="00134657"/>
    <w:rsid w:val="0013481D"/>
    <w:rsid w:val="00134841"/>
    <w:rsid w:val="0013486D"/>
    <w:rsid w:val="00134961"/>
    <w:rsid w:val="00134C14"/>
    <w:rsid w:val="00134EA9"/>
    <w:rsid w:val="00134ED9"/>
    <w:rsid w:val="0013518F"/>
    <w:rsid w:val="00135256"/>
    <w:rsid w:val="001352FB"/>
    <w:rsid w:val="0013569A"/>
    <w:rsid w:val="00135714"/>
    <w:rsid w:val="0013590D"/>
    <w:rsid w:val="001359E8"/>
    <w:rsid w:val="00135AA3"/>
    <w:rsid w:val="00135F24"/>
    <w:rsid w:val="0013604D"/>
    <w:rsid w:val="00136141"/>
    <w:rsid w:val="0013666F"/>
    <w:rsid w:val="001368B5"/>
    <w:rsid w:val="00136B5A"/>
    <w:rsid w:val="00136C97"/>
    <w:rsid w:val="00136CA5"/>
    <w:rsid w:val="00136DF1"/>
    <w:rsid w:val="00137313"/>
    <w:rsid w:val="001373EB"/>
    <w:rsid w:val="00137A84"/>
    <w:rsid w:val="00140016"/>
    <w:rsid w:val="00140143"/>
    <w:rsid w:val="001401CF"/>
    <w:rsid w:val="00140543"/>
    <w:rsid w:val="001410BD"/>
    <w:rsid w:val="001411B2"/>
    <w:rsid w:val="00141275"/>
    <w:rsid w:val="001413B2"/>
    <w:rsid w:val="00141430"/>
    <w:rsid w:val="00141E7F"/>
    <w:rsid w:val="00142681"/>
    <w:rsid w:val="0014282D"/>
    <w:rsid w:val="00142AF8"/>
    <w:rsid w:val="00143146"/>
    <w:rsid w:val="001431B8"/>
    <w:rsid w:val="001431E9"/>
    <w:rsid w:val="00143308"/>
    <w:rsid w:val="0014345D"/>
    <w:rsid w:val="0014360B"/>
    <w:rsid w:val="00143A4A"/>
    <w:rsid w:val="00143D57"/>
    <w:rsid w:val="00143ECC"/>
    <w:rsid w:val="00143F12"/>
    <w:rsid w:val="00143F40"/>
    <w:rsid w:val="001443A2"/>
    <w:rsid w:val="00144421"/>
    <w:rsid w:val="00144967"/>
    <w:rsid w:val="00144A89"/>
    <w:rsid w:val="00144E2A"/>
    <w:rsid w:val="00145121"/>
    <w:rsid w:val="001451A4"/>
    <w:rsid w:val="0014587A"/>
    <w:rsid w:val="001458B8"/>
    <w:rsid w:val="001459EC"/>
    <w:rsid w:val="00145EFE"/>
    <w:rsid w:val="001462FC"/>
    <w:rsid w:val="00146571"/>
    <w:rsid w:val="0014659E"/>
    <w:rsid w:val="00146AE8"/>
    <w:rsid w:val="00146C2D"/>
    <w:rsid w:val="00146C6D"/>
    <w:rsid w:val="00146D78"/>
    <w:rsid w:val="00146E95"/>
    <w:rsid w:val="00146ED6"/>
    <w:rsid w:val="001470CB"/>
    <w:rsid w:val="001471EA"/>
    <w:rsid w:val="0014736B"/>
    <w:rsid w:val="00147A5E"/>
    <w:rsid w:val="00150030"/>
    <w:rsid w:val="0015038D"/>
    <w:rsid w:val="0015058A"/>
    <w:rsid w:val="00150991"/>
    <w:rsid w:val="00150B7B"/>
    <w:rsid w:val="00150C7E"/>
    <w:rsid w:val="00151060"/>
    <w:rsid w:val="0015110F"/>
    <w:rsid w:val="00151679"/>
    <w:rsid w:val="001516EF"/>
    <w:rsid w:val="00151A49"/>
    <w:rsid w:val="00151A8C"/>
    <w:rsid w:val="00151F10"/>
    <w:rsid w:val="001520E9"/>
    <w:rsid w:val="00152495"/>
    <w:rsid w:val="0015260D"/>
    <w:rsid w:val="00152797"/>
    <w:rsid w:val="00152CC7"/>
    <w:rsid w:val="00152DB6"/>
    <w:rsid w:val="00152F40"/>
    <w:rsid w:val="00152F53"/>
    <w:rsid w:val="00152F96"/>
    <w:rsid w:val="00153115"/>
    <w:rsid w:val="00153153"/>
    <w:rsid w:val="00153420"/>
    <w:rsid w:val="001534F3"/>
    <w:rsid w:val="00153886"/>
    <w:rsid w:val="00153968"/>
    <w:rsid w:val="00153B78"/>
    <w:rsid w:val="00154007"/>
    <w:rsid w:val="00154441"/>
    <w:rsid w:val="00154500"/>
    <w:rsid w:val="001546F4"/>
    <w:rsid w:val="0015473B"/>
    <w:rsid w:val="00154F5E"/>
    <w:rsid w:val="0015538C"/>
    <w:rsid w:val="00155729"/>
    <w:rsid w:val="00155860"/>
    <w:rsid w:val="00155C73"/>
    <w:rsid w:val="00155EF6"/>
    <w:rsid w:val="00156044"/>
    <w:rsid w:val="0015634D"/>
    <w:rsid w:val="0015636E"/>
    <w:rsid w:val="00156694"/>
    <w:rsid w:val="0015695F"/>
    <w:rsid w:val="00156AED"/>
    <w:rsid w:val="00156C27"/>
    <w:rsid w:val="0015703F"/>
    <w:rsid w:val="001577BF"/>
    <w:rsid w:val="001579CF"/>
    <w:rsid w:val="00157BC0"/>
    <w:rsid w:val="00157CBB"/>
    <w:rsid w:val="0016008D"/>
    <w:rsid w:val="001600DB"/>
    <w:rsid w:val="00160687"/>
    <w:rsid w:val="0016077D"/>
    <w:rsid w:val="00160DD7"/>
    <w:rsid w:val="001612D3"/>
    <w:rsid w:val="00161C50"/>
    <w:rsid w:val="00161E41"/>
    <w:rsid w:val="00161F55"/>
    <w:rsid w:val="00162277"/>
    <w:rsid w:val="0016246B"/>
    <w:rsid w:val="001626D0"/>
    <w:rsid w:val="00162D07"/>
    <w:rsid w:val="00162E2B"/>
    <w:rsid w:val="00162F12"/>
    <w:rsid w:val="001631AA"/>
    <w:rsid w:val="00163313"/>
    <w:rsid w:val="001635CF"/>
    <w:rsid w:val="00163EBE"/>
    <w:rsid w:val="0016440F"/>
    <w:rsid w:val="001645CA"/>
    <w:rsid w:val="00164B98"/>
    <w:rsid w:val="0016518D"/>
    <w:rsid w:val="001652E2"/>
    <w:rsid w:val="001656F6"/>
    <w:rsid w:val="00165A89"/>
    <w:rsid w:val="00165D31"/>
    <w:rsid w:val="00165DEB"/>
    <w:rsid w:val="0016604D"/>
    <w:rsid w:val="00166270"/>
    <w:rsid w:val="00166446"/>
    <w:rsid w:val="00166595"/>
    <w:rsid w:val="00166D4F"/>
    <w:rsid w:val="00166E18"/>
    <w:rsid w:val="00167558"/>
    <w:rsid w:val="00167B54"/>
    <w:rsid w:val="00167B62"/>
    <w:rsid w:val="00167D66"/>
    <w:rsid w:val="00167E32"/>
    <w:rsid w:val="00167F73"/>
    <w:rsid w:val="00170101"/>
    <w:rsid w:val="0017030A"/>
    <w:rsid w:val="00170B33"/>
    <w:rsid w:val="00170B5D"/>
    <w:rsid w:val="00170D06"/>
    <w:rsid w:val="00170FD6"/>
    <w:rsid w:val="0017132F"/>
    <w:rsid w:val="001718B5"/>
    <w:rsid w:val="00171940"/>
    <w:rsid w:val="00171B37"/>
    <w:rsid w:val="00171CF3"/>
    <w:rsid w:val="00171D58"/>
    <w:rsid w:val="0017215A"/>
    <w:rsid w:val="001724AF"/>
    <w:rsid w:val="00172965"/>
    <w:rsid w:val="00172DFB"/>
    <w:rsid w:val="00172F64"/>
    <w:rsid w:val="0017308B"/>
    <w:rsid w:val="0017339B"/>
    <w:rsid w:val="00173866"/>
    <w:rsid w:val="00173B19"/>
    <w:rsid w:val="001740F4"/>
    <w:rsid w:val="0017438F"/>
    <w:rsid w:val="001743FA"/>
    <w:rsid w:val="00174439"/>
    <w:rsid w:val="00174841"/>
    <w:rsid w:val="00174B86"/>
    <w:rsid w:val="00174BB3"/>
    <w:rsid w:val="00174BEB"/>
    <w:rsid w:val="00175504"/>
    <w:rsid w:val="0017599D"/>
    <w:rsid w:val="00175B47"/>
    <w:rsid w:val="00175D66"/>
    <w:rsid w:val="001760BE"/>
    <w:rsid w:val="001763CB"/>
    <w:rsid w:val="00176562"/>
    <w:rsid w:val="0017658F"/>
    <w:rsid w:val="0017672A"/>
    <w:rsid w:val="0017678F"/>
    <w:rsid w:val="00176AAF"/>
    <w:rsid w:val="00176CF7"/>
    <w:rsid w:val="00176D58"/>
    <w:rsid w:val="00177005"/>
    <w:rsid w:val="0017741B"/>
    <w:rsid w:val="0017756E"/>
    <w:rsid w:val="00177918"/>
    <w:rsid w:val="00177948"/>
    <w:rsid w:val="001779C7"/>
    <w:rsid w:val="00177C25"/>
    <w:rsid w:val="00177DC1"/>
    <w:rsid w:val="00177E0A"/>
    <w:rsid w:val="00177FA1"/>
    <w:rsid w:val="00177FEE"/>
    <w:rsid w:val="0018006E"/>
    <w:rsid w:val="00180747"/>
    <w:rsid w:val="001807BF"/>
    <w:rsid w:val="00180893"/>
    <w:rsid w:val="00180C66"/>
    <w:rsid w:val="00180F35"/>
    <w:rsid w:val="001810C1"/>
    <w:rsid w:val="0018138C"/>
    <w:rsid w:val="001813D5"/>
    <w:rsid w:val="0018193C"/>
    <w:rsid w:val="001819E0"/>
    <w:rsid w:val="00181B03"/>
    <w:rsid w:val="0018215B"/>
    <w:rsid w:val="00182349"/>
    <w:rsid w:val="0018242A"/>
    <w:rsid w:val="00182539"/>
    <w:rsid w:val="0018262B"/>
    <w:rsid w:val="0018280C"/>
    <w:rsid w:val="0018298A"/>
    <w:rsid w:val="00182B97"/>
    <w:rsid w:val="0018314A"/>
    <w:rsid w:val="001831D8"/>
    <w:rsid w:val="0018331E"/>
    <w:rsid w:val="00183453"/>
    <w:rsid w:val="001835F8"/>
    <w:rsid w:val="001839C1"/>
    <w:rsid w:val="00183B43"/>
    <w:rsid w:val="00183E3F"/>
    <w:rsid w:val="001841D8"/>
    <w:rsid w:val="001842E3"/>
    <w:rsid w:val="001847E4"/>
    <w:rsid w:val="00184879"/>
    <w:rsid w:val="0018490A"/>
    <w:rsid w:val="00184966"/>
    <w:rsid w:val="00184DD4"/>
    <w:rsid w:val="00185221"/>
    <w:rsid w:val="00185379"/>
    <w:rsid w:val="00185545"/>
    <w:rsid w:val="001856BF"/>
    <w:rsid w:val="001861D4"/>
    <w:rsid w:val="0018620A"/>
    <w:rsid w:val="0018641C"/>
    <w:rsid w:val="00186560"/>
    <w:rsid w:val="0018672B"/>
    <w:rsid w:val="001868B9"/>
    <w:rsid w:val="00187264"/>
    <w:rsid w:val="001872BB"/>
    <w:rsid w:val="001872D0"/>
    <w:rsid w:val="00187573"/>
    <w:rsid w:val="0018757C"/>
    <w:rsid w:val="001878E8"/>
    <w:rsid w:val="00187A37"/>
    <w:rsid w:val="00187C39"/>
    <w:rsid w:val="00187CDD"/>
    <w:rsid w:val="00190C09"/>
    <w:rsid w:val="00190F0E"/>
    <w:rsid w:val="00191349"/>
    <w:rsid w:val="0019147A"/>
    <w:rsid w:val="001914C2"/>
    <w:rsid w:val="001916DA"/>
    <w:rsid w:val="00191BCB"/>
    <w:rsid w:val="00191DF9"/>
    <w:rsid w:val="00192006"/>
    <w:rsid w:val="0019255A"/>
    <w:rsid w:val="00192FF4"/>
    <w:rsid w:val="001931CC"/>
    <w:rsid w:val="001934F7"/>
    <w:rsid w:val="00193975"/>
    <w:rsid w:val="00193B4D"/>
    <w:rsid w:val="00193DD3"/>
    <w:rsid w:val="00194A4E"/>
    <w:rsid w:val="00194AD9"/>
    <w:rsid w:val="00194E0E"/>
    <w:rsid w:val="00195029"/>
    <w:rsid w:val="0019576C"/>
    <w:rsid w:val="0019584C"/>
    <w:rsid w:val="00195A84"/>
    <w:rsid w:val="00195B39"/>
    <w:rsid w:val="00195B79"/>
    <w:rsid w:val="00195D15"/>
    <w:rsid w:val="00195D9A"/>
    <w:rsid w:val="00196134"/>
    <w:rsid w:val="0019635E"/>
    <w:rsid w:val="0019696A"/>
    <w:rsid w:val="00196C42"/>
    <w:rsid w:val="00196DD3"/>
    <w:rsid w:val="00196FE8"/>
    <w:rsid w:val="0019721C"/>
    <w:rsid w:val="0019734E"/>
    <w:rsid w:val="00197436"/>
    <w:rsid w:val="00197AFD"/>
    <w:rsid w:val="00197CB9"/>
    <w:rsid w:val="00197E98"/>
    <w:rsid w:val="001A0309"/>
    <w:rsid w:val="001A04A6"/>
    <w:rsid w:val="001A0526"/>
    <w:rsid w:val="001A05F5"/>
    <w:rsid w:val="001A0968"/>
    <w:rsid w:val="001A09D1"/>
    <w:rsid w:val="001A09DF"/>
    <w:rsid w:val="001A0AFA"/>
    <w:rsid w:val="001A17C1"/>
    <w:rsid w:val="001A1EED"/>
    <w:rsid w:val="001A21B5"/>
    <w:rsid w:val="001A273F"/>
    <w:rsid w:val="001A2C59"/>
    <w:rsid w:val="001A38C6"/>
    <w:rsid w:val="001A3992"/>
    <w:rsid w:val="001A3A38"/>
    <w:rsid w:val="001A3F8D"/>
    <w:rsid w:val="001A43BE"/>
    <w:rsid w:val="001A482C"/>
    <w:rsid w:val="001A4984"/>
    <w:rsid w:val="001A4B34"/>
    <w:rsid w:val="001A4E68"/>
    <w:rsid w:val="001A5287"/>
    <w:rsid w:val="001A5614"/>
    <w:rsid w:val="001A5749"/>
    <w:rsid w:val="001A57D5"/>
    <w:rsid w:val="001A5903"/>
    <w:rsid w:val="001A5B4F"/>
    <w:rsid w:val="001A5B60"/>
    <w:rsid w:val="001A5CC7"/>
    <w:rsid w:val="001A617A"/>
    <w:rsid w:val="001A6250"/>
    <w:rsid w:val="001A6329"/>
    <w:rsid w:val="001A694E"/>
    <w:rsid w:val="001A6B65"/>
    <w:rsid w:val="001A6C2D"/>
    <w:rsid w:val="001A7658"/>
    <w:rsid w:val="001A76A8"/>
    <w:rsid w:val="001A78CC"/>
    <w:rsid w:val="001A7A7B"/>
    <w:rsid w:val="001A7F23"/>
    <w:rsid w:val="001B019E"/>
    <w:rsid w:val="001B0392"/>
    <w:rsid w:val="001B03E6"/>
    <w:rsid w:val="001B07D2"/>
    <w:rsid w:val="001B08D6"/>
    <w:rsid w:val="001B0C65"/>
    <w:rsid w:val="001B0D38"/>
    <w:rsid w:val="001B10E1"/>
    <w:rsid w:val="001B1415"/>
    <w:rsid w:val="001B1497"/>
    <w:rsid w:val="001B1736"/>
    <w:rsid w:val="001B1A8A"/>
    <w:rsid w:val="001B1B11"/>
    <w:rsid w:val="001B1BAA"/>
    <w:rsid w:val="001B1BC4"/>
    <w:rsid w:val="001B1DB2"/>
    <w:rsid w:val="001B1E63"/>
    <w:rsid w:val="001B247A"/>
    <w:rsid w:val="001B24A5"/>
    <w:rsid w:val="001B2537"/>
    <w:rsid w:val="001B26B9"/>
    <w:rsid w:val="001B2E37"/>
    <w:rsid w:val="001B2E3C"/>
    <w:rsid w:val="001B2E7E"/>
    <w:rsid w:val="001B301B"/>
    <w:rsid w:val="001B31C5"/>
    <w:rsid w:val="001B3465"/>
    <w:rsid w:val="001B3526"/>
    <w:rsid w:val="001B3549"/>
    <w:rsid w:val="001B391C"/>
    <w:rsid w:val="001B4273"/>
    <w:rsid w:val="001B4650"/>
    <w:rsid w:val="001B469E"/>
    <w:rsid w:val="001B4AAB"/>
    <w:rsid w:val="001B4D05"/>
    <w:rsid w:val="001B4EEB"/>
    <w:rsid w:val="001B4EEF"/>
    <w:rsid w:val="001B5294"/>
    <w:rsid w:val="001B5761"/>
    <w:rsid w:val="001B60A4"/>
    <w:rsid w:val="001B6385"/>
    <w:rsid w:val="001B6C7E"/>
    <w:rsid w:val="001B6D99"/>
    <w:rsid w:val="001B75DB"/>
    <w:rsid w:val="001B797F"/>
    <w:rsid w:val="001B7BC3"/>
    <w:rsid w:val="001B7C9F"/>
    <w:rsid w:val="001B7D4F"/>
    <w:rsid w:val="001B7EA4"/>
    <w:rsid w:val="001B7F35"/>
    <w:rsid w:val="001C005F"/>
    <w:rsid w:val="001C0081"/>
    <w:rsid w:val="001C0137"/>
    <w:rsid w:val="001C0811"/>
    <w:rsid w:val="001C0A2A"/>
    <w:rsid w:val="001C0FA6"/>
    <w:rsid w:val="001C12AC"/>
    <w:rsid w:val="001C12EA"/>
    <w:rsid w:val="001C156C"/>
    <w:rsid w:val="001C15D8"/>
    <w:rsid w:val="001C17D3"/>
    <w:rsid w:val="001C184A"/>
    <w:rsid w:val="001C1910"/>
    <w:rsid w:val="001C1C4C"/>
    <w:rsid w:val="001C1DC7"/>
    <w:rsid w:val="001C2137"/>
    <w:rsid w:val="001C23CF"/>
    <w:rsid w:val="001C259E"/>
    <w:rsid w:val="001C2AAC"/>
    <w:rsid w:val="001C2F82"/>
    <w:rsid w:val="001C303D"/>
    <w:rsid w:val="001C332A"/>
    <w:rsid w:val="001C3D87"/>
    <w:rsid w:val="001C4519"/>
    <w:rsid w:val="001C4665"/>
    <w:rsid w:val="001C4859"/>
    <w:rsid w:val="001C495F"/>
    <w:rsid w:val="001C4C0E"/>
    <w:rsid w:val="001C4F24"/>
    <w:rsid w:val="001C50F9"/>
    <w:rsid w:val="001C531D"/>
    <w:rsid w:val="001C53E6"/>
    <w:rsid w:val="001C54C2"/>
    <w:rsid w:val="001C563B"/>
    <w:rsid w:val="001C56F3"/>
    <w:rsid w:val="001C585B"/>
    <w:rsid w:val="001C58ED"/>
    <w:rsid w:val="001C5BC7"/>
    <w:rsid w:val="001C5C77"/>
    <w:rsid w:val="001C5CA6"/>
    <w:rsid w:val="001C6241"/>
    <w:rsid w:val="001C635A"/>
    <w:rsid w:val="001C63CC"/>
    <w:rsid w:val="001C67FA"/>
    <w:rsid w:val="001C6A50"/>
    <w:rsid w:val="001C6D1E"/>
    <w:rsid w:val="001C7106"/>
    <w:rsid w:val="001C7216"/>
    <w:rsid w:val="001C721F"/>
    <w:rsid w:val="001C72A5"/>
    <w:rsid w:val="001C748B"/>
    <w:rsid w:val="001C76A4"/>
    <w:rsid w:val="001C79B9"/>
    <w:rsid w:val="001C7B6C"/>
    <w:rsid w:val="001C7DB4"/>
    <w:rsid w:val="001C7F09"/>
    <w:rsid w:val="001D0370"/>
    <w:rsid w:val="001D08C1"/>
    <w:rsid w:val="001D08C8"/>
    <w:rsid w:val="001D0B42"/>
    <w:rsid w:val="001D0B6E"/>
    <w:rsid w:val="001D0BEF"/>
    <w:rsid w:val="001D0C6D"/>
    <w:rsid w:val="001D0CA9"/>
    <w:rsid w:val="001D11E7"/>
    <w:rsid w:val="001D1321"/>
    <w:rsid w:val="001D137A"/>
    <w:rsid w:val="001D1778"/>
    <w:rsid w:val="001D1960"/>
    <w:rsid w:val="001D1A80"/>
    <w:rsid w:val="001D1AEC"/>
    <w:rsid w:val="001D1B3C"/>
    <w:rsid w:val="001D1B48"/>
    <w:rsid w:val="001D1C94"/>
    <w:rsid w:val="001D1FC0"/>
    <w:rsid w:val="001D234A"/>
    <w:rsid w:val="001D2509"/>
    <w:rsid w:val="001D275B"/>
    <w:rsid w:val="001D3237"/>
    <w:rsid w:val="001D32BC"/>
    <w:rsid w:val="001D3956"/>
    <w:rsid w:val="001D3C14"/>
    <w:rsid w:val="001D3C23"/>
    <w:rsid w:val="001D3C4F"/>
    <w:rsid w:val="001D43BA"/>
    <w:rsid w:val="001D45CC"/>
    <w:rsid w:val="001D4989"/>
    <w:rsid w:val="001D49B0"/>
    <w:rsid w:val="001D4B4A"/>
    <w:rsid w:val="001D4CC9"/>
    <w:rsid w:val="001D4E65"/>
    <w:rsid w:val="001D50C4"/>
    <w:rsid w:val="001D50EA"/>
    <w:rsid w:val="001D53F3"/>
    <w:rsid w:val="001D5DE7"/>
    <w:rsid w:val="001D631D"/>
    <w:rsid w:val="001D64AB"/>
    <w:rsid w:val="001D66B5"/>
    <w:rsid w:val="001D68F4"/>
    <w:rsid w:val="001D6BD0"/>
    <w:rsid w:val="001D6E9A"/>
    <w:rsid w:val="001D6F4E"/>
    <w:rsid w:val="001D6FAA"/>
    <w:rsid w:val="001D703F"/>
    <w:rsid w:val="001D7101"/>
    <w:rsid w:val="001D75E5"/>
    <w:rsid w:val="001D7AF5"/>
    <w:rsid w:val="001D7E9C"/>
    <w:rsid w:val="001D7FA9"/>
    <w:rsid w:val="001E0246"/>
    <w:rsid w:val="001E03CC"/>
    <w:rsid w:val="001E0B0C"/>
    <w:rsid w:val="001E0BF9"/>
    <w:rsid w:val="001E0D49"/>
    <w:rsid w:val="001E13E9"/>
    <w:rsid w:val="001E164D"/>
    <w:rsid w:val="001E1896"/>
    <w:rsid w:val="001E1B09"/>
    <w:rsid w:val="001E1BF3"/>
    <w:rsid w:val="001E1CC3"/>
    <w:rsid w:val="001E1D1A"/>
    <w:rsid w:val="001E1EC4"/>
    <w:rsid w:val="001E21BC"/>
    <w:rsid w:val="001E253C"/>
    <w:rsid w:val="001E2B8C"/>
    <w:rsid w:val="001E30CB"/>
    <w:rsid w:val="001E32DB"/>
    <w:rsid w:val="001E3518"/>
    <w:rsid w:val="001E3814"/>
    <w:rsid w:val="001E395D"/>
    <w:rsid w:val="001E3A38"/>
    <w:rsid w:val="001E3BD5"/>
    <w:rsid w:val="001E3C5B"/>
    <w:rsid w:val="001E3E69"/>
    <w:rsid w:val="001E4115"/>
    <w:rsid w:val="001E4136"/>
    <w:rsid w:val="001E4709"/>
    <w:rsid w:val="001E4736"/>
    <w:rsid w:val="001E47DC"/>
    <w:rsid w:val="001E52ED"/>
    <w:rsid w:val="001E5309"/>
    <w:rsid w:val="001E59B2"/>
    <w:rsid w:val="001E5B99"/>
    <w:rsid w:val="001E5CBC"/>
    <w:rsid w:val="001E5E4D"/>
    <w:rsid w:val="001E6260"/>
    <w:rsid w:val="001E627E"/>
    <w:rsid w:val="001E6438"/>
    <w:rsid w:val="001E653A"/>
    <w:rsid w:val="001E66A8"/>
    <w:rsid w:val="001E674C"/>
    <w:rsid w:val="001E67FE"/>
    <w:rsid w:val="001E6B5A"/>
    <w:rsid w:val="001E6BEF"/>
    <w:rsid w:val="001E6CF7"/>
    <w:rsid w:val="001E6E82"/>
    <w:rsid w:val="001E7639"/>
    <w:rsid w:val="001E772D"/>
    <w:rsid w:val="001E7765"/>
    <w:rsid w:val="001E78B5"/>
    <w:rsid w:val="001E792E"/>
    <w:rsid w:val="001E7EED"/>
    <w:rsid w:val="001F04D7"/>
    <w:rsid w:val="001F1267"/>
    <w:rsid w:val="001F1350"/>
    <w:rsid w:val="001F1700"/>
    <w:rsid w:val="001F1AA4"/>
    <w:rsid w:val="001F206E"/>
    <w:rsid w:val="001F2147"/>
    <w:rsid w:val="001F214C"/>
    <w:rsid w:val="001F25FE"/>
    <w:rsid w:val="001F2B85"/>
    <w:rsid w:val="001F2D8D"/>
    <w:rsid w:val="001F2DD5"/>
    <w:rsid w:val="001F35A6"/>
    <w:rsid w:val="001F3675"/>
    <w:rsid w:val="001F3761"/>
    <w:rsid w:val="001F3A5B"/>
    <w:rsid w:val="001F3BE8"/>
    <w:rsid w:val="001F3C4C"/>
    <w:rsid w:val="001F3CA6"/>
    <w:rsid w:val="001F3E97"/>
    <w:rsid w:val="001F4313"/>
    <w:rsid w:val="001F4A7D"/>
    <w:rsid w:val="001F4C8A"/>
    <w:rsid w:val="001F4CD7"/>
    <w:rsid w:val="001F4FEA"/>
    <w:rsid w:val="001F554E"/>
    <w:rsid w:val="001F56AE"/>
    <w:rsid w:val="001F5815"/>
    <w:rsid w:val="001F58FC"/>
    <w:rsid w:val="001F5A1F"/>
    <w:rsid w:val="001F5B81"/>
    <w:rsid w:val="001F5BF0"/>
    <w:rsid w:val="001F5C49"/>
    <w:rsid w:val="001F5E3F"/>
    <w:rsid w:val="001F5E79"/>
    <w:rsid w:val="001F66EA"/>
    <w:rsid w:val="001F6819"/>
    <w:rsid w:val="001F692B"/>
    <w:rsid w:val="001F6BAE"/>
    <w:rsid w:val="001F6D88"/>
    <w:rsid w:val="001F6E72"/>
    <w:rsid w:val="001F6FAA"/>
    <w:rsid w:val="001F70B6"/>
    <w:rsid w:val="001F75F3"/>
    <w:rsid w:val="001F7BE0"/>
    <w:rsid w:val="001F7DEF"/>
    <w:rsid w:val="001F7F0D"/>
    <w:rsid w:val="00200066"/>
    <w:rsid w:val="0020007B"/>
    <w:rsid w:val="002001A3"/>
    <w:rsid w:val="0020032A"/>
    <w:rsid w:val="0020033F"/>
    <w:rsid w:val="00200515"/>
    <w:rsid w:val="002005F8"/>
    <w:rsid w:val="0020096C"/>
    <w:rsid w:val="0020183F"/>
    <w:rsid w:val="00201BF2"/>
    <w:rsid w:val="00201CB2"/>
    <w:rsid w:val="00201D20"/>
    <w:rsid w:val="00201D55"/>
    <w:rsid w:val="0020237F"/>
    <w:rsid w:val="00202419"/>
    <w:rsid w:val="002024EB"/>
    <w:rsid w:val="00202542"/>
    <w:rsid w:val="00202923"/>
    <w:rsid w:val="00202A5C"/>
    <w:rsid w:val="00202B9E"/>
    <w:rsid w:val="00202F08"/>
    <w:rsid w:val="002031F1"/>
    <w:rsid w:val="002036DA"/>
    <w:rsid w:val="00203A17"/>
    <w:rsid w:val="00203CB6"/>
    <w:rsid w:val="002040C4"/>
    <w:rsid w:val="002042D9"/>
    <w:rsid w:val="00204304"/>
    <w:rsid w:val="0020465A"/>
    <w:rsid w:val="00204B28"/>
    <w:rsid w:val="00204B74"/>
    <w:rsid w:val="00204F5E"/>
    <w:rsid w:val="00205110"/>
    <w:rsid w:val="0020541B"/>
    <w:rsid w:val="00205884"/>
    <w:rsid w:val="00205DE7"/>
    <w:rsid w:val="0020609C"/>
    <w:rsid w:val="002067EE"/>
    <w:rsid w:val="00206812"/>
    <w:rsid w:val="00206928"/>
    <w:rsid w:val="00206B1A"/>
    <w:rsid w:val="00206B9F"/>
    <w:rsid w:val="00206F43"/>
    <w:rsid w:val="002070E2"/>
    <w:rsid w:val="002070EC"/>
    <w:rsid w:val="00207C5C"/>
    <w:rsid w:val="002100D7"/>
    <w:rsid w:val="00210267"/>
    <w:rsid w:val="0021030D"/>
    <w:rsid w:val="002110E8"/>
    <w:rsid w:val="002112E6"/>
    <w:rsid w:val="00211BF5"/>
    <w:rsid w:val="00211D3B"/>
    <w:rsid w:val="00211D53"/>
    <w:rsid w:val="00211FA8"/>
    <w:rsid w:val="00212021"/>
    <w:rsid w:val="00212076"/>
    <w:rsid w:val="002120A0"/>
    <w:rsid w:val="0021255C"/>
    <w:rsid w:val="00212AE3"/>
    <w:rsid w:val="00212E5E"/>
    <w:rsid w:val="00212EDC"/>
    <w:rsid w:val="00212F77"/>
    <w:rsid w:val="002130B2"/>
    <w:rsid w:val="002130B4"/>
    <w:rsid w:val="0021318C"/>
    <w:rsid w:val="00213669"/>
    <w:rsid w:val="00213712"/>
    <w:rsid w:val="00213852"/>
    <w:rsid w:val="002138BD"/>
    <w:rsid w:val="00213972"/>
    <w:rsid w:val="00213FB1"/>
    <w:rsid w:val="002141A9"/>
    <w:rsid w:val="0021455B"/>
    <w:rsid w:val="002149F8"/>
    <w:rsid w:val="00214C95"/>
    <w:rsid w:val="00214DA1"/>
    <w:rsid w:val="00214DFC"/>
    <w:rsid w:val="00215895"/>
    <w:rsid w:val="00215986"/>
    <w:rsid w:val="0021608C"/>
    <w:rsid w:val="002163DB"/>
    <w:rsid w:val="00216418"/>
    <w:rsid w:val="00216583"/>
    <w:rsid w:val="002165EC"/>
    <w:rsid w:val="00216605"/>
    <w:rsid w:val="00216E05"/>
    <w:rsid w:val="00217313"/>
    <w:rsid w:val="002173FA"/>
    <w:rsid w:val="00217580"/>
    <w:rsid w:val="00217626"/>
    <w:rsid w:val="00217A12"/>
    <w:rsid w:val="00217E38"/>
    <w:rsid w:val="00217E41"/>
    <w:rsid w:val="0022000D"/>
    <w:rsid w:val="00220298"/>
    <w:rsid w:val="00220401"/>
    <w:rsid w:val="00220A69"/>
    <w:rsid w:val="00221C5B"/>
    <w:rsid w:val="00221F45"/>
    <w:rsid w:val="002220E0"/>
    <w:rsid w:val="00222404"/>
    <w:rsid w:val="00222A86"/>
    <w:rsid w:val="00222BC9"/>
    <w:rsid w:val="00222C62"/>
    <w:rsid w:val="00222DE5"/>
    <w:rsid w:val="002231A6"/>
    <w:rsid w:val="00223291"/>
    <w:rsid w:val="00223774"/>
    <w:rsid w:val="00223A98"/>
    <w:rsid w:val="00223D05"/>
    <w:rsid w:val="00223FC3"/>
    <w:rsid w:val="00224042"/>
    <w:rsid w:val="00224132"/>
    <w:rsid w:val="002241C5"/>
    <w:rsid w:val="002243C5"/>
    <w:rsid w:val="00225052"/>
    <w:rsid w:val="0022510E"/>
    <w:rsid w:val="00225325"/>
    <w:rsid w:val="00225793"/>
    <w:rsid w:val="002261EB"/>
    <w:rsid w:val="0022655D"/>
    <w:rsid w:val="002265CC"/>
    <w:rsid w:val="00226754"/>
    <w:rsid w:val="00226CC9"/>
    <w:rsid w:val="002275A9"/>
    <w:rsid w:val="002276EA"/>
    <w:rsid w:val="0022771C"/>
    <w:rsid w:val="0022774C"/>
    <w:rsid w:val="00227CE9"/>
    <w:rsid w:val="002303CE"/>
    <w:rsid w:val="00230716"/>
    <w:rsid w:val="0023076B"/>
    <w:rsid w:val="002308C6"/>
    <w:rsid w:val="002309D6"/>
    <w:rsid w:val="0023101E"/>
    <w:rsid w:val="002310CA"/>
    <w:rsid w:val="002311D3"/>
    <w:rsid w:val="00231C00"/>
    <w:rsid w:val="00231D27"/>
    <w:rsid w:val="00232337"/>
    <w:rsid w:val="00232386"/>
    <w:rsid w:val="00232395"/>
    <w:rsid w:val="00232625"/>
    <w:rsid w:val="00232BE9"/>
    <w:rsid w:val="00232FBA"/>
    <w:rsid w:val="002330B3"/>
    <w:rsid w:val="00233117"/>
    <w:rsid w:val="00233456"/>
    <w:rsid w:val="00233FCC"/>
    <w:rsid w:val="002345E5"/>
    <w:rsid w:val="0023464C"/>
    <w:rsid w:val="00234B43"/>
    <w:rsid w:val="00234BD6"/>
    <w:rsid w:val="00234E1F"/>
    <w:rsid w:val="00234E8E"/>
    <w:rsid w:val="002351A1"/>
    <w:rsid w:val="00235454"/>
    <w:rsid w:val="00235B2E"/>
    <w:rsid w:val="00235C21"/>
    <w:rsid w:val="00235CA3"/>
    <w:rsid w:val="00235EF1"/>
    <w:rsid w:val="00235F9F"/>
    <w:rsid w:val="0023631A"/>
    <w:rsid w:val="0023635C"/>
    <w:rsid w:val="00236564"/>
    <w:rsid w:val="002370C8"/>
    <w:rsid w:val="00237518"/>
    <w:rsid w:val="002376C5"/>
    <w:rsid w:val="00237A9D"/>
    <w:rsid w:val="00237EF6"/>
    <w:rsid w:val="002406FA"/>
    <w:rsid w:val="00240BCE"/>
    <w:rsid w:val="00241666"/>
    <w:rsid w:val="00241A61"/>
    <w:rsid w:val="00241B96"/>
    <w:rsid w:val="00241BDE"/>
    <w:rsid w:val="00241E07"/>
    <w:rsid w:val="00241E63"/>
    <w:rsid w:val="00241F96"/>
    <w:rsid w:val="00242684"/>
    <w:rsid w:val="00242761"/>
    <w:rsid w:val="002427A1"/>
    <w:rsid w:val="00242919"/>
    <w:rsid w:val="00242CE3"/>
    <w:rsid w:val="00242E57"/>
    <w:rsid w:val="0024321F"/>
    <w:rsid w:val="002436D1"/>
    <w:rsid w:val="00243839"/>
    <w:rsid w:val="0024390E"/>
    <w:rsid w:val="0024393B"/>
    <w:rsid w:val="00243C11"/>
    <w:rsid w:val="00243D18"/>
    <w:rsid w:val="002445BA"/>
    <w:rsid w:val="00244F7A"/>
    <w:rsid w:val="0024504D"/>
    <w:rsid w:val="002450E6"/>
    <w:rsid w:val="0024516A"/>
    <w:rsid w:val="002451E9"/>
    <w:rsid w:val="0024540F"/>
    <w:rsid w:val="00245612"/>
    <w:rsid w:val="00245D21"/>
    <w:rsid w:val="00246016"/>
    <w:rsid w:val="0024622D"/>
    <w:rsid w:val="00246B4F"/>
    <w:rsid w:val="00247005"/>
    <w:rsid w:val="00247355"/>
    <w:rsid w:val="002473DA"/>
    <w:rsid w:val="002476BB"/>
    <w:rsid w:val="002503EB"/>
    <w:rsid w:val="00250918"/>
    <w:rsid w:val="00250EE7"/>
    <w:rsid w:val="00251088"/>
    <w:rsid w:val="002510A0"/>
    <w:rsid w:val="002510FA"/>
    <w:rsid w:val="00251353"/>
    <w:rsid w:val="00251EFF"/>
    <w:rsid w:val="0025200A"/>
    <w:rsid w:val="00252389"/>
    <w:rsid w:val="00252850"/>
    <w:rsid w:val="00252852"/>
    <w:rsid w:val="002530D3"/>
    <w:rsid w:val="0025329F"/>
    <w:rsid w:val="002533CB"/>
    <w:rsid w:val="00253478"/>
    <w:rsid w:val="002534AE"/>
    <w:rsid w:val="002538A2"/>
    <w:rsid w:val="00253B1C"/>
    <w:rsid w:val="00253C9D"/>
    <w:rsid w:val="00253CB8"/>
    <w:rsid w:val="002547F6"/>
    <w:rsid w:val="00254913"/>
    <w:rsid w:val="00254951"/>
    <w:rsid w:val="00254BE1"/>
    <w:rsid w:val="00254E3C"/>
    <w:rsid w:val="00255386"/>
    <w:rsid w:val="002557DB"/>
    <w:rsid w:val="002558C6"/>
    <w:rsid w:val="00255A0C"/>
    <w:rsid w:val="00256253"/>
    <w:rsid w:val="00256585"/>
    <w:rsid w:val="002565D7"/>
    <w:rsid w:val="002570B0"/>
    <w:rsid w:val="002573FB"/>
    <w:rsid w:val="00257767"/>
    <w:rsid w:val="002577D8"/>
    <w:rsid w:val="00257966"/>
    <w:rsid w:val="00257993"/>
    <w:rsid w:val="00257BD7"/>
    <w:rsid w:val="00257E34"/>
    <w:rsid w:val="0026007D"/>
    <w:rsid w:val="002600BD"/>
    <w:rsid w:val="002601C8"/>
    <w:rsid w:val="0026027D"/>
    <w:rsid w:val="00260CE5"/>
    <w:rsid w:val="00260E6B"/>
    <w:rsid w:val="002610C6"/>
    <w:rsid w:val="00261EFE"/>
    <w:rsid w:val="0026228C"/>
    <w:rsid w:val="002622BB"/>
    <w:rsid w:val="002622D3"/>
    <w:rsid w:val="002623CE"/>
    <w:rsid w:val="00262513"/>
    <w:rsid w:val="0026296E"/>
    <w:rsid w:val="00262C3C"/>
    <w:rsid w:val="00263298"/>
    <w:rsid w:val="002634E2"/>
    <w:rsid w:val="00263682"/>
    <w:rsid w:val="0026393D"/>
    <w:rsid w:val="00263DBA"/>
    <w:rsid w:val="00263DBF"/>
    <w:rsid w:val="00263E7D"/>
    <w:rsid w:val="00263F2B"/>
    <w:rsid w:val="00264331"/>
    <w:rsid w:val="0026468B"/>
    <w:rsid w:val="0026493E"/>
    <w:rsid w:val="00264BE2"/>
    <w:rsid w:val="00264C2D"/>
    <w:rsid w:val="00264EDE"/>
    <w:rsid w:val="00264F2F"/>
    <w:rsid w:val="00264F89"/>
    <w:rsid w:val="00265097"/>
    <w:rsid w:val="00265173"/>
    <w:rsid w:val="0026594D"/>
    <w:rsid w:val="00265C62"/>
    <w:rsid w:val="00265F66"/>
    <w:rsid w:val="00266324"/>
    <w:rsid w:val="00266397"/>
    <w:rsid w:val="00266443"/>
    <w:rsid w:val="00266790"/>
    <w:rsid w:val="00266A5B"/>
    <w:rsid w:val="00266CDA"/>
    <w:rsid w:val="00266EA1"/>
    <w:rsid w:val="00267807"/>
    <w:rsid w:val="0026795E"/>
    <w:rsid w:val="00267A83"/>
    <w:rsid w:val="00267D2F"/>
    <w:rsid w:val="00270177"/>
    <w:rsid w:val="0027032E"/>
    <w:rsid w:val="002703C1"/>
    <w:rsid w:val="002703D1"/>
    <w:rsid w:val="00270571"/>
    <w:rsid w:val="00270786"/>
    <w:rsid w:val="00270A21"/>
    <w:rsid w:val="00270B30"/>
    <w:rsid w:val="00270BD5"/>
    <w:rsid w:val="0027185A"/>
    <w:rsid w:val="00271AED"/>
    <w:rsid w:val="00271CD4"/>
    <w:rsid w:val="00271DC7"/>
    <w:rsid w:val="00271F2E"/>
    <w:rsid w:val="0027205A"/>
    <w:rsid w:val="002725CF"/>
    <w:rsid w:val="0027286E"/>
    <w:rsid w:val="00272992"/>
    <w:rsid w:val="00272B27"/>
    <w:rsid w:val="00272B88"/>
    <w:rsid w:val="00272E10"/>
    <w:rsid w:val="00273556"/>
    <w:rsid w:val="00273642"/>
    <w:rsid w:val="00273B2D"/>
    <w:rsid w:val="00273E33"/>
    <w:rsid w:val="00273FBC"/>
    <w:rsid w:val="002743C6"/>
    <w:rsid w:val="002743FC"/>
    <w:rsid w:val="002744F7"/>
    <w:rsid w:val="00274C32"/>
    <w:rsid w:val="00274D84"/>
    <w:rsid w:val="00274E7E"/>
    <w:rsid w:val="00274ECF"/>
    <w:rsid w:val="00275074"/>
    <w:rsid w:val="00275573"/>
    <w:rsid w:val="00275845"/>
    <w:rsid w:val="002759D5"/>
    <w:rsid w:val="00275D42"/>
    <w:rsid w:val="00275D52"/>
    <w:rsid w:val="00275D62"/>
    <w:rsid w:val="00275EFB"/>
    <w:rsid w:val="00276220"/>
    <w:rsid w:val="002764CF"/>
    <w:rsid w:val="00276673"/>
    <w:rsid w:val="00276DB7"/>
    <w:rsid w:val="00276E98"/>
    <w:rsid w:val="00276F7A"/>
    <w:rsid w:val="00277175"/>
    <w:rsid w:val="0027722B"/>
    <w:rsid w:val="0028019C"/>
    <w:rsid w:val="00280285"/>
    <w:rsid w:val="002802DB"/>
    <w:rsid w:val="002804F9"/>
    <w:rsid w:val="0028058E"/>
    <w:rsid w:val="002808E4"/>
    <w:rsid w:val="0028090D"/>
    <w:rsid w:val="00280953"/>
    <w:rsid w:val="00280981"/>
    <w:rsid w:val="00280C58"/>
    <w:rsid w:val="00280F95"/>
    <w:rsid w:val="00281230"/>
    <w:rsid w:val="002812DE"/>
    <w:rsid w:val="002814F2"/>
    <w:rsid w:val="002816D3"/>
    <w:rsid w:val="00281BA6"/>
    <w:rsid w:val="00281F73"/>
    <w:rsid w:val="00282570"/>
    <w:rsid w:val="00282942"/>
    <w:rsid w:val="00282AF3"/>
    <w:rsid w:val="00282C67"/>
    <w:rsid w:val="00282E19"/>
    <w:rsid w:val="0028329F"/>
    <w:rsid w:val="002839F8"/>
    <w:rsid w:val="00283B07"/>
    <w:rsid w:val="00283C1B"/>
    <w:rsid w:val="00283E26"/>
    <w:rsid w:val="00283EB9"/>
    <w:rsid w:val="00283FF2"/>
    <w:rsid w:val="00284091"/>
    <w:rsid w:val="0028415F"/>
    <w:rsid w:val="00284191"/>
    <w:rsid w:val="002847B3"/>
    <w:rsid w:val="002851B7"/>
    <w:rsid w:val="002854B8"/>
    <w:rsid w:val="0028564A"/>
    <w:rsid w:val="00285845"/>
    <w:rsid w:val="0028593F"/>
    <w:rsid w:val="002861C3"/>
    <w:rsid w:val="00286305"/>
    <w:rsid w:val="002863D4"/>
    <w:rsid w:val="0028657F"/>
    <w:rsid w:val="002866E5"/>
    <w:rsid w:val="00286CEE"/>
    <w:rsid w:val="00286D3E"/>
    <w:rsid w:val="00286F1D"/>
    <w:rsid w:val="00287413"/>
    <w:rsid w:val="00287495"/>
    <w:rsid w:val="002874F7"/>
    <w:rsid w:val="002875C6"/>
    <w:rsid w:val="00287618"/>
    <w:rsid w:val="0028780B"/>
    <w:rsid w:val="00287890"/>
    <w:rsid w:val="00290058"/>
    <w:rsid w:val="002906FD"/>
    <w:rsid w:val="002907DE"/>
    <w:rsid w:val="002907E2"/>
    <w:rsid w:val="0029097D"/>
    <w:rsid w:val="002909C5"/>
    <w:rsid w:val="00290AE8"/>
    <w:rsid w:val="00290D98"/>
    <w:rsid w:val="00291371"/>
    <w:rsid w:val="0029152D"/>
    <w:rsid w:val="002916D1"/>
    <w:rsid w:val="002917CC"/>
    <w:rsid w:val="00291DBC"/>
    <w:rsid w:val="00291DE3"/>
    <w:rsid w:val="00291F04"/>
    <w:rsid w:val="002921E9"/>
    <w:rsid w:val="00292514"/>
    <w:rsid w:val="0029260C"/>
    <w:rsid w:val="0029263E"/>
    <w:rsid w:val="00292A27"/>
    <w:rsid w:val="00292D44"/>
    <w:rsid w:val="00292D9A"/>
    <w:rsid w:val="00292DFC"/>
    <w:rsid w:val="00292EBB"/>
    <w:rsid w:val="00293102"/>
    <w:rsid w:val="002931F1"/>
    <w:rsid w:val="00293447"/>
    <w:rsid w:val="00293E94"/>
    <w:rsid w:val="00293F23"/>
    <w:rsid w:val="0029436F"/>
    <w:rsid w:val="00294453"/>
    <w:rsid w:val="00294828"/>
    <w:rsid w:val="002949DE"/>
    <w:rsid w:val="00294BFA"/>
    <w:rsid w:val="002952DD"/>
    <w:rsid w:val="002953B3"/>
    <w:rsid w:val="002953BF"/>
    <w:rsid w:val="0029563A"/>
    <w:rsid w:val="00295787"/>
    <w:rsid w:val="00295B6C"/>
    <w:rsid w:val="00295CE5"/>
    <w:rsid w:val="00295F8C"/>
    <w:rsid w:val="00296065"/>
    <w:rsid w:val="00296464"/>
    <w:rsid w:val="002964A6"/>
    <w:rsid w:val="00296740"/>
    <w:rsid w:val="002968F0"/>
    <w:rsid w:val="00296C78"/>
    <w:rsid w:val="00297057"/>
    <w:rsid w:val="0029709F"/>
    <w:rsid w:val="0029732D"/>
    <w:rsid w:val="002973FF"/>
    <w:rsid w:val="00297464"/>
    <w:rsid w:val="00297508"/>
    <w:rsid w:val="00297717"/>
    <w:rsid w:val="00297A6A"/>
    <w:rsid w:val="00297AFB"/>
    <w:rsid w:val="00297B23"/>
    <w:rsid w:val="00297F03"/>
    <w:rsid w:val="002A0175"/>
    <w:rsid w:val="002A019E"/>
    <w:rsid w:val="002A038F"/>
    <w:rsid w:val="002A045D"/>
    <w:rsid w:val="002A06F2"/>
    <w:rsid w:val="002A07BC"/>
    <w:rsid w:val="002A0993"/>
    <w:rsid w:val="002A0AA0"/>
    <w:rsid w:val="002A0BA5"/>
    <w:rsid w:val="002A0C37"/>
    <w:rsid w:val="002A0DA5"/>
    <w:rsid w:val="002A1037"/>
    <w:rsid w:val="002A1525"/>
    <w:rsid w:val="002A187F"/>
    <w:rsid w:val="002A18AD"/>
    <w:rsid w:val="002A1AD5"/>
    <w:rsid w:val="002A1BAE"/>
    <w:rsid w:val="002A1D8A"/>
    <w:rsid w:val="002A1DA8"/>
    <w:rsid w:val="002A1EBF"/>
    <w:rsid w:val="002A1EE1"/>
    <w:rsid w:val="002A2036"/>
    <w:rsid w:val="002A266B"/>
    <w:rsid w:val="002A2711"/>
    <w:rsid w:val="002A2759"/>
    <w:rsid w:val="002A3058"/>
    <w:rsid w:val="002A3A9E"/>
    <w:rsid w:val="002A3BA6"/>
    <w:rsid w:val="002A3D0D"/>
    <w:rsid w:val="002A3DFA"/>
    <w:rsid w:val="002A4018"/>
    <w:rsid w:val="002A404A"/>
    <w:rsid w:val="002A4183"/>
    <w:rsid w:val="002A4C41"/>
    <w:rsid w:val="002A4CFB"/>
    <w:rsid w:val="002A51CD"/>
    <w:rsid w:val="002A53F1"/>
    <w:rsid w:val="002A5DD5"/>
    <w:rsid w:val="002A5F0F"/>
    <w:rsid w:val="002A6059"/>
    <w:rsid w:val="002A6257"/>
    <w:rsid w:val="002A637B"/>
    <w:rsid w:val="002A67F3"/>
    <w:rsid w:val="002A6A96"/>
    <w:rsid w:val="002A6BE3"/>
    <w:rsid w:val="002A6C25"/>
    <w:rsid w:val="002A705D"/>
    <w:rsid w:val="002A7485"/>
    <w:rsid w:val="002A7A85"/>
    <w:rsid w:val="002A7D43"/>
    <w:rsid w:val="002A7DB1"/>
    <w:rsid w:val="002A7EF6"/>
    <w:rsid w:val="002A7F95"/>
    <w:rsid w:val="002B0380"/>
    <w:rsid w:val="002B0691"/>
    <w:rsid w:val="002B0E40"/>
    <w:rsid w:val="002B1329"/>
    <w:rsid w:val="002B1BBA"/>
    <w:rsid w:val="002B2187"/>
    <w:rsid w:val="002B254A"/>
    <w:rsid w:val="002B25A6"/>
    <w:rsid w:val="002B266D"/>
    <w:rsid w:val="002B269A"/>
    <w:rsid w:val="002B2770"/>
    <w:rsid w:val="002B2C8D"/>
    <w:rsid w:val="002B2CB4"/>
    <w:rsid w:val="002B2D6D"/>
    <w:rsid w:val="002B31FF"/>
    <w:rsid w:val="002B325F"/>
    <w:rsid w:val="002B3643"/>
    <w:rsid w:val="002B3708"/>
    <w:rsid w:val="002B3791"/>
    <w:rsid w:val="002B394D"/>
    <w:rsid w:val="002B4717"/>
    <w:rsid w:val="002B4815"/>
    <w:rsid w:val="002B497D"/>
    <w:rsid w:val="002B5097"/>
    <w:rsid w:val="002B59DA"/>
    <w:rsid w:val="002B5F57"/>
    <w:rsid w:val="002B604E"/>
    <w:rsid w:val="002B6AAD"/>
    <w:rsid w:val="002B6FF7"/>
    <w:rsid w:val="002B7028"/>
    <w:rsid w:val="002B7230"/>
    <w:rsid w:val="002B7663"/>
    <w:rsid w:val="002B7AA1"/>
    <w:rsid w:val="002B7F2A"/>
    <w:rsid w:val="002C01E5"/>
    <w:rsid w:val="002C02BD"/>
    <w:rsid w:val="002C03CC"/>
    <w:rsid w:val="002C04D7"/>
    <w:rsid w:val="002C0C46"/>
    <w:rsid w:val="002C1159"/>
    <w:rsid w:val="002C11FF"/>
    <w:rsid w:val="002C124B"/>
    <w:rsid w:val="002C1577"/>
    <w:rsid w:val="002C1596"/>
    <w:rsid w:val="002C16C9"/>
    <w:rsid w:val="002C1726"/>
    <w:rsid w:val="002C1C52"/>
    <w:rsid w:val="002C1CF8"/>
    <w:rsid w:val="002C1D03"/>
    <w:rsid w:val="002C2153"/>
    <w:rsid w:val="002C21AE"/>
    <w:rsid w:val="002C24CF"/>
    <w:rsid w:val="002C27D7"/>
    <w:rsid w:val="002C2B0D"/>
    <w:rsid w:val="002C2C33"/>
    <w:rsid w:val="002C2D1B"/>
    <w:rsid w:val="002C33B2"/>
    <w:rsid w:val="002C3561"/>
    <w:rsid w:val="002C3B20"/>
    <w:rsid w:val="002C4401"/>
    <w:rsid w:val="002C4549"/>
    <w:rsid w:val="002C45AF"/>
    <w:rsid w:val="002C4836"/>
    <w:rsid w:val="002C4A5F"/>
    <w:rsid w:val="002C4CC4"/>
    <w:rsid w:val="002C543C"/>
    <w:rsid w:val="002C5878"/>
    <w:rsid w:val="002C592B"/>
    <w:rsid w:val="002C59C5"/>
    <w:rsid w:val="002C5A3F"/>
    <w:rsid w:val="002C5D80"/>
    <w:rsid w:val="002C5DD6"/>
    <w:rsid w:val="002C6360"/>
    <w:rsid w:val="002C69AB"/>
    <w:rsid w:val="002C6EC9"/>
    <w:rsid w:val="002C71FF"/>
    <w:rsid w:val="002C7252"/>
    <w:rsid w:val="002D03BD"/>
    <w:rsid w:val="002D0862"/>
    <w:rsid w:val="002D0CDB"/>
    <w:rsid w:val="002D0E9B"/>
    <w:rsid w:val="002D0F72"/>
    <w:rsid w:val="002D10B9"/>
    <w:rsid w:val="002D12D8"/>
    <w:rsid w:val="002D1540"/>
    <w:rsid w:val="002D15E3"/>
    <w:rsid w:val="002D16CA"/>
    <w:rsid w:val="002D18EE"/>
    <w:rsid w:val="002D211E"/>
    <w:rsid w:val="002D221B"/>
    <w:rsid w:val="002D2422"/>
    <w:rsid w:val="002D271C"/>
    <w:rsid w:val="002D2896"/>
    <w:rsid w:val="002D29C2"/>
    <w:rsid w:val="002D3028"/>
    <w:rsid w:val="002D3091"/>
    <w:rsid w:val="002D31BD"/>
    <w:rsid w:val="002D3356"/>
    <w:rsid w:val="002D335C"/>
    <w:rsid w:val="002D33D1"/>
    <w:rsid w:val="002D378A"/>
    <w:rsid w:val="002D383F"/>
    <w:rsid w:val="002D3C06"/>
    <w:rsid w:val="002D3E3C"/>
    <w:rsid w:val="002D3F5C"/>
    <w:rsid w:val="002D4A98"/>
    <w:rsid w:val="002D4B00"/>
    <w:rsid w:val="002D5125"/>
    <w:rsid w:val="002D542E"/>
    <w:rsid w:val="002D549B"/>
    <w:rsid w:val="002D59E4"/>
    <w:rsid w:val="002D5ADA"/>
    <w:rsid w:val="002D5D9B"/>
    <w:rsid w:val="002D6168"/>
    <w:rsid w:val="002D6548"/>
    <w:rsid w:val="002D6ABE"/>
    <w:rsid w:val="002D6EBB"/>
    <w:rsid w:val="002D6F5C"/>
    <w:rsid w:val="002D6F7F"/>
    <w:rsid w:val="002D70FD"/>
    <w:rsid w:val="002D780E"/>
    <w:rsid w:val="002D7C9D"/>
    <w:rsid w:val="002E0352"/>
    <w:rsid w:val="002E042C"/>
    <w:rsid w:val="002E0E29"/>
    <w:rsid w:val="002E1688"/>
    <w:rsid w:val="002E1753"/>
    <w:rsid w:val="002E193E"/>
    <w:rsid w:val="002E1B13"/>
    <w:rsid w:val="002E1D35"/>
    <w:rsid w:val="002E1D52"/>
    <w:rsid w:val="002E208C"/>
    <w:rsid w:val="002E24CF"/>
    <w:rsid w:val="002E24E8"/>
    <w:rsid w:val="002E27B6"/>
    <w:rsid w:val="002E27C8"/>
    <w:rsid w:val="002E292D"/>
    <w:rsid w:val="002E29EA"/>
    <w:rsid w:val="002E2BFD"/>
    <w:rsid w:val="002E2CC8"/>
    <w:rsid w:val="002E31F4"/>
    <w:rsid w:val="002E3273"/>
    <w:rsid w:val="002E37AD"/>
    <w:rsid w:val="002E3F0B"/>
    <w:rsid w:val="002E413A"/>
    <w:rsid w:val="002E430E"/>
    <w:rsid w:val="002E448D"/>
    <w:rsid w:val="002E459F"/>
    <w:rsid w:val="002E47E0"/>
    <w:rsid w:val="002E4A9E"/>
    <w:rsid w:val="002E4B2F"/>
    <w:rsid w:val="002E4BAC"/>
    <w:rsid w:val="002E4CED"/>
    <w:rsid w:val="002E4F9E"/>
    <w:rsid w:val="002E52B7"/>
    <w:rsid w:val="002E566A"/>
    <w:rsid w:val="002E61C5"/>
    <w:rsid w:val="002E61DB"/>
    <w:rsid w:val="002E667D"/>
    <w:rsid w:val="002E67D0"/>
    <w:rsid w:val="002E6AD8"/>
    <w:rsid w:val="002E6F78"/>
    <w:rsid w:val="002E7060"/>
    <w:rsid w:val="002E722B"/>
    <w:rsid w:val="002E7B35"/>
    <w:rsid w:val="002E7CA3"/>
    <w:rsid w:val="002E7E9F"/>
    <w:rsid w:val="002F0307"/>
    <w:rsid w:val="002F0745"/>
    <w:rsid w:val="002F0BEF"/>
    <w:rsid w:val="002F0F31"/>
    <w:rsid w:val="002F0F96"/>
    <w:rsid w:val="002F1169"/>
    <w:rsid w:val="002F1A01"/>
    <w:rsid w:val="002F1A9B"/>
    <w:rsid w:val="002F1C21"/>
    <w:rsid w:val="002F1D2A"/>
    <w:rsid w:val="002F1FBE"/>
    <w:rsid w:val="002F219B"/>
    <w:rsid w:val="002F21B1"/>
    <w:rsid w:val="002F2636"/>
    <w:rsid w:val="002F28B6"/>
    <w:rsid w:val="002F28D8"/>
    <w:rsid w:val="002F2903"/>
    <w:rsid w:val="002F2FA2"/>
    <w:rsid w:val="002F329B"/>
    <w:rsid w:val="002F33B4"/>
    <w:rsid w:val="002F33C7"/>
    <w:rsid w:val="002F3472"/>
    <w:rsid w:val="002F353A"/>
    <w:rsid w:val="002F3A75"/>
    <w:rsid w:val="002F3F40"/>
    <w:rsid w:val="002F44DE"/>
    <w:rsid w:val="002F459A"/>
    <w:rsid w:val="002F4C40"/>
    <w:rsid w:val="002F4C6A"/>
    <w:rsid w:val="002F5488"/>
    <w:rsid w:val="002F57F4"/>
    <w:rsid w:val="002F5F83"/>
    <w:rsid w:val="002F6075"/>
    <w:rsid w:val="002F6157"/>
    <w:rsid w:val="002F61CC"/>
    <w:rsid w:val="002F6232"/>
    <w:rsid w:val="002F662D"/>
    <w:rsid w:val="002F663D"/>
    <w:rsid w:val="002F664F"/>
    <w:rsid w:val="002F680F"/>
    <w:rsid w:val="002F6C8F"/>
    <w:rsid w:val="002F6E10"/>
    <w:rsid w:val="002F78C5"/>
    <w:rsid w:val="002F7C78"/>
    <w:rsid w:val="002F7CAA"/>
    <w:rsid w:val="002F7E19"/>
    <w:rsid w:val="0030096A"/>
    <w:rsid w:val="00301195"/>
    <w:rsid w:val="003015DF"/>
    <w:rsid w:val="00301605"/>
    <w:rsid w:val="0030193A"/>
    <w:rsid w:val="00301B89"/>
    <w:rsid w:val="00301CD7"/>
    <w:rsid w:val="003020F2"/>
    <w:rsid w:val="003021F4"/>
    <w:rsid w:val="00302466"/>
    <w:rsid w:val="003027BE"/>
    <w:rsid w:val="0030280D"/>
    <w:rsid w:val="00302BB3"/>
    <w:rsid w:val="00302C5B"/>
    <w:rsid w:val="00302E3A"/>
    <w:rsid w:val="00302E60"/>
    <w:rsid w:val="0030353D"/>
    <w:rsid w:val="00303699"/>
    <w:rsid w:val="00303947"/>
    <w:rsid w:val="00303C50"/>
    <w:rsid w:val="00304292"/>
    <w:rsid w:val="0030429C"/>
    <w:rsid w:val="00304335"/>
    <w:rsid w:val="00304354"/>
    <w:rsid w:val="0030436D"/>
    <w:rsid w:val="00304584"/>
    <w:rsid w:val="003045AC"/>
    <w:rsid w:val="00304E3D"/>
    <w:rsid w:val="00305221"/>
    <w:rsid w:val="0030529D"/>
    <w:rsid w:val="0030552F"/>
    <w:rsid w:val="00305CC0"/>
    <w:rsid w:val="00305F70"/>
    <w:rsid w:val="00306044"/>
    <w:rsid w:val="00306058"/>
    <w:rsid w:val="00306677"/>
    <w:rsid w:val="003066EC"/>
    <w:rsid w:val="00306851"/>
    <w:rsid w:val="00306B5A"/>
    <w:rsid w:val="00306E5E"/>
    <w:rsid w:val="0030703A"/>
    <w:rsid w:val="00307045"/>
    <w:rsid w:val="00307519"/>
    <w:rsid w:val="003076BE"/>
    <w:rsid w:val="00307887"/>
    <w:rsid w:val="00307A3A"/>
    <w:rsid w:val="00307AAE"/>
    <w:rsid w:val="00307AD5"/>
    <w:rsid w:val="00307BB0"/>
    <w:rsid w:val="00307CD5"/>
    <w:rsid w:val="003102BB"/>
    <w:rsid w:val="0031045D"/>
    <w:rsid w:val="0031046A"/>
    <w:rsid w:val="003104D0"/>
    <w:rsid w:val="00310614"/>
    <w:rsid w:val="00310904"/>
    <w:rsid w:val="00310AAC"/>
    <w:rsid w:val="00310D29"/>
    <w:rsid w:val="00311139"/>
    <w:rsid w:val="003111F3"/>
    <w:rsid w:val="003113A6"/>
    <w:rsid w:val="00311617"/>
    <w:rsid w:val="0031165B"/>
    <w:rsid w:val="00311665"/>
    <w:rsid w:val="00311C80"/>
    <w:rsid w:val="003123C3"/>
    <w:rsid w:val="00312818"/>
    <w:rsid w:val="00312C39"/>
    <w:rsid w:val="0031363B"/>
    <w:rsid w:val="003139B3"/>
    <w:rsid w:val="00313E54"/>
    <w:rsid w:val="0031417D"/>
    <w:rsid w:val="003145E8"/>
    <w:rsid w:val="00314B1D"/>
    <w:rsid w:val="00314BC1"/>
    <w:rsid w:val="00314E17"/>
    <w:rsid w:val="00315A63"/>
    <w:rsid w:val="00315B4D"/>
    <w:rsid w:val="00315BA3"/>
    <w:rsid w:val="00316603"/>
    <w:rsid w:val="00316B79"/>
    <w:rsid w:val="00316D33"/>
    <w:rsid w:val="0031718C"/>
    <w:rsid w:val="00317391"/>
    <w:rsid w:val="00317427"/>
    <w:rsid w:val="00317488"/>
    <w:rsid w:val="003174A9"/>
    <w:rsid w:val="0031776A"/>
    <w:rsid w:val="00317ADD"/>
    <w:rsid w:val="00317AFE"/>
    <w:rsid w:val="00320BFD"/>
    <w:rsid w:val="00320D2D"/>
    <w:rsid w:val="00321205"/>
    <w:rsid w:val="003213C0"/>
    <w:rsid w:val="0032147C"/>
    <w:rsid w:val="0032181F"/>
    <w:rsid w:val="00321895"/>
    <w:rsid w:val="00322070"/>
    <w:rsid w:val="0032248E"/>
    <w:rsid w:val="00322BE3"/>
    <w:rsid w:val="00322D61"/>
    <w:rsid w:val="0032303E"/>
    <w:rsid w:val="0032311A"/>
    <w:rsid w:val="00323B93"/>
    <w:rsid w:val="00323EA7"/>
    <w:rsid w:val="003244C5"/>
    <w:rsid w:val="00324592"/>
    <w:rsid w:val="0032465B"/>
    <w:rsid w:val="00324C73"/>
    <w:rsid w:val="00324EEE"/>
    <w:rsid w:val="0032541F"/>
    <w:rsid w:val="003254AE"/>
    <w:rsid w:val="00325693"/>
    <w:rsid w:val="003256E3"/>
    <w:rsid w:val="00325B5D"/>
    <w:rsid w:val="00325DE8"/>
    <w:rsid w:val="00325E45"/>
    <w:rsid w:val="003263BC"/>
    <w:rsid w:val="003265DA"/>
    <w:rsid w:val="00326B43"/>
    <w:rsid w:val="00327090"/>
    <w:rsid w:val="003275F2"/>
    <w:rsid w:val="00327F65"/>
    <w:rsid w:val="0033022B"/>
    <w:rsid w:val="0033063C"/>
    <w:rsid w:val="0033097E"/>
    <w:rsid w:val="00330EED"/>
    <w:rsid w:val="00330F67"/>
    <w:rsid w:val="00330F69"/>
    <w:rsid w:val="0033158B"/>
    <w:rsid w:val="00331685"/>
    <w:rsid w:val="00331D37"/>
    <w:rsid w:val="00332200"/>
    <w:rsid w:val="00332210"/>
    <w:rsid w:val="0033250D"/>
    <w:rsid w:val="0033277F"/>
    <w:rsid w:val="00332A3A"/>
    <w:rsid w:val="00332DB7"/>
    <w:rsid w:val="00332F2C"/>
    <w:rsid w:val="0033310A"/>
    <w:rsid w:val="003332C5"/>
    <w:rsid w:val="00333636"/>
    <w:rsid w:val="00333671"/>
    <w:rsid w:val="003336AA"/>
    <w:rsid w:val="003336F8"/>
    <w:rsid w:val="003339AD"/>
    <w:rsid w:val="00333E70"/>
    <w:rsid w:val="003340AA"/>
    <w:rsid w:val="00334582"/>
    <w:rsid w:val="003347D7"/>
    <w:rsid w:val="00334955"/>
    <w:rsid w:val="00334A1D"/>
    <w:rsid w:val="00334B48"/>
    <w:rsid w:val="00334B9A"/>
    <w:rsid w:val="00334E6B"/>
    <w:rsid w:val="00334F7F"/>
    <w:rsid w:val="003351B6"/>
    <w:rsid w:val="003352A5"/>
    <w:rsid w:val="00335ADB"/>
    <w:rsid w:val="00335E67"/>
    <w:rsid w:val="00336BCE"/>
    <w:rsid w:val="00336C0A"/>
    <w:rsid w:val="00336C14"/>
    <w:rsid w:val="0033702D"/>
    <w:rsid w:val="00337AF4"/>
    <w:rsid w:val="00337C26"/>
    <w:rsid w:val="00337FE2"/>
    <w:rsid w:val="00340218"/>
    <w:rsid w:val="00340412"/>
    <w:rsid w:val="0034065F"/>
    <w:rsid w:val="00341193"/>
    <w:rsid w:val="00341268"/>
    <w:rsid w:val="00341336"/>
    <w:rsid w:val="00341AD9"/>
    <w:rsid w:val="00341B38"/>
    <w:rsid w:val="00341B74"/>
    <w:rsid w:val="00341DBB"/>
    <w:rsid w:val="003421C8"/>
    <w:rsid w:val="00342398"/>
    <w:rsid w:val="003424EC"/>
    <w:rsid w:val="0034253F"/>
    <w:rsid w:val="0034257E"/>
    <w:rsid w:val="00342907"/>
    <w:rsid w:val="003429D3"/>
    <w:rsid w:val="00342B08"/>
    <w:rsid w:val="00342DF6"/>
    <w:rsid w:val="003431F4"/>
    <w:rsid w:val="00343372"/>
    <w:rsid w:val="00343AE9"/>
    <w:rsid w:val="00343F35"/>
    <w:rsid w:val="00344297"/>
    <w:rsid w:val="003446DB"/>
    <w:rsid w:val="00344796"/>
    <w:rsid w:val="0034499F"/>
    <w:rsid w:val="00344A63"/>
    <w:rsid w:val="00344A8C"/>
    <w:rsid w:val="00344C61"/>
    <w:rsid w:val="00344CBA"/>
    <w:rsid w:val="00344D9A"/>
    <w:rsid w:val="00344DFC"/>
    <w:rsid w:val="0034534E"/>
    <w:rsid w:val="003453EE"/>
    <w:rsid w:val="00345819"/>
    <w:rsid w:val="00345CA6"/>
    <w:rsid w:val="003461FE"/>
    <w:rsid w:val="00346404"/>
    <w:rsid w:val="00346466"/>
    <w:rsid w:val="003469B4"/>
    <w:rsid w:val="00346A1E"/>
    <w:rsid w:val="00346CB4"/>
    <w:rsid w:val="003471DB"/>
    <w:rsid w:val="003473B6"/>
    <w:rsid w:val="003476FF"/>
    <w:rsid w:val="00347927"/>
    <w:rsid w:val="00347929"/>
    <w:rsid w:val="0035040D"/>
    <w:rsid w:val="00350726"/>
    <w:rsid w:val="003508CD"/>
    <w:rsid w:val="00350EB3"/>
    <w:rsid w:val="00351155"/>
    <w:rsid w:val="00351C5D"/>
    <w:rsid w:val="00351D1E"/>
    <w:rsid w:val="00351EB8"/>
    <w:rsid w:val="0035242B"/>
    <w:rsid w:val="0035260D"/>
    <w:rsid w:val="0035261C"/>
    <w:rsid w:val="003529BC"/>
    <w:rsid w:val="00352ABA"/>
    <w:rsid w:val="00352E03"/>
    <w:rsid w:val="0035317E"/>
    <w:rsid w:val="0035350B"/>
    <w:rsid w:val="00353653"/>
    <w:rsid w:val="003536A5"/>
    <w:rsid w:val="0035396B"/>
    <w:rsid w:val="0035399F"/>
    <w:rsid w:val="00353CB9"/>
    <w:rsid w:val="00353D4E"/>
    <w:rsid w:val="00353E5B"/>
    <w:rsid w:val="00353F25"/>
    <w:rsid w:val="0035419E"/>
    <w:rsid w:val="00354390"/>
    <w:rsid w:val="00354418"/>
    <w:rsid w:val="00354521"/>
    <w:rsid w:val="003547CB"/>
    <w:rsid w:val="00354C57"/>
    <w:rsid w:val="00354DAA"/>
    <w:rsid w:val="00354FBC"/>
    <w:rsid w:val="003553A3"/>
    <w:rsid w:val="0035574E"/>
    <w:rsid w:val="00355A43"/>
    <w:rsid w:val="00355E70"/>
    <w:rsid w:val="00356194"/>
    <w:rsid w:val="00356704"/>
    <w:rsid w:val="003568F2"/>
    <w:rsid w:val="00356FE4"/>
    <w:rsid w:val="00357222"/>
    <w:rsid w:val="00357243"/>
    <w:rsid w:val="00357A17"/>
    <w:rsid w:val="00357C7D"/>
    <w:rsid w:val="00357E37"/>
    <w:rsid w:val="00357E92"/>
    <w:rsid w:val="00357F97"/>
    <w:rsid w:val="003601F6"/>
    <w:rsid w:val="00360225"/>
    <w:rsid w:val="0036047D"/>
    <w:rsid w:val="00360D6B"/>
    <w:rsid w:val="003614C8"/>
    <w:rsid w:val="00361570"/>
    <w:rsid w:val="003617A6"/>
    <w:rsid w:val="003619A8"/>
    <w:rsid w:val="00361BB1"/>
    <w:rsid w:val="00361E3E"/>
    <w:rsid w:val="00362277"/>
    <w:rsid w:val="00362422"/>
    <w:rsid w:val="003634D0"/>
    <w:rsid w:val="003634F7"/>
    <w:rsid w:val="003635AE"/>
    <w:rsid w:val="00363664"/>
    <w:rsid w:val="003637EF"/>
    <w:rsid w:val="00363947"/>
    <w:rsid w:val="00363F6E"/>
    <w:rsid w:val="0036438E"/>
    <w:rsid w:val="00364AE3"/>
    <w:rsid w:val="00364AED"/>
    <w:rsid w:val="00364BF1"/>
    <w:rsid w:val="003650C6"/>
    <w:rsid w:val="00365162"/>
    <w:rsid w:val="003654A6"/>
    <w:rsid w:val="00365A7A"/>
    <w:rsid w:val="00365AEF"/>
    <w:rsid w:val="00366481"/>
    <w:rsid w:val="0036681D"/>
    <w:rsid w:val="00366A9B"/>
    <w:rsid w:val="00366B9D"/>
    <w:rsid w:val="00366BF8"/>
    <w:rsid w:val="00366C56"/>
    <w:rsid w:val="003670B2"/>
    <w:rsid w:val="003670B9"/>
    <w:rsid w:val="0036745B"/>
    <w:rsid w:val="003676F4"/>
    <w:rsid w:val="003679A5"/>
    <w:rsid w:val="003679C5"/>
    <w:rsid w:val="00367A31"/>
    <w:rsid w:val="00367A38"/>
    <w:rsid w:val="00367B76"/>
    <w:rsid w:val="00370465"/>
    <w:rsid w:val="00370516"/>
    <w:rsid w:val="00370ADB"/>
    <w:rsid w:val="0037150E"/>
    <w:rsid w:val="00371648"/>
    <w:rsid w:val="00371C16"/>
    <w:rsid w:val="00371D54"/>
    <w:rsid w:val="00371D8C"/>
    <w:rsid w:val="00371E37"/>
    <w:rsid w:val="00372178"/>
    <w:rsid w:val="00372214"/>
    <w:rsid w:val="00372306"/>
    <w:rsid w:val="00372840"/>
    <w:rsid w:val="00372A7F"/>
    <w:rsid w:val="00372DCE"/>
    <w:rsid w:val="00372F5B"/>
    <w:rsid w:val="00373308"/>
    <w:rsid w:val="003736FC"/>
    <w:rsid w:val="00373903"/>
    <w:rsid w:val="00373DBE"/>
    <w:rsid w:val="0037404D"/>
    <w:rsid w:val="00374112"/>
    <w:rsid w:val="00374637"/>
    <w:rsid w:val="0037469B"/>
    <w:rsid w:val="00374907"/>
    <w:rsid w:val="00374B7C"/>
    <w:rsid w:val="00374C79"/>
    <w:rsid w:val="00374D31"/>
    <w:rsid w:val="00374E90"/>
    <w:rsid w:val="003756E4"/>
    <w:rsid w:val="00375709"/>
    <w:rsid w:val="00375FBB"/>
    <w:rsid w:val="00376424"/>
    <w:rsid w:val="00376425"/>
    <w:rsid w:val="00376511"/>
    <w:rsid w:val="00376578"/>
    <w:rsid w:val="003766FC"/>
    <w:rsid w:val="00376965"/>
    <w:rsid w:val="00376C56"/>
    <w:rsid w:val="00376E5D"/>
    <w:rsid w:val="00377B25"/>
    <w:rsid w:val="00377B9A"/>
    <w:rsid w:val="00377DFC"/>
    <w:rsid w:val="00377EC5"/>
    <w:rsid w:val="00377F06"/>
    <w:rsid w:val="00380446"/>
    <w:rsid w:val="00380574"/>
    <w:rsid w:val="00380727"/>
    <w:rsid w:val="0038077B"/>
    <w:rsid w:val="003809E3"/>
    <w:rsid w:val="003817F4"/>
    <w:rsid w:val="00381C0C"/>
    <w:rsid w:val="00381D16"/>
    <w:rsid w:val="00381FF4"/>
    <w:rsid w:val="00382273"/>
    <w:rsid w:val="00382887"/>
    <w:rsid w:val="00382A83"/>
    <w:rsid w:val="00382AB3"/>
    <w:rsid w:val="00382BB2"/>
    <w:rsid w:val="00382D57"/>
    <w:rsid w:val="0038304C"/>
    <w:rsid w:val="0038319F"/>
    <w:rsid w:val="00383483"/>
    <w:rsid w:val="00383646"/>
    <w:rsid w:val="0038384F"/>
    <w:rsid w:val="0038397C"/>
    <w:rsid w:val="0038441C"/>
    <w:rsid w:val="003846CF"/>
    <w:rsid w:val="00384947"/>
    <w:rsid w:val="00384B22"/>
    <w:rsid w:val="00384DC7"/>
    <w:rsid w:val="00384E13"/>
    <w:rsid w:val="00384EDD"/>
    <w:rsid w:val="00384FBE"/>
    <w:rsid w:val="00385303"/>
    <w:rsid w:val="003853D1"/>
    <w:rsid w:val="003854DE"/>
    <w:rsid w:val="00385747"/>
    <w:rsid w:val="00385781"/>
    <w:rsid w:val="00385E00"/>
    <w:rsid w:val="00386294"/>
    <w:rsid w:val="003862FD"/>
    <w:rsid w:val="00386945"/>
    <w:rsid w:val="00386ADB"/>
    <w:rsid w:val="00386EC7"/>
    <w:rsid w:val="003874D6"/>
    <w:rsid w:val="00387687"/>
    <w:rsid w:val="003878E6"/>
    <w:rsid w:val="003879A9"/>
    <w:rsid w:val="00387B13"/>
    <w:rsid w:val="00387C91"/>
    <w:rsid w:val="003901E5"/>
    <w:rsid w:val="003902EB"/>
    <w:rsid w:val="003903B9"/>
    <w:rsid w:val="003903D8"/>
    <w:rsid w:val="00390543"/>
    <w:rsid w:val="003908DF"/>
    <w:rsid w:val="00390A42"/>
    <w:rsid w:val="00390A44"/>
    <w:rsid w:val="00390B03"/>
    <w:rsid w:val="00390C26"/>
    <w:rsid w:val="00391654"/>
    <w:rsid w:val="00391B36"/>
    <w:rsid w:val="00391BC0"/>
    <w:rsid w:val="0039201F"/>
    <w:rsid w:val="00392183"/>
    <w:rsid w:val="00392293"/>
    <w:rsid w:val="00392659"/>
    <w:rsid w:val="00392BBF"/>
    <w:rsid w:val="00392C8D"/>
    <w:rsid w:val="00392E1D"/>
    <w:rsid w:val="00392F33"/>
    <w:rsid w:val="00393894"/>
    <w:rsid w:val="00393C5F"/>
    <w:rsid w:val="00394071"/>
    <w:rsid w:val="00394165"/>
    <w:rsid w:val="0039420D"/>
    <w:rsid w:val="003945FC"/>
    <w:rsid w:val="00394689"/>
    <w:rsid w:val="00394F8A"/>
    <w:rsid w:val="00395178"/>
    <w:rsid w:val="00395834"/>
    <w:rsid w:val="00395998"/>
    <w:rsid w:val="00395B15"/>
    <w:rsid w:val="0039606A"/>
    <w:rsid w:val="0039626F"/>
    <w:rsid w:val="00396631"/>
    <w:rsid w:val="00396A8F"/>
    <w:rsid w:val="00396C0C"/>
    <w:rsid w:val="00396CB1"/>
    <w:rsid w:val="003975C6"/>
    <w:rsid w:val="00397886"/>
    <w:rsid w:val="0039788D"/>
    <w:rsid w:val="00397BEE"/>
    <w:rsid w:val="003A04F4"/>
    <w:rsid w:val="003A077C"/>
    <w:rsid w:val="003A093E"/>
    <w:rsid w:val="003A0BDA"/>
    <w:rsid w:val="003A0BE0"/>
    <w:rsid w:val="003A11DB"/>
    <w:rsid w:val="003A15CB"/>
    <w:rsid w:val="003A17BF"/>
    <w:rsid w:val="003A190D"/>
    <w:rsid w:val="003A2AB2"/>
    <w:rsid w:val="003A2D98"/>
    <w:rsid w:val="003A2DC0"/>
    <w:rsid w:val="003A3098"/>
    <w:rsid w:val="003A3156"/>
    <w:rsid w:val="003A3250"/>
    <w:rsid w:val="003A3623"/>
    <w:rsid w:val="003A3742"/>
    <w:rsid w:val="003A3744"/>
    <w:rsid w:val="003A399B"/>
    <w:rsid w:val="003A3F02"/>
    <w:rsid w:val="003A4016"/>
    <w:rsid w:val="003A43D3"/>
    <w:rsid w:val="003A44AB"/>
    <w:rsid w:val="003A44B0"/>
    <w:rsid w:val="003A45AC"/>
    <w:rsid w:val="003A4796"/>
    <w:rsid w:val="003A4801"/>
    <w:rsid w:val="003A4977"/>
    <w:rsid w:val="003A4C41"/>
    <w:rsid w:val="003A4E5B"/>
    <w:rsid w:val="003A4FCC"/>
    <w:rsid w:val="003A5040"/>
    <w:rsid w:val="003A51AA"/>
    <w:rsid w:val="003A53F9"/>
    <w:rsid w:val="003A57FE"/>
    <w:rsid w:val="003A5C4C"/>
    <w:rsid w:val="003A5C99"/>
    <w:rsid w:val="003A5DD1"/>
    <w:rsid w:val="003A6778"/>
    <w:rsid w:val="003A68F2"/>
    <w:rsid w:val="003A69EB"/>
    <w:rsid w:val="003A6ACE"/>
    <w:rsid w:val="003A6E1E"/>
    <w:rsid w:val="003A6FB3"/>
    <w:rsid w:val="003A7026"/>
    <w:rsid w:val="003A71AC"/>
    <w:rsid w:val="003A72E7"/>
    <w:rsid w:val="003A774B"/>
    <w:rsid w:val="003A7C37"/>
    <w:rsid w:val="003B02AD"/>
    <w:rsid w:val="003B0B98"/>
    <w:rsid w:val="003B0EF1"/>
    <w:rsid w:val="003B0F08"/>
    <w:rsid w:val="003B0F2D"/>
    <w:rsid w:val="003B1133"/>
    <w:rsid w:val="003B121B"/>
    <w:rsid w:val="003B14FA"/>
    <w:rsid w:val="003B175F"/>
    <w:rsid w:val="003B1CAA"/>
    <w:rsid w:val="003B24DA"/>
    <w:rsid w:val="003B28E8"/>
    <w:rsid w:val="003B2A08"/>
    <w:rsid w:val="003B2DEB"/>
    <w:rsid w:val="003B2E51"/>
    <w:rsid w:val="003B2EA7"/>
    <w:rsid w:val="003B2FAE"/>
    <w:rsid w:val="003B38CE"/>
    <w:rsid w:val="003B40AD"/>
    <w:rsid w:val="003B42A8"/>
    <w:rsid w:val="003B434B"/>
    <w:rsid w:val="003B4404"/>
    <w:rsid w:val="003B458F"/>
    <w:rsid w:val="003B4979"/>
    <w:rsid w:val="003B4AAF"/>
    <w:rsid w:val="003B4C01"/>
    <w:rsid w:val="003B5628"/>
    <w:rsid w:val="003B5945"/>
    <w:rsid w:val="003B5E57"/>
    <w:rsid w:val="003B6229"/>
    <w:rsid w:val="003B642B"/>
    <w:rsid w:val="003B6811"/>
    <w:rsid w:val="003B6BB9"/>
    <w:rsid w:val="003B6C39"/>
    <w:rsid w:val="003B6CC0"/>
    <w:rsid w:val="003B6D38"/>
    <w:rsid w:val="003B782C"/>
    <w:rsid w:val="003B7908"/>
    <w:rsid w:val="003C03AD"/>
    <w:rsid w:val="003C03D9"/>
    <w:rsid w:val="003C04B8"/>
    <w:rsid w:val="003C08F6"/>
    <w:rsid w:val="003C0A82"/>
    <w:rsid w:val="003C0B0D"/>
    <w:rsid w:val="003C0BA5"/>
    <w:rsid w:val="003C1079"/>
    <w:rsid w:val="003C10FD"/>
    <w:rsid w:val="003C1428"/>
    <w:rsid w:val="003C15E6"/>
    <w:rsid w:val="003C17FB"/>
    <w:rsid w:val="003C1A86"/>
    <w:rsid w:val="003C1BBA"/>
    <w:rsid w:val="003C20D1"/>
    <w:rsid w:val="003C22FE"/>
    <w:rsid w:val="003C2319"/>
    <w:rsid w:val="003C235F"/>
    <w:rsid w:val="003C2396"/>
    <w:rsid w:val="003C2B2B"/>
    <w:rsid w:val="003C316D"/>
    <w:rsid w:val="003C360C"/>
    <w:rsid w:val="003C36FF"/>
    <w:rsid w:val="003C37DE"/>
    <w:rsid w:val="003C3898"/>
    <w:rsid w:val="003C38A3"/>
    <w:rsid w:val="003C3982"/>
    <w:rsid w:val="003C39A9"/>
    <w:rsid w:val="003C3AD8"/>
    <w:rsid w:val="003C4054"/>
    <w:rsid w:val="003C4638"/>
    <w:rsid w:val="003C49EF"/>
    <w:rsid w:val="003C4B78"/>
    <w:rsid w:val="003C4DBF"/>
    <w:rsid w:val="003C529C"/>
    <w:rsid w:val="003C5AD8"/>
    <w:rsid w:val="003C5CFD"/>
    <w:rsid w:val="003C5D35"/>
    <w:rsid w:val="003C5D38"/>
    <w:rsid w:val="003C60C9"/>
    <w:rsid w:val="003C60EC"/>
    <w:rsid w:val="003C61FD"/>
    <w:rsid w:val="003C6234"/>
    <w:rsid w:val="003C668B"/>
    <w:rsid w:val="003C6D28"/>
    <w:rsid w:val="003C70AC"/>
    <w:rsid w:val="003C7531"/>
    <w:rsid w:val="003C756C"/>
    <w:rsid w:val="003D0808"/>
    <w:rsid w:val="003D0BE6"/>
    <w:rsid w:val="003D0BFB"/>
    <w:rsid w:val="003D0CF1"/>
    <w:rsid w:val="003D0E71"/>
    <w:rsid w:val="003D0F48"/>
    <w:rsid w:val="003D1082"/>
    <w:rsid w:val="003D1107"/>
    <w:rsid w:val="003D1A02"/>
    <w:rsid w:val="003D224F"/>
    <w:rsid w:val="003D2268"/>
    <w:rsid w:val="003D24AA"/>
    <w:rsid w:val="003D2730"/>
    <w:rsid w:val="003D27F6"/>
    <w:rsid w:val="003D2967"/>
    <w:rsid w:val="003D2CBA"/>
    <w:rsid w:val="003D35D7"/>
    <w:rsid w:val="003D36EE"/>
    <w:rsid w:val="003D39D5"/>
    <w:rsid w:val="003D3AD3"/>
    <w:rsid w:val="003D3AD6"/>
    <w:rsid w:val="003D3D99"/>
    <w:rsid w:val="003D3ED0"/>
    <w:rsid w:val="003D3F7F"/>
    <w:rsid w:val="003D444B"/>
    <w:rsid w:val="003D44D2"/>
    <w:rsid w:val="003D4536"/>
    <w:rsid w:val="003D4896"/>
    <w:rsid w:val="003D4AE0"/>
    <w:rsid w:val="003D4FD5"/>
    <w:rsid w:val="003D5486"/>
    <w:rsid w:val="003D548B"/>
    <w:rsid w:val="003D5A0F"/>
    <w:rsid w:val="003D5E3E"/>
    <w:rsid w:val="003D5EB8"/>
    <w:rsid w:val="003D5FA0"/>
    <w:rsid w:val="003D63EB"/>
    <w:rsid w:val="003D657A"/>
    <w:rsid w:val="003D65E4"/>
    <w:rsid w:val="003D65FE"/>
    <w:rsid w:val="003D664E"/>
    <w:rsid w:val="003D6D88"/>
    <w:rsid w:val="003D6F99"/>
    <w:rsid w:val="003D7012"/>
    <w:rsid w:val="003D725B"/>
    <w:rsid w:val="003D771E"/>
    <w:rsid w:val="003D7A94"/>
    <w:rsid w:val="003D7B62"/>
    <w:rsid w:val="003D7CB4"/>
    <w:rsid w:val="003E0244"/>
    <w:rsid w:val="003E04C2"/>
    <w:rsid w:val="003E0717"/>
    <w:rsid w:val="003E076C"/>
    <w:rsid w:val="003E0D14"/>
    <w:rsid w:val="003E0FE6"/>
    <w:rsid w:val="003E0FFD"/>
    <w:rsid w:val="003E120B"/>
    <w:rsid w:val="003E12C4"/>
    <w:rsid w:val="003E156D"/>
    <w:rsid w:val="003E158A"/>
    <w:rsid w:val="003E15B4"/>
    <w:rsid w:val="003E172C"/>
    <w:rsid w:val="003E1812"/>
    <w:rsid w:val="003E1856"/>
    <w:rsid w:val="003E1DCC"/>
    <w:rsid w:val="003E2C96"/>
    <w:rsid w:val="003E2DE3"/>
    <w:rsid w:val="003E2F7B"/>
    <w:rsid w:val="003E33A4"/>
    <w:rsid w:val="003E355D"/>
    <w:rsid w:val="003E35CB"/>
    <w:rsid w:val="003E3722"/>
    <w:rsid w:val="003E3AC1"/>
    <w:rsid w:val="003E3C87"/>
    <w:rsid w:val="003E40E9"/>
    <w:rsid w:val="003E43FF"/>
    <w:rsid w:val="003E455D"/>
    <w:rsid w:val="003E483F"/>
    <w:rsid w:val="003E4B00"/>
    <w:rsid w:val="003E4D1A"/>
    <w:rsid w:val="003E4F51"/>
    <w:rsid w:val="003E51BE"/>
    <w:rsid w:val="003E53C5"/>
    <w:rsid w:val="003E5679"/>
    <w:rsid w:val="003E5B37"/>
    <w:rsid w:val="003E5BB8"/>
    <w:rsid w:val="003E5E98"/>
    <w:rsid w:val="003E5EFF"/>
    <w:rsid w:val="003E61D7"/>
    <w:rsid w:val="003E62C9"/>
    <w:rsid w:val="003E6411"/>
    <w:rsid w:val="003E6497"/>
    <w:rsid w:val="003E6BFD"/>
    <w:rsid w:val="003E6DE2"/>
    <w:rsid w:val="003E6E34"/>
    <w:rsid w:val="003E703B"/>
    <w:rsid w:val="003E7175"/>
    <w:rsid w:val="003E7320"/>
    <w:rsid w:val="003E75EC"/>
    <w:rsid w:val="003E763C"/>
    <w:rsid w:val="003E7664"/>
    <w:rsid w:val="003E7969"/>
    <w:rsid w:val="003E7CB2"/>
    <w:rsid w:val="003E7F64"/>
    <w:rsid w:val="003E7FE9"/>
    <w:rsid w:val="003F0136"/>
    <w:rsid w:val="003F01DB"/>
    <w:rsid w:val="003F029C"/>
    <w:rsid w:val="003F0763"/>
    <w:rsid w:val="003F0CC3"/>
    <w:rsid w:val="003F11CC"/>
    <w:rsid w:val="003F1612"/>
    <w:rsid w:val="003F163E"/>
    <w:rsid w:val="003F1A62"/>
    <w:rsid w:val="003F1C0F"/>
    <w:rsid w:val="003F1C6A"/>
    <w:rsid w:val="003F1F02"/>
    <w:rsid w:val="003F1FD4"/>
    <w:rsid w:val="003F25C0"/>
    <w:rsid w:val="003F299E"/>
    <w:rsid w:val="003F2CCF"/>
    <w:rsid w:val="003F2F5F"/>
    <w:rsid w:val="003F3313"/>
    <w:rsid w:val="003F37EC"/>
    <w:rsid w:val="003F3A4B"/>
    <w:rsid w:val="003F40A1"/>
    <w:rsid w:val="003F441C"/>
    <w:rsid w:val="003F5941"/>
    <w:rsid w:val="003F5B04"/>
    <w:rsid w:val="003F659F"/>
    <w:rsid w:val="003F6638"/>
    <w:rsid w:val="003F68FA"/>
    <w:rsid w:val="003F6999"/>
    <w:rsid w:val="003F6BA1"/>
    <w:rsid w:val="003F6F16"/>
    <w:rsid w:val="003F7245"/>
    <w:rsid w:val="003F77EC"/>
    <w:rsid w:val="003F7DE9"/>
    <w:rsid w:val="00400C19"/>
    <w:rsid w:val="00400C55"/>
    <w:rsid w:val="00400CE5"/>
    <w:rsid w:val="00401195"/>
    <w:rsid w:val="00401217"/>
    <w:rsid w:val="004014C4"/>
    <w:rsid w:val="00401600"/>
    <w:rsid w:val="004016D9"/>
    <w:rsid w:val="00402027"/>
    <w:rsid w:val="004027A8"/>
    <w:rsid w:val="00402BBA"/>
    <w:rsid w:val="00402E5D"/>
    <w:rsid w:val="0040302D"/>
    <w:rsid w:val="004031FA"/>
    <w:rsid w:val="00403424"/>
    <w:rsid w:val="00403494"/>
    <w:rsid w:val="004034D6"/>
    <w:rsid w:val="0040380E"/>
    <w:rsid w:val="004038D0"/>
    <w:rsid w:val="0040393B"/>
    <w:rsid w:val="00403948"/>
    <w:rsid w:val="00403D06"/>
    <w:rsid w:val="00403ECE"/>
    <w:rsid w:val="004040AD"/>
    <w:rsid w:val="00404248"/>
    <w:rsid w:val="00404786"/>
    <w:rsid w:val="00404E88"/>
    <w:rsid w:val="00406AD3"/>
    <w:rsid w:val="00406B69"/>
    <w:rsid w:val="00406D3D"/>
    <w:rsid w:val="00406E56"/>
    <w:rsid w:val="00406F0D"/>
    <w:rsid w:val="00407120"/>
    <w:rsid w:val="0040764B"/>
    <w:rsid w:val="0040772D"/>
    <w:rsid w:val="00410FF0"/>
    <w:rsid w:val="0041112F"/>
    <w:rsid w:val="0041134E"/>
    <w:rsid w:val="00411636"/>
    <w:rsid w:val="00411698"/>
    <w:rsid w:val="00411746"/>
    <w:rsid w:val="004118FC"/>
    <w:rsid w:val="00411952"/>
    <w:rsid w:val="00411959"/>
    <w:rsid w:val="0041199F"/>
    <w:rsid w:val="00411A69"/>
    <w:rsid w:val="00411A81"/>
    <w:rsid w:val="00411E47"/>
    <w:rsid w:val="00411F86"/>
    <w:rsid w:val="00412065"/>
    <w:rsid w:val="00412184"/>
    <w:rsid w:val="004122DC"/>
    <w:rsid w:val="00412835"/>
    <w:rsid w:val="00412A96"/>
    <w:rsid w:val="00412C44"/>
    <w:rsid w:val="00412E44"/>
    <w:rsid w:val="00412F82"/>
    <w:rsid w:val="0041340C"/>
    <w:rsid w:val="0041344E"/>
    <w:rsid w:val="0041348F"/>
    <w:rsid w:val="00413607"/>
    <w:rsid w:val="004138A8"/>
    <w:rsid w:val="00413C97"/>
    <w:rsid w:val="004140C4"/>
    <w:rsid w:val="004144B5"/>
    <w:rsid w:val="00414538"/>
    <w:rsid w:val="004149E7"/>
    <w:rsid w:val="00414A51"/>
    <w:rsid w:val="00414BEF"/>
    <w:rsid w:val="00415238"/>
    <w:rsid w:val="0041596D"/>
    <w:rsid w:val="00415983"/>
    <w:rsid w:val="00415B06"/>
    <w:rsid w:val="00415B25"/>
    <w:rsid w:val="00415E15"/>
    <w:rsid w:val="00415F4B"/>
    <w:rsid w:val="004162D0"/>
    <w:rsid w:val="0041630A"/>
    <w:rsid w:val="004164F4"/>
    <w:rsid w:val="00416A69"/>
    <w:rsid w:val="00416BAD"/>
    <w:rsid w:val="004171CE"/>
    <w:rsid w:val="00417AD3"/>
    <w:rsid w:val="00417AE1"/>
    <w:rsid w:val="00417E85"/>
    <w:rsid w:val="00417EC5"/>
    <w:rsid w:val="00417FE0"/>
    <w:rsid w:val="004202B8"/>
    <w:rsid w:val="004206E7"/>
    <w:rsid w:val="0042082C"/>
    <w:rsid w:val="00420E9D"/>
    <w:rsid w:val="00420EEF"/>
    <w:rsid w:val="00420F55"/>
    <w:rsid w:val="00421171"/>
    <w:rsid w:val="004212BD"/>
    <w:rsid w:val="0042132D"/>
    <w:rsid w:val="004213CC"/>
    <w:rsid w:val="00421C1E"/>
    <w:rsid w:val="00421CC4"/>
    <w:rsid w:val="004222A6"/>
    <w:rsid w:val="004223B5"/>
    <w:rsid w:val="004227B9"/>
    <w:rsid w:val="00422887"/>
    <w:rsid w:val="00422976"/>
    <w:rsid w:val="00422C5C"/>
    <w:rsid w:val="004236D7"/>
    <w:rsid w:val="00423829"/>
    <w:rsid w:val="00423832"/>
    <w:rsid w:val="00423A21"/>
    <w:rsid w:val="004240C5"/>
    <w:rsid w:val="00424389"/>
    <w:rsid w:val="004245F7"/>
    <w:rsid w:val="004246FB"/>
    <w:rsid w:val="00424718"/>
    <w:rsid w:val="0042483A"/>
    <w:rsid w:val="004248CE"/>
    <w:rsid w:val="00424C80"/>
    <w:rsid w:val="00424E17"/>
    <w:rsid w:val="004253B0"/>
    <w:rsid w:val="004254EF"/>
    <w:rsid w:val="00425692"/>
    <w:rsid w:val="00425C5C"/>
    <w:rsid w:val="00425C94"/>
    <w:rsid w:val="00425D06"/>
    <w:rsid w:val="00425FB5"/>
    <w:rsid w:val="0042641B"/>
    <w:rsid w:val="00426456"/>
    <w:rsid w:val="0042646E"/>
    <w:rsid w:val="00426549"/>
    <w:rsid w:val="0042677F"/>
    <w:rsid w:val="00426D12"/>
    <w:rsid w:val="0042707F"/>
    <w:rsid w:val="0042725E"/>
    <w:rsid w:val="00427648"/>
    <w:rsid w:val="004277C0"/>
    <w:rsid w:val="00427BE9"/>
    <w:rsid w:val="00427C28"/>
    <w:rsid w:val="00427D02"/>
    <w:rsid w:val="00427E7E"/>
    <w:rsid w:val="00430282"/>
    <w:rsid w:val="00430955"/>
    <w:rsid w:val="00430E2A"/>
    <w:rsid w:val="00431A59"/>
    <w:rsid w:val="00431EC0"/>
    <w:rsid w:val="00431FE7"/>
    <w:rsid w:val="00432039"/>
    <w:rsid w:val="00432169"/>
    <w:rsid w:val="004327D1"/>
    <w:rsid w:val="00432992"/>
    <w:rsid w:val="0043357D"/>
    <w:rsid w:val="0043384C"/>
    <w:rsid w:val="0043392B"/>
    <w:rsid w:val="004339DB"/>
    <w:rsid w:val="00433B95"/>
    <w:rsid w:val="00434427"/>
    <w:rsid w:val="0043484C"/>
    <w:rsid w:val="00434895"/>
    <w:rsid w:val="004349E7"/>
    <w:rsid w:val="00434C37"/>
    <w:rsid w:val="00434C4B"/>
    <w:rsid w:val="00434FA9"/>
    <w:rsid w:val="00435042"/>
    <w:rsid w:val="004356EB"/>
    <w:rsid w:val="004359DE"/>
    <w:rsid w:val="00435B40"/>
    <w:rsid w:val="004362EA"/>
    <w:rsid w:val="0043633F"/>
    <w:rsid w:val="00436AE5"/>
    <w:rsid w:val="00436DD6"/>
    <w:rsid w:val="00436EC2"/>
    <w:rsid w:val="00436FD2"/>
    <w:rsid w:val="0043711C"/>
    <w:rsid w:val="0043737B"/>
    <w:rsid w:val="00437548"/>
    <w:rsid w:val="00437967"/>
    <w:rsid w:val="004379DF"/>
    <w:rsid w:val="00437D29"/>
    <w:rsid w:val="00440430"/>
    <w:rsid w:val="00440441"/>
    <w:rsid w:val="00440A14"/>
    <w:rsid w:val="00440A5D"/>
    <w:rsid w:val="004414DD"/>
    <w:rsid w:val="00441713"/>
    <w:rsid w:val="004419D2"/>
    <w:rsid w:val="00441B6E"/>
    <w:rsid w:val="00441F11"/>
    <w:rsid w:val="00441F98"/>
    <w:rsid w:val="004422BA"/>
    <w:rsid w:val="004423D2"/>
    <w:rsid w:val="004429C6"/>
    <w:rsid w:val="00442D80"/>
    <w:rsid w:val="0044335C"/>
    <w:rsid w:val="004434AE"/>
    <w:rsid w:val="00443640"/>
    <w:rsid w:val="00443991"/>
    <w:rsid w:val="00443CEF"/>
    <w:rsid w:val="00443F73"/>
    <w:rsid w:val="00444519"/>
    <w:rsid w:val="004448DA"/>
    <w:rsid w:val="00444AB7"/>
    <w:rsid w:val="00444D0A"/>
    <w:rsid w:val="00444D4E"/>
    <w:rsid w:val="00444FD5"/>
    <w:rsid w:val="00445042"/>
    <w:rsid w:val="004452E6"/>
    <w:rsid w:val="004455DE"/>
    <w:rsid w:val="00445AC6"/>
    <w:rsid w:val="00445CBC"/>
    <w:rsid w:val="00445CE7"/>
    <w:rsid w:val="0044612D"/>
    <w:rsid w:val="00446199"/>
    <w:rsid w:val="004461A2"/>
    <w:rsid w:val="004461AB"/>
    <w:rsid w:val="004461C4"/>
    <w:rsid w:val="00446290"/>
    <w:rsid w:val="004464E2"/>
    <w:rsid w:val="0044655F"/>
    <w:rsid w:val="0044657C"/>
    <w:rsid w:val="0044687A"/>
    <w:rsid w:val="004470BE"/>
    <w:rsid w:val="004473ED"/>
    <w:rsid w:val="004474A4"/>
    <w:rsid w:val="004474F1"/>
    <w:rsid w:val="0044755E"/>
    <w:rsid w:val="00447827"/>
    <w:rsid w:val="00447A4F"/>
    <w:rsid w:val="00447CF1"/>
    <w:rsid w:val="00450025"/>
    <w:rsid w:val="00450438"/>
    <w:rsid w:val="00450930"/>
    <w:rsid w:val="00451220"/>
    <w:rsid w:val="004512C8"/>
    <w:rsid w:val="00451830"/>
    <w:rsid w:val="00452402"/>
    <w:rsid w:val="004527E2"/>
    <w:rsid w:val="00452861"/>
    <w:rsid w:val="00452C21"/>
    <w:rsid w:val="00452D19"/>
    <w:rsid w:val="00452D79"/>
    <w:rsid w:val="004530D7"/>
    <w:rsid w:val="00453767"/>
    <w:rsid w:val="004538DF"/>
    <w:rsid w:val="00453CC5"/>
    <w:rsid w:val="00453D98"/>
    <w:rsid w:val="0045422E"/>
    <w:rsid w:val="0045457A"/>
    <w:rsid w:val="00454742"/>
    <w:rsid w:val="0045482B"/>
    <w:rsid w:val="00454C48"/>
    <w:rsid w:val="00454C5A"/>
    <w:rsid w:val="00454E97"/>
    <w:rsid w:val="00455033"/>
    <w:rsid w:val="00455072"/>
    <w:rsid w:val="00455284"/>
    <w:rsid w:val="004559F5"/>
    <w:rsid w:val="00455D5C"/>
    <w:rsid w:val="00455E6E"/>
    <w:rsid w:val="00456051"/>
    <w:rsid w:val="00456182"/>
    <w:rsid w:val="00456214"/>
    <w:rsid w:val="00456475"/>
    <w:rsid w:val="004565E2"/>
    <w:rsid w:val="00456782"/>
    <w:rsid w:val="00457469"/>
    <w:rsid w:val="00457997"/>
    <w:rsid w:val="00457E2C"/>
    <w:rsid w:val="004603A4"/>
    <w:rsid w:val="004603C5"/>
    <w:rsid w:val="004605BB"/>
    <w:rsid w:val="0046082E"/>
    <w:rsid w:val="00460BC9"/>
    <w:rsid w:val="00460CA7"/>
    <w:rsid w:val="004610AF"/>
    <w:rsid w:val="004612A2"/>
    <w:rsid w:val="00461396"/>
    <w:rsid w:val="00461513"/>
    <w:rsid w:val="00461D04"/>
    <w:rsid w:val="00461D4A"/>
    <w:rsid w:val="00461D7E"/>
    <w:rsid w:val="004621CC"/>
    <w:rsid w:val="004622F4"/>
    <w:rsid w:val="00462579"/>
    <w:rsid w:val="00462A14"/>
    <w:rsid w:val="00462E14"/>
    <w:rsid w:val="004634BF"/>
    <w:rsid w:val="004637D5"/>
    <w:rsid w:val="00463A4A"/>
    <w:rsid w:val="00463AFB"/>
    <w:rsid w:val="00463F6A"/>
    <w:rsid w:val="004640E9"/>
    <w:rsid w:val="00464381"/>
    <w:rsid w:val="00464AA6"/>
    <w:rsid w:val="004654E7"/>
    <w:rsid w:val="004658B7"/>
    <w:rsid w:val="00465A30"/>
    <w:rsid w:val="00465E2C"/>
    <w:rsid w:val="00466200"/>
    <w:rsid w:val="004665FE"/>
    <w:rsid w:val="004667F5"/>
    <w:rsid w:val="00466E55"/>
    <w:rsid w:val="00467003"/>
    <w:rsid w:val="004671BD"/>
    <w:rsid w:val="004674B8"/>
    <w:rsid w:val="0046769B"/>
    <w:rsid w:val="004679D7"/>
    <w:rsid w:val="00467A84"/>
    <w:rsid w:val="00467C77"/>
    <w:rsid w:val="00467D85"/>
    <w:rsid w:val="00470158"/>
    <w:rsid w:val="004703D8"/>
    <w:rsid w:val="00470665"/>
    <w:rsid w:val="004709EC"/>
    <w:rsid w:val="004711C0"/>
    <w:rsid w:val="00471AD2"/>
    <w:rsid w:val="00471F11"/>
    <w:rsid w:val="004720B8"/>
    <w:rsid w:val="00472266"/>
    <w:rsid w:val="004726EB"/>
    <w:rsid w:val="00472AAA"/>
    <w:rsid w:val="00472AB2"/>
    <w:rsid w:val="00472B96"/>
    <w:rsid w:val="00472F7E"/>
    <w:rsid w:val="00473142"/>
    <w:rsid w:val="0047342D"/>
    <w:rsid w:val="00473437"/>
    <w:rsid w:val="004734A3"/>
    <w:rsid w:val="004739D4"/>
    <w:rsid w:val="00473BA7"/>
    <w:rsid w:val="00473D16"/>
    <w:rsid w:val="00473D24"/>
    <w:rsid w:val="00473F3D"/>
    <w:rsid w:val="004742C4"/>
    <w:rsid w:val="0047465F"/>
    <w:rsid w:val="00474716"/>
    <w:rsid w:val="0047475E"/>
    <w:rsid w:val="004747EE"/>
    <w:rsid w:val="004749ED"/>
    <w:rsid w:val="00474A0E"/>
    <w:rsid w:val="00474DDF"/>
    <w:rsid w:val="00474EAD"/>
    <w:rsid w:val="0047513A"/>
    <w:rsid w:val="00475196"/>
    <w:rsid w:val="0047545A"/>
    <w:rsid w:val="00475580"/>
    <w:rsid w:val="00475689"/>
    <w:rsid w:val="004757A7"/>
    <w:rsid w:val="00475983"/>
    <w:rsid w:val="00475A1A"/>
    <w:rsid w:val="00475B78"/>
    <w:rsid w:val="0047605E"/>
    <w:rsid w:val="004764FE"/>
    <w:rsid w:val="00476780"/>
    <w:rsid w:val="00476D2D"/>
    <w:rsid w:val="00476DA8"/>
    <w:rsid w:val="004771C5"/>
    <w:rsid w:val="0047767E"/>
    <w:rsid w:val="0047770A"/>
    <w:rsid w:val="004779DB"/>
    <w:rsid w:val="00477D83"/>
    <w:rsid w:val="00477F21"/>
    <w:rsid w:val="00477F3D"/>
    <w:rsid w:val="00480499"/>
    <w:rsid w:val="004805DF"/>
    <w:rsid w:val="0048069E"/>
    <w:rsid w:val="00480722"/>
    <w:rsid w:val="004809C6"/>
    <w:rsid w:val="00480C11"/>
    <w:rsid w:val="00480CD4"/>
    <w:rsid w:val="00480ECD"/>
    <w:rsid w:val="00480F16"/>
    <w:rsid w:val="00480FCA"/>
    <w:rsid w:val="00481AE0"/>
    <w:rsid w:val="00481B68"/>
    <w:rsid w:val="00481DB7"/>
    <w:rsid w:val="00481F5C"/>
    <w:rsid w:val="004824B4"/>
    <w:rsid w:val="004829D2"/>
    <w:rsid w:val="00483116"/>
    <w:rsid w:val="00483177"/>
    <w:rsid w:val="00483567"/>
    <w:rsid w:val="004835BD"/>
    <w:rsid w:val="00483CD1"/>
    <w:rsid w:val="00483E29"/>
    <w:rsid w:val="00483E82"/>
    <w:rsid w:val="00483EB9"/>
    <w:rsid w:val="004841A9"/>
    <w:rsid w:val="004842DA"/>
    <w:rsid w:val="00484419"/>
    <w:rsid w:val="00484491"/>
    <w:rsid w:val="0048486A"/>
    <w:rsid w:val="00484A6A"/>
    <w:rsid w:val="00484ACE"/>
    <w:rsid w:val="00484BBF"/>
    <w:rsid w:val="0048514A"/>
    <w:rsid w:val="00485212"/>
    <w:rsid w:val="0048535A"/>
    <w:rsid w:val="00485448"/>
    <w:rsid w:val="0048564F"/>
    <w:rsid w:val="004856A0"/>
    <w:rsid w:val="0048581B"/>
    <w:rsid w:val="004859D4"/>
    <w:rsid w:val="00485BD0"/>
    <w:rsid w:val="00485C38"/>
    <w:rsid w:val="00486059"/>
    <w:rsid w:val="004860B1"/>
    <w:rsid w:val="004866AE"/>
    <w:rsid w:val="00486888"/>
    <w:rsid w:val="004868AD"/>
    <w:rsid w:val="00486C5A"/>
    <w:rsid w:val="0048700C"/>
    <w:rsid w:val="00487082"/>
    <w:rsid w:val="00487092"/>
    <w:rsid w:val="00487229"/>
    <w:rsid w:val="004874D0"/>
    <w:rsid w:val="00487A00"/>
    <w:rsid w:val="00487C34"/>
    <w:rsid w:val="00487F4D"/>
    <w:rsid w:val="00487F7B"/>
    <w:rsid w:val="00490614"/>
    <w:rsid w:val="00490868"/>
    <w:rsid w:val="0049093B"/>
    <w:rsid w:val="00490A04"/>
    <w:rsid w:val="00490A8A"/>
    <w:rsid w:val="00490AAE"/>
    <w:rsid w:val="00490CAA"/>
    <w:rsid w:val="00490D2C"/>
    <w:rsid w:val="0049129A"/>
    <w:rsid w:val="00491399"/>
    <w:rsid w:val="004919E5"/>
    <w:rsid w:val="00491ACC"/>
    <w:rsid w:val="00491B9C"/>
    <w:rsid w:val="00491CCD"/>
    <w:rsid w:val="00492132"/>
    <w:rsid w:val="0049217F"/>
    <w:rsid w:val="004925EF"/>
    <w:rsid w:val="004928BB"/>
    <w:rsid w:val="00492AC1"/>
    <w:rsid w:val="00492BC0"/>
    <w:rsid w:val="00492C45"/>
    <w:rsid w:val="00492F84"/>
    <w:rsid w:val="00492F95"/>
    <w:rsid w:val="0049310A"/>
    <w:rsid w:val="0049353A"/>
    <w:rsid w:val="00493553"/>
    <w:rsid w:val="00493AED"/>
    <w:rsid w:val="00493B25"/>
    <w:rsid w:val="0049440A"/>
    <w:rsid w:val="004947D5"/>
    <w:rsid w:val="00494C62"/>
    <w:rsid w:val="00494C71"/>
    <w:rsid w:val="00494C77"/>
    <w:rsid w:val="00494ED2"/>
    <w:rsid w:val="00495186"/>
    <w:rsid w:val="004952DB"/>
    <w:rsid w:val="0049550A"/>
    <w:rsid w:val="0049639C"/>
    <w:rsid w:val="00496952"/>
    <w:rsid w:val="00496959"/>
    <w:rsid w:val="00497309"/>
    <w:rsid w:val="00497480"/>
    <w:rsid w:val="00497522"/>
    <w:rsid w:val="00497824"/>
    <w:rsid w:val="00497885"/>
    <w:rsid w:val="00497ACA"/>
    <w:rsid w:val="00497B05"/>
    <w:rsid w:val="00497F9A"/>
    <w:rsid w:val="00497FBE"/>
    <w:rsid w:val="004A0398"/>
    <w:rsid w:val="004A04EF"/>
    <w:rsid w:val="004A0A4C"/>
    <w:rsid w:val="004A0C62"/>
    <w:rsid w:val="004A0E08"/>
    <w:rsid w:val="004A1401"/>
    <w:rsid w:val="004A1553"/>
    <w:rsid w:val="004A1C73"/>
    <w:rsid w:val="004A2777"/>
    <w:rsid w:val="004A2877"/>
    <w:rsid w:val="004A2A0B"/>
    <w:rsid w:val="004A2B5D"/>
    <w:rsid w:val="004A2D6A"/>
    <w:rsid w:val="004A30DC"/>
    <w:rsid w:val="004A33AE"/>
    <w:rsid w:val="004A35A0"/>
    <w:rsid w:val="004A3647"/>
    <w:rsid w:val="004A386A"/>
    <w:rsid w:val="004A3BE2"/>
    <w:rsid w:val="004A3C87"/>
    <w:rsid w:val="004A3C93"/>
    <w:rsid w:val="004A3F24"/>
    <w:rsid w:val="004A41E7"/>
    <w:rsid w:val="004A4B92"/>
    <w:rsid w:val="004A53CA"/>
    <w:rsid w:val="004A5A78"/>
    <w:rsid w:val="004A5CF8"/>
    <w:rsid w:val="004A5F07"/>
    <w:rsid w:val="004A5F1B"/>
    <w:rsid w:val="004A6807"/>
    <w:rsid w:val="004A6946"/>
    <w:rsid w:val="004A6951"/>
    <w:rsid w:val="004A6AFE"/>
    <w:rsid w:val="004A6F14"/>
    <w:rsid w:val="004A6FB5"/>
    <w:rsid w:val="004A7516"/>
    <w:rsid w:val="004A752F"/>
    <w:rsid w:val="004A7C58"/>
    <w:rsid w:val="004A7E77"/>
    <w:rsid w:val="004B029A"/>
    <w:rsid w:val="004B057A"/>
    <w:rsid w:val="004B099C"/>
    <w:rsid w:val="004B103A"/>
    <w:rsid w:val="004B14D6"/>
    <w:rsid w:val="004B15E2"/>
    <w:rsid w:val="004B165D"/>
    <w:rsid w:val="004B206D"/>
    <w:rsid w:val="004B2A85"/>
    <w:rsid w:val="004B2D06"/>
    <w:rsid w:val="004B2DF7"/>
    <w:rsid w:val="004B3457"/>
    <w:rsid w:val="004B398A"/>
    <w:rsid w:val="004B3991"/>
    <w:rsid w:val="004B3A49"/>
    <w:rsid w:val="004B3D4F"/>
    <w:rsid w:val="004B4046"/>
    <w:rsid w:val="004B4222"/>
    <w:rsid w:val="004B4329"/>
    <w:rsid w:val="004B43CD"/>
    <w:rsid w:val="004B4A91"/>
    <w:rsid w:val="004B4ADE"/>
    <w:rsid w:val="004B4AF5"/>
    <w:rsid w:val="004B4B64"/>
    <w:rsid w:val="004B4CC5"/>
    <w:rsid w:val="004B50C7"/>
    <w:rsid w:val="004B542B"/>
    <w:rsid w:val="004B5C04"/>
    <w:rsid w:val="004B5C98"/>
    <w:rsid w:val="004B5F22"/>
    <w:rsid w:val="004B5F87"/>
    <w:rsid w:val="004B6472"/>
    <w:rsid w:val="004B649F"/>
    <w:rsid w:val="004B6951"/>
    <w:rsid w:val="004B6E17"/>
    <w:rsid w:val="004B7092"/>
    <w:rsid w:val="004B7197"/>
    <w:rsid w:val="004B773B"/>
    <w:rsid w:val="004B77F2"/>
    <w:rsid w:val="004B7951"/>
    <w:rsid w:val="004B7CE1"/>
    <w:rsid w:val="004C0036"/>
    <w:rsid w:val="004C009E"/>
    <w:rsid w:val="004C0298"/>
    <w:rsid w:val="004C0456"/>
    <w:rsid w:val="004C0B11"/>
    <w:rsid w:val="004C0C8A"/>
    <w:rsid w:val="004C0E84"/>
    <w:rsid w:val="004C1221"/>
    <w:rsid w:val="004C1258"/>
    <w:rsid w:val="004C14A4"/>
    <w:rsid w:val="004C1738"/>
    <w:rsid w:val="004C177E"/>
    <w:rsid w:val="004C1A35"/>
    <w:rsid w:val="004C2101"/>
    <w:rsid w:val="004C236E"/>
    <w:rsid w:val="004C2749"/>
    <w:rsid w:val="004C2960"/>
    <w:rsid w:val="004C2E38"/>
    <w:rsid w:val="004C301F"/>
    <w:rsid w:val="004C3302"/>
    <w:rsid w:val="004C3402"/>
    <w:rsid w:val="004C3BE2"/>
    <w:rsid w:val="004C3E34"/>
    <w:rsid w:val="004C4644"/>
    <w:rsid w:val="004C520E"/>
    <w:rsid w:val="004C537C"/>
    <w:rsid w:val="004C5CB1"/>
    <w:rsid w:val="004C5D0E"/>
    <w:rsid w:val="004C5E3D"/>
    <w:rsid w:val="004C5EE1"/>
    <w:rsid w:val="004C5FA1"/>
    <w:rsid w:val="004C5FD1"/>
    <w:rsid w:val="004C63F2"/>
    <w:rsid w:val="004C64FB"/>
    <w:rsid w:val="004C66BA"/>
    <w:rsid w:val="004C6740"/>
    <w:rsid w:val="004C6C2C"/>
    <w:rsid w:val="004C6CAF"/>
    <w:rsid w:val="004C72EA"/>
    <w:rsid w:val="004C7493"/>
    <w:rsid w:val="004C7700"/>
    <w:rsid w:val="004C7745"/>
    <w:rsid w:val="004C7808"/>
    <w:rsid w:val="004C7914"/>
    <w:rsid w:val="004D00EE"/>
    <w:rsid w:val="004D012B"/>
    <w:rsid w:val="004D022A"/>
    <w:rsid w:val="004D032D"/>
    <w:rsid w:val="004D07C9"/>
    <w:rsid w:val="004D0923"/>
    <w:rsid w:val="004D0958"/>
    <w:rsid w:val="004D0B03"/>
    <w:rsid w:val="004D1091"/>
    <w:rsid w:val="004D12DA"/>
    <w:rsid w:val="004D137C"/>
    <w:rsid w:val="004D158C"/>
    <w:rsid w:val="004D1775"/>
    <w:rsid w:val="004D184F"/>
    <w:rsid w:val="004D1DA2"/>
    <w:rsid w:val="004D1DA8"/>
    <w:rsid w:val="004D1F87"/>
    <w:rsid w:val="004D1FF9"/>
    <w:rsid w:val="004D2003"/>
    <w:rsid w:val="004D2697"/>
    <w:rsid w:val="004D28EC"/>
    <w:rsid w:val="004D2D73"/>
    <w:rsid w:val="004D2E83"/>
    <w:rsid w:val="004D322C"/>
    <w:rsid w:val="004D3298"/>
    <w:rsid w:val="004D33CA"/>
    <w:rsid w:val="004D344D"/>
    <w:rsid w:val="004D3773"/>
    <w:rsid w:val="004D37E7"/>
    <w:rsid w:val="004D3A06"/>
    <w:rsid w:val="004D3A6C"/>
    <w:rsid w:val="004D3CD8"/>
    <w:rsid w:val="004D41C1"/>
    <w:rsid w:val="004D44D0"/>
    <w:rsid w:val="004D450D"/>
    <w:rsid w:val="004D4C8E"/>
    <w:rsid w:val="004D4CF9"/>
    <w:rsid w:val="004D4E1F"/>
    <w:rsid w:val="004D4FE2"/>
    <w:rsid w:val="004D534E"/>
    <w:rsid w:val="004D5922"/>
    <w:rsid w:val="004D594F"/>
    <w:rsid w:val="004D5A8F"/>
    <w:rsid w:val="004D5CDC"/>
    <w:rsid w:val="004D5EC3"/>
    <w:rsid w:val="004D62CF"/>
    <w:rsid w:val="004D65DA"/>
    <w:rsid w:val="004D6CFD"/>
    <w:rsid w:val="004D731E"/>
    <w:rsid w:val="004D7351"/>
    <w:rsid w:val="004D73ED"/>
    <w:rsid w:val="004D772A"/>
    <w:rsid w:val="004D7A20"/>
    <w:rsid w:val="004D7FC6"/>
    <w:rsid w:val="004E04A2"/>
    <w:rsid w:val="004E0749"/>
    <w:rsid w:val="004E0BF6"/>
    <w:rsid w:val="004E1163"/>
    <w:rsid w:val="004E15B9"/>
    <w:rsid w:val="004E163D"/>
    <w:rsid w:val="004E178F"/>
    <w:rsid w:val="004E184A"/>
    <w:rsid w:val="004E29C8"/>
    <w:rsid w:val="004E2A36"/>
    <w:rsid w:val="004E2E94"/>
    <w:rsid w:val="004E2FA2"/>
    <w:rsid w:val="004E329A"/>
    <w:rsid w:val="004E3BA2"/>
    <w:rsid w:val="004E3DD6"/>
    <w:rsid w:val="004E409B"/>
    <w:rsid w:val="004E4415"/>
    <w:rsid w:val="004E4C09"/>
    <w:rsid w:val="004E51A5"/>
    <w:rsid w:val="004E5468"/>
    <w:rsid w:val="004E5AE3"/>
    <w:rsid w:val="004E5E0F"/>
    <w:rsid w:val="004E5EF2"/>
    <w:rsid w:val="004E5FED"/>
    <w:rsid w:val="004E62F5"/>
    <w:rsid w:val="004E6F44"/>
    <w:rsid w:val="004E6FF2"/>
    <w:rsid w:val="004E766C"/>
    <w:rsid w:val="004E7744"/>
    <w:rsid w:val="004E79F9"/>
    <w:rsid w:val="004E7A0C"/>
    <w:rsid w:val="004E7E2F"/>
    <w:rsid w:val="004F024E"/>
    <w:rsid w:val="004F0273"/>
    <w:rsid w:val="004F02B9"/>
    <w:rsid w:val="004F0443"/>
    <w:rsid w:val="004F0467"/>
    <w:rsid w:val="004F06C4"/>
    <w:rsid w:val="004F0CDA"/>
    <w:rsid w:val="004F1035"/>
    <w:rsid w:val="004F11C1"/>
    <w:rsid w:val="004F17A8"/>
    <w:rsid w:val="004F1ECC"/>
    <w:rsid w:val="004F2038"/>
    <w:rsid w:val="004F2055"/>
    <w:rsid w:val="004F248D"/>
    <w:rsid w:val="004F2C14"/>
    <w:rsid w:val="004F2DA3"/>
    <w:rsid w:val="004F35E1"/>
    <w:rsid w:val="004F36F6"/>
    <w:rsid w:val="004F3B29"/>
    <w:rsid w:val="004F3C5A"/>
    <w:rsid w:val="004F3FC8"/>
    <w:rsid w:val="004F41B0"/>
    <w:rsid w:val="004F43A4"/>
    <w:rsid w:val="004F4492"/>
    <w:rsid w:val="004F4501"/>
    <w:rsid w:val="004F4694"/>
    <w:rsid w:val="004F46A5"/>
    <w:rsid w:val="004F4EA9"/>
    <w:rsid w:val="004F50F8"/>
    <w:rsid w:val="004F5140"/>
    <w:rsid w:val="004F539E"/>
    <w:rsid w:val="004F58B6"/>
    <w:rsid w:val="004F5ABD"/>
    <w:rsid w:val="004F5B92"/>
    <w:rsid w:val="004F603F"/>
    <w:rsid w:val="004F6262"/>
    <w:rsid w:val="004F639A"/>
    <w:rsid w:val="004F6590"/>
    <w:rsid w:val="004F661D"/>
    <w:rsid w:val="004F68D6"/>
    <w:rsid w:val="004F69DF"/>
    <w:rsid w:val="004F6ABF"/>
    <w:rsid w:val="004F6C36"/>
    <w:rsid w:val="004F6EDB"/>
    <w:rsid w:val="004F778E"/>
    <w:rsid w:val="004F7908"/>
    <w:rsid w:val="004F7E8C"/>
    <w:rsid w:val="00500047"/>
    <w:rsid w:val="005000D7"/>
    <w:rsid w:val="00500401"/>
    <w:rsid w:val="00500B6C"/>
    <w:rsid w:val="00500BCA"/>
    <w:rsid w:val="00500C11"/>
    <w:rsid w:val="00500EE8"/>
    <w:rsid w:val="005011F5"/>
    <w:rsid w:val="0050221E"/>
    <w:rsid w:val="00502324"/>
    <w:rsid w:val="00502D43"/>
    <w:rsid w:val="00502E35"/>
    <w:rsid w:val="005038E9"/>
    <w:rsid w:val="00503BF0"/>
    <w:rsid w:val="00503D70"/>
    <w:rsid w:val="00504239"/>
    <w:rsid w:val="00504277"/>
    <w:rsid w:val="005042A3"/>
    <w:rsid w:val="005044C1"/>
    <w:rsid w:val="00504813"/>
    <w:rsid w:val="005051F2"/>
    <w:rsid w:val="00505ACB"/>
    <w:rsid w:val="00505D1B"/>
    <w:rsid w:val="00506035"/>
    <w:rsid w:val="005062E4"/>
    <w:rsid w:val="0050645E"/>
    <w:rsid w:val="005065EF"/>
    <w:rsid w:val="005069E7"/>
    <w:rsid w:val="00506B02"/>
    <w:rsid w:val="00506BA5"/>
    <w:rsid w:val="00506CE7"/>
    <w:rsid w:val="00506FCE"/>
    <w:rsid w:val="005073AB"/>
    <w:rsid w:val="005075F8"/>
    <w:rsid w:val="00507A75"/>
    <w:rsid w:val="00507E31"/>
    <w:rsid w:val="0051022F"/>
    <w:rsid w:val="005102E8"/>
    <w:rsid w:val="0051037C"/>
    <w:rsid w:val="00510568"/>
    <w:rsid w:val="00510ADD"/>
    <w:rsid w:val="00510BEF"/>
    <w:rsid w:val="00510F61"/>
    <w:rsid w:val="005112F9"/>
    <w:rsid w:val="00511508"/>
    <w:rsid w:val="00511858"/>
    <w:rsid w:val="005120D7"/>
    <w:rsid w:val="00512197"/>
    <w:rsid w:val="0051235C"/>
    <w:rsid w:val="005125AB"/>
    <w:rsid w:val="00512BBC"/>
    <w:rsid w:val="00512E24"/>
    <w:rsid w:val="00513072"/>
    <w:rsid w:val="0051323C"/>
    <w:rsid w:val="0051333D"/>
    <w:rsid w:val="00513353"/>
    <w:rsid w:val="00513528"/>
    <w:rsid w:val="00513791"/>
    <w:rsid w:val="0051389C"/>
    <w:rsid w:val="00513BD4"/>
    <w:rsid w:val="0051464C"/>
    <w:rsid w:val="00514730"/>
    <w:rsid w:val="005147AC"/>
    <w:rsid w:val="005149BF"/>
    <w:rsid w:val="00514DC7"/>
    <w:rsid w:val="00515045"/>
    <w:rsid w:val="00515397"/>
    <w:rsid w:val="005153E3"/>
    <w:rsid w:val="0051547F"/>
    <w:rsid w:val="00515C89"/>
    <w:rsid w:val="00515CE2"/>
    <w:rsid w:val="005166FD"/>
    <w:rsid w:val="00516D0E"/>
    <w:rsid w:val="00516DC3"/>
    <w:rsid w:val="00516DFC"/>
    <w:rsid w:val="005172A3"/>
    <w:rsid w:val="005173CD"/>
    <w:rsid w:val="005176F9"/>
    <w:rsid w:val="00517A66"/>
    <w:rsid w:val="00517A7E"/>
    <w:rsid w:val="00517DFF"/>
    <w:rsid w:val="0052000B"/>
    <w:rsid w:val="005201F3"/>
    <w:rsid w:val="0052031D"/>
    <w:rsid w:val="0052041D"/>
    <w:rsid w:val="005204B6"/>
    <w:rsid w:val="00520513"/>
    <w:rsid w:val="005207B5"/>
    <w:rsid w:val="00520BA7"/>
    <w:rsid w:val="00520F0C"/>
    <w:rsid w:val="005210BC"/>
    <w:rsid w:val="00521107"/>
    <w:rsid w:val="0052126E"/>
    <w:rsid w:val="0052142D"/>
    <w:rsid w:val="00521649"/>
    <w:rsid w:val="0052189A"/>
    <w:rsid w:val="005218CB"/>
    <w:rsid w:val="0052211B"/>
    <w:rsid w:val="005223FA"/>
    <w:rsid w:val="00522452"/>
    <w:rsid w:val="005226E3"/>
    <w:rsid w:val="005236B5"/>
    <w:rsid w:val="00523706"/>
    <w:rsid w:val="00523B98"/>
    <w:rsid w:val="00523B9A"/>
    <w:rsid w:val="00523C46"/>
    <w:rsid w:val="00523D5B"/>
    <w:rsid w:val="00523EB6"/>
    <w:rsid w:val="00523FE6"/>
    <w:rsid w:val="00524084"/>
    <w:rsid w:val="00524454"/>
    <w:rsid w:val="005245BE"/>
    <w:rsid w:val="005247B8"/>
    <w:rsid w:val="00524963"/>
    <w:rsid w:val="005249B9"/>
    <w:rsid w:val="00524BB3"/>
    <w:rsid w:val="0052505D"/>
    <w:rsid w:val="00525259"/>
    <w:rsid w:val="00525783"/>
    <w:rsid w:val="00525B58"/>
    <w:rsid w:val="00525BD3"/>
    <w:rsid w:val="00525C50"/>
    <w:rsid w:val="00525F57"/>
    <w:rsid w:val="00526B8F"/>
    <w:rsid w:val="00526BF7"/>
    <w:rsid w:val="00526C60"/>
    <w:rsid w:val="005271D1"/>
    <w:rsid w:val="0052734A"/>
    <w:rsid w:val="005278C5"/>
    <w:rsid w:val="00527A0D"/>
    <w:rsid w:val="00527CBE"/>
    <w:rsid w:val="00527F29"/>
    <w:rsid w:val="00527F64"/>
    <w:rsid w:val="00530344"/>
    <w:rsid w:val="0053082B"/>
    <w:rsid w:val="00530D00"/>
    <w:rsid w:val="005310A8"/>
    <w:rsid w:val="005315CF"/>
    <w:rsid w:val="0053185B"/>
    <w:rsid w:val="00531D0A"/>
    <w:rsid w:val="00531E60"/>
    <w:rsid w:val="005320CF"/>
    <w:rsid w:val="00532407"/>
    <w:rsid w:val="005325B7"/>
    <w:rsid w:val="005327B5"/>
    <w:rsid w:val="00532C08"/>
    <w:rsid w:val="00533270"/>
    <w:rsid w:val="00533900"/>
    <w:rsid w:val="005339A9"/>
    <w:rsid w:val="005339AD"/>
    <w:rsid w:val="00533E1F"/>
    <w:rsid w:val="00533E61"/>
    <w:rsid w:val="00534641"/>
    <w:rsid w:val="00534982"/>
    <w:rsid w:val="00534A43"/>
    <w:rsid w:val="00534C80"/>
    <w:rsid w:val="00534EC3"/>
    <w:rsid w:val="00534F68"/>
    <w:rsid w:val="0053531A"/>
    <w:rsid w:val="0053575D"/>
    <w:rsid w:val="00535D48"/>
    <w:rsid w:val="0053603E"/>
    <w:rsid w:val="005363F3"/>
    <w:rsid w:val="005367E5"/>
    <w:rsid w:val="0053695F"/>
    <w:rsid w:val="00536AB6"/>
    <w:rsid w:val="00536CF9"/>
    <w:rsid w:val="005370F5"/>
    <w:rsid w:val="005371AF"/>
    <w:rsid w:val="00537521"/>
    <w:rsid w:val="00540001"/>
    <w:rsid w:val="00540585"/>
    <w:rsid w:val="00540730"/>
    <w:rsid w:val="00540A3B"/>
    <w:rsid w:val="00540B12"/>
    <w:rsid w:val="00540D72"/>
    <w:rsid w:val="00540E0F"/>
    <w:rsid w:val="00540E83"/>
    <w:rsid w:val="00541121"/>
    <w:rsid w:val="00541328"/>
    <w:rsid w:val="005415AF"/>
    <w:rsid w:val="005417C6"/>
    <w:rsid w:val="00541EAD"/>
    <w:rsid w:val="00542101"/>
    <w:rsid w:val="0054219A"/>
    <w:rsid w:val="00542A9A"/>
    <w:rsid w:val="00542B85"/>
    <w:rsid w:val="00542B86"/>
    <w:rsid w:val="00542DB5"/>
    <w:rsid w:val="00542F65"/>
    <w:rsid w:val="00543330"/>
    <w:rsid w:val="00543411"/>
    <w:rsid w:val="005435C8"/>
    <w:rsid w:val="005437C9"/>
    <w:rsid w:val="00543A2E"/>
    <w:rsid w:val="00543B94"/>
    <w:rsid w:val="00543BF7"/>
    <w:rsid w:val="00543E00"/>
    <w:rsid w:val="00543E7C"/>
    <w:rsid w:val="00544244"/>
    <w:rsid w:val="005442DB"/>
    <w:rsid w:val="0054495E"/>
    <w:rsid w:val="00545238"/>
    <w:rsid w:val="00545394"/>
    <w:rsid w:val="0054543E"/>
    <w:rsid w:val="005455E3"/>
    <w:rsid w:val="00545648"/>
    <w:rsid w:val="005459BC"/>
    <w:rsid w:val="005459CC"/>
    <w:rsid w:val="005459DA"/>
    <w:rsid w:val="00546056"/>
    <w:rsid w:val="005466FE"/>
    <w:rsid w:val="00546998"/>
    <w:rsid w:val="00547076"/>
    <w:rsid w:val="00547427"/>
    <w:rsid w:val="00547605"/>
    <w:rsid w:val="005476CD"/>
    <w:rsid w:val="005479F2"/>
    <w:rsid w:val="00547B96"/>
    <w:rsid w:val="00547D8C"/>
    <w:rsid w:val="00550055"/>
    <w:rsid w:val="00550522"/>
    <w:rsid w:val="00550E91"/>
    <w:rsid w:val="00550F26"/>
    <w:rsid w:val="00551845"/>
    <w:rsid w:val="005518F0"/>
    <w:rsid w:val="005518F1"/>
    <w:rsid w:val="00551E4D"/>
    <w:rsid w:val="005522B8"/>
    <w:rsid w:val="00552354"/>
    <w:rsid w:val="00552690"/>
    <w:rsid w:val="00552A6B"/>
    <w:rsid w:val="00552C51"/>
    <w:rsid w:val="0055374B"/>
    <w:rsid w:val="00553C91"/>
    <w:rsid w:val="00554277"/>
    <w:rsid w:val="00554414"/>
    <w:rsid w:val="005547AD"/>
    <w:rsid w:val="005550C7"/>
    <w:rsid w:val="0055512D"/>
    <w:rsid w:val="00555633"/>
    <w:rsid w:val="00555845"/>
    <w:rsid w:val="00555927"/>
    <w:rsid w:val="00555AD3"/>
    <w:rsid w:val="00555F92"/>
    <w:rsid w:val="0055645D"/>
    <w:rsid w:val="00556943"/>
    <w:rsid w:val="00556A86"/>
    <w:rsid w:val="00556B29"/>
    <w:rsid w:val="00556F8A"/>
    <w:rsid w:val="0055750F"/>
    <w:rsid w:val="005575DC"/>
    <w:rsid w:val="005576C3"/>
    <w:rsid w:val="0055774A"/>
    <w:rsid w:val="00557D61"/>
    <w:rsid w:val="00557DB9"/>
    <w:rsid w:val="00557DC5"/>
    <w:rsid w:val="0056002E"/>
    <w:rsid w:val="0056043F"/>
    <w:rsid w:val="0056057A"/>
    <w:rsid w:val="0056080C"/>
    <w:rsid w:val="005609C7"/>
    <w:rsid w:val="00560CDF"/>
    <w:rsid w:val="00560E04"/>
    <w:rsid w:val="00560FD1"/>
    <w:rsid w:val="005610B3"/>
    <w:rsid w:val="00561108"/>
    <w:rsid w:val="00561148"/>
    <w:rsid w:val="0056114A"/>
    <w:rsid w:val="005611DF"/>
    <w:rsid w:val="00561423"/>
    <w:rsid w:val="00561875"/>
    <w:rsid w:val="005618B9"/>
    <w:rsid w:val="00561BB8"/>
    <w:rsid w:val="00561C5D"/>
    <w:rsid w:val="00561F97"/>
    <w:rsid w:val="00562047"/>
    <w:rsid w:val="005621CA"/>
    <w:rsid w:val="00562696"/>
    <w:rsid w:val="005627CC"/>
    <w:rsid w:val="00562833"/>
    <w:rsid w:val="0056285C"/>
    <w:rsid w:val="00562A76"/>
    <w:rsid w:val="00563100"/>
    <w:rsid w:val="00563111"/>
    <w:rsid w:val="0056388C"/>
    <w:rsid w:val="00563B26"/>
    <w:rsid w:val="00564220"/>
    <w:rsid w:val="00564DDD"/>
    <w:rsid w:val="00564EBC"/>
    <w:rsid w:val="00565196"/>
    <w:rsid w:val="0056538D"/>
    <w:rsid w:val="00565A30"/>
    <w:rsid w:val="00566077"/>
    <w:rsid w:val="0056614F"/>
    <w:rsid w:val="0056628B"/>
    <w:rsid w:val="0056658B"/>
    <w:rsid w:val="005665AB"/>
    <w:rsid w:val="00566821"/>
    <w:rsid w:val="00566AA0"/>
    <w:rsid w:val="00566C57"/>
    <w:rsid w:val="00566DF5"/>
    <w:rsid w:val="00566E0B"/>
    <w:rsid w:val="00567114"/>
    <w:rsid w:val="0056714F"/>
    <w:rsid w:val="00567248"/>
    <w:rsid w:val="00567487"/>
    <w:rsid w:val="00567547"/>
    <w:rsid w:val="00567674"/>
    <w:rsid w:val="0057006C"/>
    <w:rsid w:val="005705B4"/>
    <w:rsid w:val="005708A7"/>
    <w:rsid w:val="00570BB7"/>
    <w:rsid w:val="00570DC5"/>
    <w:rsid w:val="00570EF1"/>
    <w:rsid w:val="005713B0"/>
    <w:rsid w:val="00571958"/>
    <w:rsid w:val="00571A0C"/>
    <w:rsid w:val="00571C3B"/>
    <w:rsid w:val="00571D3F"/>
    <w:rsid w:val="0057243D"/>
    <w:rsid w:val="005726C3"/>
    <w:rsid w:val="00572952"/>
    <w:rsid w:val="00572EB9"/>
    <w:rsid w:val="005736B1"/>
    <w:rsid w:val="005736DA"/>
    <w:rsid w:val="00573726"/>
    <w:rsid w:val="0057384E"/>
    <w:rsid w:val="005738D6"/>
    <w:rsid w:val="00573A1B"/>
    <w:rsid w:val="00574075"/>
    <w:rsid w:val="00574470"/>
    <w:rsid w:val="0057494D"/>
    <w:rsid w:val="00574A85"/>
    <w:rsid w:val="00574B6C"/>
    <w:rsid w:val="005750E8"/>
    <w:rsid w:val="00575E97"/>
    <w:rsid w:val="00576167"/>
    <w:rsid w:val="00576681"/>
    <w:rsid w:val="00576B49"/>
    <w:rsid w:val="00576BD2"/>
    <w:rsid w:val="00576C3E"/>
    <w:rsid w:val="00576CDF"/>
    <w:rsid w:val="00576EA1"/>
    <w:rsid w:val="00576FF3"/>
    <w:rsid w:val="005772FE"/>
    <w:rsid w:val="005776E6"/>
    <w:rsid w:val="00577C82"/>
    <w:rsid w:val="00577E6B"/>
    <w:rsid w:val="005803E9"/>
    <w:rsid w:val="0058066F"/>
    <w:rsid w:val="005807B5"/>
    <w:rsid w:val="00580857"/>
    <w:rsid w:val="005809CE"/>
    <w:rsid w:val="00580B3C"/>
    <w:rsid w:val="00580E18"/>
    <w:rsid w:val="00581968"/>
    <w:rsid w:val="00581C43"/>
    <w:rsid w:val="00582121"/>
    <w:rsid w:val="0058242C"/>
    <w:rsid w:val="0058264A"/>
    <w:rsid w:val="00582DC6"/>
    <w:rsid w:val="00583289"/>
    <w:rsid w:val="005837B8"/>
    <w:rsid w:val="005837CD"/>
    <w:rsid w:val="005839E9"/>
    <w:rsid w:val="00583D27"/>
    <w:rsid w:val="005840FB"/>
    <w:rsid w:val="00584565"/>
    <w:rsid w:val="00584692"/>
    <w:rsid w:val="00584855"/>
    <w:rsid w:val="005848CF"/>
    <w:rsid w:val="00584C8A"/>
    <w:rsid w:val="00584D43"/>
    <w:rsid w:val="00585135"/>
    <w:rsid w:val="005852CD"/>
    <w:rsid w:val="005853C6"/>
    <w:rsid w:val="0058545B"/>
    <w:rsid w:val="0058561B"/>
    <w:rsid w:val="0058588F"/>
    <w:rsid w:val="0058589E"/>
    <w:rsid w:val="00585DE5"/>
    <w:rsid w:val="00585F4D"/>
    <w:rsid w:val="00585FB4"/>
    <w:rsid w:val="00586006"/>
    <w:rsid w:val="00586165"/>
    <w:rsid w:val="005861AF"/>
    <w:rsid w:val="0058665D"/>
    <w:rsid w:val="00586894"/>
    <w:rsid w:val="0058696A"/>
    <w:rsid w:val="00586C34"/>
    <w:rsid w:val="00586CC7"/>
    <w:rsid w:val="00586E5B"/>
    <w:rsid w:val="00587169"/>
    <w:rsid w:val="005876DD"/>
    <w:rsid w:val="005876F0"/>
    <w:rsid w:val="005877DF"/>
    <w:rsid w:val="00587A21"/>
    <w:rsid w:val="00587A2A"/>
    <w:rsid w:val="00587B88"/>
    <w:rsid w:val="00587F51"/>
    <w:rsid w:val="00587F56"/>
    <w:rsid w:val="00590344"/>
    <w:rsid w:val="0059073F"/>
    <w:rsid w:val="005907F3"/>
    <w:rsid w:val="0059083C"/>
    <w:rsid w:val="00590AC0"/>
    <w:rsid w:val="00590B70"/>
    <w:rsid w:val="00590BC3"/>
    <w:rsid w:val="00590D67"/>
    <w:rsid w:val="0059110B"/>
    <w:rsid w:val="005911A8"/>
    <w:rsid w:val="00591242"/>
    <w:rsid w:val="00591336"/>
    <w:rsid w:val="0059185E"/>
    <w:rsid w:val="00591892"/>
    <w:rsid w:val="005919B3"/>
    <w:rsid w:val="005919D2"/>
    <w:rsid w:val="00591A01"/>
    <w:rsid w:val="00591D13"/>
    <w:rsid w:val="00592047"/>
    <w:rsid w:val="005926E6"/>
    <w:rsid w:val="00592974"/>
    <w:rsid w:val="00592AAB"/>
    <w:rsid w:val="00593491"/>
    <w:rsid w:val="00593EA0"/>
    <w:rsid w:val="00593F24"/>
    <w:rsid w:val="00594121"/>
    <w:rsid w:val="00594252"/>
    <w:rsid w:val="005942BC"/>
    <w:rsid w:val="00594311"/>
    <w:rsid w:val="005943F1"/>
    <w:rsid w:val="005950BF"/>
    <w:rsid w:val="00595169"/>
    <w:rsid w:val="005955A1"/>
    <w:rsid w:val="0059569D"/>
    <w:rsid w:val="00595704"/>
    <w:rsid w:val="0059594E"/>
    <w:rsid w:val="00595CF1"/>
    <w:rsid w:val="00595DA3"/>
    <w:rsid w:val="00595E33"/>
    <w:rsid w:val="00596194"/>
    <w:rsid w:val="005961EF"/>
    <w:rsid w:val="0059678E"/>
    <w:rsid w:val="005967B5"/>
    <w:rsid w:val="00596F49"/>
    <w:rsid w:val="00596F81"/>
    <w:rsid w:val="0059724D"/>
    <w:rsid w:val="00597B33"/>
    <w:rsid w:val="00597C72"/>
    <w:rsid w:val="00597EF3"/>
    <w:rsid w:val="00597FAD"/>
    <w:rsid w:val="005A0112"/>
    <w:rsid w:val="005A01FF"/>
    <w:rsid w:val="005A0709"/>
    <w:rsid w:val="005A077C"/>
    <w:rsid w:val="005A07F4"/>
    <w:rsid w:val="005A084C"/>
    <w:rsid w:val="005A090F"/>
    <w:rsid w:val="005A0DBB"/>
    <w:rsid w:val="005A0F70"/>
    <w:rsid w:val="005A11BA"/>
    <w:rsid w:val="005A1403"/>
    <w:rsid w:val="005A1406"/>
    <w:rsid w:val="005A14EC"/>
    <w:rsid w:val="005A1D72"/>
    <w:rsid w:val="005A1DA9"/>
    <w:rsid w:val="005A2012"/>
    <w:rsid w:val="005A20E7"/>
    <w:rsid w:val="005A21FD"/>
    <w:rsid w:val="005A23AB"/>
    <w:rsid w:val="005A24A0"/>
    <w:rsid w:val="005A2534"/>
    <w:rsid w:val="005A318C"/>
    <w:rsid w:val="005A35D8"/>
    <w:rsid w:val="005A3AD1"/>
    <w:rsid w:val="005A4200"/>
    <w:rsid w:val="005A44E5"/>
    <w:rsid w:val="005A491C"/>
    <w:rsid w:val="005A4C3F"/>
    <w:rsid w:val="005A4FED"/>
    <w:rsid w:val="005A5046"/>
    <w:rsid w:val="005A561B"/>
    <w:rsid w:val="005A5F26"/>
    <w:rsid w:val="005A618F"/>
    <w:rsid w:val="005A6E22"/>
    <w:rsid w:val="005A6F78"/>
    <w:rsid w:val="005A7015"/>
    <w:rsid w:val="005A7185"/>
    <w:rsid w:val="005A720E"/>
    <w:rsid w:val="005A73DE"/>
    <w:rsid w:val="005A77A8"/>
    <w:rsid w:val="005A7861"/>
    <w:rsid w:val="005A7EB3"/>
    <w:rsid w:val="005B009E"/>
    <w:rsid w:val="005B0494"/>
    <w:rsid w:val="005B069F"/>
    <w:rsid w:val="005B07EF"/>
    <w:rsid w:val="005B082E"/>
    <w:rsid w:val="005B08CE"/>
    <w:rsid w:val="005B0B83"/>
    <w:rsid w:val="005B0CC3"/>
    <w:rsid w:val="005B1294"/>
    <w:rsid w:val="005B13F1"/>
    <w:rsid w:val="005B1521"/>
    <w:rsid w:val="005B1826"/>
    <w:rsid w:val="005B1BB5"/>
    <w:rsid w:val="005B2052"/>
    <w:rsid w:val="005B24BE"/>
    <w:rsid w:val="005B292D"/>
    <w:rsid w:val="005B2BA6"/>
    <w:rsid w:val="005B32BF"/>
    <w:rsid w:val="005B3330"/>
    <w:rsid w:val="005B3598"/>
    <w:rsid w:val="005B3BC8"/>
    <w:rsid w:val="005B4063"/>
    <w:rsid w:val="005B40F5"/>
    <w:rsid w:val="005B43A1"/>
    <w:rsid w:val="005B43AF"/>
    <w:rsid w:val="005B4E55"/>
    <w:rsid w:val="005B4E7D"/>
    <w:rsid w:val="005B5023"/>
    <w:rsid w:val="005B51A3"/>
    <w:rsid w:val="005B5882"/>
    <w:rsid w:val="005B605D"/>
    <w:rsid w:val="005B606F"/>
    <w:rsid w:val="005B6148"/>
    <w:rsid w:val="005B65E1"/>
    <w:rsid w:val="005B6687"/>
    <w:rsid w:val="005B69A1"/>
    <w:rsid w:val="005B6C54"/>
    <w:rsid w:val="005B6CB6"/>
    <w:rsid w:val="005B70AA"/>
    <w:rsid w:val="005B7373"/>
    <w:rsid w:val="005B73EF"/>
    <w:rsid w:val="005B75AF"/>
    <w:rsid w:val="005B7DC4"/>
    <w:rsid w:val="005C001C"/>
    <w:rsid w:val="005C0261"/>
    <w:rsid w:val="005C0909"/>
    <w:rsid w:val="005C0BD4"/>
    <w:rsid w:val="005C1072"/>
    <w:rsid w:val="005C164C"/>
    <w:rsid w:val="005C17AD"/>
    <w:rsid w:val="005C1998"/>
    <w:rsid w:val="005C1FDF"/>
    <w:rsid w:val="005C234A"/>
    <w:rsid w:val="005C2A47"/>
    <w:rsid w:val="005C2E3D"/>
    <w:rsid w:val="005C2E92"/>
    <w:rsid w:val="005C2F02"/>
    <w:rsid w:val="005C3382"/>
    <w:rsid w:val="005C35B0"/>
    <w:rsid w:val="005C37E6"/>
    <w:rsid w:val="005C3826"/>
    <w:rsid w:val="005C38CF"/>
    <w:rsid w:val="005C3A28"/>
    <w:rsid w:val="005C3A40"/>
    <w:rsid w:val="005C3BD5"/>
    <w:rsid w:val="005C41ED"/>
    <w:rsid w:val="005C47F6"/>
    <w:rsid w:val="005C4889"/>
    <w:rsid w:val="005C49E9"/>
    <w:rsid w:val="005C4D42"/>
    <w:rsid w:val="005C52BB"/>
    <w:rsid w:val="005C5438"/>
    <w:rsid w:val="005C54EE"/>
    <w:rsid w:val="005C586E"/>
    <w:rsid w:val="005C5CFD"/>
    <w:rsid w:val="005C5E6B"/>
    <w:rsid w:val="005C5EC6"/>
    <w:rsid w:val="005C62A1"/>
    <w:rsid w:val="005C6336"/>
    <w:rsid w:val="005C6D42"/>
    <w:rsid w:val="005C782A"/>
    <w:rsid w:val="005C7955"/>
    <w:rsid w:val="005C7C0F"/>
    <w:rsid w:val="005C7CAD"/>
    <w:rsid w:val="005C7D8D"/>
    <w:rsid w:val="005C7FD6"/>
    <w:rsid w:val="005D01E8"/>
    <w:rsid w:val="005D039A"/>
    <w:rsid w:val="005D0AED"/>
    <w:rsid w:val="005D0CAD"/>
    <w:rsid w:val="005D0FA9"/>
    <w:rsid w:val="005D1323"/>
    <w:rsid w:val="005D13A0"/>
    <w:rsid w:val="005D1635"/>
    <w:rsid w:val="005D195E"/>
    <w:rsid w:val="005D1982"/>
    <w:rsid w:val="005D19A5"/>
    <w:rsid w:val="005D1AFB"/>
    <w:rsid w:val="005D1C36"/>
    <w:rsid w:val="005D1FB4"/>
    <w:rsid w:val="005D24DA"/>
    <w:rsid w:val="005D266A"/>
    <w:rsid w:val="005D296F"/>
    <w:rsid w:val="005D2D17"/>
    <w:rsid w:val="005D302D"/>
    <w:rsid w:val="005D3198"/>
    <w:rsid w:val="005D3D61"/>
    <w:rsid w:val="005D451D"/>
    <w:rsid w:val="005D4C79"/>
    <w:rsid w:val="005D4D6B"/>
    <w:rsid w:val="005D4D71"/>
    <w:rsid w:val="005D4F26"/>
    <w:rsid w:val="005D4F60"/>
    <w:rsid w:val="005D50C2"/>
    <w:rsid w:val="005D5488"/>
    <w:rsid w:val="005D5521"/>
    <w:rsid w:val="005D5676"/>
    <w:rsid w:val="005D5839"/>
    <w:rsid w:val="005D5853"/>
    <w:rsid w:val="005D58AD"/>
    <w:rsid w:val="005D5CD6"/>
    <w:rsid w:val="005D5D8E"/>
    <w:rsid w:val="005D5E14"/>
    <w:rsid w:val="005D5F35"/>
    <w:rsid w:val="005D5FCE"/>
    <w:rsid w:val="005D60D3"/>
    <w:rsid w:val="005D63C7"/>
    <w:rsid w:val="005D658A"/>
    <w:rsid w:val="005D6B7F"/>
    <w:rsid w:val="005D6C5F"/>
    <w:rsid w:val="005D7235"/>
    <w:rsid w:val="005D7276"/>
    <w:rsid w:val="005D753E"/>
    <w:rsid w:val="005D795F"/>
    <w:rsid w:val="005E014F"/>
    <w:rsid w:val="005E02EE"/>
    <w:rsid w:val="005E0325"/>
    <w:rsid w:val="005E03D6"/>
    <w:rsid w:val="005E0A74"/>
    <w:rsid w:val="005E17B6"/>
    <w:rsid w:val="005E1C7D"/>
    <w:rsid w:val="005E1C8B"/>
    <w:rsid w:val="005E1F86"/>
    <w:rsid w:val="005E20A3"/>
    <w:rsid w:val="005E2130"/>
    <w:rsid w:val="005E2135"/>
    <w:rsid w:val="005E22C2"/>
    <w:rsid w:val="005E245A"/>
    <w:rsid w:val="005E250C"/>
    <w:rsid w:val="005E26FB"/>
    <w:rsid w:val="005E30C0"/>
    <w:rsid w:val="005E3770"/>
    <w:rsid w:val="005E385E"/>
    <w:rsid w:val="005E3939"/>
    <w:rsid w:val="005E3D5A"/>
    <w:rsid w:val="005E3ED4"/>
    <w:rsid w:val="005E3EF6"/>
    <w:rsid w:val="005E4324"/>
    <w:rsid w:val="005E46CE"/>
    <w:rsid w:val="005E47F0"/>
    <w:rsid w:val="005E4FF6"/>
    <w:rsid w:val="005E5215"/>
    <w:rsid w:val="005E5491"/>
    <w:rsid w:val="005E5633"/>
    <w:rsid w:val="005E5BA7"/>
    <w:rsid w:val="005E5E9B"/>
    <w:rsid w:val="005E5FAA"/>
    <w:rsid w:val="005E623D"/>
    <w:rsid w:val="005E6A19"/>
    <w:rsid w:val="005E6C11"/>
    <w:rsid w:val="005E6C30"/>
    <w:rsid w:val="005E752D"/>
    <w:rsid w:val="005E771D"/>
    <w:rsid w:val="005E7C77"/>
    <w:rsid w:val="005E7D80"/>
    <w:rsid w:val="005E7E61"/>
    <w:rsid w:val="005E7FC6"/>
    <w:rsid w:val="005F010A"/>
    <w:rsid w:val="005F0494"/>
    <w:rsid w:val="005F04BA"/>
    <w:rsid w:val="005F04F1"/>
    <w:rsid w:val="005F0827"/>
    <w:rsid w:val="005F0B64"/>
    <w:rsid w:val="005F0C94"/>
    <w:rsid w:val="005F0F5B"/>
    <w:rsid w:val="005F1050"/>
    <w:rsid w:val="005F125B"/>
    <w:rsid w:val="005F12A5"/>
    <w:rsid w:val="005F12FD"/>
    <w:rsid w:val="005F18E2"/>
    <w:rsid w:val="005F1B56"/>
    <w:rsid w:val="005F1BB8"/>
    <w:rsid w:val="005F1ECD"/>
    <w:rsid w:val="005F233D"/>
    <w:rsid w:val="005F289E"/>
    <w:rsid w:val="005F28AE"/>
    <w:rsid w:val="005F2B5A"/>
    <w:rsid w:val="005F2BBD"/>
    <w:rsid w:val="005F2BDE"/>
    <w:rsid w:val="005F2DF0"/>
    <w:rsid w:val="005F2FB9"/>
    <w:rsid w:val="005F30A2"/>
    <w:rsid w:val="005F31C4"/>
    <w:rsid w:val="005F3465"/>
    <w:rsid w:val="005F3666"/>
    <w:rsid w:val="005F3738"/>
    <w:rsid w:val="005F38BA"/>
    <w:rsid w:val="005F3A6F"/>
    <w:rsid w:val="005F3E71"/>
    <w:rsid w:val="005F41D0"/>
    <w:rsid w:val="005F422A"/>
    <w:rsid w:val="005F49BD"/>
    <w:rsid w:val="005F4B44"/>
    <w:rsid w:val="005F4F36"/>
    <w:rsid w:val="005F50D0"/>
    <w:rsid w:val="005F54C2"/>
    <w:rsid w:val="005F5507"/>
    <w:rsid w:val="005F576B"/>
    <w:rsid w:val="005F594C"/>
    <w:rsid w:val="005F5A7C"/>
    <w:rsid w:val="005F68C9"/>
    <w:rsid w:val="005F69CE"/>
    <w:rsid w:val="005F6A0E"/>
    <w:rsid w:val="005F6B34"/>
    <w:rsid w:val="005F6E7A"/>
    <w:rsid w:val="005F70B4"/>
    <w:rsid w:val="005F711E"/>
    <w:rsid w:val="005F7397"/>
    <w:rsid w:val="005F753D"/>
    <w:rsid w:val="005F7697"/>
    <w:rsid w:val="005F7BF4"/>
    <w:rsid w:val="005F7CDE"/>
    <w:rsid w:val="00600067"/>
    <w:rsid w:val="006000AB"/>
    <w:rsid w:val="006000E8"/>
    <w:rsid w:val="0060015A"/>
    <w:rsid w:val="00600561"/>
    <w:rsid w:val="00600AB1"/>
    <w:rsid w:val="00600C21"/>
    <w:rsid w:val="00601289"/>
    <w:rsid w:val="0060134C"/>
    <w:rsid w:val="006013B8"/>
    <w:rsid w:val="006018A4"/>
    <w:rsid w:val="006019C7"/>
    <w:rsid w:val="00601CE6"/>
    <w:rsid w:val="00601D1E"/>
    <w:rsid w:val="00601E0C"/>
    <w:rsid w:val="006020A8"/>
    <w:rsid w:val="006023FD"/>
    <w:rsid w:val="006027DC"/>
    <w:rsid w:val="006028BE"/>
    <w:rsid w:val="00602CBC"/>
    <w:rsid w:val="00602DD1"/>
    <w:rsid w:val="00603310"/>
    <w:rsid w:val="0060333D"/>
    <w:rsid w:val="00603676"/>
    <w:rsid w:val="00603697"/>
    <w:rsid w:val="00603A54"/>
    <w:rsid w:val="00603C41"/>
    <w:rsid w:val="00603E11"/>
    <w:rsid w:val="00603F23"/>
    <w:rsid w:val="0060412D"/>
    <w:rsid w:val="00604712"/>
    <w:rsid w:val="00604B20"/>
    <w:rsid w:val="00604CAD"/>
    <w:rsid w:val="006056D6"/>
    <w:rsid w:val="00605791"/>
    <w:rsid w:val="00605A3A"/>
    <w:rsid w:val="00605C8C"/>
    <w:rsid w:val="006060BF"/>
    <w:rsid w:val="006063AE"/>
    <w:rsid w:val="00606596"/>
    <w:rsid w:val="0060710E"/>
    <w:rsid w:val="00607366"/>
    <w:rsid w:val="0060738E"/>
    <w:rsid w:val="006078C1"/>
    <w:rsid w:val="00607BC8"/>
    <w:rsid w:val="0061010D"/>
    <w:rsid w:val="006102C7"/>
    <w:rsid w:val="006102D6"/>
    <w:rsid w:val="00610317"/>
    <w:rsid w:val="00610346"/>
    <w:rsid w:val="006103C5"/>
    <w:rsid w:val="006103C6"/>
    <w:rsid w:val="00610440"/>
    <w:rsid w:val="0061050A"/>
    <w:rsid w:val="00610CE5"/>
    <w:rsid w:val="006110B4"/>
    <w:rsid w:val="00611208"/>
    <w:rsid w:val="006114C7"/>
    <w:rsid w:val="00611A6A"/>
    <w:rsid w:val="00611B9A"/>
    <w:rsid w:val="00611C36"/>
    <w:rsid w:val="00611EB8"/>
    <w:rsid w:val="00611FD3"/>
    <w:rsid w:val="006122D2"/>
    <w:rsid w:val="006123C9"/>
    <w:rsid w:val="006125FE"/>
    <w:rsid w:val="00612634"/>
    <w:rsid w:val="00612641"/>
    <w:rsid w:val="006126CE"/>
    <w:rsid w:val="0061270E"/>
    <w:rsid w:val="006129AC"/>
    <w:rsid w:val="00612A16"/>
    <w:rsid w:val="00612DBC"/>
    <w:rsid w:val="00612DC8"/>
    <w:rsid w:val="00612E46"/>
    <w:rsid w:val="006133D0"/>
    <w:rsid w:val="006138A7"/>
    <w:rsid w:val="006138B2"/>
    <w:rsid w:val="006144F8"/>
    <w:rsid w:val="006145E9"/>
    <w:rsid w:val="0061486E"/>
    <w:rsid w:val="0061493B"/>
    <w:rsid w:val="00614B19"/>
    <w:rsid w:val="00614C44"/>
    <w:rsid w:val="00614D10"/>
    <w:rsid w:val="00614F2E"/>
    <w:rsid w:val="006155BB"/>
    <w:rsid w:val="0061581A"/>
    <w:rsid w:val="006158BC"/>
    <w:rsid w:val="00615BF0"/>
    <w:rsid w:val="00615D7C"/>
    <w:rsid w:val="006161F6"/>
    <w:rsid w:val="00616215"/>
    <w:rsid w:val="0061622D"/>
    <w:rsid w:val="00616823"/>
    <w:rsid w:val="00616A1F"/>
    <w:rsid w:val="00616AD2"/>
    <w:rsid w:val="00616E26"/>
    <w:rsid w:val="00617001"/>
    <w:rsid w:val="00617251"/>
    <w:rsid w:val="0061755D"/>
    <w:rsid w:val="00617696"/>
    <w:rsid w:val="006177AA"/>
    <w:rsid w:val="00617DB1"/>
    <w:rsid w:val="00617DBC"/>
    <w:rsid w:val="00617F12"/>
    <w:rsid w:val="00620308"/>
    <w:rsid w:val="00620475"/>
    <w:rsid w:val="00620621"/>
    <w:rsid w:val="00620773"/>
    <w:rsid w:val="006208D4"/>
    <w:rsid w:val="00620FD9"/>
    <w:rsid w:val="00620FEB"/>
    <w:rsid w:val="006211D6"/>
    <w:rsid w:val="00621332"/>
    <w:rsid w:val="00621419"/>
    <w:rsid w:val="00621818"/>
    <w:rsid w:val="00621DE2"/>
    <w:rsid w:val="006222BF"/>
    <w:rsid w:val="006224B9"/>
    <w:rsid w:val="00622616"/>
    <w:rsid w:val="0062262E"/>
    <w:rsid w:val="00622826"/>
    <w:rsid w:val="0062285F"/>
    <w:rsid w:val="0062305A"/>
    <w:rsid w:val="0062317E"/>
    <w:rsid w:val="006232EB"/>
    <w:rsid w:val="0062332C"/>
    <w:rsid w:val="006233F1"/>
    <w:rsid w:val="006233F8"/>
    <w:rsid w:val="0062349E"/>
    <w:rsid w:val="006235E6"/>
    <w:rsid w:val="006239C8"/>
    <w:rsid w:val="00623CC7"/>
    <w:rsid w:val="00624338"/>
    <w:rsid w:val="006248A9"/>
    <w:rsid w:val="00624BBC"/>
    <w:rsid w:val="00624F5F"/>
    <w:rsid w:val="00624F90"/>
    <w:rsid w:val="006250C9"/>
    <w:rsid w:val="006257F2"/>
    <w:rsid w:val="00625900"/>
    <w:rsid w:val="00625CA6"/>
    <w:rsid w:val="00625CAE"/>
    <w:rsid w:val="00625D06"/>
    <w:rsid w:val="00625F3F"/>
    <w:rsid w:val="0062610E"/>
    <w:rsid w:val="00626113"/>
    <w:rsid w:val="0062618A"/>
    <w:rsid w:val="006261CC"/>
    <w:rsid w:val="00626300"/>
    <w:rsid w:val="0062665C"/>
    <w:rsid w:val="006266E3"/>
    <w:rsid w:val="00626BE0"/>
    <w:rsid w:val="00626C3B"/>
    <w:rsid w:val="00626D1E"/>
    <w:rsid w:val="00627210"/>
    <w:rsid w:val="006305DE"/>
    <w:rsid w:val="006308F3"/>
    <w:rsid w:val="006309C5"/>
    <w:rsid w:val="00630BB6"/>
    <w:rsid w:val="00630C45"/>
    <w:rsid w:val="0063150D"/>
    <w:rsid w:val="00631556"/>
    <w:rsid w:val="00631600"/>
    <w:rsid w:val="00631732"/>
    <w:rsid w:val="00631AED"/>
    <w:rsid w:val="00631C5E"/>
    <w:rsid w:val="0063212F"/>
    <w:rsid w:val="0063224B"/>
    <w:rsid w:val="00632258"/>
    <w:rsid w:val="00632536"/>
    <w:rsid w:val="00632761"/>
    <w:rsid w:val="006328CF"/>
    <w:rsid w:val="00632983"/>
    <w:rsid w:val="00632AB2"/>
    <w:rsid w:val="00632C8F"/>
    <w:rsid w:val="006334B5"/>
    <w:rsid w:val="0063367B"/>
    <w:rsid w:val="00633985"/>
    <w:rsid w:val="00633A26"/>
    <w:rsid w:val="00633A9B"/>
    <w:rsid w:val="00633F03"/>
    <w:rsid w:val="006343E5"/>
    <w:rsid w:val="0063455B"/>
    <w:rsid w:val="006345F3"/>
    <w:rsid w:val="00634873"/>
    <w:rsid w:val="00634E09"/>
    <w:rsid w:val="00634E3C"/>
    <w:rsid w:val="006352E6"/>
    <w:rsid w:val="006352EF"/>
    <w:rsid w:val="00635916"/>
    <w:rsid w:val="0063592A"/>
    <w:rsid w:val="00635AB5"/>
    <w:rsid w:val="006360ED"/>
    <w:rsid w:val="0063636F"/>
    <w:rsid w:val="00636475"/>
    <w:rsid w:val="006366DE"/>
    <w:rsid w:val="00636890"/>
    <w:rsid w:val="006372FB"/>
    <w:rsid w:val="0063757D"/>
    <w:rsid w:val="0063767B"/>
    <w:rsid w:val="00637BA6"/>
    <w:rsid w:val="00637CAD"/>
    <w:rsid w:val="00640772"/>
    <w:rsid w:val="00640B31"/>
    <w:rsid w:val="00640B8D"/>
    <w:rsid w:val="00640FF7"/>
    <w:rsid w:val="006413BB"/>
    <w:rsid w:val="00641F9F"/>
    <w:rsid w:val="00642A39"/>
    <w:rsid w:val="00642EB5"/>
    <w:rsid w:val="0064306C"/>
    <w:rsid w:val="00643128"/>
    <w:rsid w:val="0064325C"/>
    <w:rsid w:val="0064353D"/>
    <w:rsid w:val="006437DB"/>
    <w:rsid w:val="006439D9"/>
    <w:rsid w:val="00643A77"/>
    <w:rsid w:val="006441C8"/>
    <w:rsid w:val="006446CF"/>
    <w:rsid w:val="00644A9A"/>
    <w:rsid w:val="00644B88"/>
    <w:rsid w:val="00644DEE"/>
    <w:rsid w:val="00644E7D"/>
    <w:rsid w:val="006452EF"/>
    <w:rsid w:val="0064538C"/>
    <w:rsid w:val="00645699"/>
    <w:rsid w:val="006457BA"/>
    <w:rsid w:val="00645B15"/>
    <w:rsid w:val="00645BF3"/>
    <w:rsid w:val="00646459"/>
    <w:rsid w:val="006465B7"/>
    <w:rsid w:val="00646683"/>
    <w:rsid w:val="00646982"/>
    <w:rsid w:val="006469AB"/>
    <w:rsid w:val="00646A00"/>
    <w:rsid w:val="00646C2A"/>
    <w:rsid w:val="006473A0"/>
    <w:rsid w:val="0064763B"/>
    <w:rsid w:val="00647822"/>
    <w:rsid w:val="00647840"/>
    <w:rsid w:val="0064793C"/>
    <w:rsid w:val="00647DDE"/>
    <w:rsid w:val="0065037E"/>
    <w:rsid w:val="0065056E"/>
    <w:rsid w:val="00650A29"/>
    <w:rsid w:val="00650F99"/>
    <w:rsid w:val="00651003"/>
    <w:rsid w:val="006513D6"/>
    <w:rsid w:val="006516EB"/>
    <w:rsid w:val="006517F8"/>
    <w:rsid w:val="00651929"/>
    <w:rsid w:val="00651C9F"/>
    <w:rsid w:val="006521A9"/>
    <w:rsid w:val="00652280"/>
    <w:rsid w:val="006526C4"/>
    <w:rsid w:val="00652D1D"/>
    <w:rsid w:val="00653184"/>
    <w:rsid w:val="00653460"/>
    <w:rsid w:val="00653B12"/>
    <w:rsid w:val="00653D1B"/>
    <w:rsid w:val="00653DC0"/>
    <w:rsid w:val="00653F76"/>
    <w:rsid w:val="00654001"/>
    <w:rsid w:val="0065420E"/>
    <w:rsid w:val="006544C5"/>
    <w:rsid w:val="00654666"/>
    <w:rsid w:val="0065475F"/>
    <w:rsid w:val="00654932"/>
    <w:rsid w:val="006549FE"/>
    <w:rsid w:val="00654D4A"/>
    <w:rsid w:val="00654E1A"/>
    <w:rsid w:val="00654F17"/>
    <w:rsid w:val="0065560B"/>
    <w:rsid w:val="00655B32"/>
    <w:rsid w:val="00656464"/>
    <w:rsid w:val="00656C34"/>
    <w:rsid w:val="00656D40"/>
    <w:rsid w:val="00657270"/>
    <w:rsid w:val="006572A4"/>
    <w:rsid w:val="006573D7"/>
    <w:rsid w:val="006573E9"/>
    <w:rsid w:val="006575F5"/>
    <w:rsid w:val="006577AA"/>
    <w:rsid w:val="0065786D"/>
    <w:rsid w:val="00657B51"/>
    <w:rsid w:val="006601FD"/>
    <w:rsid w:val="006603E8"/>
    <w:rsid w:val="0066075B"/>
    <w:rsid w:val="006609E5"/>
    <w:rsid w:val="00660EC9"/>
    <w:rsid w:val="00661A85"/>
    <w:rsid w:val="00661F85"/>
    <w:rsid w:val="006621DC"/>
    <w:rsid w:val="006621E5"/>
    <w:rsid w:val="00662455"/>
    <w:rsid w:val="00662772"/>
    <w:rsid w:val="0066290D"/>
    <w:rsid w:val="00662AF9"/>
    <w:rsid w:val="00662C60"/>
    <w:rsid w:val="00662D4C"/>
    <w:rsid w:val="00662DB8"/>
    <w:rsid w:val="0066340D"/>
    <w:rsid w:val="0066343E"/>
    <w:rsid w:val="0066385B"/>
    <w:rsid w:val="00663CAB"/>
    <w:rsid w:val="00663DE3"/>
    <w:rsid w:val="00664481"/>
    <w:rsid w:val="00664534"/>
    <w:rsid w:val="00664544"/>
    <w:rsid w:val="00664634"/>
    <w:rsid w:val="00664CDA"/>
    <w:rsid w:val="00664DBA"/>
    <w:rsid w:val="00664EB1"/>
    <w:rsid w:val="00665287"/>
    <w:rsid w:val="006653DA"/>
    <w:rsid w:val="00665526"/>
    <w:rsid w:val="0066605F"/>
    <w:rsid w:val="00666B50"/>
    <w:rsid w:val="00666DFC"/>
    <w:rsid w:val="00667485"/>
    <w:rsid w:val="006675EC"/>
    <w:rsid w:val="0066768A"/>
    <w:rsid w:val="006676EE"/>
    <w:rsid w:val="00667ABE"/>
    <w:rsid w:val="00667BBE"/>
    <w:rsid w:val="00667C4B"/>
    <w:rsid w:val="00667E69"/>
    <w:rsid w:val="00667FB3"/>
    <w:rsid w:val="00670073"/>
    <w:rsid w:val="00670269"/>
    <w:rsid w:val="0067052A"/>
    <w:rsid w:val="006705C6"/>
    <w:rsid w:val="00670646"/>
    <w:rsid w:val="006708D1"/>
    <w:rsid w:val="00670DBC"/>
    <w:rsid w:val="00670E80"/>
    <w:rsid w:val="00670EB9"/>
    <w:rsid w:val="00670FFA"/>
    <w:rsid w:val="00671163"/>
    <w:rsid w:val="006711CA"/>
    <w:rsid w:val="00671322"/>
    <w:rsid w:val="0067157A"/>
    <w:rsid w:val="0067195F"/>
    <w:rsid w:val="006722F7"/>
    <w:rsid w:val="00672484"/>
    <w:rsid w:val="00672641"/>
    <w:rsid w:val="00672832"/>
    <w:rsid w:val="00672C8C"/>
    <w:rsid w:val="00672F55"/>
    <w:rsid w:val="006730E8"/>
    <w:rsid w:val="006736B8"/>
    <w:rsid w:val="00673709"/>
    <w:rsid w:val="00673BBA"/>
    <w:rsid w:val="00673CE7"/>
    <w:rsid w:val="00673F8E"/>
    <w:rsid w:val="006746F2"/>
    <w:rsid w:val="0067489E"/>
    <w:rsid w:val="00674988"/>
    <w:rsid w:val="00674ADE"/>
    <w:rsid w:val="00674BAA"/>
    <w:rsid w:val="00674BB7"/>
    <w:rsid w:val="0067558A"/>
    <w:rsid w:val="0067565C"/>
    <w:rsid w:val="006757DA"/>
    <w:rsid w:val="0067593D"/>
    <w:rsid w:val="00675A83"/>
    <w:rsid w:val="00675CE4"/>
    <w:rsid w:val="0067621D"/>
    <w:rsid w:val="00676232"/>
    <w:rsid w:val="006762FB"/>
    <w:rsid w:val="0067635B"/>
    <w:rsid w:val="00676381"/>
    <w:rsid w:val="006764F5"/>
    <w:rsid w:val="00676753"/>
    <w:rsid w:val="00676784"/>
    <w:rsid w:val="00676BB1"/>
    <w:rsid w:val="00676C26"/>
    <w:rsid w:val="00676DA3"/>
    <w:rsid w:val="006773ED"/>
    <w:rsid w:val="00677998"/>
    <w:rsid w:val="00677ADB"/>
    <w:rsid w:val="00680414"/>
    <w:rsid w:val="0068065F"/>
    <w:rsid w:val="00680800"/>
    <w:rsid w:val="00680CB1"/>
    <w:rsid w:val="00680DA6"/>
    <w:rsid w:val="00681513"/>
    <w:rsid w:val="00681592"/>
    <w:rsid w:val="006818CA"/>
    <w:rsid w:val="006819BC"/>
    <w:rsid w:val="00681C95"/>
    <w:rsid w:val="006822A1"/>
    <w:rsid w:val="00682A04"/>
    <w:rsid w:val="00682A83"/>
    <w:rsid w:val="0068306C"/>
    <w:rsid w:val="006831AE"/>
    <w:rsid w:val="006836C5"/>
    <w:rsid w:val="00683812"/>
    <w:rsid w:val="0068399A"/>
    <w:rsid w:val="00683AC4"/>
    <w:rsid w:val="00683C86"/>
    <w:rsid w:val="00683DB7"/>
    <w:rsid w:val="006840E2"/>
    <w:rsid w:val="006842BB"/>
    <w:rsid w:val="006843EA"/>
    <w:rsid w:val="006849ED"/>
    <w:rsid w:val="0068542D"/>
    <w:rsid w:val="00685FC2"/>
    <w:rsid w:val="00686782"/>
    <w:rsid w:val="00686E42"/>
    <w:rsid w:val="00687072"/>
    <w:rsid w:val="006878C8"/>
    <w:rsid w:val="0068795F"/>
    <w:rsid w:val="00687A27"/>
    <w:rsid w:val="00687BB0"/>
    <w:rsid w:val="00687C39"/>
    <w:rsid w:val="00687D5F"/>
    <w:rsid w:val="00687EFE"/>
    <w:rsid w:val="00690116"/>
    <w:rsid w:val="00690487"/>
    <w:rsid w:val="006904B3"/>
    <w:rsid w:val="006904C5"/>
    <w:rsid w:val="00690751"/>
    <w:rsid w:val="0069079C"/>
    <w:rsid w:val="00690EA4"/>
    <w:rsid w:val="00691153"/>
    <w:rsid w:val="00691651"/>
    <w:rsid w:val="0069171A"/>
    <w:rsid w:val="00691B59"/>
    <w:rsid w:val="00691B8C"/>
    <w:rsid w:val="006923E6"/>
    <w:rsid w:val="006923EA"/>
    <w:rsid w:val="006925A6"/>
    <w:rsid w:val="00692854"/>
    <w:rsid w:val="00692D7C"/>
    <w:rsid w:val="00692ED0"/>
    <w:rsid w:val="00693571"/>
    <w:rsid w:val="006938C8"/>
    <w:rsid w:val="00693A96"/>
    <w:rsid w:val="00693AA9"/>
    <w:rsid w:val="0069414B"/>
    <w:rsid w:val="00694D35"/>
    <w:rsid w:val="0069502C"/>
    <w:rsid w:val="006952F3"/>
    <w:rsid w:val="00695733"/>
    <w:rsid w:val="00695869"/>
    <w:rsid w:val="0069589B"/>
    <w:rsid w:val="00695FEB"/>
    <w:rsid w:val="006960B3"/>
    <w:rsid w:val="00696843"/>
    <w:rsid w:val="0069688F"/>
    <w:rsid w:val="00696F9C"/>
    <w:rsid w:val="00697C52"/>
    <w:rsid w:val="006A0167"/>
    <w:rsid w:val="006A017C"/>
    <w:rsid w:val="006A074E"/>
    <w:rsid w:val="006A082F"/>
    <w:rsid w:val="006A0BB0"/>
    <w:rsid w:val="006A0E16"/>
    <w:rsid w:val="006A1235"/>
    <w:rsid w:val="006A12F8"/>
    <w:rsid w:val="006A1BC2"/>
    <w:rsid w:val="006A25A3"/>
    <w:rsid w:val="006A266D"/>
    <w:rsid w:val="006A2825"/>
    <w:rsid w:val="006A2BA1"/>
    <w:rsid w:val="006A2D2C"/>
    <w:rsid w:val="006A2E9D"/>
    <w:rsid w:val="006A3320"/>
    <w:rsid w:val="006A346B"/>
    <w:rsid w:val="006A3B5C"/>
    <w:rsid w:val="006A3C3A"/>
    <w:rsid w:val="006A3D05"/>
    <w:rsid w:val="006A420E"/>
    <w:rsid w:val="006A43D8"/>
    <w:rsid w:val="006A4740"/>
    <w:rsid w:val="006A47D4"/>
    <w:rsid w:val="006A489F"/>
    <w:rsid w:val="006A4903"/>
    <w:rsid w:val="006A4D1C"/>
    <w:rsid w:val="006A4D9E"/>
    <w:rsid w:val="006A508D"/>
    <w:rsid w:val="006A56F5"/>
    <w:rsid w:val="006A5997"/>
    <w:rsid w:val="006A5A29"/>
    <w:rsid w:val="006A5E83"/>
    <w:rsid w:val="006A6179"/>
    <w:rsid w:val="006A623A"/>
    <w:rsid w:val="006A64F3"/>
    <w:rsid w:val="006A6A48"/>
    <w:rsid w:val="006A7AA7"/>
    <w:rsid w:val="006A7ACB"/>
    <w:rsid w:val="006A7AD2"/>
    <w:rsid w:val="006A7CCE"/>
    <w:rsid w:val="006A7D9C"/>
    <w:rsid w:val="006B09C3"/>
    <w:rsid w:val="006B104B"/>
    <w:rsid w:val="006B168F"/>
    <w:rsid w:val="006B16FE"/>
    <w:rsid w:val="006B174F"/>
    <w:rsid w:val="006B17F9"/>
    <w:rsid w:val="006B1997"/>
    <w:rsid w:val="006B19EB"/>
    <w:rsid w:val="006B1BCF"/>
    <w:rsid w:val="006B1C8F"/>
    <w:rsid w:val="006B1CD2"/>
    <w:rsid w:val="006B1FB3"/>
    <w:rsid w:val="006B203A"/>
    <w:rsid w:val="006B2498"/>
    <w:rsid w:val="006B28EA"/>
    <w:rsid w:val="006B28F0"/>
    <w:rsid w:val="006B292A"/>
    <w:rsid w:val="006B2BEC"/>
    <w:rsid w:val="006B2BF7"/>
    <w:rsid w:val="006B2E21"/>
    <w:rsid w:val="006B309E"/>
    <w:rsid w:val="006B34D4"/>
    <w:rsid w:val="006B3702"/>
    <w:rsid w:val="006B3756"/>
    <w:rsid w:val="006B3832"/>
    <w:rsid w:val="006B3909"/>
    <w:rsid w:val="006B3964"/>
    <w:rsid w:val="006B3A1E"/>
    <w:rsid w:val="006B3BD6"/>
    <w:rsid w:val="006B3CAA"/>
    <w:rsid w:val="006B42F4"/>
    <w:rsid w:val="006B45D5"/>
    <w:rsid w:val="006B4674"/>
    <w:rsid w:val="006B4E40"/>
    <w:rsid w:val="006B5514"/>
    <w:rsid w:val="006B564A"/>
    <w:rsid w:val="006B56B8"/>
    <w:rsid w:val="006B56CE"/>
    <w:rsid w:val="006B576A"/>
    <w:rsid w:val="006B5A50"/>
    <w:rsid w:val="006B5B3A"/>
    <w:rsid w:val="006B5B5A"/>
    <w:rsid w:val="006B5F20"/>
    <w:rsid w:val="006B5FE7"/>
    <w:rsid w:val="006B665E"/>
    <w:rsid w:val="006B6725"/>
    <w:rsid w:val="006B70C6"/>
    <w:rsid w:val="006B7626"/>
    <w:rsid w:val="006B773C"/>
    <w:rsid w:val="006B7F22"/>
    <w:rsid w:val="006B7FE5"/>
    <w:rsid w:val="006C0022"/>
    <w:rsid w:val="006C04EF"/>
    <w:rsid w:val="006C079F"/>
    <w:rsid w:val="006C0B92"/>
    <w:rsid w:val="006C0C18"/>
    <w:rsid w:val="006C1062"/>
    <w:rsid w:val="006C10A5"/>
    <w:rsid w:val="006C1116"/>
    <w:rsid w:val="006C165A"/>
    <w:rsid w:val="006C19A2"/>
    <w:rsid w:val="006C19DD"/>
    <w:rsid w:val="006C1DBE"/>
    <w:rsid w:val="006C2025"/>
    <w:rsid w:val="006C2554"/>
    <w:rsid w:val="006C3229"/>
    <w:rsid w:val="006C36F6"/>
    <w:rsid w:val="006C3705"/>
    <w:rsid w:val="006C38A7"/>
    <w:rsid w:val="006C392A"/>
    <w:rsid w:val="006C3999"/>
    <w:rsid w:val="006C3A11"/>
    <w:rsid w:val="006C3E32"/>
    <w:rsid w:val="006C41BF"/>
    <w:rsid w:val="006C490A"/>
    <w:rsid w:val="006C49CE"/>
    <w:rsid w:val="006C4B92"/>
    <w:rsid w:val="006C4C10"/>
    <w:rsid w:val="006C4CC6"/>
    <w:rsid w:val="006C4D35"/>
    <w:rsid w:val="006C4DA5"/>
    <w:rsid w:val="006C5161"/>
    <w:rsid w:val="006C5230"/>
    <w:rsid w:val="006C5321"/>
    <w:rsid w:val="006C53B4"/>
    <w:rsid w:val="006C57B1"/>
    <w:rsid w:val="006C5D64"/>
    <w:rsid w:val="006C60B9"/>
    <w:rsid w:val="006C65C1"/>
    <w:rsid w:val="006C668B"/>
    <w:rsid w:val="006C669C"/>
    <w:rsid w:val="006C677B"/>
    <w:rsid w:val="006C69CD"/>
    <w:rsid w:val="006C6F64"/>
    <w:rsid w:val="006C7035"/>
    <w:rsid w:val="006C705C"/>
    <w:rsid w:val="006C708B"/>
    <w:rsid w:val="006C7147"/>
    <w:rsid w:val="006C71F3"/>
    <w:rsid w:val="006C7391"/>
    <w:rsid w:val="006C745A"/>
    <w:rsid w:val="006C7613"/>
    <w:rsid w:val="006C77DC"/>
    <w:rsid w:val="006C7D58"/>
    <w:rsid w:val="006C7D60"/>
    <w:rsid w:val="006C7FF1"/>
    <w:rsid w:val="006D020C"/>
    <w:rsid w:val="006D0816"/>
    <w:rsid w:val="006D09B4"/>
    <w:rsid w:val="006D0AE5"/>
    <w:rsid w:val="006D101C"/>
    <w:rsid w:val="006D121A"/>
    <w:rsid w:val="006D2312"/>
    <w:rsid w:val="006D2355"/>
    <w:rsid w:val="006D2417"/>
    <w:rsid w:val="006D25AF"/>
    <w:rsid w:val="006D2773"/>
    <w:rsid w:val="006D295D"/>
    <w:rsid w:val="006D2A8F"/>
    <w:rsid w:val="006D2AAB"/>
    <w:rsid w:val="006D2B35"/>
    <w:rsid w:val="006D2C1D"/>
    <w:rsid w:val="006D301B"/>
    <w:rsid w:val="006D3486"/>
    <w:rsid w:val="006D3567"/>
    <w:rsid w:val="006D37AB"/>
    <w:rsid w:val="006D3A49"/>
    <w:rsid w:val="006D3F90"/>
    <w:rsid w:val="006D43DD"/>
    <w:rsid w:val="006D4459"/>
    <w:rsid w:val="006D4483"/>
    <w:rsid w:val="006D4732"/>
    <w:rsid w:val="006D4759"/>
    <w:rsid w:val="006D48F3"/>
    <w:rsid w:val="006D4CDF"/>
    <w:rsid w:val="006D4D28"/>
    <w:rsid w:val="006D562A"/>
    <w:rsid w:val="006D5763"/>
    <w:rsid w:val="006D5956"/>
    <w:rsid w:val="006D5B3E"/>
    <w:rsid w:val="006D5EEB"/>
    <w:rsid w:val="006D6025"/>
    <w:rsid w:val="006D6256"/>
    <w:rsid w:val="006D62DD"/>
    <w:rsid w:val="006D64B8"/>
    <w:rsid w:val="006D6605"/>
    <w:rsid w:val="006D6665"/>
    <w:rsid w:val="006D66BF"/>
    <w:rsid w:val="006D66D6"/>
    <w:rsid w:val="006D68C7"/>
    <w:rsid w:val="006D6A2D"/>
    <w:rsid w:val="006D6C0A"/>
    <w:rsid w:val="006D7046"/>
    <w:rsid w:val="006D7137"/>
    <w:rsid w:val="006D7F54"/>
    <w:rsid w:val="006E04AC"/>
    <w:rsid w:val="006E0756"/>
    <w:rsid w:val="006E0777"/>
    <w:rsid w:val="006E0967"/>
    <w:rsid w:val="006E0EB0"/>
    <w:rsid w:val="006E121E"/>
    <w:rsid w:val="006E124C"/>
    <w:rsid w:val="006E1335"/>
    <w:rsid w:val="006E16AF"/>
    <w:rsid w:val="006E1D8E"/>
    <w:rsid w:val="006E1E77"/>
    <w:rsid w:val="006E22DE"/>
    <w:rsid w:val="006E27CF"/>
    <w:rsid w:val="006E289E"/>
    <w:rsid w:val="006E2CB1"/>
    <w:rsid w:val="006E2FD2"/>
    <w:rsid w:val="006E3127"/>
    <w:rsid w:val="006E320A"/>
    <w:rsid w:val="006E324A"/>
    <w:rsid w:val="006E376D"/>
    <w:rsid w:val="006E3D62"/>
    <w:rsid w:val="006E4067"/>
    <w:rsid w:val="006E41E0"/>
    <w:rsid w:val="006E42D2"/>
    <w:rsid w:val="006E4BC4"/>
    <w:rsid w:val="006E4C17"/>
    <w:rsid w:val="006E5088"/>
    <w:rsid w:val="006E5132"/>
    <w:rsid w:val="006E52D2"/>
    <w:rsid w:val="006E5383"/>
    <w:rsid w:val="006E55FE"/>
    <w:rsid w:val="006E5664"/>
    <w:rsid w:val="006E5770"/>
    <w:rsid w:val="006E5B73"/>
    <w:rsid w:val="006E5BF9"/>
    <w:rsid w:val="006E5E50"/>
    <w:rsid w:val="006E6688"/>
    <w:rsid w:val="006E67B2"/>
    <w:rsid w:val="006E6AED"/>
    <w:rsid w:val="006E6CEC"/>
    <w:rsid w:val="006E70DE"/>
    <w:rsid w:val="006E71C2"/>
    <w:rsid w:val="006E7222"/>
    <w:rsid w:val="006E76D0"/>
    <w:rsid w:val="006E7990"/>
    <w:rsid w:val="006E7B34"/>
    <w:rsid w:val="006E7CB9"/>
    <w:rsid w:val="006E7CE2"/>
    <w:rsid w:val="006E7D0C"/>
    <w:rsid w:val="006E7ECC"/>
    <w:rsid w:val="006F0497"/>
    <w:rsid w:val="006F06DF"/>
    <w:rsid w:val="006F0762"/>
    <w:rsid w:val="006F077C"/>
    <w:rsid w:val="006F08DA"/>
    <w:rsid w:val="006F14FC"/>
    <w:rsid w:val="006F1723"/>
    <w:rsid w:val="006F1866"/>
    <w:rsid w:val="006F1894"/>
    <w:rsid w:val="006F1940"/>
    <w:rsid w:val="006F1A05"/>
    <w:rsid w:val="006F1B46"/>
    <w:rsid w:val="006F2075"/>
    <w:rsid w:val="006F29A6"/>
    <w:rsid w:val="006F2A1C"/>
    <w:rsid w:val="006F2E45"/>
    <w:rsid w:val="006F2ED3"/>
    <w:rsid w:val="006F3371"/>
    <w:rsid w:val="006F3454"/>
    <w:rsid w:val="006F3464"/>
    <w:rsid w:val="006F38CD"/>
    <w:rsid w:val="006F3B3C"/>
    <w:rsid w:val="006F3EE8"/>
    <w:rsid w:val="006F4042"/>
    <w:rsid w:val="006F4201"/>
    <w:rsid w:val="006F4944"/>
    <w:rsid w:val="006F4B69"/>
    <w:rsid w:val="006F4C39"/>
    <w:rsid w:val="006F4FA3"/>
    <w:rsid w:val="006F55F5"/>
    <w:rsid w:val="006F63BD"/>
    <w:rsid w:val="006F6560"/>
    <w:rsid w:val="006F6957"/>
    <w:rsid w:val="006F6A7D"/>
    <w:rsid w:val="006F6D5A"/>
    <w:rsid w:val="006F6E89"/>
    <w:rsid w:val="006F6EC5"/>
    <w:rsid w:val="006F6FA9"/>
    <w:rsid w:val="006F7087"/>
    <w:rsid w:val="006F771B"/>
    <w:rsid w:val="006F7C36"/>
    <w:rsid w:val="006F7E25"/>
    <w:rsid w:val="00700207"/>
    <w:rsid w:val="007002AA"/>
    <w:rsid w:val="007011CD"/>
    <w:rsid w:val="00701DA9"/>
    <w:rsid w:val="00701E33"/>
    <w:rsid w:val="0070224B"/>
    <w:rsid w:val="00702250"/>
    <w:rsid w:val="007028F2"/>
    <w:rsid w:val="00702B7B"/>
    <w:rsid w:val="00702EB3"/>
    <w:rsid w:val="00703043"/>
    <w:rsid w:val="0070335E"/>
    <w:rsid w:val="007040E5"/>
    <w:rsid w:val="007044D8"/>
    <w:rsid w:val="00704907"/>
    <w:rsid w:val="00704AE9"/>
    <w:rsid w:val="00704ECD"/>
    <w:rsid w:val="00705100"/>
    <w:rsid w:val="007051E9"/>
    <w:rsid w:val="007055F4"/>
    <w:rsid w:val="00705A47"/>
    <w:rsid w:val="00705A71"/>
    <w:rsid w:val="00705AC1"/>
    <w:rsid w:val="00705B08"/>
    <w:rsid w:val="00705DDA"/>
    <w:rsid w:val="00705E64"/>
    <w:rsid w:val="007064F2"/>
    <w:rsid w:val="0070690D"/>
    <w:rsid w:val="00706AB9"/>
    <w:rsid w:val="00706B3B"/>
    <w:rsid w:val="00706D58"/>
    <w:rsid w:val="00706DBE"/>
    <w:rsid w:val="007072BB"/>
    <w:rsid w:val="007074AC"/>
    <w:rsid w:val="0070752B"/>
    <w:rsid w:val="00707C50"/>
    <w:rsid w:val="00707D99"/>
    <w:rsid w:val="00707E91"/>
    <w:rsid w:val="00710046"/>
    <w:rsid w:val="007100C4"/>
    <w:rsid w:val="007101DD"/>
    <w:rsid w:val="00710402"/>
    <w:rsid w:val="0071069A"/>
    <w:rsid w:val="007108A2"/>
    <w:rsid w:val="00710A4A"/>
    <w:rsid w:val="007122D4"/>
    <w:rsid w:val="0071259F"/>
    <w:rsid w:val="007127E2"/>
    <w:rsid w:val="00712DA9"/>
    <w:rsid w:val="0071341C"/>
    <w:rsid w:val="0071347E"/>
    <w:rsid w:val="007138E1"/>
    <w:rsid w:val="00713AEE"/>
    <w:rsid w:val="00713DCD"/>
    <w:rsid w:val="007146A8"/>
    <w:rsid w:val="0071477D"/>
    <w:rsid w:val="00714D52"/>
    <w:rsid w:val="00714FCD"/>
    <w:rsid w:val="0071550F"/>
    <w:rsid w:val="0071552D"/>
    <w:rsid w:val="0071564C"/>
    <w:rsid w:val="007157DD"/>
    <w:rsid w:val="007158A8"/>
    <w:rsid w:val="007158E9"/>
    <w:rsid w:val="00715BAA"/>
    <w:rsid w:val="00715C8A"/>
    <w:rsid w:val="00715D49"/>
    <w:rsid w:val="007160A0"/>
    <w:rsid w:val="007160AB"/>
    <w:rsid w:val="0071670D"/>
    <w:rsid w:val="00716833"/>
    <w:rsid w:val="00716BFE"/>
    <w:rsid w:val="00716C42"/>
    <w:rsid w:val="00716C82"/>
    <w:rsid w:val="00716EF1"/>
    <w:rsid w:val="0071709F"/>
    <w:rsid w:val="007171A2"/>
    <w:rsid w:val="007172F1"/>
    <w:rsid w:val="00717780"/>
    <w:rsid w:val="00717820"/>
    <w:rsid w:val="00717E27"/>
    <w:rsid w:val="00717E58"/>
    <w:rsid w:val="00717F17"/>
    <w:rsid w:val="0072006B"/>
    <w:rsid w:val="007200C0"/>
    <w:rsid w:val="00720164"/>
    <w:rsid w:val="00720894"/>
    <w:rsid w:val="007208F7"/>
    <w:rsid w:val="00720FEE"/>
    <w:rsid w:val="0072168E"/>
    <w:rsid w:val="00721A90"/>
    <w:rsid w:val="0072239A"/>
    <w:rsid w:val="00722799"/>
    <w:rsid w:val="0072288B"/>
    <w:rsid w:val="00722A37"/>
    <w:rsid w:val="00722B1D"/>
    <w:rsid w:val="00722D80"/>
    <w:rsid w:val="00722ECB"/>
    <w:rsid w:val="007231BD"/>
    <w:rsid w:val="00723332"/>
    <w:rsid w:val="007233BF"/>
    <w:rsid w:val="00723624"/>
    <w:rsid w:val="00723659"/>
    <w:rsid w:val="007237FB"/>
    <w:rsid w:val="007238CD"/>
    <w:rsid w:val="00723973"/>
    <w:rsid w:val="007239B6"/>
    <w:rsid w:val="007239C1"/>
    <w:rsid w:val="00723C7C"/>
    <w:rsid w:val="00723DE4"/>
    <w:rsid w:val="00723E95"/>
    <w:rsid w:val="00723EE5"/>
    <w:rsid w:val="0072443D"/>
    <w:rsid w:val="007245B8"/>
    <w:rsid w:val="00724826"/>
    <w:rsid w:val="0072499F"/>
    <w:rsid w:val="00724B27"/>
    <w:rsid w:val="0072504B"/>
    <w:rsid w:val="00725093"/>
    <w:rsid w:val="00725236"/>
    <w:rsid w:val="0072575D"/>
    <w:rsid w:val="00725FE7"/>
    <w:rsid w:val="00726448"/>
    <w:rsid w:val="00726A36"/>
    <w:rsid w:val="00727314"/>
    <w:rsid w:val="00727C95"/>
    <w:rsid w:val="00727F1E"/>
    <w:rsid w:val="007301A9"/>
    <w:rsid w:val="007304D9"/>
    <w:rsid w:val="00730707"/>
    <w:rsid w:val="007307B0"/>
    <w:rsid w:val="00730908"/>
    <w:rsid w:val="007310E3"/>
    <w:rsid w:val="0073124D"/>
    <w:rsid w:val="007314F5"/>
    <w:rsid w:val="0073160E"/>
    <w:rsid w:val="0073186F"/>
    <w:rsid w:val="0073194C"/>
    <w:rsid w:val="00731BFD"/>
    <w:rsid w:val="007321C4"/>
    <w:rsid w:val="00732A1E"/>
    <w:rsid w:val="00732A3C"/>
    <w:rsid w:val="00732E72"/>
    <w:rsid w:val="00733412"/>
    <w:rsid w:val="0073351E"/>
    <w:rsid w:val="007335A9"/>
    <w:rsid w:val="00733606"/>
    <w:rsid w:val="0073394D"/>
    <w:rsid w:val="007340B0"/>
    <w:rsid w:val="0073422A"/>
    <w:rsid w:val="007346F6"/>
    <w:rsid w:val="0073491F"/>
    <w:rsid w:val="00734938"/>
    <w:rsid w:val="00734C76"/>
    <w:rsid w:val="00734D43"/>
    <w:rsid w:val="00734F03"/>
    <w:rsid w:val="00735189"/>
    <w:rsid w:val="007351C4"/>
    <w:rsid w:val="007351D0"/>
    <w:rsid w:val="0073535F"/>
    <w:rsid w:val="00736580"/>
    <w:rsid w:val="0073685F"/>
    <w:rsid w:val="00736C09"/>
    <w:rsid w:val="00736E6C"/>
    <w:rsid w:val="0073713E"/>
    <w:rsid w:val="00737341"/>
    <w:rsid w:val="0073735E"/>
    <w:rsid w:val="007373CD"/>
    <w:rsid w:val="00737460"/>
    <w:rsid w:val="007375CC"/>
    <w:rsid w:val="00737681"/>
    <w:rsid w:val="007379BB"/>
    <w:rsid w:val="00737BC5"/>
    <w:rsid w:val="00737C33"/>
    <w:rsid w:val="007405F6"/>
    <w:rsid w:val="0074062F"/>
    <w:rsid w:val="00740D31"/>
    <w:rsid w:val="00741799"/>
    <w:rsid w:val="007417BC"/>
    <w:rsid w:val="00741DAE"/>
    <w:rsid w:val="00741EC5"/>
    <w:rsid w:val="007420D5"/>
    <w:rsid w:val="007420FB"/>
    <w:rsid w:val="00742266"/>
    <w:rsid w:val="00742940"/>
    <w:rsid w:val="00742CBC"/>
    <w:rsid w:val="00742E82"/>
    <w:rsid w:val="00742F56"/>
    <w:rsid w:val="0074332F"/>
    <w:rsid w:val="007434DE"/>
    <w:rsid w:val="00743680"/>
    <w:rsid w:val="00743DFF"/>
    <w:rsid w:val="00744050"/>
    <w:rsid w:val="007440B9"/>
    <w:rsid w:val="00744388"/>
    <w:rsid w:val="00744680"/>
    <w:rsid w:val="00744971"/>
    <w:rsid w:val="00744C3F"/>
    <w:rsid w:val="0074525B"/>
    <w:rsid w:val="007455E5"/>
    <w:rsid w:val="00745655"/>
    <w:rsid w:val="007456EA"/>
    <w:rsid w:val="00745798"/>
    <w:rsid w:val="0074599A"/>
    <w:rsid w:val="00745C49"/>
    <w:rsid w:val="00745CC0"/>
    <w:rsid w:val="00746067"/>
    <w:rsid w:val="007463B3"/>
    <w:rsid w:val="0074687E"/>
    <w:rsid w:val="007469BD"/>
    <w:rsid w:val="00746B0C"/>
    <w:rsid w:val="0074702C"/>
    <w:rsid w:val="00747074"/>
    <w:rsid w:val="0074729F"/>
    <w:rsid w:val="0074747C"/>
    <w:rsid w:val="0074792C"/>
    <w:rsid w:val="00747E91"/>
    <w:rsid w:val="00750105"/>
    <w:rsid w:val="007501B1"/>
    <w:rsid w:val="0075031A"/>
    <w:rsid w:val="007506C3"/>
    <w:rsid w:val="007507CB"/>
    <w:rsid w:val="007508F6"/>
    <w:rsid w:val="00750A0F"/>
    <w:rsid w:val="00750B7B"/>
    <w:rsid w:val="00750DF3"/>
    <w:rsid w:val="00750FEB"/>
    <w:rsid w:val="007515DB"/>
    <w:rsid w:val="007519DA"/>
    <w:rsid w:val="007522EC"/>
    <w:rsid w:val="00752423"/>
    <w:rsid w:val="00752558"/>
    <w:rsid w:val="00753784"/>
    <w:rsid w:val="007538FA"/>
    <w:rsid w:val="00753960"/>
    <w:rsid w:val="00753976"/>
    <w:rsid w:val="00754000"/>
    <w:rsid w:val="00754337"/>
    <w:rsid w:val="007546AE"/>
    <w:rsid w:val="0075475F"/>
    <w:rsid w:val="007547F6"/>
    <w:rsid w:val="00754959"/>
    <w:rsid w:val="00755099"/>
    <w:rsid w:val="00755279"/>
    <w:rsid w:val="007554C8"/>
    <w:rsid w:val="00755668"/>
    <w:rsid w:val="00755DDF"/>
    <w:rsid w:val="00756273"/>
    <w:rsid w:val="00756A01"/>
    <w:rsid w:val="00756CCC"/>
    <w:rsid w:val="007571D3"/>
    <w:rsid w:val="007574B4"/>
    <w:rsid w:val="00757520"/>
    <w:rsid w:val="007576AF"/>
    <w:rsid w:val="00757871"/>
    <w:rsid w:val="00757F55"/>
    <w:rsid w:val="0076000D"/>
    <w:rsid w:val="007601D8"/>
    <w:rsid w:val="00760793"/>
    <w:rsid w:val="007607F3"/>
    <w:rsid w:val="00760AAB"/>
    <w:rsid w:val="00760BB3"/>
    <w:rsid w:val="00760BE8"/>
    <w:rsid w:val="00760E6A"/>
    <w:rsid w:val="00760EE9"/>
    <w:rsid w:val="00761DD7"/>
    <w:rsid w:val="00761EDC"/>
    <w:rsid w:val="00761F6E"/>
    <w:rsid w:val="007622F2"/>
    <w:rsid w:val="0076271B"/>
    <w:rsid w:val="00762A12"/>
    <w:rsid w:val="00762D3B"/>
    <w:rsid w:val="00762F7E"/>
    <w:rsid w:val="00762FB9"/>
    <w:rsid w:val="00762FF2"/>
    <w:rsid w:val="0076305A"/>
    <w:rsid w:val="007631CE"/>
    <w:rsid w:val="00763800"/>
    <w:rsid w:val="00764323"/>
    <w:rsid w:val="0076432F"/>
    <w:rsid w:val="00764473"/>
    <w:rsid w:val="0076478C"/>
    <w:rsid w:val="007648A7"/>
    <w:rsid w:val="00764AE4"/>
    <w:rsid w:val="007651A5"/>
    <w:rsid w:val="00765242"/>
    <w:rsid w:val="00765371"/>
    <w:rsid w:val="0076594E"/>
    <w:rsid w:val="00765C14"/>
    <w:rsid w:val="00765ED9"/>
    <w:rsid w:val="007661A8"/>
    <w:rsid w:val="00766230"/>
    <w:rsid w:val="00766284"/>
    <w:rsid w:val="00766597"/>
    <w:rsid w:val="00766643"/>
    <w:rsid w:val="00766C9D"/>
    <w:rsid w:val="00766F79"/>
    <w:rsid w:val="0076712F"/>
    <w:rsid w:val="0076720B"/>
    <w:rsid w:val="007676D7"/>
    <w:rsid w:val="00767948"/>
    <w:rsid w:val="00767A66"/>
    <w:rsid w:val="00770301"/>
    <w:rsid w:val="00770604"/>
    <w:rsid w:val="0077073A"/>
    <w:rsid w:val="00770772"/>
    <w:rsid w:val="00770987"/>
    <w:rsid w:val="00770BDE"/>
    <w:rsid w:val="00770E7B"/>
    <w:rsid w:val="0077111D"/>
    <w:rsid w:val="00771390"/>
    <w:rsid w:val="0077153C"/>
    <w:rsid w:val="007716C0"/>
    <w:rsid w:val="007718A4"/>
    <w:rsid w:val="00771ADE"/>
    <w:rsid w:val="00771E68"/>
    <w:rsid w:val="00771E99"/>
    <w:rsid w:val="00772244"/>
    <w:rsid w:val="007722B9"/>
    <w:rsid w:val="00772406"/>
    <w:rsid w:val="00772486"/>
    <w:rsid w:val="0077260B"/>
    <w:rsid w:val="0077281E"/>
    <w:rsid w:val="00772A4D"/>
    <w:rsid w:val="00772CBB"/>
    <w:rsid w:val="00772EB4"/>
    <w:rsid w:val="007731BC"/>
    <w:rsid w:val="00773506"/>
    <w:rsid w:val="00773621"/>
    <w:rsid w:val="00773B3D"/>
    <w:rsid w:val="007744E1"/>
    <w:rsid w:val="0077461C"/>
    <w:rsid w:val="0077463E"/>
    <w:rsid w:val="0077466A"/>
    <w:rsid w:val="007748C2"/>
    <w:rsid w:val="007750C6"/>
    <w:rsid w:val="00775209"/>
    <w:rsid w:val="007758AE"/>
    <w:rsid w:val="00775B4E"/>
    <w:rsid w:val="00775C55"/>
    <w:rsid w:val="00775CCF"/>
    <w:rsid w:val="00776550"/>
    <w:rsid w:val="00777896"/>
    <w:rsid w:val="00777ACD"/>
    <w:rsid w:val="00780073"/>
    <w:rsid w:val="00780187"/>
    <w:rsid w:val="00780295"/>
    <w:rsid w:val="0078080A"/>
    <w:rsid w:val="00780952"/>
    <w:rsid w:val="007809C1"/>
    <w:rsid w:val="00780AC7"/>
    <w:rsid w:val="00780D1D"/>
    <w:rsid w:val="00780F64"/>
    <w:rsid w:val="007811EE"/>
    <w:rsid w:val="007811F6"/>
    <w:rsid w:val="007813EF"/>
    <w:rsid w:val="00781459"/>
    <w:rsid w:val="007817F0"/>
    <w:rsid w:val="00781F5A"/>
    <w:rsid w:val="007822CC"/>
    <w:rsid w:val="0078294C"/>
    <w:rsid w:val="00782C8D"/>
    <w:rsid w:val="00782D55"/>
    <w:rsid w:val="00782D73"/>
    <w:rsid w:val="00783032"/>
    <w:rsid w:val="00783286"/>
    <w:rsid w:val="007832AA"/>
    <w:rsid w:val="00783866"/>
    <w:rsid w:val="00783EF9"/>
    <w:rsid w:val="00784765"/>
    <w:rsid w:val="0078493B"/>
    <w:rsid w:val="00784C06"/>
    <w:rsid w:val="00784C34"/>
    <w:rsid w:val="00784CA9"/>
    <w:rsid w:val="00784F33"/>
    <w:rsid w:val="00784FFA"/>
    <w:rsid w:val="007850A1"/>
    <w:rsid w:val="0078524C"/>
    <w:rsid w:val="007852BC"/>
    <w:rsid w:val="00785320"/>
    <w:rsid w:val="00785328"/>
    <w:rsid w:val="0078561A"/>
    <w:rsid w:val="00785A77"/>
    <w:rsid w:val="00785CE3"/>
    <w:rsid w:val="00786285"/>
    <w:rsid w:val="00786A48"/>
    <w:rsid w:val="00786A7C"/>
    <w:rsid w:val="00786AC3"/>
    <w:rsid w:val="00786D53"/>
    <w:rsid w:val="00786DE4"/>
    <w:rsid w:val="00787150"/>
    <w:rsid w:val="007873AB"/>
    <w:rsid w:val="00787580"/>
    <w:rsid w:val="007875CC"/>
    <w:rsid w:val="0078773F"/>
    <w:rsid w:val="007877A6"/>
    <w:rsid w:val="00787B00"/>
    <w:rsid w:val="00787D9F"/>
    <w:rsid w:val="00787F91"/>
    <w:rsid w:val="007909F3"/>
    <w:rsid w:val="00790C1C"/>
    <w:rsid w:val="00791526"/>
    <w:rsid w:val="007915A5"/>
    <w:rsid w:val="007916B6"/>
    <w:rsid w:val="007916F6"/>
    <w:rsid w:val="007919BA"/>
    <w:rsid w:val="00791A79"/>
    <w:rsid w:val="00791D15"/>
    <w:rsid w:val="0079261C"/>
    <w:rsid w:val="00792AC3"/>
    <w:rsid w:val="00792C70"/>
    <w:rsid w:val="00792D65"/>
    <w:rsid w:val="007935DA"/>
    <w:rsid w:val="00793665"/>
    <w:rsid w:val="00793875"/>
    <w:rsid w:val="0079387C"/>
    <w:rsid w:val="00793CDA"/>
    <w:rsid w:val="00793D55"/>
    <w:rsid w:val="007941E5"/>
    <w:rsid w:val="0079429C"/>
    <w:rsid w:val="007942C2"/>
    <w:rsid w:val="0079448F"/>
    <w:rsid w:val="007946BF"/>
    <w:rsid w:val="00794989"/>
    <w:rsid w:val="00794D33"/>
    <w:rsid w:val="0079555A"/>
    <w:rsid w:val="00795875"/>
    <w:rsid w:val="007958F4"/>
    <w:rsid w:val="00795AF3"/>
    <w:rsid w:val="00795B97"/>
    <w:rsid w:val="00795EA3"/>
    <w:rsid w:val="0079605D"/>
    <w:rsid w:val="00796167"/>
    <w:rsid w:val="007967B7"/>
    <w:rsid w:val="007969B4"/>
    <w:rsid w:val="00796B61"/>
    <w:rsid w:val="00796E7D"/>
    <w:rsid w:val="0079717E"/>
    <w:rsid w:val="007972BD"/>
    <w:rsid w:val="007973AA"/>
    <w:rsid w:val="00797512"/>
    <w:rsid w:val="00797AFA"/>
    <w:rsid w:val="00797F69"/>
    <w:rsid w:val="007A01BD"/>
    <w:rsid w:val="007A0822"/>
    <w:rsid w:val="007A09BB"/>
    <w:rsid w:val="007A0B13"/>
    <w:rsid w:val="007A0BEA"/>
    <w:rsid w:val="007A0C63"/>
    <w:rsid w:val="007A123F"/>
    <w:rsid w:val="007A1988"/>
    <w:rsid w:val="007A1B1C"/>
    <w:rsid w:val="007A2036"/>
    <w:rsid w:val="007A24F1"/>
    <w:rsid w:val="007A2637"/>
    <w:rsid w:val="007A2772"/>
    <w:rsid w:val="007A2C21"/>
    <w:rsid w:val="007A2E82"/>
    <w:rsid w:val="007A304A"/>
    <w:rsid w:val="007A30B9"/>
    <w:rsid w:val="007A3337"/>
    <w:rsid w:val="007A3340"/>
    <w:rsid w:val="007A35FA"/>
    <w:rsid w:val="007A36AD"/>
    <w:rsid w:val="007A3858"/>
    <w:rsid w:val="007A3A08"/>
    <w:rsid w:val="007A3AC4"/>
    <w:rsid w:val="007A3D93"/>
    <w:rsid w:val="007A3F93"/>
    <w:rsid w:val="007A413A"/>
    <w:rsid w:val="007A415A"/>
    <w:rsid w:val="007A425C"/>
    <w:rsid w:val="007A43F4"/>
    <w:rsid w:val="007A490C"/>
    <w:rsid w:val="007A4C3A"/>
    <w:rsid w:val="007A5192"/>
    <w:rsid w:val="007A5313"/>
    <w:rsid w:val="007A5362"/>
    <w:rsid w:val="007A53EF"/>
    <w:rsid w:val="007A5738"/>
    <w:rsid w:val="007A5A07"/>
    <w:rsid w:val="007A5DDB"/>
    <w:rsid w:val="007A6265"/>
    <w:rsid w:val="007A6412"/>
    <w:rsid w:val="007A666F"/>
    <w:rsid w:val="007A67F1"/>
    <w:rsid w:val="007A6AF2"/>
    <w:rsid w:val="007A6BBC"/>
    <w:rsid w:val="007A720A"/>
    <w:rsid w:val="007A7496"/>
    <w:rsid w:val="007A74AD"/>
    <w:rsid w:val="007A7579"/>
    <w:rsid w:val="007A768C"/>
    <w:rsid w:val="007A782A"/>
    <w:rsid w:val="007A7856"/>
    <w:rsid w:val="007A788A"/>
    <w:rsid w:val="007B019D"/>
    <w:rsid w:val="007B0422"/>
    <w:rsid w:val="007B0805"/>
    <w:rsid w:val="007B0DF3"/>
    <w:rsid w:val="007B1053"/>
    <w:rsid w:val="007B1624"/>
    <w:rsid w:val="007B17D5"/>
    <w:rsid w:val="007B18F9"/>
    <w:rsid w:val="007B1A75"/>
    <w:rsid w:val="007B1AE4"/>
    <w:rsid w:val="007B1ECC"/>
    <w:rsid w:val="007B242F"/>
    <w:rsid w:val="007B2586"/>
    <w:rsid w:val="007B26C2"/>
    <w:rsid w:val="007B2B8C"/>
    <w:rsid w:val="007B2EEC"/>
    <w:rsid w:val="007B2FAA"/>
    <w:rsid w:val="007B2FF2"/>
    <w:rsid w:val="007B3391"/>
    <w:rsid w:val="007B339B"/>
    <w:rsid w:val="007B3499"/>
    <w:rsid w:val="007B3D11"/>
    <w:rsid w:val="007B3DA2"/>
    <w:rsid w:val="007B4176"/>
    <w:rsid w:val="007B437F"/>
    <w:rsid w:val="007B45D2"/>
    <w:rsid w:val="007B49EF"/>
    <w:rsid w:val="007B56B7"/>
    <w:rsid w:val="007B5AE5"/>
    <w:rsid w:val="007B5C16"/>
    <w:rsid w:val="007B67B1"/>
    <w:rsid w:val="007B6857"/>
    <w:rsid w:val="007B6AD3"/>
    <w:rsid w:val="007B70E7"/>
    <w:rsid w:val="007B71CE"/>
    <w:rsid w:val="007B7315"/>
    <w:rsid w:val="007B74CC"/>
    <w:rsid w:val="007B762E"/>
    <w:rsid w:val="007B7650"/>
    <w:rsid w:val="007B7777"/>
    <w:rsid w:val="007B78E4"/>
    <w:rsid w:val="007B7943"/>
    <w:rsid w:val="007B7BBF"/>
    <w:rsid w:val="007B7BE0"/>
    <w:rsid w:val="007B7E9D"/>
    <w:rsid w:val="007C008C"/>
    <w:rsid w:val="007C0165"/>
    <w:rsid w:val="007C05EF"/>
    <w:rsid w:val="007C075D"/>
    <w:rsid w:val="007C0DD7"/>
    <w:rsid w:val="007C110C"/>
    <w:rsid w:val="007C121D"/>
    <w:rsid w:val="007C19F9"/>
    <w:rsid w:val="007C1C62"/>
    <w:rsid w:val="007C1C90"/>
    <w:rsid w:val="007C1E93"/>
    <w:rsid w:val="007C2705"/>
    <w:rsid w:val="007C27A7"/>
    <w:rsid w:val="007C2A5E"/>
    <w:rsid w:val="007C2B72"/>
    <w:rsid w:val="007C2C79"/>
    <w:rsid w:val="007C2F1E"/>
    <w:rsid w:val="007C300C"/>
    <w:rsid w:val="007C303C"/>
    <w:rsid w:val="007C3617"/>
    <w:rsid w:val="007C3C3E"/>
    <w:rsid w:val="007C3E17"/>
    <w:rsid w:val="007C4016"/>
    <w:rsid w:val="007C45E0"/>
    <w:rsid w:val="007C474D"/>
    <w:rsid w:val="007C4B15"/>
    <w:rsid w:val="007C4B46"/>
    <w:rsid w:val="007C4F48"/>
    <w:rsid w:val="007C500D"/>
    <w:rsid w:val="007C5316"/>
    <w:rsid w:val="007C5386"/>
    <w:rsid w:val="007C5477"/>
    <w:rsid w:val="007C5625"/>
    <w:rsid w:val="007C6034"/>
    <w:rsid w:val="007C6204"/>
    <w:rsid w:val="007C6279"/>
    <w:rsid w:val="007C6ACE"/>
    <w:rsid w:val="007C6BF7"/>
    <w:rsid w:val="007C6CB7"/>
    <w:rsid w:val="007C6E64"/>
    <w:rsid w:val="007C700A"/>
    <w:rsid w:val="007C703B"/>
    <w:rsid w:val="007C72E1"/>
    <w:rsid w:val="007C762D"/>
    <w:rsid w:val="007C769F"/>
    <w:rsid w:val="007C7845"/>
    <w:rsid w:val="007D0382"/>
    <w:rsid w:val="007D04D6"/>
    <w:rsid w:val="007D07B7"/>
    <w:rsid w:val="007D0A0C"/>
    <w:rsid w:val="007D19B6"/>
    <w:rsid w:val="007D1A16"/>
    <w:rsid w:val="007D1DB3"/>
    <w:rsid w:val="007D270C"/>
    <w:rsid w:val="007D279F"/>
    <w:rsid w:val="007D27F4"/>
    <w:rsid w:val="007D280E"/>
    <w:rsid w:val="007D28EC"/>
    <w:rsid w:val="007D2B63"/>
    <w:rsid w:val="007D2FF6"/>
    <w:rsid w:val="007D30B1"/>
    <w:rsid w:val="007D3251"/>
    <w:rsid w:val="007D33E9"/>
    <w:rsid w:val="007D3721"/>
    <w:rsid w:val="007D3786"/>
    <w:rsid w:val="007D3862"/>
    <w:rsid w:val="007D3CEF"/>
    <w:rsid w:val="007D3EBF"/>
    <w:rsid w:val="007D3FA5"/>
    <w:rsid w:val="007D4104"/>
    <w:rsid w:val="007D4163"/>
    <w:rsid w:val="007D45EC"/>
    <w:rsid w:val="007D4669"/>
    <w:rsid w:val="007D485F"/>
    <w:rsid w:val="007D4C04"/>
    <w:rsid w:val="007D4C79"/>
    <w:rsid w:val="007D5077"/>
    <w:rsid w:val="007D51DA"/>
    <w:rsid w:val="007D53D7"/>
    <w:rsid w:val="007D54D6"/>
    <w:rsid w:val="007D55DF"/>
    <w:rsid w:val="007D57F7"/>
    <w:rsid w:val="007D5860"/>
    <w:rsid w:val="007D594D"/>
    <w:rsid w:val="007D612E"/>
    <w:rsid w:val="007D65C5"/>
    <w:rsid w:val="007D6775"/>
    <w:rsid w:val="007D6A51"/>
    <w:rsid w:val="007D6D54"/>
    <w:rsid w:val="007D6ED9"/>
    <w:rsid w:val="007D6F3C"/>
    <w:rsid w:val="007D71F6"/>
    <w:rsid w:val="007D74C4"/>
    <w:rsid w:val="007D7668"/>
    <w:rsid w:val="007D785D"/>
    <w:rsid w:val="007D7867"/>
    <w:rsid w:val="007D7A7F"/>
    <w:rsid w:val="007D7BA4"/>
    <w:rsid w:val="007D7C82"/>
    <w:rsid w:val="007D7F4C"/>
    <w:rsid w:val="007E0111"/>
    <w:rsid w:val="007E01EA"/>
    <w:rsid w:val="007E02E9"/>
    <w:rsid w:val="007E03EE"/>
    <w:rsid w:val="007E0A6B"/>
    <w:rsid w:val="007E0A7A"/>
    <w:rsid w:val="007E0C7F"/>
    <w:rsid w:val="007E0E86"/>
    <w:rsid w:val="007E1006"/>
    <w:rsid w:val="007E109E"/>
    <w:rsid w:val="007E10CD"/>
    <w:rsid w:val="007E12ED"/>
    <w:rsid w:val="007E1C34"/>
    <w:rsid w:val="007E1CCA"/>
    <w:rsid w:val="007E294A"/>
    <w:rsid w:val="007E3589"/>
    <w:rsid w:val="007E38D7"/>
    <w:rsid w:val="007E3AAF"/>
    <w:rsid w:val="007E3C3A"/>
    <w:rsid w:val="007E3F2B"/>
    <w:rsid w:val="007E3F75"/>
    <w:rsid w:val="007E4143"/>
    <w:rsid w:val="007E414B"/>
    <w:rsid w:val="007E4188"/>
    <w:rsid w:val="007E4328"/>
    <w:rsid w:val="007E44E0"/>
    <w:rsid w:val="007E45F1"/>
    <w:rsid w:val="007E4670"/>
    <w:rsid w:val="007E49E7"/>
    <w:rsid w:val="007E4C8D"/>
    <w:rsid w:val="007E4D61"/>
    <w:rsid w:val="007E4FBF"/>
    <w:rsid w:val="007E5356"/>
    <w:rsid w:val="007E550B"/>
    <w:rsid w:val="007E596E"/>
    <w:rsid w:val="007E5A5D"/>
    <w:rsid w:val="007E5B3C"/>
    <w:rsid w:val="007E5FFB"/>
    <w:rsid w:val="007E61F5"/>
    <w:rsid w:val="007E6233"/>
    <w:rsid w:val="007E623A"/>
    <w:rsid w:val="007E6548"/>
    <w:rsid w:val="007E6CE8"/>
    <w:rsid w:val="007E6D7D"/>
    <w:rsid w:val="007E7173"/>
    <w:rsid w:val="007E73C4"/>
    <w:rsid w:val="007E77F1"/>
    <w:rsid w:val="007E7990"/>
    <w:rsid w:val="007E7DD1"/>
    <w:rsid w:val="007F00F4"/>
    <w:rsid w:val="007F021A"/>
    <w:rsid w:val="007F0347"/>
    <w:rsid w:val="007F0533"/>
    <w:rsid w:val="007F053E"/>
    <w:rsid w:val="007F058B"/>
    <w:rsid w:val="007F05C1"/>
    <w:rsid w:val="007F08EA"/>
    <w:rsid w:val="007F0958"/>
    <w:rsid w:val="007F0F5C"/>
    <w:rsid w:val="007F0FDC"/>
    <w:rsid w:val="007F119B"/>
    <w:rsid w:val="007F1907"/>
    <w:rsid w:val="007F1E53"/>
    <w:rsid w:val="007F2202"/>
    <w:rsid w:val="007F230C"/>
    <w:rsid w:val="007F2A44"/>
    <w:rsid w:val="007F2AFE"/>
    <w:rsid w:val="007F31DB"/>
    <w:rsid w:val="007F330D"/>
    <w:rsid w:val="007F3329"/>
    <w:rsid w:val="007F35CA"/>
    <w:rsid w:val="007F35D7"/>
    <w:rsid w:val="007F3D2D"/>
    <w:rsid w:val="007F3DC5"/>
    <w:rsid w:val="007F3E6E"/>
    <w:rsid w:val="007F3F83"/>
    <w:rsid w:val="007F3FA0"/>
    <w:rsid w:val="007F422D"/>
    <w:rsid w:val="007F44E1"/>
    <w:rsid w:val="007F45C2"/>
    <w:rsid w:val="007F4737"/>
    <w:rsid w:val="007F4B04"/>
    <w:rsid w:val="007F4C69"/>
    <w:rsid w:val="007F4DF4"/>
    <w:rsid w:val="007F5216"/>
    <w:rsid w:val="007F526B"/>
    <w:rsid w:val="007F5276"/>
    <w:rsid w:val="007F5599"/>
    <w:rsid w:val="007F5867"/>
    <w:rsid w:val="007F5E84"/>
    <w:rsid w:val="007F668B"/>
    <w:rsid w:val="007F6ACB"/>
    <w:rsid w:val="007F6CBE"/>
    <w:rsid w:val="007F739C"/>
    <w:rsid w:val="007F76D0"/>
    <w:rsid w:val="007F78F1"/>
    <w:rsid w:val="007F7AC6"/>
    <w:rsid w:val="007F7EB6"/>
    <w:rsid w:val="0080005C"/>
    <w:rsid w:val="00800DA9"/>
    <w:rsid w:val="00800E8A"/>
    <w:rsid w:val="00800ED8"/>
    <w:rsid w:val="00801384"/>
    <w:rsid w:val="00801441"/>
    <w:rsid w:val="008015D3"/>
    <w:rsid w:val="00801646"/>
    <w:rsid w:val="0080186E"/>
    <w:rsid w:val="0080189B"/>
    <w:rsid w:val="0080194F"/>
    <w:rsid w:val="00801BE7"/>
    <w:rsid w:val="00801E3B"/>
    <w:rsid w:val="00802197"/>
    <w:rsid w:val="00802229"/>
    <w:rsid w:val="0080241F"/>
    <w:rsid w:val="00802500"/>
    <w:rsid w:val="008029C9"/>
    <w:rsid w:val="00802B17"/>
    <w:rsid w:val="00802FA9"/>
    <w:rsid w:val="00803327"/>
    <w:rsid w:val="00803430"/>
    <w:rsid w:val="008034F1"/>
    <w:rsid w:val="0080381B"/>
    <w:rsid w:val="00803A90"/>
    <w:rsid w:val="00803C5C"/>
    <w:rsid w:val="00804355"/>
    <w:rsid w:val="00804478"/>
    <w:rsid w:val="008044DD"/>
    <w:rsid w:val="00804A1F"/>
    <w:rsid w:val="00804D47"/>
    <w:rsid w:val="008052EA"/>
    <w:rsid w:val="008052FD"/>
    <w:rsid w:val="0080551D"/>
    <w:rsid w:val="008056D4"/>
    <w:rsid w:val="00805B79"/>
    <w:rsid w:val="00805C59"/>
    <w:rsid w:val="00805F89"/>
    <w:rsid w:val="008061B3"/>
    <w:rsid w:val="0080620D"/>
    <w:rsid w:val="008063BD"/>
    <w:rsid w:val="0080669E"/>
    <w:rsid w:val="00806790"/>
    <w:rsid w:val="00806B47"/>
    <w:rsid w:val="00806C22"/>
    <w:rsid w:val="00806CA2"/>
    <w:rsid w:val="00806EF0"/>
    <w:rsid w:val="008071C4"/>
    <w:rsid w:val="0080764D"/>
    <w:rsid w:val="00807B5D"/>
    <w:rsid w:val="00807FB6"/>
    <w:rsid w:val="0081031A"/>
    <w:rsid w:val="00811401"/>
    <w:rsid w:val="0081162C"/>
    <w:rsid w:val="00811F44"/>
    <w:rsid w:val="00811F5D"/>
    <w:rsid w:val="008121DE"/>
    <w:rsid w:val="008124EE"/>
    <w:rsid w:val="00812519"/>
    <w:rsid w:val="0081295F"/>
    <w:rsid w:val="00812C08"/>
    <w:rsid w:val="008132A3"/>
    <w:rsid w:val="00813B72"/>
    <w:rsid w:val="0081421A"/>
    <w:rsid w:val="008142A4"/>
    <w:rsid w:val="008143ED"/>
    <w:rsid w:val="008147FF"/>
    <w:rsid w:val="00814B96"/>
    <w:rsid w:val="00814C23"/>
    <w:rsid w:val="0081504F"/>
    <w:rsid w:val="008154F8"/>
    <w:rsid w:val="0081550B"/>
    <w:rsid w:val="00815628"/>
    <w:rsid w:val="0081614A"/>
    <w:rsid w:val="008166C3"/>
    <w:rsid w:val="00816A5A"/>
    <w:rsid w:val="00816B3B"/>
    <w:rsid w:val="008170CA"/>
    <w:rsid w:val="00817144"/>
    <w:rsid w:val="0081741A"/>
    <w:rsid w:val="008176FF"/>
    <w:rsid w:val="00817908"/>
    <w:rsid w:val="008179DD"/>
    <w:rsid w:val="00817C9D"/>
    <w:rsid w:val="00820287"/>
    <w:rsid w:val="00820319"/>
    <w:rsid w:val="00820660"/>
    <w:rsid w:val="00820810"/>
    <w:rsid w:val="00821092"/>
    <w:rsid w:val="008211FE"/>
    <w:rsid w:val="008217AE"/>
    <w:rsid w:val="00821A07"/>
    <w:rsid w:val="00821E7D"/>
    <w:rsid w:val="00821F25"/>
    <w:rsid w:val="008220AC"/>
    <w:rsid w:val="0082211C"/>
    <w:rsid w:val="0082223E"/>
    <w:rsid w:val="008223DC"/>
    <w:rsid w:val="008223EF"/>
    <w:rsid w:val="0082261F"/>
    <w:rsid w:val="00822631"/>
    <w:rsid w:val="00822660"/>
    <w:rsid w:val="00822685"/>
    <w:rsid w:val="00822A10"/>
    <w:rsid w:val="00822C0B"/>
    <w:rsid w:val="00822CD1"/>
    <w:rsid w:val="00822D76"/>
    <w:rsid w:val="00822EF4"/>
    <w:rsid w:val="00823124"/>
    <w:rsid w:val="008235CA"/>
    <w:rsid w:val="008235F5"/>
    <w:rsid w:val="00823B5B"/>
    <w:rsid w:val="008240AE"/>
    <w:rsid w:val="008240C9"/>
    <w:rsid w:val="008244CC"/>
    <w:rsid w:val="0082457F"/>
    <w:rsid w:val="0082470C"/>
    <w:rsid w:val="0082479B"/>
    <w:rsid w:val="00824D5C"/>
    <w:rsid w:val="00824F74"/>
    <w:rsid w:val="00825414"/>
    <w:rsid w:val="00825424"/>
    <w:rsid w:val="00825430"/>
    <w:rsid w:val="0082573E"/>
    <w:rsid w:val="00825FB9"/>
    <w:rsid w:val="00826046"/>
    <w:rsid w:val="00826462"/>
    <w:rsid w:val="00826AC6"/>
    <w:rsid w:val="00826BAC"/>
    <w:rsid w:val="00826D3C"/>
    <w:rsid w:val="00826FD3"/>
    <w:rsid w:val="008270E9"/>
    <w:rsid w:val="00827101"/>
    <w:rsid w:val="00827568"/>
    <w:rsid w:val="008275B3"/>
    <w:rsid w:val="00827730"/>
    <w:rsid w:val="0082773F"/>
    <w:rsid w:val="00827849"/>
    <w:rsid w:val="00827868"/>
    <w:rsid w:val="008305D0"/>
    <w:rsid w:val="00830655"/>
    <w:rsid w:val="00830929"/>
    <w:rsid w:val="0083099B"/>
    <w:rsid w:val="00830A46"/>
    <w:rsid w:val="00830B9D"/>
    <w:rsid w:val="00830E3F"/>
    <w:rsid w:val="00831410"/>
    <w:rsid w:val="008316BD"/>
    <w:rsid w:val="00831748"/>
    <w:rsid w:val="008321A4"/>
    <w:rsid w:val="00832354"/>
    <w:rsid w:val="008323E4"/>
    <w:rsid w:val="00832A48"/>
    <w:rsid w:val="00832A9D"/>
    <w:rsid w:val="00832B2E"/>
    <w:rsid w:val="00832EE3"/>
    <w:rsid w:val="008332B7"/>
    <w:rsid w:val="00833960"/>
    <w:rsid w:val="00833BA2"/>
    <w:rsid w:val="00833BD7"/>
    <w:rsid w:val="00833D31"/>
    <w:rsid w:val="00833E1A"/>
    <w:rsid w:val="008343F9"/>
    <w:rsid w:val="00834445"/>
    <w:rsid w:val="008345F7"/>
    <w:rsid w:val="008348A0"/>
    <w:rsid w:val="00834D5F"/>
    <w:rsid w:val="0083509C"/>
    <w:rsid w:val="00835A4F"/>
    <w:rsid w:val="00835DCF"/>
    <w:rsid w:val="00835E36"/>
    <w:rsid w:val="008364EB"/>
    <w:rsid w:val="00836792"/>
    <w:rsid w:val="00837351"/>
    <w:rsid w:val="008373AE"/>
    <w:rsid w:val="00837910"/>
    <w:rsid w:val="0083797F"/>
    <w:rsid w:val="00837A49"/>
    <w:rsid w:val="00840458"/>
    <w:rsid w:val="0084068E"/>
    <w:rsid w:val="00840B82"/>
    <w:rsid w:val="00840CCF"/>
    <w:rsid w:val="00840F69"/>
    <w:rsid w:val="0084134C"/>
    <w:rsid w:val="008417A7"/>
    <w:rsid w:val="00841920"/>
    <w:rsid w:val="00841CE7"/>
    <w:rsid w:val="00841E3E"/>
    <w:rsid w:val="00841F5D"/>
    <w:rsid w:val="0084210D"/>
    <w:rsid w:val="008422F6"/>
    <w:rsid w:val="008425F8"/>
    <w:rsid w:val="0084274A"/>
    <w:rsid w:val="00842829"/>
    <w:rsid w:val="0084293F"/>
    <w:rsid w:val="00842AC3"/>
    <w:rsid w:val="00842B85"/>
    <w:rsid w:val="00842BD1"/>
    <w:rsid w:val="00842C1C"/>
    <w:rsid w:val="0084305C"/>
    <w:rsid w:val="008433BE"/>
    <w:rsid w:val="00843518"/>
    <w:rsid w:val="00843579"/>
    <w:rsid w:val="0084384C"/>
    <w:rsid w:val="008439B4"/>
    <w:rsid w:val="00843B3C"/>
    <w:rsid w:val="00843BFA"/>
    <w:rsid w:val="00843E1C"/>
    <w:rsid w:val="008441EC"/>
    <w:rsid w:val="008443B5"/>
    <w:rsid w:val="00844727"/>
    <w:rsid w:val="00844868"/>
    <w:rsid w:val="0084497A"/>
    <w:rsid w:val="00844CC1"/>
    <w:rsid w:val="0084532B"/>
    <w:rsid w:val="00845452"/>
    <w:rsid w:val="0084561A"/>
    <w:rsid w:val="00845963"/>
    <w:rsid w:val="00845C98"/>
    <w:rsid w:val="00845E3A"/>
    <w:rsid w:val="008463D3"/>
    <w:rsid w:val="008463D6"/>
    <w:rsid w:val="0084648F"/>
    <w:rsid w:val="008464AE"/>
    <w:rsid w:val="008464E2"/>
    <w:rsid w:val="00846505"/>
    <w:rsid w:val="008469C6"/>
    <w:rsid w:val="008469CC"/>
    <w:rsid w:val="00846C94"/>
    <w:rsid w:val="008472DB"/>
    <w:rsid w:val="0084735B"/>
    <w:rsid w:val="00847471"/>
    <w:rsid w:val="00847521"/>
    <w:rsid w:val="00847BA5"/>
    <w:rsid w:val="008500DF"/>
    <w:rsid w:val="00850B74"/>
    <w:rsid w:val="00850BCB"/>
    <w:rsid w:val="00850C70"/>
    <w:rsid w:val="00851112"/>
    <w:rsid w:val="0085134E"/>
    <w:rsid w:val="00851799"/>
    <w:rsid w:val="008518E8"/>
    <w:rsid w:val="008519AF"/>
    <w:rsid w:val="00851B4E"/>
    <w:rsid w:val="00851C3E"/>
    <w:rsid w:val="008523C5"/>
    <w:rsid w:val="00852516"/>
    <w:rsid w:val="0085281F"/>
    <w:rsid w:val="008529C4"/>
    <w:rsid w:val="00852AAA"/>
    <w:rsid w:val="00852D87"/>
    <w:rsid w:val="00852EA9"/>
    <w:rsid w:val="0085351F"/>
    <w:rsid w:val="00853551"/>
    <w:rsid w:val="00854042"/>
    <w:rsid w:val="0085416E"/>
    <w:rsid w:val="00854211"/>
    <w:rsid w:val="008542E3"/>
    <w:rsid w:val="00854996"/>
    <w:rsid w:val="00854A5C"/>
    <w:rsid w:val="00854D61"/>
    <w:rsid w:val="00854D75"/>
    <w:rsid w:val="00854EB5"/>
    <w:rsid w:val="00854FF3"/>
    <w:rsid w:val="0085516C"/>
    <w:rsid w:val="00855205"/>
    <w:rsid w:val="00855765"/>
    <w:rsid w:val="008559CF"/>
    <w:rsid w:val="00855CF3"/>
    <w:rsid w:val="00855F1A"/>
    <w:rsid w:val="00856020"/>
    <w:rsid w:val="00856899"/>
    <w:rsid w:val="0085695C"/>
    <w:rsid w:val="00856D6F"/>
    <w:rsid w:val="00856ED4"/>
    <w:rsid w:val="008570C6"/>
    <w:rsid w:val="0085718A"/>
    <w:rsid w:val="00857AAC"/>
    <w:rsid w:val="00857B07"/>
    <w:rsid w:val="00857C1C"/>
    <w:rsid w:val="00857C97"/>
    <w:rsid w:val="00857D52"/>
    <w:rsid w:val="008600B0"/>
    <w:rsid w:val="0086012D"/>
    <w:rsid w:val="0086045D"/>
    <w:rsid w:val="008607A0"/>
    <w:rsid w:val="00860C84"/>
    <w:rsid w:val="00860E2E"/>
    <w:rsid w:val="00860F8E"/>
    <w:rsid w:val="00860FEF"/>
    <w:rsid w:val="00861029"/>
    <w:rsid w:val="008610FD"/>
    <w:rsid w:val="008614A7"/>
    <w:rsid w:val="008614ED"/>
    <w:rsid w:val="00861635"/>
    <w:rsid w:val="00861678"/>
    <w:rsid w:val="00861813"/>
    <w:rsid w:val="00861976"/>
    <w:rsid w:val="00861A06"/>
    <w:rsid w:val="00861B47"/>
    <w:rsid w:val="00861B53"/>
    <w:rsid w:val="00861D25"/>
    <w:rsid w:val="00862544"/>
    <w:rsid w:val="00862C1B"/>
    <w:rsid w:val="00862C8E"/>
    <w:rsid w:val="00862E7A"/>
    <w:rsid w:val="00863229"/>
    <w:rsid w:val="008634D7"/>
    <w:rsid w:val="00863525"/>
    <w:rsid w:val="00863ACC"/>
    <w:rsid w:val="00864286"/>
    <w:rsid w:val="0086449D"/>
    <w:rsid w:val="00864B1E"/>
    <w:rsid w:val="00864E5C"/>
    <w:rsid w:val="0086509D"/>
    <w:rsid w:val="00865265"/>
    <w:rsid w:val="00865281"/>
    <w:rsid w:val="008653A9"/>
    <w:rsid w:val="00865AE5"/>
    <w:rsid w:val="00866320"/>
    <w:rsid w:val="00866424"/>
    <w:rsid w:val="00866710"/>
    <w:rsid w:val="00866789"/>
    <w:rsid w:val="008667D7"/>
    <w:rsid w:val="008668D3"/>
    <w:rsid w:val="0086692F"/>
    <w:rsid w:val="00866BFC"/>
    <w:rsid w:val="00866CA5"/>
    <w:rsid w:val="0086760F"/>
    <w:rsid w:val="0086774E"/>
    <w:rsid w:val="0087009D"/>
    <w:rsid w:val="008702F8"/>
    <w:rsid w:val="00870313"/>
    <w:rsid w:val="00870A55"/>
    <w:rsid w:val="00870D36"/>
    <w:rsid w:val="00871206"/>
    <w:rsid w:val="008713E7"/>
    <w:rsid w:val="008715A8"/>
    <w:rsid w:val="008715DB"/>
    <w:rsid w:val="0087177F"/>
    <w:rsid w:val="00871AE5"/>
    <w:rsid w:val="00871F73"/>
    <w:rsid w:val="00872396"/>
    <w:rsid w:val="00872564"/>
    <w:rsid w:val="008727EB"/>
    <w:rsid w:val="00872BAC"/>
    <w:rsid w:val="00872C87"/>
    <w:rsid w:val="00873372"/>
    <w:rsid w:val="00873468"/>
    <w:rsid w:val="0087376E"/>
    <w:rsid w:val="0087387E"/>
    <w:rsid w:val="00873D88"/>
    <w:rsid w:val="00873E6E"/>
    <w:rsid w:val="0087421B"/>
    <w:rsid w:val="00874624"/>
    <w:rsid w:val="008747DE"/>
    <w:rsid w:val="0087489E"/>
    <w:rsid w:val="008748E0"/>
    <w:rsid w:val="008748FA"/>
    <w:rsid w:val="00874E41"/>
    <w:rsid w:val="00874FF8"/>
    <w:rsid w:val="00875055"/>
    <w:rsid w:val="00875287"/>
    <w:rsid w:val="008755D6"/>
    <w:rsid w:val="00875782"/>
    <w:rsid w:val="008759BA"/>
    <w:rsid w:val="008759DE"/>
    <w:rsid w:val="00875BE2"/>
    <w:rsid w:val="00875BFA"/>
    <w:rsid w:val="00875C38"/>
    <w:rsid w:val="00875CA6"/>
    <w:rsid w:val="008761CD"/>
    <w:rsid w:val="008764AA"/>
    <w:rsid w:val="00876845"/>
    <w:rsid w:val="00877275"/>
    <w:rsid w:val="00877420"/>
    <w:rsid w:val="008774C1"/>
    <w:rsid w:val="008777DE"/>
    <w:rsid w:val="0087783D"/>
    <w:rsid w:val="00877981"/>
    <w:rsid w:val="00877A69"/>
    <w:rsid w:val="00877F52"/>
    <w:rsid w:val="0088027F"/>
    <w:rsid w:val="00880420"/>
    <w:rsid w:val="00880CB1"/>
    <w:rsid w:val="00880F36"/>
    <w:rsid w:val="008813E7"/>
    <w:rsid w:val="00881AB6"/>
    <w:rsid w:val="00881C77"/>
    <w:rsid w:val="00881CEC"/>
    <w:rsid w:val="00881CF9"/>
    <w:rsid w:val="00881EC0"/>
    <w:rsid w:val="00882271"/>
    <w:rsid w:val="00882353"/>
    <w:rsid w:val="00882F14"/>
    <w:rsid w:val="00882F1D"/>
    <w:rsid w:val="00882F70"/>
    <w:rsid w:val="00882F94"/>
    <w:rsid w:val="0088310F"/>
    <w:rsid w:val="0088335B"/>
    <w:rsid w:val="00883387"/>
    <w:rsid w:val="0088373D"/>
    <w:rsid w:val="008837D6"/>
    <w:rsid w:val="00883BB7"/>
    <w:rsid w:val="00883C71"/>
    <w:rsid w:val="00883D63"/>
    <w:rsid w:val="00883FEE"/>
    <w:rsid w:val="0088456A"/>
    <w:rsid w:val="00884605"/>
    <w:rsid w:val="008846EF"/>
    <w:rsid w:val="00884D7D"/>
    <w:rsid w:val="00884EE0"/>
    <w:rsid w:val="0088532D"/>
    <w:rsid w:val="008853ED"/>
    <w:rsid w:val="00885541"/>
    <w:rsid w:val="008855AB"/>
    <w:rsid w:val="008855B9"/>
    <w:rsid w:val="008859C3"/>
    <w:rsid w:val="00885BEF"/>
    <w:rsid w:val="00885E93"/>
    <w:rsid w:val="00886318"/>
    <w:rsid w:val="0088634E"/>
    <w:rsid w:val="008863FF"/>
    <w:rsid w:val="0088661C"/>
    <w:rsid w:val="00886812"/>
    <w:rsid w:val="0088695F"/>
    <w:rsid w:val="00886D5B"/>
    <w:rsid w:val="00886E3C"/>
    <w:rsid w:val="0088727C"/>
    <w:rsid w:val="00887453"/>
    <w:rsid w:val="00887B78"/>
    <w:rsid w:val="00887C32"/>
    <w:rsid w:val="008902B7"/>
    <w:rsid w:val="00890432"/>
    <w:rsid w:val="008908D3"/>
    <w:rsid w:val="00890A67"/>
    <w:rsid w:val="00890A7B"/>
    <w:rsid w:val="00891427"/>
    <w:rsid w:val="00891472"/>
    <w:rsid w:val="0089186B"/>
    <w:rsid w:val="00891875"/>
    <w:rsid w:val="00892023"/>
    <w:rsid w:val="0089260E"/>
    <w:rsid w:val="00892616"/>
    <w:rsid w:val="00892A46"/>
    <w:rsid w:val="00892DAC"/>
    <w:rsid w:val="00893260"/>
    <w:rsid w:val="0089327E"/>
    <w:rsid w:val="008936CF"/>
    <w:rsid w:val="0089380D"/>
    <w:rsid w:val="00893899"/>
    <w:rsid w:val="00893A3F"/>
    <w:rsid w:val="00893BE9"/>
    <w:rsid w:val="00893E4F"/>
    <w:rsid w:val="008944E3"/>
    <w:rsid w:val="00894A08"/>
    <w:rsid w:val="00894DEE"/>
    <w:rsid w:val="00894E9A"/>
    <w:rsid w:val="00894F23"/>
    <w:rsid w:val="00894F54"/>
    <w:rsid w:val="0089504B"/>
    <w:rsid w:val="00895542"/>
    <w:rsid w:val="0089568D"/>
    <w:rsid w:val="0089577F"/>
    <w:rsid w:val="00895906"/>
    <w:rsid w:val="008959BC"/>
    <w:rsid w:val="00895ABC"/>
    <w:rsid w:val="00895C1A"/>
    <w:rsid w:val="008960E1"/>
    <w:rsid w:val="0089652C"/>
    <w:rsid w:val="00896D07"/>
    <w:rsid w:val="00897361"/>
    <w:rsid w:val="0089745C"/>
    <w:rsid w:val="008977CB"/>
    <w:rsid w:val="00897B88"/>
    <w:rsid w:val="00897D02"/>
    <w:rsid w:val="00897F2B"/>
    <w:rsid w:val="008A021A"/>
    <w:rsid w:val="008A02AD"/>
    <w:rsid w:val="008A03AB"/>
    <w:rsid w:val="008A04AD"/>
    <w:rsid w:val="008A07C8"/>
    <w:rsid w:val="008A0910"/>
    <w:rsid w:val="008A0991"/>
    <w:rsid w:val="008A09D9"/>
    <w:rsid w:val="008A0A4B"/>
    <w:rsid w:val="008A0B50"/>
    <w:rsid w:val="008A0D03"/>
    <w:rsid w:val="008A0E00"/>
    <w:rsid w:val="008A0EE4"/>
    <w:rsid w:val="008A0F16"/>
    <w:rsid w:val="008A0F8F"/>
    <w:rsid w:val="008A105A"/>
    <w:rsid w:val="008A122C"/>
    <w:rsid w:val="008A1467"/>
    <w:rsid w:val="008A16E0"/>
    <w:rsid w:val="008A1B10"/>
    <w:rsid w:val="008A1C19"/>
    <w:rsid w:val="008A2051"/>
    <w:rsid w:val="008A260E"/>
    <w:rsid w:val="008A2AB5"/>
    <w:rsid w:val="008A2CF9"/>
    <w:rsid w:val="008A2D4E"/>
    <w:rsid w:val="008A306A"/>
    <w:rsid w:val="008A310E"/>
    <w:rsid w:val="008A32B0"/>
    <w:rsid w:val="008A3A0D"/>
    <w:rsid w:val="008A41D2"/>
    <w:rsid w:val="008A4681"/>
    <w:rsid w:val="008A4A3F"/>
    <w:rsid w:val="008A4D2A"/>
    <w:rsid w:val="008A4DA2"/>
    <w:rsid w:val="008A51F8"/>
    <w:rsid w:val="008A556F"/>
    <w:rsid w:val="008A59E2"/>
    <w:rsid w:val="008A6084"/>
    <w:rsid w:val="008A6166"/>
    <w:rsid w:val="008A6169"/>
    <w:rsid w:val="008A61E8"/>
    <w:rsid w:val="008A672E"/>
    <w:rsid w:val="008A6940"/>
    <w:rsid w:val="008A6B3B"/>
    <w:rsid w:val="008A73D7"/>
    <w:rsid w:val="008A794A"/>
    <w:rsid w:val="008B0096"/>
    <w:rsid w:val="008B009C"/>
    <w:rsid w:val="008B0307"/>
    <w:rsid w:val="008B0536"/>
    <w:rsid w:val="008B062D"/>
    <w:rsid w:val="008B0650"/>
    <w:rsid w:val="008B0673"/>
    <w:rsid w:val="008B082B"/>
    <w:rsid w:val="008B0FAF"/>
    <w:rsid w:val="008B10AC"/>
    <w:rsid w:val="008B1182"/>
    <w:rsid w:val="008B121A"/>
    <w:rsid w:val="008B151C"/>
    <w:rsid w:val="008B22D1"/>
    <w:rsid w:val="008B2987"/>
    <w:rsid w:val="008B2C30"/>
    <w:rsid w:val="008B2DAD"/>
    <w:rsid w:val="008B2DF7"/>
    <w:rsid w:val="008B311D"/>
    <w:rsid w:val="008B31BC"/>
    <w:rsid w:val="008B3356"/>
    <w:rsid w:val="008B34AE"/>
    <w:rsid w:val="008B37DA"/>
    <w:rsid w:val="008B38E2"/>
    <w:rsid w:val="008B4226"/>
    <w:rsid w:val="008B47C9"/>
    <w:rsid w:val="008B4ACB"/>
    <w:rsid w:val="008B4EE2"/>
    <w:rsid w:val="008B5117"/>
    <w:rsid w:val="008B51C4"/>
    <w:rsid w:val="008B531E"/>
    <w:rsid w:val="008B538A"/>
    <w:rsid w:val="008B58A9"/>
    <w:rsid w:val="008B616A"/>
    <w:rsid w:val="008B62AE"/>
    <w:rsid w:val="008B63F3"/>
    <w:rsid w:val="008B66FA"/>
    <w:rsid w:val="008B6CE2"/>
    <w:rsid w:val="008B6E90"/>
    <w:rsid w:val="008B7060"/>
    <w:rsid w:val="008B75CA"/>
    <w:rsid w:val="008B76F9"/>
    <w:rsid w:val="008B77ED"/>
    <w:rsid w:val="008B7C6A"/>
    <w:rsid w:val="008C001D"/>
    <w:rsid w:val="008C0072"/>
    <w:rsid w:val="008C00CE"/>
    <w:rsid w:val="008C029C"/>
    <w:rsid w:val="008C0465"/>
    <w:rsid w:val="008C0925"/>
    <w:rsid w:val="008C0976"/>
    <w:rsid w:val="008C0AEC"/>
    <w:rsid w:val="008C0B15"/>
    <w:rsid w:val="008C0D31"/>
    <w:rsid w:val="008C19DA"/>
    <w:rsid w:val="008C1B32"/>
    <w:rsid w:val="008C1B9B"/>
    <w:rsid w:val="008C20A0"/>
    <w:rsid w:val="008C2676"/>
    <w:rsid w:val="008C2C4B"/>
    <w:rsid w:val="008C348E"/>
    <w:rsid w:val="008C3921"/>
    <w:rsid w:val="008C39BD"/>
    <w:rsid w:val="008C3ABA"/>
    <w:rsid w:val="008C3B1B"/>
    <w:rsid w:val="008C3C05"/>
    <w:rsid w:val="008C3D29"/>
    <w:rsid w:val="008C3F26"/>
    <w:rsid w:val="008C41AA"/>
    <w:rsid w:val="008C4A44"/>
    <w:rsid w:val="008C4F35"/>
    <w:rsid w:val="008C5507"/>
    <w:rsid w:val="008C570F"/>
    <w:rsid w:val="008C57B8"/>
    <w:rsid w:val="008C5B67"/>
    <w:rsid w:val="008C5C16"/>
    <w:rsid w:val="008C6510"/>
    <w:rsid w:val="008C66D8"/>
    <w:rsid w:val="008C6A1F"/>
    <w:rsid w:val="008C6B04"/>
    <w:rsid w:val="008C6C5D"/>
    <w:rsid w:val="008C6EF8"/>
    <w:rsid w:val="008C76E6"/>
    <w:rsid w:val="008C7798"/>
    <w:rsid w:val="008C7CDE"/>
    <w:rsid w:val="008C7CF1"/>
    <w:rsid w:val="008D06F8"/>
    <w:rsid w:val="008D0852"/>
    <w:rsid w:val="008D0AE3"/>
    <w:rsid w:val="008D0D2F"/>
    <w:rsid w:val="008D1077"/>
    <w:rsid w:val="008D1193"/>
    <w:rsid w:val="008D1194"/>
    <w:rsid w:val="008D11F3"/>
    <w:rsid w:val="008D12DB"/>
    <w:rsid w:val="008D1408"/>
    <w:rsid w:val="008D19B1"/>
    <w:rsid w:val="008D1B92"/>
    <w:rsid w:val="008D20EA"/>
    <w:rsid w:val="008D210F"/>
    <w:rsid w:val="008D2251"/>
    <w:rsid w:val="008D2392"/>
    <w:rsid w:val="008D266A"/>
    <w:rsid w:val="008D2A2D"/>
    <w:rsid w:val="008D2B79"/>
    <w:rsid w:val="008D2F0B"/>
    <w:rsid w:val="008D3557"/>
    <w:rsid w:val="008D3624"/>
    <w:rsid w:val="008D3726"/>
    <w:rsid w:val="008D3768"/>
    <w:rsid w:val="008D3B5B"/>
    <w:rsid w:val="008D3C2D"/>
    <w:rsid w:val="008D3D93"/>
    <w:rsid w:val="008D3DF0"/>
    <w:rsid w:val="008D3EC4"/>
    <w:rsid w:val="008D3F4F"/>
    <w:rsid w:val="008D406E"/>
    <w:rsid w:val="008D4071"/>
    <w:rsid w:val="008D459F"/>
    <w:rsid w:val="008D4696"/>
    <w:rsid w:val="008D494B"/>
    <w:rsid w:val="008D4BDE"/>
    <w:rsid w:val="008D4DA5"/>
    <w:rsid w:val="008D5489"/>
    <w:rsid w:val="008D55C4"/>
    <w:rsid w:val="008D57A9"/>
    <w:rsid w:val="008D602E"/>
    <w:rsid w:val="008D60D9"/>
    <w:rsid w:val="008D6550"/>
    <w:rsid w:val="008D691E"/>
    <w:rsid w:val="008D6BF0"/>
    <w:rsid w:val="008D6F9C"/>
    <w:rsid w:val="008D6F9F"/>
    <w:rsid w:val="008D762E"/>
    <w:rsid w:val="008D7795"/>
    <w:rsid w:val="008D77B2"/>
    <w:rsid w:val="008D7DA9"/>
    <w:rsid w:val="008D7F07"/>
    <w:rsid w:val="008E04DE"/>
    <w:rsid w:val="008E0584"/>
    <w:rsid w:val="008E0812"/>
    <w:rsid w:val="008E0A13"/>
    <w:rsid w:val="008E0D7B"/>
    <w:rsid w:val="008E1167"/>
    <w:rsid w:val="008E20CD"/>
    <w:rsid w:val="008E20F2"/>
    <w:rsid w:val="008E24F4"/>
    <w:rsid w:val="008E2652"/>
    <w:rsid w:val="008E2E10"/>
    <w:rsid w:val="008E2E4B"/>
    <w:rsid w:val="008E3243"/>
    <w:rsid w:val="008E36B3"/>
    <w:rsid w:val="008E36CE"/>
    <w:rsid w:val="008E37CC"/>
    <w:rsid w:val="008E3E74"/>
    <w:rsid w:val="008E409D"/>
    <w:rsid w:val="008E41DA"/>
    <w:rsid w:val="008E456B"/>
    <w:rsid w:val="008E4591"/>
    <w:rsid w:val="008E4823"/>
    <w:rsid w:val="008E4948"/>
    <w:rsid w:val="008E4E07"/>
    <w:rsid w:val="008E4E80"/>
    <w:rsid w:val="008E5015"/>
    <w:rsid w:val="008E5016"/>
    <w:rsid w:val="008E5453"/>
    <w:rsid w:val="008E55FB"/>
    <w:rsid w:val="008E62BD"/>
    <w:rsid w:val="008E6461"/>
    <w:rsid w:val="008E64A2"/>
    <w:rsid w:val="008E6ABF"/>
    <w:rsid w:val="008E6F4C"/>
    <w:rsid w:val="008E7AED"/>
    <w:rsid w:val="008E7BFD"/>
    <w:rsid w:val="008E7E50"/>
    <w:rsid w:val="008F010F"/>
    <w:rsid w:val="008F03C5"/>
    <w:rsid w:val="008F0515"/>
    <w:rsid w:val="008F07C1"/>
    <w:rsid w:val="008F0BA2"/>
    <w:rsid w:val="008F0CE4"/>
    <w:rsid w:val="008F1613"/>
    <w:rsid w:val="008F1B59"/>
    <w:rsid w:val="008F1FC4"/>
    <w:rsid w:val="008F2265"/>
    <w:rsid w:val="008F2C44"/>
    <w:rsid w:val="008F2E16"/>
    <w:rsid w:val="008F2E81"/>
    <w:rsid w:val="008F310D"/>
    <w:rsid w:val="008F42B3"/>
    <w:rsid w:val="008F439A"/>
    <w:rsid w:val="008F460C"/>
    <w:rsid w:val="008F4719"/>
    <w:rsid w:val="008F4BC1"/>
    <w:rsid w:val="008F501F"/>
    <w:rsid w:val="008F5075"/>
    <w:rsid w:val="008F5082"/>
    <w:rsid w:val="008F529F"/>
    <w:rsid w:val="008F55D3"/>
    <w:rsid w:val="008F57E7"/>
    <w:rsid w:val="008F585C"/>
    <w:rsid w:val="008F5967"/>
    <w:rsid w:val="008F5EC8"/>
    <w:rsid w:val="008F5FFF"/>
    <w:rsid w:val="008F6084"/>
    <w:rsid w:val="008F6154"/>
    <w:rsid w:val="008F61E9"/>
    <w:rsid w:val="008F6255"/>
    <w:rsid w:val="008F62D0"/>
    <w:rsid w:val="008F63F1"/>
    <w:rsid w:val="008F6428"/>
    <w:rsid w:val="008F66F8"/>
    <w:rsid w:val="008F67FC"/>
    <w:rsid w:val="008F6CB5"/>
    <w:rsid w:val="008F6F4C"/>
    <w:rsid w:val="008F728A"/>
    <w:rsid w:val="008F7310"/>
    <w:rsid w:val="008F76E2"/>
    <w:rsid w:val="008F7F3E"/>
    <w:rsid w:val="0090007F"/>
    <w:rsid w:val="009005EB"/>
    <w:rsid w:val="009006A3"/>
    <w:rsid w:val="00900751"/>
    <w:rsid w:val="0090099C"/>
    <w:rsid w:val="00900D39"/>
    <w:rsid w:val="00901180"/>
    <w:rsid w:val="009011EA"/>
    <w:rsid w:val="009017D2"/>
    <w:rsid w:val="00901B9E"/>
    <w:rsid w:val="009023D4"/>
    <w:rsid w:val="009023EB"/>
    <w:rsid w:val="009026B5"/>
    <w:rsid w:val="0090292E"/>
    <w:rsid w:val="0090293F"/>
    <w:rsid w:val="00902E73"/>
    <w:rsid w:val="009032A8"/>
    <w:rsid w:val="0090397B"/>
    <w:rsid w:val="009039A9"/>
    <w:rsid w:val="00903DC0"/>
    <w:rsid w:val="00903E95"/>
    <w:rsid w:val="0090412B"/>
    <w:rsid w:val="0090478D"/>
    <w:rsid w:val="009047C9"/>
    <w:rsid w:val="00904A79"/>
    <w:rsid w:val="00904C39"/>
    <w:rsid w:val="009053D7"/>
    <w:rsid w:val="009055F5"/>
    <w:rsid w:val="00905708"/>
    <w:rsid w:val="00905DD1"/>
    <w:rsid w:val="00905E6D"/>
    <w:rsid w:val="00905F8F"/>
    <w:rsid w:val="00906231"/>
    <w:rsid w:val="0090637D"/>
    <w:rsid w:val="00906697"/>
    <w:rsid w:val="0090697A"/>
    <w:rsid w:val="00906AFE"/>
    <w:rsid w:val="00906B4D"/>
    <w:rsid w:val="00906B9D"/>
    <w:rsid w:val="00906BF8"/>
    <w:rsid w:val="0090742E"/>
    <w:rsid w:val="009076EF"/>
    <w:rsid w:val="00907D6F"/>
    <w:rsid w:val="00907F4E"/>
    <w:rsid w:val="0091011F"/>
    <w:rsid w:val="009103CE"/>
    <w:rsid w:val="00910515"/>
    <w:rsid w:val="009106EB"/>
    <w:rsid w:val="00910710"/>
    <w:rsid w:val="009108CD"/>
    <w:rsid w:val="0091094F"/>
    <w:rsid w:val="00910B50"/>
    <w:rsid w:val="00910D3B"/>
    <w:rsid w:val="00910D50"/>
    <w:rsid w:val="00910E54"/>
    <w:rsid w:val="009115E9"/>
    <w:rsid w:val="009117DC"/>
    <w:rsid w:val="00911A29"/>
    <w:rsid w:val="00911C95"/>
    <w:rsid w:val="00911D6A"/>
    <w:rsid w:val="00911D75"/>
    <w:rsid w:val="00912006"/>
    <w:rsid w:val="0091231A"/>
    <w:rsid w:val="009124AC"/>
    <w:rsid w:val="00912796"/>
    <w:rsid w:val="00912E68"/>
    <w:rsid w:val="00913216"/>
    <w:rsid w:val="00913579"/>
    <w:rsid w:val="009136B2"/>
    <w:rsid w:val="00913B84"/>
    <w:rsid w:val="00913F47"/>
    <w:rsid w:val="0091457D"/>
    <w:rsid w:val="0091493F"/>
    <w:rsid w:val="00914E6F"/>
    <w:rsid w:val="009150AE"/>
    <w:rsid w:val="009150DC"/>
    <w:rsid w:val="00915537"/>
    <w:rsid w:val="00915807"/>
    <w:rsid w:val="00915850"/>
    <w:rsid w:val="0091596D"/>
    <w:rsid w:val="0091597C"/>
    <w:rsid w:val="00915B08"/>
    <w:rsid w:val="00915CAA"/>
    <w:rsid w:val="00915FA6"/>
    <w:rsid w:val="00916047"/>
    <w:rsid w:val="0091634F"/>
    <w:rsid w:val="00916774"/>
    <w:rsid w:val="00916B17"/>
    <w:rsid w:val="009170D2"/>
    <w:rsid w:val="009171AD"/>
    <w:rsid w:val="00917530"/>
    <w:rsid w:val="009200B5"/>
    <w:rsid w:val="00920110"/>
    <w:rsid w:val="009201E1"/>
    <w:rsid w:val="0092022B"/>
    <w:rsid w:val="00920454"/>
    <w:rsid w:val="009205F4"/>
    <w:rsid w:val="00920A3B"/>
    <w:rsid w:val="00921395"/>
    <w:rsid w:val="0092140C"/>
    <w:rsid w:val="0092155C"/>
    <w:rsid w:val="009215EF"/>
    <w:rsid w:val="009216D6"/>
    <w:rsid w:val="00921BE6"/>
    <w:rsid w:val="00921D6D"/>
    <w:rsid w:val="00921DAE"/>
    <w:rsid w:val="009221D9"/>
    <w:rsid w:val="0092225A"/>
    <w:rsid w:val="009227CD"/>
    <w:rsid w:val="00922B63"/>
    <w:rsid w:val="00922C2C"/>
    <w:rsid w:val="00922E2A"/>
    <w:rsid w:val="009231E2"/>
    <w:rsid w:val="009234A1"/>
    <w:rsid w:val="00923C7F"/>
    <w:rsid w:val="00923E12"/>
    <w:rsid w:val="00923EF4"/>
    <w:rsid w:val="009241FD"/>
    <w:rsid w:val="0092494F"/>
    <w:rsid w:val="009249CE"/>
    <w:rsid w:val="00924B2C"/>
    <w:rsid w:val="00924C83"/>
    <w:rsid w:val="00924FBC"/>
    <w:rsid w:val="009251C3"/>
    <w:rsid w:val="009256C9"/>
    <w:rsid w:val="0092587B"/>
    <w:rsid w:val="00925A30"/>
    <w:rsid w:val="00925D92"/>
    <w:rsid w:val="00926030"/>
    <w:rsid w:val="009261CB"/>
    <w:rsid w:val="009264D2"/>
    <w:rsid w:val="0092664F"/>
    <w:rsid w:val="0092683A"/>
    <w:rsid w:val="00926C24"/>
    <w:rsid w:val="00927031"/>
    <w:rsid w:val="009270CE"/>
    <w:rsid w:val="0092782C"/>
    <w:rsid w:val="00927836"/>
    <w:rsid w:val="00927923"/>
    <w:rsid w:val="00927976"/>
    <w:rsid w:val="00927DD1"/>
    <w:rsid w:val="009305E0"/>
    <w:rsid w:val="00930AF8"/>
    <w:rsid w:val="00930CED"/>
    <w:rsid w:val="009316EB"/>
    <w:rsid w:val="00931B2B"/>
    <w:rsid w:val="00931D01"/>
    <w:rsid w:val="00931D28"/>
    <w:rsid w:val="00932011"/>
    <w:rsid w:val="009328F7"/>
    <w:rsid w:val="0093298A"/>
    <w:rsid w:val="00932A63"/>
    <w:rsid w:val="00932E0B"/>
    <w:rsid w:val="00932E5F"/>
    <w:rsid w:val="00933823"/>
    <w:rsid w:val="00933843"/>
    <w:rsid w:val="00933D35"/>
    <w:rsid w:val="00933E1E"/>
    <w:rsid w:val="00933E59"/>
    <w:rsid w:val="00934826"/>
    <w:rsid w:val="00934A72"/>
    <w:rsid w:val="00934C2E"/>
    <w:rsid w:val="00934CFF"/>
    <w:rsid w:val="0093526B"/>
    <w:rsid w:val="009353E1"/>
    <w:rsid w:val="00935752"/>
    <w:rsid w:val="00935E04"/>
    <w:rsid w:val="00935FE2"/>
    <w:rsid w:val="0093605D"/>
    <w:rsid w:val="009362DE"/>
    <w:rsid w:val="0093638B"/>
    <w:rsid w:val="009364BB"/>
    <w:rsid w:val="009364ED"/>
    <w:rsid w:val="00936565"/>
    <w:rsid w:val="0093664E"/>
    <w:rsid w:val="0093684C"/>
    <w:rsid w:val="00936854"/>
    <w:rsid w:val="00936CD9"/>
    <w:rsid w:val="00936F59"/>
    <w:rsid w:val="00936FB7"/>
    <w:rsid w:val="00937452"/>
    <w:rsid w:val="0093773D"/>
    <w:rsid w:val="009401E4"/>
    <w:rsid w:val="00940245"/>
    <w:rsid w:val="00940306"/>
    <w:rsid w:val="00940378"/>
    <w:rsid w:val="00940496"/>
    <w:rsid w:val="00940806"/>
    <w:rsid w:val="0094082A"/>
    <w:rsid w:val="009408E2"/>
    <w:rsid w:val="00940B3B"/>
    <w:rsid w:val="00940D2B"/>
    <w:rsid w:val="00940DC5"/>
    <w:rsid w:val="0094109B"/>
    <w:rsid w:val="00941192"/>
    <w:rsid w:val="009411F6"/>
    <w:rsid w:val="009411FF"/>
    <w:rsid w:val="0094185D"/>
    <w:rsid w:val="00941B70"/>
    <w:rsid w:val="00942164"/>
    <w:rsid w:val="00942191"/>
    <w:rsid w:val="00942227"/>
    <w:rsid w:val="00942495"/>
    <w:rsid w:val="009427D7"/>
    <w:rsid w:val="00942A96"/>
    <w:rsid w:val="00942D8F"/>
    <w:rsid w:val="00942DD4"/>
    <w:rsid w:val="00942F4C"/>
    <w:rsid w:val="00943369"/>
    <w:rsid w:val="009433FE"/>
    <w:rsid w:val="00943A09"/>
    <w:rsid w:val="00944203"/>
    <w:rsid w:val="009454CB"/>
    <w:rsid w:val="00945820"/>
    <w:rsid w:val="00945AB3"/>
    <w:rsid w:val="00945EA2"/>
    <w:rsid w:val="00945F5A"/>
    <w:rsid w:val="00945F5E"/>
    <w:rsid w:val="0094617F"/>
    <w:rsid w:val="0094635C"/>
    <w:rsid w:val="00946466"/>
    <w:rsid w:val="009468B5"/>
    <w:rsid w:val="00946C5C"/>
    <w:rsid w:val="009475BB"/>
    <w:rsid w:val="00947C62"/>
    <w:rsid w:val="00950461"/>
    <w:rsid w:val="0095059C"/>
    <w:rsid w:val="00950966"/>
    <w:rsid w:val="0095156C"/>
    <w:rsid w:val="00951B8B"/>
    <w:rsid w:val="0095207E"/>
    <w:rsid w:val="00952238"/>
    <w:rsid w:val="009523BB"/>
    <w:rsid w:val="00952438"/>
    <w:rsid w:val="009524DA"/>
    <w:rsid w:val="009525C3"/>
    <w:rsid w:val="00952801"/>
    <w:rsid w:val="0095299D"/>
    <w:rsid w:val="009534F9"/>
    <w:rsid w:val="00953600"/>
    <w:rsid w:val="009536F3"/>
    <w:rsid w:val="009542EE"/>
    <w:rsid w:val="00954503"/>
    <w:rsid w:val="009545FE"/>
    <w:rsid w:val="00954732"/>
    <w:rsid w:val="00954765"/>
    <w:rsid w:val="00954DC9"/>
    <w:rsid w:val="0095508B"/>
    <w:rsid w:val="009554D5"/>
    <w:rsid w:val="0095584C"/>
    <w:rsid w:val="00955C5E"/>
    <w:rsid w:val="00955C9A"/>
    <w:rsid w:val="00955E93"/>
    <w:rsid w:val="00955FA0"/>
    <w:rsid w:val="009561FA"/>
    <w:rsid w:val="0095637C"/>
    <w:rsid w:val="009566FD"/>
    <w:rsid w:val="0095670B"/>
    <w:rsid w:val="00956900"/>
    <w:rsid w:val="0095696B"/>
    <w:rsid w:val="00956BD5"/>
    <w:rsid w:val="00957186"/>
    <w:rsid w:val="00957415"/>
    <w:rsid w:val="00957463"/>
    <w:rsid w:val="0095751A"/>
    <w:rsid w:val="00957A80"/>
    <w:rsid w:val="00957CE0"/>
    <w:rsid w:val="00957E17"/>
    <w:rsid w:val="00957FC9"/>
    <w:rsid w:val="00960787"/>
    <w:rsid w:val="00960A9F"/>
    <w:rsid w:val="00961061"/>
    <w:rsid w:val="0096123F"/>
    <w:rsid w:val="0096144C"/>
    <w:rsid w:val="0096147D"/>
    <w:rsid w:val="009615CD"/>
    <w:rsid w:val="00961A46"/>
    <w:rsid w:val="00961D6D"/>
    <w:rsid w:val="00961ECE"/>
    <w:rsid w:val="0096203D"/>
    <w:rsid w:val="00962582"/>
    <w:rsid w:val="009626DC"/>
    <w:rsid w:val="0096283C"/>
    <w:rsid w:val="00962947"/>
    <w:rsid w:val="0096299E"/>
    <w:rsid w:val="00962AB2"/>
    <w:rsid w:val="00962BD3"/>
    <w:rsid w:val="00962C89"/>
    <w:rsid w:val="00962D34"/>
    <w:rsid w:val="00962E70"/>
    <w:rsid w:val="00962EDA"/>
    <w:rsid w:val="00963239"/>
    <w:rsid w:val="009635B1"/>
    <w:rsid w:val="009638D9"/>
    <w:rsid w:val="00963A90"/>
    <w:rsid w:val="00963EFC"/>
    <w:rsid w:val="00963F5D"/>
    <w:rsid w:val="00964091"/>
    <w:rsid w:val="009641C7"/>
    <w:rsid w:val="009646CE"/>
    <w:rsid w:val="009650FA"/>
    <w:rsid w:val="0096514B"/>
    <w:rsid w:val="009653EE"/>
    <w:rsid w:val="00965783"/>
    <w:rsid w:val="00965DD3"/>
    <w:rsid w:val="00965E68"/>
    <w:rsid w:val="009660F3"/>
    <w:rsid w:val="0096628D"/>
    <w:rsid w:val="009662E2"/>
    <w:rsid w:val="00966C9F"/>
    <w:rsid w:val="00966FEC"/>
    <w:rsid w:val="009677A0"/>
    <w:rsid w:val="00967A47"/>
    <w:rsid w:val="00967AEE"/>
    <w:rsid w:val="00967C19"/>
    <w:rsid w:val="00967CBA"/>
    <w:rsid w:val="00967D68"/>
    <w:rsid w:val="0097025A"/>
    <w:rsid w:val="009709CA"/>
    <w:rsid w:val="00970ADC"/>
    <w:rsid w:val="00970E95"/>
    <w:rsid w:val="00970F82"/>
    <w:rsid w:val="00971169"/>
    <w:rsid w:val="0097125C"/>
    <w:rsid w:val="0097139A"/>
    <w:rsid w:val="0097141E"/>
    <w:rsid w:val="00971A2D"/>
    <w:rsid w:val="00971A53"/>
    <w:rsid w:val="00971B4E"/>
    <w:rsid w:val="00971DEC"/>
    <w:rsid w:val="00971F7E"/>
    <w:rsid w:val="00972BFF"/>
    <w:rsid w:val="00972DF5"/>
    <w:rsid w:val="00972E33"/>
    <w:rsid w:val="009730F2"/>
    <w:rsid w:val="00973526"/>
    <w:rsid w:val="00973782"/>
    <w:rsid w:val="009738AB"/>
    <w:rsid w:val="00973B44"/>
    <w:rsid w:val="00973C1A"/>
    <w:rsid w:val="00973CE9"/>
    <w:rsid w:val="00973DB4"/>
    <w:rsid w:val="00973DF4"/>
    <w:rsid w:val="009741A7"/>
    <w:rsid w:val="0097423D"/>
    <w:rsid w:val="00974508"/>
    <w:rsid w:val="00974548"/>
    <w:rsid w:val="009751BF"/>
    <w:rsid w:val="00975809"/>
    <w:rsid w:val="00976164"/>
    <w:rsid w:val="009763D5"/>
    <w:rsid w:val="009766E9"/>
    <w:rsid w:val="00976A26"/>
    <w:rsid w:val="00976C38"/>
    <w:rsid w:val="0097707F"/>
    <w:rsid w:val="00977273"/>
    <w:rsid w:val="009773A2"/>
    <w:rsid w:val="00977604"/>
    <w:rsid w:val="00977643"/>
    <w:rsid w:val="0097797C"/>
    <w:rsid w:val="0098012E"/>
    <w:rsid w:val="00980E78"/>
    <w:rsid w:val="009813B3"/>
    <w:rsid w:val="00981599"/>
    <w:rsid w:val="0098174C"/>
    <w:rsid w:val="009819B7"/>
    <w:rsid w:val="009824B2"/>
    <w:rsid w:val="00982507"/>
    <w:rsid w:val="009828A5"/>
    <w:rsid w:val="00982CBD"/>
    <w:rsid w:val="00982DA0"/>
    <w:rsid w:val="009830D3"/>
    <w:rsid w:val="00983369"/>
    <w:rsid w:val="00983398"/>
    <w:rsid w:val="009836CA"/>
    <w:rsid w:val="00983897"/>
    <w:rsid w:val="00983BC4"/>
    <w:rsid w:val="00983C67"/>
    <w:rsid w:val="00983D06"/>
    <w:rsid w:val="00983D6A"/>
    <w:rsid w:val="00983E4C"/>
    <w:rsid w:val="00983EFA"/>
    <w:rsid w:val="00984DAD"/>
    <w:rsid w:val="00984E3D"/>
    <w:rsid w:val="009856B6"/>
    <w:rsid w:val="00985D20"/>
    <w:rsid w:val="00985D57"/>
    <w:rsid w:val="00985E08"/>
    <w:rsid w:val="00986006"/>
    <w:rsid w:val="0098616D"/>
    <w:rsid w:val="0098686D"/>
    <w:rsid w:val="009868DE"/>
    <w:rsid w:val="009869DF"/>
    <w:rsid w:val="00986B81"/>
    <w:rsid w:val="00986CB9"/>
    <w:rsid w:val="00986EEC"/>
    <w:rsid w:val="00986F11"/>
    <w:rsid w:val="0098736C"/>
    <w:rsid w:val="009873C1"/>
    <w:rsid w:val="0098755C"/>
    <w:rsid w:val="00987674"/>
    <w:rsid w:val="009876D7"/>
    <w:rsid w:val="0098773F"/>
    <w:rsid w:val="00987A93"/>
    <w:rsid w:val="00987B4C"/>
    <w:rsid w:val="00987D06"/>
    <w:rsid w:val="009908D2"/>
    <w:rsid w:val="00990949"/>
    <w:rsid w:val="00990DD9"/>
    <w:rsid w:val="00990ECC"/>
    <w:rsid w:val="00990FFB"/>
    <w:rsid w:val="009910A7"/>
    <w:rsid w:val="009910DF"/>
    <w:rsid w:val="00991519"/>
    <w:rsid w:val="009915FD"/>
    <w:rsid w:val="009918A2"/>
    <w:rsid w:val="00991991"/>
    <w:rsid w:val="00991D16"/>
    <w:rsid w:val="00991D19"/>
    <w:rsid w:val="00991DF3"/>
    <w:rsid w:val="0099204F"/>
    <w:rsid w:val="009922CC"/>
    <w:rsid w:val="009924AB"/>
    <w:rsid w:val="009924FE"/>
    <w:rsid w:val="00992780"/>
    <w:rsid w:val="00992BE8"/>
    <w:rsid w:val="00992EDB"/>
    <w:rsid w:val="0099311E"/>
    <w:rsid w:val="00993188"/>
    <w:rsid w:val="009934EE"/>
    <w:rsid w:val="00993500"/>
    <w:rsid w:val="00993B25"/>
    <w:rsid w:val="00993CFA"/>
    <w:rsid w:val="009941D9"/>
    <w:rsid w:val="009947D4"/>
    <w:rsid w:val="00994851"/>
    <w:rsid w:val="0099497A"/>
    <w:rsid w:val="00994B21"/>
    <w:rsid w:val="00994C82"/>
    <w:rsid w:val="0099515E"/>
    <w:rsid w:val="009953D6"/>
    <w:rsid w:val="00995554"/>
    <w:rsid w:val="00995693"/>
    <w:rsid w:val="00995AB2"/>
    <w:rsid w:val="00995F09"/>
    <w:rsid w:val="00996081"/>
    <w:rsid w:val="00996A3F"/>
    <w:rsid w:val="00996B6E"/>
    <w:rsid w:val="00996CDF"/>
    <w:rsid w:val="00996FB3"/>
    <w:rsid w:val="0099763A"/>
    <w:rsid w:val="00997918"/>
    <w:rsid w:val="009979D1"/>
    <w:rsid w:val="00997D11"/>
    <w:rsid w:val="00997E54"/>
    <w:rsid w:val="009A037D"/>
    <w:rsid w:val="009A054C"/>
    <w:rsid w:val="009A058A"/>
    <w:rsid w:val="009A05E6"/>
    <w:rsid w:val="009A0758"/>
    <w:rsid w:val="009A098A"/>
    <w:rsid w:val="009A0D63"/>
    <w:rsid w:val="009A118C"/>
    <w:rsid w:val="009A180A"/>
    <w:rsid w:val="009A1F89"/>
    <w:rsid w:val="009A21F0"/>
    <w:rsid w:val="009A26CB"/>
    <w:rsid w:val="009A2753"/>
    <w:rsid w:val="009A2BB1"/>
    <w:rsid w:val="009A2D36"/>
    <w:rsid w:val="009A2D6F"/>
    <w:rsid w:val="009A2EF1"/>
    <w:rsid w:val="009A399B"/>
    <w:rsid w:val="009A3B7E"/>
    <w:rsid w:val="009A3C37"/>
    <w:rsid w:val="009A3CAC"/>
    <w:rsid w:val="009A3FE2"/>
    <w:rsid w:val="009A4197"/>
    <w:rsid w:val="009A4291"/>
    <w:rsid w:val="009A42A2"/>
    <w:rsid w:val="009A42DB"/>
    <w:rsid w:val="009A4743"/>
    <w:rsid w:val="009A47EC"/>
    <w:rsid w:val="009A4A88"/>
    <w:rsid w:val="009A4BA6"/>
    <w:rsid w:val="009A4D9D"/>
    <w:rsid w:val="009A590C"/>
    <w:rsid w:val="009A5F77"/>
    <w:rsid w:val="009A6866"/>
    <w:rsid w:val="009A6BEF"/>
    <w:rsid w:val="009A6E13"/>
    <w:rsid w:val="009A6EB8"/>
    <w:rsid w:val="009A6EF7"/>
    <w:rsid w:val="009A70B3"/>
    <w:rsid w:val="009A7160"/>
    <w:rsid w:val="009A7A17"/>
    <w:rsid w:val="009A7AC3"/>
    <w:rsid w:val="009B00CA"/>
    <w:rsid w:val="009B0134"/>
    <w:rsid w:val="009B01F2"/>
    <w:rsid w:val="009B07AE"/>
    <w:rsid w:val="009B0909"/>
    <w:rsid w:val="009B167F"/>
    <w:rsid w:val="009B19EB"/>
    <w:rsid w:val="009B19FA"/>
    <w:rsid w:val="009B1FCA"/>
    <w:rsid w:val="009B20EB"/>
    <w:rsid w:val="009B2381"/>
    <w:rsid w:val="009B2788"/>
    <w:rsid w:val="009B2812"/>
    <w:rsid w:val="009B2872"/>
    <w:rsid w:val="009B2AE9"/>
    <w:rsid w:val="009B2BC3"/>
    <w:rsid w:val="009B2FE0"/>
    <w:rsid w:val="009B386C"/>
    <w:rsid w:val="009B3E78"/>
    <w:rsid w:val="009B3E79"/>
    <w:rsid w:val="009B4260"/>
    <w:rsid w:val="009B500A"/>
    <w:rsid w:val="009B5B47"/>
    <w:rsid w:val="009B5FC6"/>
    <w:rsid w:val="009B5FF6"/>
    <w:rsid w:val="009B6281"/>
    <w:rsid w:val="009B6535"/>
    <w:rsid w:val="009B675F"/>
    <w:rsid w:val="009B679E"/>
    <w:rsid w:val="009B6828"/>
    <w:rsid w:val="009B69ED"/>
    <w:rsid w:val="009B6ADC"/>
    <w:rsid w:val="009B6B06"/>
    <w:rsid w:val="009B7359"/>
    <w:rsid w:val="009B7455"/>
    <w:rsid w:val="009B7955"/>
    <w:rsid w:val="009B79B8"/>
    <w:rsid w:val="009B7AAC"/>
    <w:rsid w:val="009B7F0F"/>
    <w:rsid w:val="009C0057"/>
    <w:rsid w:val="009C007C"/>
    <w:rsid w:val="009C00F7"/>
    <w:rsid w:val="009C01DE"/>
    <w:rsid w:val="009C088E"/>
    <w:rsid w:val="009C0B85"/>
    <w:rsid w:val="009C0C1F"/>
    <w:rsid w:val="009C0CA9"/>
    <w:rsid w:val="009C0D1E"/>
    <w:rsid w:val="009C1492"/>
    <w:rsid w:val="009C14C4"/>
    <w:rsid w:val="009C1786"/>
    <w:rsid w:val="009C17B7"/>
    <w:rsid w:val="009C1A7D"/>
    <w:rsid w:val="009C1F7B"/>
    <w:rsid w:val="009C212E"/>
    <w:rsid w:val="009C2720"/>
    <w:rsid w:val="009C316B"/>
    <w:rsid w:val="009C33D6"/>
    <w:rsid w:val="009C3F66"/>
    <w:rsid w:val="009C4526"/>
    <w:rsid w:val="009C45A0"/>
    <w:rsid w:val="009C477C"/>
    <w:rsid w:val="009C4BCE"/>
    <w:rsid w:val="009C4E14"/>
    <w:rsid w:val="009C4FC8"/>
    <w:rsid w:val="009C5098"/>
    <w:rsid w:val="009C5D0C"/>
    <w:rsid w:val="009C5E01"/>
    <w:rsid w:val="009C5F8E"/>
    <w:rsid w:val="009C6145"/>
    <w:rsid w:val="009C6209"/>
    <w:rsid w:val="009C63A1"/>
    <w:rsid w:val="009C6421"/>
    <w:rsid w:val="009C655C"/>
    <w:rsid w:val="009C65BB"/>
    <w:rsid w:val="009C6B27"/>
    <w:rsid w:val="009C6CB0"/>
    <w:rsid w:val="009C6E78"/>
    <w:rsid w:val="009C6F20"/>
    <w:rsid w:val="009C6FB2"/>
    <w:rsid w:val="009C7C58"/>
    <w:rsid w:val="009C7F71"/>
    <w:rsid w:val="009D057B"/>
    <w:rsid w:val="009D098A"/>
    <w:rsid w:val="009D09F7"/>
    <w:rsid w:val="009D0B89"/>
    <w:rsid w:val="009D125A"/>
    <w:rsid w:val="009D13D5"/>
    <w:rsid w:val="009D15FB"/>
    <w:rsid w:val="009D174C"/>
    <w:rsid w:val="009D1857"/>
    <w:rsid w:val="009D1956"/>
    <w:rsid w:val="009D1C79"/>
    <w:rsid w:val="009D1D80"/>
    <w:rsid w:val="009D25AA"/>
    <w:rsid w:val="009D261C"/>
    <w:rsid w:val="009D288C"/>
    <w:rsid w:val="009D2BE8"/>
    <w:rsid w:val="009D322D"/>
    <w:rsid w:val="009D3283"/>
    <w:rsid w:val="009D34D3"/>
    <w:rsid w:val="009D3D64"/>
    <w:rsid w:val="009D3DEE"/>
    <w:rsid w:val="009D3F3B"/>
    <w:rsid w:val="009D444F"/>
    <w:rsid w:val="009D4548"/>
    <w:rsid w:val="009D457F"/>
    <w:rsid w:val="009D5370"/>
    <w:rsid w:val="009D58E4"/>
    <w:rsid w:val="009D5B8C"/>
    <w:rsid w:val="009D5C6C"/>
    <w:rsid w:val="009D5D6A"/>
    <w:rsid w:val="009D6014"/>
    <w:rsid w:val="009D610C"/>
    <w:rsid w:val="009D6A5B"/>
    <w:rsid w:val="009D6DE6"/>
    <w:rsid w:val="009D71BC"/>
    <w:rsid w:val="009D7252"/>
    <w:rsid w:val="009D7B09"/>
    <w:rsid w:val="009D7BA9"/>
    <w:rsid w:val="009E04A2"/>
    <w:rsid w:val="009E04CA"/>
    <w:rsid w:val="009E05FD"/>
    <w:rsid w:val="009E071E"/>
    <w:rsid w:val="009E08D9"/>
    <w:rsid w:val="009E0BA9"/>
    <w:rsid w:val="009E0FD8"/>
    <w:rsid w:val="009E150E"/>
    <w:rsid w:val="009E1646"/>
    <w:rsid w:val="009E1B3E"/>
    <w:rsid w:val="009E281C"/>
    <w:rsid w:val="009E2A99"/>
    <w:rsid w:val="009E2F8C"/>
    <w:rsid w:val="009E30D1"/>
    <w:rsid w:val="009E31CA"/>
    <w:rsid w:val="009E3307"/>
    <w:rsid w:val="009E3403"/>
    <w:rsid w:val="009E36D2"/>
    <w:rsid w:val="009E37FE"/>
    <w:rsid w:val="009E3B57"/>
    <w:rsid w:val="009E40A3"/>
    <w:rsid w:val="009E42FC"/>
    <w:rsid w:val="009E4433"/>
    <w:rsid w:val="009E4459"/>
    <w:rsid w:val="009E448C"/>
    <w:rsid w:val="009E49BB"/>
    <w:rsid w:val="009E4F71"/>
    <w:rsid w:val="009E4F94"/>
    <w:rsid w:val="009E517B"/>
    <w:rsid w:val="009E525C"/>
    <w:rsid w:val="009E541C"/>
    <w:rsid w:val="009E5609"/>
    <w:rsid w:val="009E567F"/>
    <w:rsid w:val="009E5682"/>
    <w:rsid w:val="009E56B9"/>
    <w:rsid w:val="009E5EB4"/>
    <w:rsid w:val="009E60D3"/>
    <w:rsid w:val="009E61FC"/>
    <w:rsid w:val="009E632C"/>
    <w:rsid w:val="009E638F"/>
    <w:rsid w:val="009E6488"/>
    <w:rsid w:val="009E670D"/>
    <w:rsid w:val="009E68AD"/>
    <w:rsid w:val="009E6A66"/>
    <w:rsid w:val="009E6ED0"/>
    <w:rsid w:val="009E6F7C"/>
    <w:rsid w:val="009E70A9"/>
    <w:rsid w:val="009E70BF"/>
    <w:rsid w:val="009E7119"/>
    <w:rsid w:val="009E71BE"/>
    <w:rsid w:val="009E72A7"/>
    <w:rsid w:val="009E7800"/>
    <w:rsid w:val="009E7861"/>
    <w:rsid w:val="009E7ED3"/>
    <w:rsid w:val="009F05EC"/>
    <w:rsid w:val="009F0FA6"/>
    <w:rsid w:val="009F14B7"/>
    <w:rsid w:val="009F163B"/>
    <w:rsid w:val="009F1BC9"/>
    <w:rsid w:val="009F1C28"/>
    <w:rsid w:val="009F1DE4"/>
    <w:rsid w:val="009F1E8C"/>
    <w:rsid w:val="009F1F0B"/>
    <w:rsid w:val="009F24D8"/>
    <w:rsid w:val="009F255D"/>
    <w:rsid w:val="009F267A"/>
    <w:rsid w:val="009F2828"/>
    <w:rsid w:val="009F2DBC"/>
    <w:rsid w:val="009F347B"/>
    <w:rsid w:val="009F3508"/>
    <w:rsid w:val="009F3736"/>
    <w:rsid w:val="009F395C"/>
    <w:rsid w:val="009F4205"/>
    <w:rsid w:val="009F4273"/>
    <w:rsid w:val="009F4398"/>
    <w:rsid w:val="009F44B8"/>
    <w:rsid w:val="009F4538"/>
    <w:rsid w:val="009F4869"/>
    <w:rsid w:val="009F4C2A"/>
    <w:rsid w:val="009F4C2C"/>
    <w:rsid w:val="009F4FD0"/>
    <w:rsid w:val="009F5097"/>
    <w:rsid w:val="009F50B8"/>
    <w:rsid w:val="009F51D3"/>
    <w:rsid w:val="009F53D4"/>
    <w:rsid w:val="009F5508"/>
    <w:rsid w:val="009F5D7B"/>
    <w:rsid w:val="009F6F3B"/>
    <w:rsid w:val="009F6F44"/>
    <w:rsid w:val="009F70BD"/>
    <w:rsid w:val="009F70C7"/>
    <w:rsid w:val="009F762E"/>
    <w:rsid w:val="009F7765"/>
    <w:rsid w:val="009F77E0"/>
    <w:rsid w:val="009F7921"/>
    <w:rsid w:val="009F7B08"/>
    <w:rsid w:val="009F7B73"/>
    <w:rsid w:val="009F7F35"/>
    <w:rsid w:val="009F7FAC"/>
    <w:rsid w:val="00A00225"/>
    <w:rsid w:val="00A003C1"/>
    <w:rsid w:val="00A00548"/>
    <w:rsid w:val="00A00602"/>
    <w:rsid w:val="00A00957"/>
    <w:rsid w:val="00A00B08"/>
    <w:rsid w:val="00A00B46"/>
    <w:rsid w:val="00A00B8D"/>
    <w:rsid w:val="00A00F71"/>
    <w:rsid w:val="00A01166"/>
    <w:rsid w:val="00A01697"/>
    <w:rsid w:val="00A01F85"/>
    <w:rsid w:val="00A021FD"/>
    <w:rsid w:val="00A02586"/>
    <w:rsid w:val="00A02B67"/>
    <w:rsid w:val="00A0310A"/>
    <w:rsid w:val="00A0362D"/>
    <w:rsid w:val="00A03D1A"/>
    <w:rsid w:val="00A03D5F"/>
    <w:rsid w:val="00A0423F"/>
    <w:rsid w:val="00A0452C"/>
    <w:rsid w:val="00A04555"/>
    <w:rsid w:val="00A049A3"/>
    <w:rsid w:val="00A04B70"/>
    <w:rsid w:val="00A04C3E"/>
    <w:rsid w:val="00A04DFF"/>
    <w:rsid w:val="00A04ED7"/>
    <w:rsid w:val="00A0501B"/>
    <w:rsid w:val="00A051EF"/>
    <w:rsid w:val="00A05445"/>
    <w:rsid w:val="00A059AD"/>
    <w:rsid w:val="00A0600C"/>
    <w:rsid w:val="00A060D7"/>
    <w:rsid w:val="00A0620F"/>
    <w:rsid w:val="00A067DA"/>
    <w:rsid w:val="00A06964"/>
    <w:rsid w:val="00A06E2A"/>
    <w:rsid w:val="00A06E7E"/>
    <w:rsid w:val="00A06F59"/>
    <w:rsid w:val="00A07C3A"/>
    <w:rsid w:val="00A07E85"/>
    <w:rsid w:val="00A07F7E"/>
    <w:rsid w:val="00A10058"/>
    <w:rsid w:val="00A10631"/>
    <w:rsid w:val="00A108EA"/>
    <w:rsid w:val="00A10F56"/>
    <w:rsid w:val="00A10FBB"/>
    <w:rsid w:val="00A11C97"/>
    <w:rsid w:val="00A11F89"/>
    <w:rsid w:val="00A1200E"/>
    <w:rsid w:val="00A122C5"/>
    <w:rsid w:val="00A12692"/>
    <w:rsid w:val="00A12B14"/>
    <w:rsid w:val="00A12B19"/>
    <w:rsid w:val="00A12CAF"/>
    <w:rsid w:val="00A12D3E"/>
    <w:rsid w:val="00A12E43"/>
    <w:rsid w:val="00A13426"/>
    <w:rsid w:val="00A135E7"/>
    <w:rsid w:val="00A13AA9"/>
    <w:rsid w:val="00A13CA4"/>
    <w:rsid w:val="00A13E26"/>
    <w:rsid w:val="00A1437E"/>
    <w:rsid w:val="00A1497F"/>
    <w:rsid w:val="00A14A4D"/>
    <w:rsid w:val="00A14BCA"/>
    <w:rsid w:val="00A151AC"/>
    <w:rsid w:val="00A15348"/>
    <w:rsid w:val="00A15825"/>
    <w:rsid w:val="00A16053"/>
    <w:rsid w:val="00A16282"/>
    <w:rsid w:val="00A16323"/>
    <w:rsid w:val="00A165EE"/>
    <w:rsid w:val="00A16752"/>
    <w:rsid w:val="00A16C14"/>
    <w:rsid w:val="00A16E3A"/>
    <w:rsid w:val="00A171A5"/>
    <w:rsid w:val="00A17251"/>
    <w:rsid w:val="00A17976"/>
    <w:rsid w:val="00A17B2B"/>
    <w:rsid w:val="00A17BB7"/>
    <w:rsid w:val="00A17CAE"/>
    <w:rsid w:val="00A204B5"/>
    <w:rsid w:val="00A211E7"/>
    <w:rsid w:val="00A2129E"/>
    <w:rsid w:val="00A2147B"/>
    <w:rsid w:val="00A214A2"/>
    <w:rsid w:val="00A21605"/>
    <w:rsid w:val="00A217EB"/>
    <w:rsid w:val="00A218AA"/>
    <w:rsid w:val="00A21A00"/>
    <w:rsid w:val="00A21A57"/>
    <w:rsid w:val="00A220F1"/>
    <w:rsid w:val="00A2227A"/>
    <w:rsid w:val="00A22666"/>
    <w:rsid w:val="00A22E42"/>
    <w:rsid w:val="00A22F4E"/>
    <w:rsid w:val="00A230C5"/>
    <w:rsid w:val="00A233F1"/>
    <w:rsid w:val="00A23412"/>
    <w:rsid w:val="00A23483"/>
    <w:rsid w:val="00A238D2"/>
    <w:rsid w:val="00A23D4B"/>
    <w:rsid w:val="00A2433B"/>
    <w:rsid w:val="00A24973"/>
    <w:rsid w:val="00A24B87"/>
    <w:rsid w:val="00A24E40"/>
    <w:rsid w:val="00A250B4"/>
    <w:rsid w:val="00A2542E"/>
    <w:rsid w:val="00A25550"/>
    <w:rsid w:val="00A257F8"/>
    <w:rsid w:val="00A25931"/>
    <w:rsid w:val="00A2630E"/>
    <w:rsid w:val="00A26882"/>
    <w:rsid w:val="00A26CD0"/>
    <w:rsid w:val="00A26D8B"/>
    <w:rsid w:val="00A26FC3"/>
    <w:rsid w:val="00A27263"/>
    <w:rsid w:val="00A2727F"/>
    <w:rsid w:val="00A27A64"/>
    <w:rsid w:val="00A27F39"/>
    <w:rsid w:val="00A30752"/>
    <w:rsid w:val="00A30785"/>
    <w:rsid w:val="00A30E19"/>
    <w:rsid w:val="00A31107"/>
    <w:rsid w:val="00A3163D"/>
    <w:rsid w:val="00A319F9"/>
    <w:rsid w:val="00A31A79"/>
    <w:rsid w:val="00A31D66"/>
    <w:rsid w:val="00A31F65"/>
    <w:rsid w:val="00A32230"/>
    <w:rsid w:val="00A32260"/>
    <w:rsid w:val="00A3229F"/>
    <w:rsid w:val="00A3233B"/>
    <w:rsid w:val="00A32546"/>
    <w:rsid w:val="00A326BE"/>
    <w:rsid w:val="00A327B5"/>
    <w:rsid w:val="00A329DC"/>
    <w:rsid w:val="00A32B21"/>
    <w:rsid w:val="00A32B97"/>
    <w:rsid w:val="00A32D61"/>
    <w:rsid w:val="00A33029"/>
    <w:rsid w:val="00A33244"/>
    <w:rsid w:val="00A333C6"/>
    <w:rsid w:val="00A33D65"/>
    <w:rsid w:val="00A3411C"/>
    <w:rsid w:val="00A341F7"/>
    <w:rsid w:val="00A345EB"/>
    <w:rsid w:val="00A34684"/>
    <w:rsid w:val="00A347A7"/>
    <w:rsid w:val="00A34AE8"/>
    <w:rsid w:val="00A34BBF"/>
    <w:rsid w:val="00A34DCA"/>
    <w:rsid w:val="00A34E26"/>
    <w:rsid w:val="00A34E2D"/>
    <w:rsid w:val="00A35581"/>
    <w:rsid w:val="00A357D6"/>
    <w:rsid w:val="00A35A92"/>
    <w:rsid w:val="00A35BD9"/>
    <w:rsid w:val="00A35CDA"/>
    <w:rsid w:val="00A360AD"/>
    <w:rsid w:val="00A36359"/>
    <w:rsid w:val="00A36468"/>
    <w:rsid w:val="00A364C9"/>
    <w:rsid w:val="00A36593"/>
    <w:rsid w:val="00A36891"/>
    <w:rsid w:val="00A36D0C"/>
    <w:rsid w:val="00A37322"/>
    <w:rsid w:val="00A37574"/>
    <w:rsid w:val="00A375C7"/>
    <w:rsid w:val="00A37AAD"/>
    <w:rsid w:val="00A40471"/>
    <w:rsid w:val="00A405F8"/>
    <w:rsid w:val="00A4075D"/>
    <w:rsid w:val="00A407A2"/>
    <w:rsid w:val="00A409FD"/>
    <w:rsid w:val="00A40AC0"/>
    <w:rsid w:val="00A40B4E"/>
    <w:rsid w:val="00A40B78"/>
    <w:rsid w:val="00A40D17"/>
    <w:rsid w:val="00A40E55"/>
    <w:rsid w:val="00A41056"/>
    <w:rsid w:val="00A412AF"/>
    <w:rsid w:val="00A41BB3"/>
    <w:rsid w:val="00A41BB9"/>
    <w:rsid w:val="00A41BC7"/>
    <w:rsid w:val="00A42296"/>
    <w:rsid w:val="00A423B1"/>
    <w:rsid w:val="00A4261E"/>
    <w:rsid w:val="00A4268D"/>
    <w:rsid w:val="00A4268F"/>
    <w:rsid w:val="00A4297A"/>
    <w:rsid w:val="00A429FA"/>
    <w:rsid w:val="00A42E63"/>
    <w:rsid w:val="00A43439"/>
    <w:rsid w:val="00A43E9D"/>
    <w:rsid w:val="00A442DD"/>
    <w:rsid w:val="00A4452B"/>
    <w:rsid w:val="00A445D7"/>
    <w:rsid w:val="00A44870"/>
    <w:rsid w:val="00A4487B"/>
    <w:rsid w:val="00A44B6C"/>
    <w:rsid w:val="00A44DBF"/>
    <w:rsid w:val="00A44FCC"/>
    <w:rsid w:val="00A45334"/>
    <w:rsid w:val="00A45680"/>
    <w:rsid w:val="00A45C76"/>
    <w:rsid w:val="00A46050"/>
    <w:rsid w:val="00A4606E"/>
    <w:rsid w:val="00A465CA"/>
    <w:rsid w:val="00A465CB"/>
    <w:rsid w:val="00A46989"/>
    <w:rsid w:val="00A469B2"/>
    <w:rsid w:val="00A46CF3"/>
    <w:rsid w:val="00A46DE1"/>
    <w:rsid w:val="00A470AB"/>
    <w:rsid w:val="00A478AE"/>
    <w:rsid w:val="00A479BF"/>
    <w:rsid w:val="00A479D1"/>
    <w:rsid w:val="00A50060"/>
    <w:rsid w:val="00A5018E"/>
    <w:rsid w:val="00A501A5"/>
    <w:rsid w:val="00A50362"/>
    <w:rsid w:val="00A5045E"/>
    <w:rsid w:val="00A5055D"/>
    <w:rsid w:val="00A508DF"/>
    <w:rsid w:val="00A50BF5"/>
    <w:rsid w:val="00A50D15"/>
    <w:rsid w:val="00A50D72"/>
    <w:rsid w:val="00A512A3"/>
    <w:rsid w:val="00A515DD"/>
    <w:rsid w:val="00A51A70"/>
    <w:rsid w:val="00A51AB6"/>
    <w:rsid w:val="00A51EA4"/>
    <w:rsid w:val="00A51F2C"/>
    <w:rsid w:val="00A51F56"/>
    <w:rsid w:val="00A524A7"/>
    <w:rsid w:val="00A52562"/>
    <w:rsid w:val="00A52A17"/>
    <w:rsid w:val="00A52D02"/>
    <w:rsid w:val="00A52F0D"/>
    <w:rsid w:val="00A5340C"/>
    <w:rsid w:val="00A534A8"/>
    <w:rsid w:val="00A53C08"/>
    <w:rsid w:val="00A53F30"/>
    <w:rsid w:val="00A5400D"/>
    <w:rsid w:val="00A54165"/>
    <w:rsid w:val="00A543C1"/>
    <w:rsid w:val="00A543EB"/>
    <w:rsid w:val="00A5445F"/>
    <w:rsid w:val="00A54AB1"/>
    <w:rsid w:val="00A54B0E"/>
    <w:rsid w:val="00A54DCF"/>
    <w:rsid w:val="00A55106"/>
    <w:rsid w:val="00A552B2"/>
    <w:rsid w:val="00A55373"/>
    <w:rsid w:val="00A554D4"/>
    <w:rsid w:val="00A557AA"/>
    <w:rsid w:val="00A55C0E"/>
    <w:rsid w:val="00A55D82"/>
    <w:rsid w:val="00A55DE3"/>
    <w:rsid w:val="00A56A2E"/>
    <w:rsid w:val="00A56A39"/>
    <w:rsid w:val="00A56B5B"/>
    <w:rsid w:val="00A56F91"/>
    <w:rsid w:val="00A57339"/>
    <w:rsid w:val="00A60274"/>
    <w:rsid w:val="00A6027D"/>
    <w:rsid w:val="00A6041D"/>
    <w:rsid w:val="00A6090C"/>
    <w:rsid w:val="00A60AC7"/>
    <w:rsid w:val="00A60D57"/>
    <w:rsid w:val="00A60E8F"/>
    <w:rsid w:val="00A61122"/>
    <w:rsid w:val="00A611A3"/>
    <w:rsid w:val="00A613EF"/>
    <w:rsid w:val="00A61793"/>
    <w:rsid w:val="00A61798"/>
    <w:rsid w:val="00A617E1"/>
    <w:rsid w:val="00A6217D"/>
    <w:rsid w:val="00A6231C"/>
    <w:rsid w:val="00A62431"/>
    <w:rsid w:val="00A626F7"/>
    <w:rsid w:val="00A62B5C"/>
    <w:rsid w:val="00A62CE3"/>
    <w:rsid w:val="00A62D57"/>
    <w:rsid w:val="00A62EFC"/>
    <w:rsid w:val="00A62FE5"/>
    <w:rsid w:val="00A630CD"/>
    <w:rsid w:val="00A6314B"/>
    <w:rsid w:val="00A631F8"/>
    <w:rsid w:val="00A63B4D"/>
    <w:rsid w:val="00A63D79"/>
    <w:rsid w:val="00A641FE"/>
    <w:rsid w:val="00A6436B"/>
    <w:rsid w:val="00A64C13"/>
    <w:rsid w:val="00A64D4D"/>
    <w:rsid w:val="00A64DDE"/>
    <w:rsid w:val="00A6503A"/>
    <w:rsid w:val="00A655D7"/>
    <w:rsid w:val="00A65CEE"/>
    <w:rsid w:val="00A663A3"/>
    <w:rsid w:val="00A66438"/>
    <w:rsid w:val="00A6657C"/>
    <w:rsid w:val="00A665DD"/>
    <w:rsid w:val="00A66933"/>
    <w:rsid w:val="00A66A6A"/>
    <w:rsid w:val="00A675EE"/>
    <w:rsid w:val="00A67D5C"/>
    <w:rsid w:val="00A67E7C"/>
    <w:rsid w:val="00A7010E"/>
    <w:rsid w:val="00A7072C"/>
    <w:rsid w:val="00A70C38"/>
    <w:rsid w:val="00A70DBA"/>
    <w:rsid w:val="00A70EF5"/>
    <w:rsid w:val="00A710DC"/>
    <w:rsid w:val="00A71280"/>
    <w:rsid w:val="00A712DA"/>
    <w:rsid w:val="00A712DE"/>
    <w:rsid w:val="00A71438"/>
    <w:rsid w:val="00A718F1"/>
    <w:rsid w:val="00A71C5E"/>
    <w:rsid w:val="00A71D1E"/>
    <w:rsid w:val="00A71D4C"/>
    <w:rsid w:val="00A71F02"/>
    <w:rsid w:val="00A720CE"/>
    <w:rsid w:val="00A72195"/>
    <w:rsid w:val="00A724E0"/>
    <w:rsid w:val="00A72735"/>
    <w:rsid w:val="00A72884"/>
    <w:rsid w:val="00A72A4F"/>
    <w:rsid w:val="00A72A5E"/>
    <w:rsid w:val="00A73224"/>
    <w:rsid w:val="00A733BC"/>
    <w:rsid w:val="00A735A6"/>
    <w:rsid w:val="00A73755"/>
    <w:rsid w:val="00A74102"/>
    <w:rsid w:val="00A74291"/>
    <w:rsid w:val="00A74464"/>
    <w:rsid w:val="00A74611"/>
    <w:rsid w:val="00A749EC"/>
    <w:rsid w:val="00A74A46"/>
    <w:rsid w:val="00A74D39"/>
    <w:rsid w:val="00A75A55"/>
    <w:rsid w:val="00A75ABE"/>
    <w:rsid w:val="00A75C40"/>
    <w:rsid w:val="00A7620B"/>
    <w:rsid w:val="00A764F6"/>
    <w:rsid w:val="00A76508"/>
    <w:rsid w:val="00A7667E"/>
    <w:rsid w:val="00A77497"/>
    <w:rsid w:val="00A7785F"/>
    <w:rsid w:val="00A77D50"/>
    <w:rsid w:val="00A77E65"/>
    <w:rsid w:val="00A80599"/>
    <w:rsid w:val="00A805B1"/>
    <w:rsid w:val="00A80AF6"/>
    <w:rsid w:val="00A81068"/>
    <w:rsid w:val="00A812C8"/>
    <w:rsid w:val="00A81341"/>
    <w:rsid w:val="00A814CC"/>
    <w:rsid w:val="00A81975"/>
    <w:rsid w:val="00A81CBA"/>
    <w:rsid w:val="00A8222A"/>
    <w:rsid w:val="00A8234F"/>
    <w:rsid w:val="00A8273A"/>
    <w:rsid w:val="00A82CCB"/>
    <w:rsid w:val="00A8304A"/>
    <w:rsid w:val="00A831D3"/>
    <w:rsid w:val="00A834DD"/>
    <w:rsid w:val="00A83596"/>
    <w:rsid w:val="00A835FE"/>
    <w:rsid w:val="00A837C6"/>
    <w:rsid w:val="00A83D80"/>
    <w:rsid w:val="00A83F87"/>
    <w:rsid w:val="00A84280"/>
    <w:rsid w:val="00A8476F"/>
    <w:rsid w:val="00A84BE5"/>
    <w:rsid w:val="00A84CAA"/>
    <w:rsid w:val="00A84D50"/>
    <w:rsid w:val="00A84E94"/>
    <w:rsid w:val="00A85067"/>
    <w:rsid w:val="00A850C3"/>
    <w:rsid w:val="00A85159"/>
    <w:rsid w:val="00A85360"/>
    <w:rsid w:val="00A85AE1"/>
    <w:rsid w:val="00A863B8"/>
    <w:rsid w:val="00A863DB"/>
    <w:rsid w:val="00A86701"/>
    <w:rsid w:val="00A86A66"/>
    <w:rsid w:val="00A86B17"/>
    <w:rsid w:val="00A86B87"/>
    <w:rsid w:val="00A86D34"/>
    <w:rsid w:val="00A871C2"/>
    <w:rsid w:val="00A87C30"/>
    <w:rsid w:val="00A87CD3"/>
    <w:rsid w:val="00A87D97"/>
    <w:rsid w:val="00A87DD7"/>
    <w:rsid w:val="00A87F18"/>
    <w:rsid w:val="00A900BB"/>
    <w:rsid w:val="00A90354"/>
    <w:rsid w:val="00A903BC"/>
    <w:rsid w:val="00A9197B"/>
    <w:rsid w:val="00A91998"/>
    <w:rsid w:val="00A919E3"/>
    <w:rsid w:val="00A91BBC"/>
    <w:rsid w:val="00A91C31"/>
    <w:rsid w:val="00A91C90"/>
    <w:rsid w:val="00A91E1C"/>
    <w:rsid w:val="00A91E86"/>
    <w:rsid w:val="00A91F2C"/>
    <w:rsid w:val="00A92187"/>
    <w:rsid w:val="00A92A6C"/>
    <w:rsid w:val="00A92BDC"/>
    <w:rsid w:val="00A92D7E"/>
    <w:rsid w:val="00A92D80"/>
    <w:rsid w:val="00A92F4C"/>
    <w:rsid w:val="00A9306A"/>
    <w:rsid w:val="00A93770"/>
    <w:rsid w:val="00A9389F"/>
    <w:rsid w:val="00A93912"/>
    <w:rsid w:val="00A93B17"/>
    <w:rsid w:val="00A93CAC"/>
    <w:rsid w:val="00A93D77"/>
    <w:rsid w:val="00A93F99"/>
    <w:rsid w:val="00A93FC4"/>
    <w:rsid w:val="00A940B3"/>
    <w:rsid w:val="00A944B3"/>
    <w:rsid w:val="00A9464E"/>
    <w:rsid w:val="00A94AC7"/>
    <w:rsid w:val="00A94EB7"/>
    <w:rsid w:val="00A94F30"/>
    <w:rsid w:val="00A950B0"/>
    <w:rsid w:val="00A95240"/>
    <w:rsid w:val="00A955DA"/>
    <w:rsid w:val="00A955DB"/>
    <w:rsid w:val="00A956FF"/>
    <w:rsid w:val="00A95B99"/>
    <w:rsid w:val="00A95BA2"/>
    <w:rsid w:val="00A95C0F"/>
    <w:rsid w:val="00A95DE7"/>
    <w:rsid w:val="00A95E97"/>
    <w:rsid w:val="00A9648E"/>
    <w:rsid w:val="00A96896"/>
    <w:rsid w:val="00A96D27"/>
    <w:rsid w:val="00A96EA2"/>
    <w:rsid w:val="00A971F1"/>
    <w:rsid w:val="00A97493"/>
    <w:rsid w:val="00A975E3"/>
    <w:rsid w:val="00A979FA"/>
    <w:rsid w:val="00A97AB1"/>
    <w:rsid w:val="00A97E77"/>
    <w:rsid w:val="00AA02C5"/>
    <w:rsid w:val="00AA0427"/>
    <w:rsid w:val="00AA07BD"/>
    <w:rsid w:val="00AA0B28"/>
    <w:rsid w:val="00AA0E7C"/>
    <w:rsid w:val="00AA1438"/>
    <w:rsid w:val="00AA1514"/>
    <w:rsid w:val="00AA151B"/>
    <w:rsid w:val="00AA1867"/>
    <w:rsid w:val="00AA1A42"/>
    <w:rsid w:val="00AA1AC7"/>
    <w:rsid w:val="00AA1DE6"/>
    <w:rsid w:val="00AA2062"/>
    <w:rsid w:val="00AA20EB"/>
    <w:rsid w:val="00AA21FB"/>
    <w:rsid w:val="00AA2C89"/>
    <w:rsid w:val="00AA2E3A"/>
    <w:rsid w:val="00AA2F11"/>
    <w:rsid w:val="00AA301D"/>
    <w:rsid w:val="00AA32EC"/>
    <w:rsid w:val="00AA358A"/>
    <w:rsid w:val="00AA39EA"/>
    <w:rsid w:val="00AA3C5D"/>
    <w:rsid w:val="00AA3FC2"/>
    <w:rsid w:val="00AA4262"/>
    <w:rsid w:val="00AA4D73"/>
    <w:rsid w:val="00AA4EC8"/>
    <w:rsid w:val="00AA4F82"/>
    <w:rsid w:val="00AA5050"/>
    <w:rsid w:val="00AA527C"/>
    <w:rsid w:val="00AA52B7"/>
    <w:rsid w:val="00AA5AE0"/>
    <w:rsid w:val="00AA5B9C"/>
    <w:rsid w:val="00AA5BDD"/>
    <w:rsid w:val="00AA5D5B"/>
    <w:rsid w:val="00AA6DD0"/>
    <w:rsid w:val="00AA6F3A"/>
    <w:rsid w:val="00AA727F"/>
    <w:rsid w:val="00AA72AB"/>
    <w:rsid w:val="00AA7382"/>
    <w:rsid w:val="00AA777E"/>
    <w:rsid w:val="00AA7B0A"/>
    <w:rsid w:val="00AA7B38"/>
    <w:rsid w:val="00AA7F90"/>
    <w:rsid w:val="00AB00C5"/>
    <w:rsid w:val="00AB0134"/>
    <w:rsid w:val="00AB028C"/>
    <w:rsid w:val="00AB02D5"/>
    <w:rsid w:val="00AB0726"/>
    <w:rsid w:val="00AB0980"/>
    <w:rsid w:val="00AB0B8E"/>
    <w:rsid w:val="00AB0BF2"/>
    <w:rsid w:val="00AB0BF4"/>
    <w:rsid w:val="00AB0C28"/>
    <w:rsid w:val="00AB1A14"/>
    <w:rsid w:val="00AB1B2E"/>
    <w:rsid w:val="00AB1BD8"/>
    <w:rsid w:val="00AB20B9"/>
    <w:rsid w:val="00AB2782"/>
    <w:rsid w:val="00AB2831"/>
    <w:rsid w:val="00AB29CE"/>
    <w:rsid w:val="00AB2AEF"/>
    <w:rsid w:val="00AB2E40"/>
    <w:rsid w:val="00AB3AB6"/>
    <w:rsid w:val="00AB3B6A"/>
    <w:rsid w:val="00AB3EC5"/>
    <w:rsid w:val="00AB40F5"/>
    <w:rsid w:val="00AB4578"/>
    <w:rsid w:val="00AB462E"/>
    <w:rsid w:val="00AB4BAF"/>
    <w:rsid w:val="00AB4C59"/>
    <w:rsid w:val="00AB51B0"/>
    <w:rsid w:val="00AB57D1"/>
    <w:rsid w:val="00AB582F"/>
    <w:rsid w:val="00AB5A2E"/>
    <w:rsid w:val="00AB5A85"/>
    <w:rsid w:val="00AB5B8C"/>
    <w:rsid w:val="00AB5D51"/>
    <w:rsid w:val="00AB5F06"/>
    <w:rsid w:val="00AB61C4"/>
    <w:rsid w:val="00AB62EB"/>
    <w:rsid w:val="00AB6352"/>
    <w:rsid w:val="00AB66C3"/>
    <w:rsid w:val="00AB6A96"/>
    <w:rsid w:val="00AB6A9E"/>
    <w:rsid w:val="00AB6C84"/>
    <w:rsid w:val="00AB7290"/>
    <w:rsid w:val="00AB73B4"/>
    <w:rsid w:val="00AB7446"/>
    <w:rsid w:val="00AB7628"/>
    <w:rsid w:val="00AB775A"/>
    <w:rsid w:val="00AB7A96"/>
    <w:rsid w:val="00AB7F1C"/>
    <w:rsid w:val="00AC00A8"/>
    <w:rsid w:val="00AC01D6"/>
    <w:rsid w:val="00AC054D"/>
    <w:rsid w:val="00AC0579"/>
    <w:rsid w:val="00AC0BBE"/>
    <w:rsid w:val="00AC0CF1"/>
    <w:rsid w:val="00AC0D8C"/>
    <w:rsid w:val="00AC102A"/>
    <w:rsid w:val="00AC135C"/>
    <w:rsid w:val="00AC13E8"/>
    <w:rsid w:val="00AC1486"/>
    <w:rsid w:val="00AC188C"/>
    <w:rsid w:val="00AC1B59"/>
    <w:rsid w:val="00AC1CA4"/>
    <w:rsid w:val="00AC2083"/>
    <w:rsid w:val="00AC22A8"/>
    <w:rsid w:val="00AC2D69"/>
    <w:rsid w:val="00AC2E16"/>
    <w:rsid w:val="00AC2F55"/>
    <w:rsid w:val="00AC3233"/>
    <w:rsid w:val="00AC3629"/>
    <w:rsid w:val="00AC371E"/>
    <w:rsid w:val="00AC39D9"/>
    <w:rsid w:val="00AC3B90"/>
    <w:rsid w:val="00AC3C6D"/>
    <w:rsid w:val="00AC3CB4"/>
    <w:rsid w:val="00AC409C"/>
    <w:rsid w:val="00AC421E"/>
    <w:rsid w:val="00AC42B6"/>
    <w:rsid w:val="00AC44E0"/>
    <w:rsid w:val="00AC49D1"/>
    <w:rsid w:val="00AC4B15"/>
    <w:rsid w:val="00AC4D5E"/>
    <w:rsid w:val="00AC4FC9"/>
    <w:rsid w:val="00AC5608"/>
    <w:rsid w:val="00AC5A18"/>
    <w:rsid w:val="00AC5F78"/>
    <w:rsid w:val="00AC6386"/>
    <w:rsid w:val="00AC6585"/>
    <w:rsid w:val="00AC65CA"/>
    <w:rsid w:val="00AC6BB0"/>
    <w:rsid w:val="00AC6EAC"/>
    <w:rsid w:val="00AC72BA"/>
    <w:rsid w:val="00AC75C0"/>
    <w:rsid w:val="00AC7E57"/>
    <w:rsid w:val="00AC7EF0"/>
    <w:rsid w:val="00AD05F9"/>
    <w:rsid w:val="00AD0A4E"/>
    <w:rsid w:val="00AD0B8F"/>
    <w:rsid w:val="00AD0D33"/>
    <w:rsid w:val="00AD0F78"/>
    <w:rsid w:val="00AD1060"/>
    <w:rsid w:val="00AD148A"/>
    <w:rsid w:val="00AD18B8"/>
    <w:rsid w:val="00AD197F"/>
    <w:rsid w:val="00AD1AF9"/>
    <w:rsid w:val="00AD22A5"/>
    <w:rsid w:val="00AD230B"/>
    <w:rsid w:val="00AD2349"/>
    <w:rsid w:val="00AD2595"/>
    <w:rsid w:val="00AD266F"/>
    <w:rsid w:val="00AD2674"/>
    <w:rsid w:val="00AD26C1"/>
    <w:rsid w:val="00AD2842"/>
    <w:rsid w:val="00AD2AA3"/>
    <w:rsid w:val="00AD2CEA"/>
    <w:rsid w:val="00AD2D4F"/>
    <w:rsid w:val="00AD2DB0"/>
    <w:rsid w:val="00AD310A"/>
    <w:rsid w:val="00AD3260"/>
    <w:rsid w:val="00AD356E"/>
    <w:rsid w:val="00AD398C"/>
    <w:rsid w:val="00AD4257"/>
    <w:rsid w:val="00AD43B4"/>
    <w:rsid w:val="00AD46A7"/>
    <w:rsid w:val="00AD4815"/>
    <w:rsid w:val="00AD4EA2"/>
    <w:rsid w:val="00AD5085"/>
    <w:rsid w:val="00AD53E0"/>
    <w:rsid w:val="00AD56C2"/>
    <w:rsid w:val="00AD60FE"/>
    <w:rsid w:val="00AD6409"/>
    <w:rsid w:val="00AD643F"/>
    <w:rsid w:val="00AD64E2"/>
    <w:rsid w:val="00AD64F4"/>
    <w:rsid w:val="00AD66EC"/>
    <w:rsid w:val="00AD6902"/>
    <w:rsid w:val="00AD6936"/>
    <w:rsid w:val="00AD6BBC"/>
    <w:rsid w:val="00AD7A5F"/>
    <w:rsid w:val="00AD7D0F"/>
    <w:rsid w:val="00AD7EE6"/>
    <w:rsid w:val="00AE00A5"/>
    <w:rsid w:val="00AE030D"/>
    <w:rsid w:val="00AE04A0"/>
    <w:rsid w:val="00AE062D"/>
    <w:rsid w:val="00AE0699"/>
    <w:rsid w:val="00AE0803"/>
    <w:rsid w:val="00AE0B33"/>
    <w:rsid w:val="00AE0B99"/>
    <w:rsid w:val="00AE0CD4"/>
    <w:rsid w:val="00AE0EB8"/>
    <w:rsid w:val="00AE0EFD"/>
    <w:rsid w:val="00AE11BC"/>
    <w:rsid w:val="00AE152E"/>
    <w:rsid w:val="00AE1774"/>
    <w:rsid w:val="00AE1C6F"/>
    <w:rsid w:val="00AE1F6A"/>
    <w:rsid w:val="00AE21E1"/>
    <w:rsid w:val="00AE2277"/>
    <w:rsid w:val="00AE25A1"/>
    <w:rsid w:val="00AE2C6D"/>
    <w:rsid w:val="00AE32E9"/>
    <w:rsid w:val="00AE3770"/>
    <w:rsid w:val="00AE37CE"/>
    <w:rsid w:val="00AE3F95"/>
    <w:rsid w:val="00AE3FDD"/>
    <w:rsid w:val="00AE431A"/>
    <w:rsid w:val="00AE446A"/>
    <w:rsid w:val="00AE4B5A"/>
    <w:rsid w:val="00AE4D13"/>
    <w:rsid w:val="00AE5CC5"/>
    <w:rsid w:val="00AE6306"/>
    <w:rsid w:val="00AE6600"/>
    <w:rsid w:val="00AE6F63"/>
    <w:rsid w:val="00AE7308"/>
    <w:rsid w:val="00AE7385"/>
    <w:rsid w:val="00AE7939"/>
    <w:rsid w:val="00AE7F38"/>
    <w:rsid w:val="00AF011F"/>
    <w:rsid w:val="00AF01E6"/>
    <w:rsid w:val="00AF0274"/>
    <w:rsid w:val="00AF0F56"/>
    <w:rsid w:val="00AF105C"/>
    <w:rsid w:val="00AF1204"/>
    <w:rsid w:val="00AF130F"/>
    <w:rsid w:val="00AF1577"/>
    <w:rsid w:val="00AF1A8B"/>
    <w:rsid w:val="00AF1C09"/>
    <w:rsid w:val="00AF1C2C"/>
    <w:rsid w:val="00AF2021"/>
    <w:rsid w:val="00AF20AE"/>
    <w:rsid w:val="00AF214D"/>
    <w:rsid w:val="00AF24B8"/>
    <w:rsid w:val="00AF283D"/>
    <w:rsid w:val="00AF2863"/>
    <w:rsid w:val="00AF2BEC"/>
    <w:rsid w:val="00AF2D61"/>
    <w:rsid w:val="00AF2DAE"/>
    <w:rsid w:val="00AF3B0A"/>
    <w:rsid w:val="00AF44BE"/>
    <w:rsid w:val="00AF46FF"/>
    <w:rsid w:val="00AF48FD"/>
    <w:rsid w:val="00AF4A74"/>
    <w:rsid w:val="00AF5120"/>
    <w:rsid w:val="00AF51A2"/>
    <w:rsid w:val="00AF5242"/>
    <w:rsid w:val="00AF5473"/>
    <w:rsid w:val="00AF54F5"/>
    <w:rsid w:val="00AF5504"/>
    <w:rsid w:val="00AF5576"/>
    <w:rsid w:val="00AF5645"/>
    <w:rsid w:val="00AF5940"/>
    <w:rsid w:val="00AF5EAF"/>
    <w:rsid w:val="00AF5EE3"/>
    <w:rsid w:val="00AF5F5C"/>
    <w:rsid w:val="00AF61A1"/>
    <w:rsid w:val="00AF6842"/>
    <w:rsid w:val="00AF6BFC"/>
    <w:rsid w:val="00AF6DA7"/>
    <w:rsid w:val="00AF7184"/>
    <w:rsid w:val="00AF7218"/>
    <w:rsid w:val="00AF75B6"/>
    <w:rsid w:val="00AF75C0"/>
    <w:rsid w:val="00AF7BFB"/>
    <w:rsid w:val="00B0008A"/>
    <w:rsid w:val="00B000BB"/>
    <w:rsid w:val="00B00505"/>
    <w:rsid w:val="00B00C69"/>
    <w:rsid w:val="00B00E5D"/>
    <w:rsid w:val="00B01A11"/>
    <w:rsid w:val="00B01B74"/>
    <w:rsid w:val="00B01CED"/>
    <w:rsid w:val="00B01E5F"/>
    <w:rsid w:val="00B021A8"/>
    <w:rsid w:val="00B02230"/>
    <w:rsid w:val="00B02B02"/>
    <w:rsid w:val="00B02B3C"/>
    <w:rsid w:val="00B02B46"/>
    <w:rsid w:val="00B02CDC"/>
    <w:rsid w:val="00B02D55"/>
    <w:rsid w:val="00B0317F"/>
    <w:rsid w:val="00B031EE"/>
    <w:rsid w:val="00B0364F"/>
    <w:rsid w:val="00B0365A"/>
    <w:rsid w:val="00B0380B"/>
    <w:rsid w:val="00B03ABA"/>
    <w:rsid w:val="00B03CEF"/>
    <w:rsid w:val="00B03D8E"/>
    <w:rsid w:val="00B041C2"/>
    <w:rsid w:val="00B04218"/>
    <w:rsid w:val="00B0491D"/>
    <w:rsid w:val="00B04B17"/>
    <w:rsid w:val="00B04C3A"/>
    <w:rsid w:val="00B04DED"/>
    <w:rsid w:val="00B04E05"/>
    <w:rsid w:val="00B04E1B"/>
    <w:rsid w:val="00B04E96"/>
    <w:rsid w:val="00B04EE4"/>
    <w:rsid w:val="00B04F39"/>
    <w:rsid w:val="00B05070"/>
    <w:rsid w:val="00B0518B"/>
    <w:rsid w:val="00B05419"/>
    <w:rsid w:val="00B055FD"/>
    <w:rsid w:val="00B05810"/>
    <w:rsid w:val="00B0599E"/>
    <w:rsid w:val="00B05A9B"/>
    <w:rsid w:val="00B05D66"/>
    <w:rsid w:val="00B064F8"/>
    <w:rsid w:val="00B067B2"/>
    <w:rsid w:val="00B06837"/>
    <w:rsid w:val="00B068F6"/>
    <w:rsid w:val="00B06908"/>
    <w:rsid w:val="00B06912"/>
    <w:rsid w:val="00B06A0C"/>
    <w:rsid w:val="00B06A3D"/>
    <w:rsid w:val="00B06EA3"/>
    <w:rsid w:val="00B075DC"/>
    <w:rsid w:val="00B07697"/>
    <w:rsid w:val="00B07750"/>
    <w:rsid w:val="00B07C32"/>
    <w:rsid w:val="00B07F7E"/>
    <w:rsid w:val="00B1003C"/>
    <w:rsid w:val="00B10112"/>
    <w:rsid w:val="00B10A66"/>
    <w:rsid w:val="00B10F83"/>
    <w:rsid w:val="00B11068"/>
    <w:rsid w:val="00B1197A"/>
    <w:rsid w:val="00B119F1"/>
    <w:rsid w:val="00B11AA0"/>
    <w:rsid w:val="00B11B59"/>
    <w:rsid w:val="00B11B61"/>
    <w:rsid w:val="00B11E63"/>
    <w:rsid w:val="00B12393"/>
    <w:rsid w:val="00B1245B"/>
    <w:rsid w:val="00B12820"/>
    <w:rsid w:val="00B128AF"/>
    <w:rsid w:val="00B131AE"/>
    <w:rsid w:val="00B134F7"/>
    <w:rsid w:val="00B138E3"/>
    <w:rsid w:val="00B13B66"/>
    <w:rsid w:val="00B14325"/>
    <w:rsid w:val="00B1442B"/>
    <w:rsid w:val="00B145FA"/>
    <w:rsid w:val="00B1463A"/>
    <w:rsid w:val="00B1469D"/>
    <w:rsid w:val="00B1477E"/>
    <w:rsid w:val="00B15258"/>
    <w:rsid w:val="00B15833"/>
    <w:rsid w:val="00B15C27"/>
    <w:rsid w:val="00B15D98"/>
    <w:rsid w:val="00B16130"/>
    <w:rsid w:val="00B16212"/>
    <w:rsid w:val="00B162CE"/>
    <w:rsid w:val="00B165A0"/>
    <w:rsid w:val="00B16733"/>
    <w:rsid w:val="00B168EB"/>
    <w:rsid w:val="00B16B77"/>
    <w:rsid w:val="00B17773"/>
    <w:rsid w:val="00B17A98"/>
    <w:rsid w:val="00B17B87"/>
    <w:rsid w:val="00B17E23"/>
    <w:rsid w:val="00B203A2"/>
    <w:rsid w:val="00B205DF"/>
    <w:rsid w:val="00B20898"/>
    <w:rsid w:val="00B20AAD"/>
    <w:rsid w:val="00B210AE"/>
    <w:rsid w:val="00B210AF"/>
    <w:rsid w:val="00B2119F"/>
    <w:rsid w:val="00B21647"/>
    <w:rsid w:val="00B2169E"/>
    <w:rsid w:val="00B21C3B"/>
    <w:rsid w:val="00B21D5F"/>
    <w:rsid w:val="00B21E3E"/>
    <w:rsid w:val="00B21FA5"/>
    <w:rsid w:val="00B2203A"/>
    <w:rsid w:val="00B221E7"/>
    <w:rsid w:val="00B222B5"/>
    <w:rsid w:val="00B22536"/>
    <w:rsid w:val="00B22746"/>
    <w:rsid w:val="00B22A24"/>
    <w:rsid w:val="00B22A30"/>
    <w:rsid w:val="00B22D19"/>
    <w:rsid w:val="00B22D5C"/>
    <w:rsid w:val="00B22EA9"/>
    <w:rsid w:val="00B232DF"/>
    <w:rsid w:val="00B23471"/>
    <w:rsid w:val="00B23533"/>
    <w:rsid w:val="00B23798"/>
    <w:rsid w:val="00B23823"/>
    <w:rsid w:val="00B24458"/>
    <w:rsid w:val="00B244B5"/>
    <w:rsid w:val="00B244D5"/>
    <w:rsid w:val="00B247A4"/>
    <w:rsid w:val="00B24CF0"/>
    <w:rsid w:val="00B24EE1"/>
    <w:rsid w:val="00B25506"/>
    <w:rsid w:val="00B2582A"/>
    <w:rsid w:val="00B25B37"/>
    <w:rsid w:val="00B25BC3"/>
    <w:rsid w:val="00B25EDD"/>
    <w:rsid w:val="00B25FF2"/>
    <w:rsid w:val="00B263C3"/>
    <w:rsid w:val="00B266E8"/>
    <w:rsid w:val="00B26B31"/>
    <w:rsid w:val="00B270B6"/>
    <w:rsid w:val="00B2719E"/>
    <w:rsid w:val="00B27312"/>
    <w:rsid w:val="00B277A2"/>
    <w:rsid w:val="00B277CC"/>
    <w:rsid w:val="00B2790D"/>
    <w:rsid w:val="00B27AD1"/>
    <w:rsid w:val="00B27C41"/>
    <w:rsid w:val="00B27D5E"/>
    <w:rsid w:val="00B27FB5"/>
    <w:rsid w:val="00B3003A"/>
    <w:rsid w:val="00B3010E"/>
    <w:rsid w:val="00B306AB"/>
    <w:rsid w:val="00B307ED"/>
    <w:rsid w:val="00B3080C"/>
    <w:rsid w:val="00B30851"/>
    <w:rsid w:val="00B30B09"/>
    <w:rsid w:val="00B30F56"/>
    <w:rsid w:val="00B31339"/>
    <w:rsid w:val="00B313AD"/>
    <w:rsid w:val="00B315EA"/>
    <w:rsid w:val="00B3188F"/>
    <w:rsid w:val="00B31A3B"/>
    <w:rsid w:val="00B31C4D"/>
    <w:rsid w:val="00B31F24"/>
    <w:rsid w:val="00B31F2D"/>
    <w:rsid w:val="00B323DD"/>
    <w:rsid w:val="00B3262E"/>
    <w:rsid w:val="00B327B0"/>
    <w:rsid w:val="00B329C8"/>
    <w:rsid w:val="00B32C07"/>
    <w:rsid w:val="00B32DFA"/>
    <w:rsid w:val="00B334AA"/>
    <w:rsid w:val="00B33DB5"/>
    <w:rsid w:val="00B33FE4"/>
    <w:rsid w:val="00B34A87"/>
    <w:rsid w:val="00B34B37"/>
    <w:rsid w:val="00B34B78"/>
    <w:rsid w:val="00B350FA"/>
    <w:rsid w:val="00B35934"/>
    <w:rsid w:val="00B35AE0"/>
    <w:rsid w:val="00B35C60"/>
    <w:rsid w:val="00B35D2E"/>
    <w:rsid w:val="00B35E22"/>
    <w:rsid w:val="00B35FC4"/>
    <w:rsid w:val="00B360B8"/>
    <w:rsid w:val="00B3639C"/>
    <w:rsid w:val="00B365B6"/>
    <w:rsid w:val="00B36C39"/>
    <w:rsid w:val="00B36CD6"/>
    <w:rsid w:val="00B36DB5"/>
    <w:rsid w:val="00B37221"/>
    <w:rsid w:val="00B37246"/>
    <w:rsid w:val="00B3724E"/>
    <w:rsid w:val="00B3739E"/>
    <w:rsid w:val="00B37528"/>
    <w:rsid w:val="00B4005E"/>
    <w:rsid w:val="00B401DB"/>
    <w:rsid w:val="00B4021D"/>
    <w:rsid w:val="00B4086D"/>
    <w:rsid w:val="00B41088"/>
    <w:rsid w:val="00B41894"/>
    <w:rsid w:val="00B41A51"/>
    <w:rsid w:val="00B41BA8"/>
    <w:rsid w:val="00B41CF4"/>
    <w:rsid w:val="00B42062"/>
    <w:rsid w:val="00B421E3"/>
    <w:rsid w:val="00B4246E"/>
    <w:rsid w:val="00B42796"/>
    <w:rsid w:val="00B427FA"/>
    <w:rsid w:val="00B429DE"/>
    <w:rsid w:val="00B42AC0"/>
    <w:rsid w:val="00B42FFA"/>
    <w:rsid w:val="00B431E5"/>
    <w:rsid w:val="00B4354D"/>
    <w:rsid w:val="00B43568"/>
    <w:rsid w:val="00B438A8"/>
    <w:rsid w:val="00B439DE"/>
    <w:rsid w:val="00B43A17"/>
    <w:rsid w:val="00B43AA6"/>
    <w:rsid w:val="00B43B15"/>
    <w:rsid w:val="00B43E8D"/>
    <w:rsid w:val="00B43FDA"/>
    <w:rsid w:val="00B44088"/>
    <w:rsid w:val="00B44894"/>
    <w:rsid w:val="00B448BE"/>
    <w:rsid w:val="00B44DB5"/>
    <w:rsid w:val="00B4501D"/>
    <w:rsid w:val="00B456BF"/>
    <w:rsid w:val="00B460CE"/>
    <w:rsid w:val="00B4617B"/>
    <w:rsid w:val="00B461BB"/>
    <w:rsid w:val="00B461F1"/>
    <w:rsid w:val="00B46420"/>
    <w:rsid w:val="00B466A9"/>
    <w:rsid w:val="00B46921"/>
    <w:rsid w:val="00B46983"/>
    <w:rsid w:val="00B46CB3"/>
    <w:rsid w:val="00B46E68"/>
    <w:rsid w:val="00B471BB"/>
    <w:rsid w:val="00B472B5"/>
    <w:rsid w:val="00B475DF"/>
    <w:rsid w:val="00B5017F"/>
    <w:rsid w:val="00B501AB"/>
    <w:rsid w:val="00B50434"/>
    <w:rsid w:val="00B50518"/>
    <w:rsid w:val="00B50605"/>
    <w:rsid w:val="00B50CF6"/>
    <w:rsid w:val="00B50F61"/>
    <w:rsid w:val="00B510AA"/>
    <w:rsid w:val="00B51138"/>
    <w:rsid w:val="00B51532"/>
    <w:rsid w:val="00B51802"/>
    <w:rsid w:val="00B51CE2"/>
    <w:rsid w:val="00B52665"/>
    <w:rsid w:val="00B52891"/>
    <w:rsid w:val="00B528F8"/>
    <w:rsid w:val="00B5297A"/>
    <w:rsid w:val="00B52D81"/>
    <w:rsid w:val="00B52F7B"/>
    <w:rsid w:val="00B530EF"/>
    <w:rsid w:val="00B53104"/>
    <w:rsid w:val="00B5334D"/>
    <w:rsid w:val="00B5363D"/>
    <w:rsid w:val="00B53B73"/>
    <w:rsid w:val="00B53FE5"/>
    <w:rsid w:val="00B54165"/>
    <w:rsid w:val="00B5418D"/>
    <w:rsid w:val="00B542F4"/>
    <w:rsid w:val="00B54501"/>
    <w:rsid w:val="00B5469F"/>
    <w:rsid w:val="00B5491A"/>
    <w:rsid w:val="00B54C49"/>
    <w:rsid w:val="00B550CC"/>
    <w:rsid w:val="00B55339"/>
    <w:rsid w:val="00B5546A"/>
    <w:rsid w:val="00B55EFD"/>
    <w:rsid w:val="00B569E6"/>
    <w:rsid w:val="00B56C3A"/>
    <w:rsid w:val="00B56C90"/>
    <w:rsid w:val="00B57E68"/>
    <w:rsid w:val="00B57FA9"/>
    <w:rsid w:val="00B6030B"/>
    <w:rsid w:val="00B6046D"/>
    <w:rsid w:val="00B6052B"/>
    <w:rsid w:val="00B607D4"/>
    <w:rsid w:val="00B609FC"/>
    <w:rsid w:val="00B60A0A"/>
    <w:rsid w:val="00B60A79"/>
    <w:rsid w:val="00B614B3"/>
    <w:rsid w:val="00B61644"/>
    <w:rsid w:val="00B6175B"/>
    <w:rsid w:val="00B6177B"/>
    <w:rsid w:val="00B61BA7"/>
    <w:rsid w:val="00B62420"/>
    <w:rsid w:val="00B624F3"/>
    <w:rsid w:val="00B629DB"/>
    <w:rsid w:val="00B62B4E"/>
    <w:rsid w:val="00B62B9C"/>
    <w:rsid w:val="00B62BE9"/>
    <w:rsid w:val="00B6371D"/>
    <w:rsid w:val="00B637C5"/>
    <w:rsid w:val="00B6382C"/>
    <w:rsid w:val="00B6389A"/>
    <w:rsid w:val="00B638FE"/>
    <w:rsid w:val="00B63B58"/>
    <w:rsid w:val="00B63DB1"/>
    <w:rsid w:val="00B63FB2"/>
    <w:rsid w:val="00B64108"/>
    <w:rsid w:val="00B647C0"/>
    <w:rsid w:val="00B64A99"/>
    <w:rsid w:val="00B65106"/>
    <w:rsid w:val="00B6529B"/>
    <w:rsid w:val="00B65784"/>
    <w:rsid w:val="00B658DA"/>
    <w:rsid w:val="00B65C86"/>
    <w:rsid w:val="00B65E19"/>
    <w:rsid w:val="00B65E53"/>
    <w:rsid w:val="00B662BB"/>
    <w:rsid w:val="00B66457"/>
    <w:rsid w:val="00B664B2"/>
    <w:rsid w:val="00B665A2"/>
    <w:rsid w:val="00B66BDB"/>
    <w:rsid w:val="00B66C55"/>
    <w:rsid w:val="00B66C98"/>
    <w:rsid w:val="00B66FBD"/>
    <w:rsid w:val="00B67190"/>
    <w:rsid w:val="00B67305"/>
    <w:rsid w:val="00B673E0"/>
    <w:rsid w:val="00B67531"/>
    <w:rsid w:val="00B67838"/>
    <w:rsid w:val="00B678F3"/>
    <w:rsid w:val="00B67A9D"/>
    <w:rsid w:val="00B67FE6"/>
    <w:rsid w:val="00B70270"/>
    <w:rsid w:val="00B708AC"/>
    <w:rsid w:val="00B70A50"/>
    <w:rsid w:val="00B70A73"/>
    <w:rsid w:val="00B716BD"/>
    <w:rsid w:val="00B719EF"/>
    <w:rsid w:val="00B71C91"/>
    <w:rsid w:val="00B71FA0"/>
    <w:rsid w:val="00B721B6"/>
    <w:rsid w:val="00B72329"/>
    <w:rsid w:val="00B723DC"/>
    <w:rsid w:val="00B72437"/>
    <w:rsid w:val="00B7245A"/>
    <w:rsid w:val="00B72718"/>
    <w:rsid w:val="00B72A82"/>
    <w:rsid w:val="00B72CE8"/>
    <w:rsid w:val="00B72D0B"/>
    <w:rsid w:val="00B72F90"/>
    <w:rsid w:val="00B73007"/>
    <w:rsid w:val="00B732C2"/>
    <w:rsid w:val="00B73375"/>
    <w:rsid w:val="00B736CC"/>
    <w:rsid w:val="00B73B84"/>
    <w:rsid w:val="00B74048"/>
    <w:rsid w:val="00B7456C"/>
    <w:rsid w:val="00B74637"/>
    <w:rsid w:val="00B7482C"/>
    <w:rsid w:val="00B74B7F"/>
    <w:rsid w:val="00B75393"/>
    <w:rsid w:val="00B7563F"/>
    <w:rsid w:val="00B75D17"/>
    <w:rsid w:val="00B76092"/>
    <w:rsid w:val="00B76125"/>
    <w:rsid w:val="00B763F1"/>
    <w:rsid w:val="00B76843"/>
    <w:rsid w:val="00B76844"/>
    <w:rsid w:val="00B76867"/>
    <w:rsid w:val="00B76A77"/>
    <w:rsid w:val="00B76D09"/>
    <w:rsid w:val="00B77120"/>
    <w:rsid w:val="00B7753A"/>
    <w:rsid w:val="00B7789E"/>
    <w:rsid w:val="00B778D8"/>
    <w:rsid w:val="00B805A4"/>
    <w:rsid w:val="00B80A6D"/>
    <w:rsid w:val="00B80AAE"/>
    <w:rsid w:val="00B80BCC"/>
    <w:rsid w:val="00B80E5B"/>
    <w:rsid w:val="00B80EAD"/>
    <w:rsid w:val="00B81314"/>
    <w:rsid w:val="00B817BE"/>
    <w:rsid w:val="00B81B61"/>
    <w:rsid w:val="00B81BEE"/>
    <w:rsid w:val="00B81C92"/>
    <w:rsid w:val="00B821BB"/>
    <w:rsid w:val="00B822E9"/>
    <w:rsid w:val="00B82533"/>
    <w:rsid w:val="00B8284E"/>
    <w:rsid w:val="00B8285B"/>
    <w:rsid w:val="00B82B8C"/>
    <w:rsid w:val="00B82D7A"/>
    <w:rsid w:val="00B82F93"/>
    <w:rsid w:val="00B82FB8"/>
    <w:rsid w:val="00B83345"/>
    <w:rsid w:val="00B83619"/>
    <w:rsid w:val="00B83A95"/>
    <w:rsid w:val="00B83C01"/>
    <w:rsid w:val="00B83D3F"/>
    <w:rsid w:val="00B8436B"/>
    <w:rsid w:val="00B845E4"/>
    <w:rsid w:val="00B84A68"/>
    <w:rsid w:val="00B84AC5"/>
    <w:rsid w:val="00B84CF5"/>
    <w:rsid w:val="00B852A9"/>
    <w:rsid w:val="00B853A9"/>
    <w:rsid w:val="00B85873"/>
    <w:rsid w:val="00B85899"/>
    <w:rsid w:val="00B85BF1"/>
    <w:rsid w:val="00B85D07"/>
    <w:rsid w:val="00B85E0B"/>
    <w:rsid w:val="00B86531"/>
    <w:rsid w:val="00B86A60"/>
    <w:rsid w:val="00B86D28"/>
    <w:rsid w:val="00B86F9F"/>
    <w:rsid w:val="00B87373"/>
    <w:rsid w:val="00B87569"/>
    <w:rsid w:val="00B90005"/>
    <w:rsid w:val="00B90157"/>
    <w:rsid w:val="00B90363"/>
    <w:rsid w:val="00B903D3"/>
    <w:rsid w:val="00B904A0"/>
    <w:rsid w:val="00B90685"/>
    <w:rsid w:val="00B90701"/>
    <w:rsid w:val="00B9071B"/>
    <w:rsid w:val="00B90902"/>
    <w:rsid w:val="00B91277"/>
    <w:rsid w:val="00B9175C"/>
    <w:rsid w:val="00B91915"/>
    <w:rsid w:val="00B91A7F"/>
    <w:rsid w:val="00B91BA7"/>
    <w:rsid w:val="00B91E4D"/>
    <w:rsid w:val="00B91F9D"/>
    <w:rsid w:val="00B92078"/>
    <w:rsid w:val="00B920FB"/>
    <w:rsid w:val="00B92265"/>
    <w:rsid w:val="00B92A60"/>
    <w:rsid w:val="00B92D7F"/>
    <w:rsid w:val="00B92F8A"/>
    <w:rsid w:val="00B92FFC"/>
    <w:rsid w:val="00B93074"/>
    <w:rsid w:val="00B931EF"/>
    <w:rsid w:val="00B93703"/>
    <w:rsid w:val="00B937A0"/>
    <w:rsid w:val="00B93853"/>
    <w:rsid w:val="00B938DE"/>
    <w:rsid w:val="00B93998"/>
    <w:rsid w:val="00B9489D"/>
    <w:rsid w:val="00B94A00"/>
    <w:rsid w:val="00B94DE8"/>
    <w:rsid w:val="00B94EE2"/>
    <w:rsid w:val="00B95261"/>
    <w:rsid w:val="00B953A8"/>
    <w:rsid w:val="00B95593"/>
    <w:rsid w:val="00B96470"/>
    <w:rsid w:val="00B96AFF"/>
    <w:rsid w:val="00B96BB0"/>
    <w:rsid w:val="00B96C67"/>
    <w:rsid w:val="00B970D6"/>
    <w:rsid w:val="00B970D8"/>
    <w:rsid w:val="00B971C5"/>
    <w:rsid w:val="00B974C7"/>
    <w:rsid w:val="00B97949"/>
    <w:rsid w:val="00B97976"/>
    <w:rsid w:val="00B97B5A"/>
    <w:rsid w:val="00B97E07"/>
    <w:rsid w:val="00B97F83"/>
    <w:rsid w:val="00BA07E6"/>
    <w:rsid w:val="00BA08C9"/>
    <w:rsid w:val="00BA0937"/>
    <w:rsid w:val="00BA0D2C"/>
    <w:rsid w:val="00BA16F1"/>
    <w:rsid w:val="00BA1D7F"/>
    <w:rsid w:val="00BA28BD"/>
    <w:rsid w:val="00BA2D7A"/>
    <w:rsid w:val="00BA2E8A"/>
    <w:rsid w:val="00BA3133"/>
    <w:rsid w:val="00BA31D8"/>
    <w:rsid w:val="00BA32DF"/>
    <w:rsid w:val="00BA32E3"/>
    <w:rsid w:val="00BA35D1"/>
    <w:rsid w:val="00BA3640"/>
    <w:rsid w:val="00BA4544"/>
    <w:rsid w:val="00BA48D4"/>
    <w:rsid w:val="00BA4C9F"/>
    <w:rsid w:val="00BA4FD4"/>
    <w:rsid w:val="00BA5B36"/>
    <w:rsid w:val="00BA5E1A"/>
    <w:rsid w:val="00BA6189"/>
    <w:rsid w:val="00BA618B"/>
    <w:rsid w:val="00BA657A"/>
    <w:rsid w:val="00BA701A"/>
    <w:rsid w:val="00BA719F"/>
    <w:rsid w:val="00BA72C0"/>
    <w:rsid w:val="00BA7475"/>
    <w:rsid w:val="00BA793F"/>
    <w:rsid w:val="00BA79AF"/>
    <w:rsid w:val="00BB0205"/>
    <w:rsid w:val="00BB021E"/>
    <w:rsid w:val="00BB023C"/>
    <w:rsid w:val="00BB03CC"/>
    <w:rsid w:val="00BB057F"/>
    <w:rsid w:val="00BB065D"/>
    <w:rsid w:val="00BB065F"/>
    <w:rsid w:val="00BB1360"/>
    <w:rsid w:val="00BB17FB"/>
    <w:rsid w:val="00BB1871"/>
    <w:rsid w:val="00BB1936"/>
    <w:rsid w:val="00BB1A1B"/>
    <w:rsid w:val="00BB1A6E"/>
    <w:rsid w:val="00BB2053"/>
    <w:rsid w:val="00BB2118"/>
    <w:rsid w:val="00BB2217"/>
    <w:rsid w:val="00BB2238"/>
    <w:rsid w:val="00BB22A8"/>
    <w:rsid w:val="00BB22BE"/>
    <w:rsid w:val="00BB273F"/>
    <w:rsid w:val="00BB281E"/>
    <w:rsid w:val="00BB2920"/>
    <w:rsid w:val="00BB2B03"/>
    <w:rsid w:val="00BB2FE3"/>
    <w:rsid w:val="00BB31DB"/>
    <w:rsid w:val="00BB3266"/>
    <w:rsid w:val="00BB3598"/>
    <w:rsid w:val="00BB3C13"/>
    <w:rsid w:val="00BB3EDF"/>
    <w:rsid w:val="00BB4001"/>
    <w:rsid w:val="00BB4025"/>
    <w:rsid w:val="00BB42CF"/>
    <w:rsid w:val="00BB4576"/>
    <w:rsid w:val="00BB45A3"/>
    <w:rsid w:val="00BB4724"/>
    <w:rsid w:val="00BB48CE"/>
    <w:rsid w:val="00BB4914"/>
    <w:rsid w:val="00BB4B42"/>
    <w:rsid w:val="00BB4B87"/>
    <w:rsid w:val="00BB4F8B"/>
    <w:rsid w:val="00BB504D"/>
    <w:rsid w:val="00BB5966"/>
    <w:rsid w:val="00BB5A93"/>
    <w:rsid w:val="00BB5E7C"/>
    <w:rsid w:val="00BB60D1"/>
    <w:rsid w:val="00BB61E3"/>
    <w:rsid w:val="00BB62D0"/>
    <w:rsid w:val="00BB6589"/>
    <w:rsid w:val="00BB65B5"/>
    <w:rsid w:val="00BB6C1D"/>
    <w:rsid w:val="00BB6DC2"/>
    <w:rsid w:val="00BB707C"/>
    <w:rsid w:val="00BB7501"/>
    <w:rsid w:val="00BB764B"/>
    <w:rsid w:val="00BB78C2"/>
    <w:rsid w:val="00BB78D6"/>
    <w:rsid w:val="00BB7AE4"/>
    <w:rsid w:val="00BB7DFB"/>
    <w:rsid w:val="00BB7E94"/>
    <w:rsid w:val="00BB7E99"/>
    <w:rsid w:val="00BB7F8C"/>
    <w:rsid w:val="00BB7FA4"/>
    <w:rsid w:val="00BC04F7"/>
    <w:rsid w:val="00BC075D"/>
    <w:rsid w:val="00BC080E"/>
    <w:rsid w:val="00BC083A"/>
    <w:rsid w:val="00BC0928"/>
    <w:rsid w:val="00BC0A1B"/>
    <w:rsid w:val="00BC0C48"/>
    <w:rsid w:val="00BC0CD0"/>
    <w:rsid w:val="00BC1079"/>
    <w:rsid w:val="00BC153E"/>
    <w:rsid w:val="00BC1565"/>
    <w:rsid w:val="00BC181C"/>
    <w:rsid w:val="00BC1AD9"/>
    <w:rsid w:val="00BC1D7D"/>
    <w:rsid w:val="00BC22EA"/>
    <w:rsid w:val="00BC2452"/>
    <w:rsid w:val="00BC2637"/>
    <w:rsid w:val="00BC266C"/>
    <w:rsid w:val="00BC2885"/>
    <w:rsid w:val="00BC28FD"/>
    <w:rsid w:val="00BC294D"/>
    <w:rsid w:val="00BC2E84"/>
    <w:rsid w:val="00BC2FFF"/>
    <w:rsid w:val="00BC3653"/>
    <w:rsid w:val="00BC3952"/>
    <w:rsid w:val="00BC39DA"/>
    <w:rsid w:val="00BC3F1F"/>
    <w:rsid w:val="00BC3F60"/>
    <w:rsid w:val="00BC3F67"/>
    <w:rsid w:val="00BC4336"/>
    <w:rsid w:val="00BC47CA"/>
    <w:rsid w:val="00BC4924"/>
    <w:rsid w:val="00BC4C0F"/>
    <w:rsid w:val="00BC4FA8"/>
    <w:rsid w:val="00BC4FFA"/>
    <w:rsid w:val="00BC54CA"/>
    <w:rsid w:val="00BC57B0"/>
    <w:rsid w:val="00BC5866"/>
    <w:rsid w:val="00BC58E2"/>
    <w:rsid w:val="00BC5CBD"/>
    <w:rsid w:val="00BC60D7"/>
    <w:rsid w:val="00BC61C2"/>
    <w:rsid w:val="00BC6290"/>
    <w:rsid w:val="00BC641A"/>
    <w:rsid w:val="00BC64C5"/>
    <w:rsid w:val="00BC65B2"/>
    <w:rsid w:val="00BC6B28"/>
    <w:rsid w:val="00BC6B3F"/>
    <w:rsid w:val="00BC6C78"/>
    <w:rsid w:val="00BC7374"/>
    <w:rsid w:val="00BC754F"/>
    <w:rsid w:val="00BC7943"/>
    <w:rsid w:val="00BC7A25"/>
    <w:rsid w:val="00BC7DA2"/>
    <w:rsid w:val="00BC7E59"/>
    <w:rsid w:val="00BD039D"/>
    <w:rsid w:val="00BD06E5"/>
    <w:rsid w:val="00BD0FB5"/>
    <w:rsid w:val="00BD1184"/>
    <w:rsid w:val="00BD1A41"/>
    <w:rsid w:val="00BD1A87"/>
    <w:rsid w:val="00BD1C3F"/>
    <w:rsid w:val="00BD2209"/>
    <w:rsid w:val="00BD231E"/>
    <w:rsid w:val="00BD24C7"/>
    <w:rsid w:val="00BD250E"/>
    <w:rsid w:val="00BD254F"/>
    <w:rsid w:val="00BD2AA4"/>
    <w:rsid w:val="00BD2C62"/>
    <w:rsid w:val="00BD2DB9"/>
    <w:rsid w:val="00BD312B"/>
    <w:rsid w:val="00BD3234"/>
    <w:rsid w:val="00BD3246"/>
    <w:rsid w:val="00BD32FC"/>
    <w:rsid w:val="00BD3677"/>
    <w:rsid w:val="00BD3A61"/>
    <w:rsid w:val="00BD3B61"/>
    <w:rsid w:val="00BD3BA3"/>
    <w:rsid w:val="00BD3C1D"/>
    <w:rsid w:val="00BD423A"/>
    <w:rsid w:val="00BD436F"/>
    <w:rsid w:val="00BD446B"/>
    <w:rsid w:val="00BD44D3"/>
    <w:rsid w:val="00BD46BF"/>
    <w:rsid w:val="00BD4837"/>
    <w:rsid w:val="00BD4AB5"/>
    <w:rsid w:val="00BD4BC3"/>
    <w:rsid w:val="00BD52BA"/>
    <w:rsid w:val="00BD536D"/>
    <w:rsid w:val="00BD566F"/>
    <w:rsid w:val="00BD5832"/>
    <w:rsid w:val="00BD5BB9"/>
    <w:rsid w:val="00BD5CF3"/>
    <w:rsid w:val="00BD5D0E"/>
    <w:rsid w:val="00BD5E0E"/>
    <w:rsid w:val="00BD631C"/>
    <w:rsid w:val="00BD6427"/>
    <w:rsid w:val="00BD657D"/>
    <w:rsid w:val="00BD6621"/>
    <w:rsid w:val="00BD66C6"/>
    <w:rsid w:val="00BD6C53"/>
    <w:rsid w:val="00BD6E32"/>
    <w:rsid w:val="00BD6FF0"/>
    <w:rsid w:val="00BD7675"/>
    <w:rsid w:val="00BD7BD0"/>
    <w:rsid w:val="00BD7FA1"/>
    <w:rsid w:val="00BE00D5"/>
    <w:rsid w:val="00BE01E2"/>
    <w:rsid w:val="00BE03E4"/>
    <w:rsid w:val="00BE0584"/>
    <w:rsid w:val="00BE06B9"/>
    <w:rsid w:val="00BE070E"/>
    <w:rsid w:val="00BE075C"/>
    <w:rsid w:val="00BE0895"/>
    <w:rsid w:val="00BE0B4E"/>
    <w:rsid w:val="00BE0E28"/>
    <w:rsid w:val="00BE0E64"/>
    <w:rsid w:val="00BE13B7"/>
    <w:rsid w:val="00BE15D0"/>
    <w:rsid w:val="00BE2344"/>
    <w:rsid w:val="00BE25D2"/>
    <w:rsid w:val="00BE2747"/>
    <w:rsid w:val="00BE29ED"/>
    <w:rsid w:val="00BE2F90"/>
    <w:rsid w:val="00BE3059"/>
    <w:rsid w:val="00BE3102"/>
    <w:rsid w:val="00BE32E8"/>
    <w:rsid w:val="00BE3493"/>
    <w:rsid w:val="00BE34D9"/>
    <w:rsid w:val="00BE353F"/>
    <w:rsid w:val="00BE372B"/>
    <w:rsid w:val="00BE3783"/>
    <w:rsid w:val="00BE37D4"/>
    <w:rsid w:val="00BE3A57"/>
    <w:rsid w:val="00BE3AF0"/>
    <w:rsid w:val="00BE3BD1"/>
    <w:rsid w:val="00BE3C1A"/>
    <w:rsid w:val="00BE3D67"/>
    <w:rsid w:val="00BE41AD"/>
    <w:rsid w:val="00BE41DE"/>
    <w:rsid w:val="00BE4948"/>
    <w:rsid w:val="00BE4A6A"/>
    <w:rsid w:val="00BE4DA1"/>
    <w:rsid w:val="00BE4E24"/>
    <w:rsid w:val="00BE4F0E"/>
    <w:rsid w:val="00BE5789"/>
    <w:rsid w:val="00BE57F4"/>
    <w:rsid w:val="00BE58F0"/>
    <w:rsid w:val="00BE5925"/>
    <w:rsid w:val="00BE5A86"/>
    <w:rsid w:val="00BE5B5B"/>
    <w:rsid w:val="00BE5D60"/>
    <w:rsid w:val="00BE6144"/>
    <w:rsid w:val="00BE64C3"/>
    <w:rsid w:val="00BE6580"/>
    <w:rsid w:val="00BE67EA"/>
    <w:rsid w:val="00BE6A7D"/>
    <w:rsid w:val="00BE6AED"/>
    <w:rsid w:val="00BE6C31"/>
    <w:rsid w:val="00BE6DB3"/>
    <w:rsid w:val="00BE6FED"/>
    <w:rsid w:val="00BE77EE"/>
    <w:rsid w:val="00BE7C07"/>
    <w:rsid w:val="00BE7D1F"/>
    <w:rsid w:val="00BE7D83"/>
    <w:rsid w:val="00BE7E20"/>
    <w:rsid w:val="00BF01E2"/>
    <w:rsid w:val="00BF024A"/>
    <w:rsid w:val="00BF0372"/>
    <w:rsid w:val="00BF0633"/>
    <w:rsid w:val="00BF06BE"/>
    <w:rsid w:val="00BF0785"/>
    <w:rsid w:val="00BF0AEF"/>
    <w:rsid w:val="00BF12F5"/>
    <w:rsid w:val="00BF1308"/>
    <w:rsid w:val="00BF190A"/>
    <w:rsid w:val="00BF1B44"/>
    <w:rsid w:val="00BF1D42"/>
    <w:rsid w:val="00BF1DCF"/>
    <w:rsid w:val="00BF20B2"/>
    <w:rsid w:val="00BF2A2A"/>
    <w:rsid w:val="00BF2E7D"/>
    <w:rsid w:val="00BF383F"/>
    <w:rsid w:val="00BF3A23"/>
    <w:rsid w:val="00BF3B73"/>
    <w:rsid w:val="00BF3C0F"/>
    <w:rsid w:val="00BF3D5B"/>
    <w:rsid w:val="00BF3E59"/>
    <w:rsid w:val="00BF4905"/>
    <w:rsid w:val="00BF4959"/>
    <w:rsid w:val="00BF4D06"/>
    <w:rsid w:val="00BF4F4A"/>
    <w:rsid w:val="00BF5097"/>
    <w:rsid w:val="00BF52F0"/>
    <w:rsid w:val="00BF53DD"/>
    <w:rsid w:val="00BF5587"/>
    <w:rsid w:val="00BF5662"/>
    <w:rsid w:val="00BF57E0"/>
    <w:rsid w:val="00BF609B"/>
    <w:rsid w:val="00BF6103"/>
    <w:rsid w:val="00BF6554"/>
    <w:rsid w:val="00BF655C"/>
    <w:rsid w:val="00BF66FA"/>
    <w:rsid w:val="00BF67DD"/>
    <w:rsid w:val="00BF68B3"/>
    <w:rsid w:val="00BF6CDB"/>
    <w:rsid w:val="00BF6CE0"/>
    <w:rsid w:val="00BF6D44"/>
    <w:rsid w:val="00BF6D5F"/>
    <w:rsid w:val="00BF6E01"/>
    <w:rsid w:val="00BF7340"/>
    <w:rsid w:val="00BF7434"/>
    <w:rsid w:val="00BF773D"/>
    <w:rsid w:val="00BF77CC"/>
    <w:rsid w:val="00BF79A5"/>
    <w:rsid w:val="00BF7A33"/>
    <w:rsid w:val="00C004FB"/>
    <w:rsid w:val="00C007A7"/>
    <w:rsid w:val="00C0085E"/>
    <w:rsid w:val="00C00FF1"/>
    <w:rsid w:val="00C011C1"/>
    <w:rsid w:val="00C01269"/>
    <w:rsid w:val="00C013BA"/>
    <w:rsid w:val="00C013D9"/>
    <w:rsid w:val="00C01936"/>
    <w:rsid w:val="00C01DB2"/>
    <w:rsid w:val="00C027AF"/>
    <w:rsid w:val="00C027ED"/>
    <w:rsid w:val="00C0296F"/>
    <w:rsid w:val="00C02DB9"/>
    <w:rsid w:val="00C0352E"/>
    <w:rsid w:val="00C036E6"/>
    <w:rsid w:val="00C038A4"/>
    <w:rsid w:val="00C03C90"/>
    <w:rsid w:val="00C03E2E"/>
    <w:rsid w:val="00C0411B"/>
    <w:rsid w:val="00C0436A"/>
    <w:rsid w:val="00C047FE"/>
    <w:rsid w:val="00C04A15"/>
    <w:rsid w:val="00C04BB5"/>
    <w:rsid w:val="00C04E37"/>
    <w:rsid w:val="00C050BD"/>
    <w:rsid w:val="00C0537F"/>
    <w:rsid w:val="00C0550F"/>
    <w:rsid w:val="00C05A5B"/>
    <w:rsid w:val="00C05C16"/>
    <w:rsid w:val="00C05E9F"/>
    <w:rsid w:val="00C0606C"/>
    <w:rsid w:val="00C06212"/>
    <w:rsid w:val="00C06340"/>
    <w:rsid w:val="00C063DB"/>
    <w:rsid w:val="00C0650E"/>
    <w:rsid w:val="00C06677"/>
    <w:rsid w:val="00C0673E"/>
    <w:rsid w:val="00C06A0B"/>
    <w:rsid w:val="00C06CA2"/>
    <w:rsid w:val="00C06CF0"/>
    <w:rsid w:val="00C06E1F"/>
    <w:rsid w:val="00C06E5B"/>
    <w:rsid w:val="00C0700A"/>
    <w:rsid w:val="00C07415"/>
    <w:rsid w:val="00C075D0"/>
    <w:rsid w:val="00C07885"/>
    <w:rsid w:val="00C078B9"/>
    <w:rsid w:val="00C0799A"/>
    <w:rsid w:val="00C07B1D"/>
    <w:rsid w:val="00C07D79"/>
    <w:rsid w:val="00C10528"/>
    <w:rsid w:val="00C107B3"/>
    <w:rsid w:val="00C10BD1"/>
    <w:rsid w:val="00C116C8"/>
    <w:rsid w:val="00C11994"/>
    <w:rsid w:val="00C119BE"/>
    <w:rsid w:val="00C11BC3"/>
    <w:rsid w:val="00C11C82"/>
    <w:rsid w:val="00C11E14"/>
    <w:rsid w:val="00C11E59"/>
    <w:rsid w:val="00C12293"/>
    <w:rsid w:val="00C12815"/>
    <w:rsid w:val="00C12B4A"/>
    <w:rsid w:val="00C12BDC"/>
    <w:rsid w:val="00C12DCE"/>
    <w:rsid w:val="00C12EF6"/>
    <w:rsid w:val="00C130E0"/>
    <w:rsid w:val="00C13254"/>
    <w:rsid w:val="00C13FCD"/>
    <w:rsid w:val="00C140CB"/>
    <w:rsid w:val="00C1455E"/>
    <w:rsid w:val="00C14602"/>
    <w:rsid w:val="00C14688"/>
    <w:rsid w:val="00C146D1"/>
    <w:rsid w:val="00C14E29"/>
    <w:rsid w:val="00C14FC3"/>
    <w:rsid w:val="00C150C4"/>
    <w:rsid w:val="00C15103"/>
    <w:rsid w:val="00C15325"/>
    <w:rsid w:val="00C15510"/>
    <w:rsid w:val="00C155C8"/>
    <w:rsid w:val="00C15AD3"/>
    <w:rsid w:val="00C15B1A"/>
    <w:rsid w:val="00C15C6E"/>
    <w:rsid w:val="00C15F0E"/>
    <w:rsid w:val="00C1605B"/>
    <w:rsid w:val="00C16202"/>
    <w:rsid w:val="00C165B1"/>
    <w:rsid w:val="00C16F1A"/>
    <w:rsid w:val="00C16F46"/>
    <w:rsid w:val="00C16F67"/>
    <w:rsid w:val="00C176C6"/>
    <w:rsid w:val="00C17D0F"/>
    <w:rsid w:val="00C17D21"/>
    <w:rsid w:val="00C20261"/>
    <w:rsid w:val="00C2031C"/>
    <w:rsid w:val="00C203FC"/>
    <w:rsid w:val="00C2076F"/>
    <w:rsid w:val="00C20A17"/>
    <w:rsid w:val="00C20F89"/>
    <w:rsid w:val="00C2101F"/>
    <w:rsid w:val="00C210C8"/>
    <w:rsid w:val="00C21535"/>
    <w:rsid w:val="00C215CA"/>
    <w:rsid w:val="00C21971"/>
    <w:rsid w:val="00C21C90"/>
    <w:rsid w:val="00C22383"/>
    <w:rsid w:val="00C226F3"/>
    <w:rsid w:val="00C22AE6"/>
    <w:rsid w:val="00C22D9D"/>
    <w:rsid w:val="00C2375A"/>
    <w:rsid w:val="00C2393A"/>
    <w:rsid w:val="00C23CF1"/>
    <w:rsid w:val="00C23F25"/>
    <w:rsid w:val="00C23FC3"/>
    <w:rsid w:val="00C242F6"/>
    <w:rsid w:val="00C24354"/>
    <w:rsid w:val="00C2473F"/>
    <w:rsid w:val="00C24986"/>
    <w:rsid w:val="00C24D4F"/>
    <w:rsid w:val="00C24DBC"/>
    <w:rsid w:val="00C24FDB"/>
    <w:rsid w:val="00C25133"/>
    <w:rsid w:val="00C2570B"/>
    <w:rsid w:val="00C25D42"/>
    <w:rsid w:val="00C26475"/>
    <w:rsid w:val="00C269AA"/>
    <w:rsid w:val="00C26A42"/>
    <w:rsid w:val="00C26E7B"/>
    <w:rsid w:val="00C26FF9"/>
    <w:rsid w:val="00C27238"/>
    <w:rsid w:val="00C27573"/>
    <w:rsid w:val="00C27806"/>
    <w:rsid w:val="00C27AB8"/>
    <w:rsid w:val="00C27B07"/>
    <w:rsid w:val="00C27B52"/>
    <w:rsid w:val="00C27CE1"/>
    <w:rsid w:val="00C27D7B"/>
    <w:rsid w:val="00C301FF"/>
    <w:rsid w:val="00C307E8"/>
    <w:rsid w:val="00C30CB0"/>
    <w:rsid w:val="00C30CF8"/>
    <w:rsid w:val="00C30F89"/>
    <w:rsid w:val="00C311A6"/>
    <w:rsid w:val="00C3132D"/>
    <w:rsid w:val="00C31415"/>
    <w:rsid w:val="00C3175C"/>
    <w:rsid w:val="00C31955"/>
    <w:rsid w:val="00C31A8F"/>
    <w:rsid w:val="00C3280A"/>
    <w:rsid w:val="00C32861"/>
    <w:rsid w:val="00C32ABA"/>
    <w:rsid w:val="00C3346A"/>
    <w:rsid w:val="00C33E66"/>
    <w:rsid w:val="00C340F5"/>
    <w:rsid w:val="00C3446A"/>
    <w:rsid w:val="00C3461F"/>
    <w:rsid w:val="00C349CB"/>
    <w:rsid w:val="00C34BE4"/>
    <w:rsid w:val="00C34C83"/>
    <w:rsid w:val="00C34EB5"/>
    <w:rsid w:val="00C350E2"/>
    <w:rsid w:val="00C353CC"/>
    <w:rsid w:val="00C3559F"/>
    <w:rsid w:val="00C3568A"/>
    <w:rsid w:val="00C36080"/>
    <w:rsid w:val="00C3672A"/>
    <w:rsid w:val="00C367E2"/>
    <w:rsid w:val="00C36E59"/>
    <w:rsid w:val="00C36F2C"/>
    <w:rsid w:val="00C37168"/>
    <w:rsid w:val="00C375AD"/>
    <w:rsid w:val="00C37803"/>
    <w:rsid w:val="00C37898"/>
    <w:rsid w:val="00C37A4D"/>
    <w:rsid w:val="00C37A9B"/>
    <w:rsid w:val="00C4030C"/>
    <w:rsid w:val="00C40779"/>
    <w:rsid w:val="00C4086A"/>
    <w:rsid w:val="00C40DCF"/>
    <w:rsid w:val="00C40E24"/>
    <w:rsid w:val="00C40E64"/>
    <w:rsid w:val="00C40EE7"/>
    <w:rsid w:val="00C41322"/>
    <w:rsid w:val="00C41373"/>
    <w:rsid w:val="00C41872"/>
    <w:rsid w:val="00C41888"/>
    <w:rsid w:val="00C42DAD"/>
    <w:rsid w:val="00C43235"/>
    <w:rsid w:val="00C43E37"/>
    <w:rsid w:val="00C444DB"/>
    <w:rsid w:val="00C44713"/>
    <w:rsid w:val="00C447CC"/>
    <w:rsid w:val="00C44841"/>
    <w:rsid w:val="00C4485A"/>
    <w:rsid w:val="00C449EE"/>
    <w:rsid w:val="00C44A53"/>
    <w:rsid w:val="00C44DDD"/>
    <w:rsid w:val="00C44ED3"/>
    <w:rsid w:val="00C44FEA"/>
    <w:rsid w:val="00C45054"/>
    <w:rsid w:val="00C46624"/>
    <w:rsid w:val="00C46799"/>
    <w:rsid w:val="00C46879"/>
    <w:rsid w:val="00C468BF"/>
    <w:rsid w:val="00C46CCD"/>
    <w:rsid w:val="00C4703B"/>
    <w:rsid w:val="00C4705E"/>
    <w:rsid w:val="00C47213"/>
    <w:rsid w:val="00C47402"/>
    <w:rsid w:val="00C47455"/>
    <w:rsid w:val="00C477D5"/>
    <w:rsid w:val="00C47906"/>
    <w:rsid w:val="00C50379"/>
    <w:rsid w:val="00C508F2"/>
    <w:rsid w:val="00C50B16"/>
    <w:rsid w:val="00C50C30"/>
    <w:rsid w:val="00C50DBE"/>
    <w:rsid w:val="00C50E62"/>
    <w:rsid w:val="00C5135F"/>
    <w:rsid w:val="00C5188E"/>
    <w:rsid w:val="00C5196D"/>
    <w:rsid w:val="00C51BF9"/>
    <w:rsid w:val="00C51E58"/>
    <w:rsid w:val="00C51F8D"/>
    <w:rsid w:val="00C521A4"/>
    <w:rsid w:val="00C521E8"/>
    <w:rsid w:val="00C521F1"/>
    <w:rsid w:val="00C522F6"/>
    <w:rsid w:val="00C52524"/>
    <w:rsid w:val="00C527FC"/>
    <w:rsid w:val="00C52D24"/>
    <w:rsid w:val="00C52E92"/>
    <w:rsid w:val="00C53022"/>
    <w:rsid w:val="00C53097"/>
    <w:rsid w:val="00C531F8"/>
    <w:rsid w:val="00C5376F"/>
    <w:rsid w:val="00C53922"/>
    <w:rsid w:val="00C5481C"/>
    <w:rsid w:val="00C549BC"/>
    <w:rsid w:val="00C54F1F"/>
    <w:rsid w:val="00C54F5D"/>
    <w:rsid w:val="00C552AC"/>
    <w:rsid w:val="00C55406"/>
    <w:rsid w:val="00C55966"/>
    <w:rsid w:val="00C55B7A"/>
    <w:rsid w:val="00C55BE4"/>
    <w:rsid w:val="00C55C26"/>
    <w:rsid w:val="00C55E5F"/>
    <w:rsid w:val="00C56001"/>
    <w:rsid w:val="00C5622E"/>
    <w:rsid w:val="00C56389"/>
    <w:rsid w:val="00C5639C"/>
    <w:rsid w:val="00C565F2"/>
    <w:rsid w:val="00C56658"/>
    <w:rsid w:val="00C56845"/>
    <w:rsid w:val="00C5684B"/>
    <w:rsid w:val="00C56A5F"/>
    <w:rsid w:val="00C56F02"/>
    <w:rsid w:val="00C56F77"/>
    <w:rsid w:val="00C5711F"/>
    <w:rsid w:val="00C57608"/>
    <w:rsid w:val="00C601BE"/>
    <w:rsid w:val="00C605E0"/>
    <w:rsid w:val="00C60822"/>
    <w:rsid w:val="00C60A2C"/>
    <w:rsid w:val="00C60D37"/>
    <w:rsid w:val="00C60DE5"/>
    <w:rsid w:val="00C60E9E"/>
    <w:rsid w:val="00C6110A"/>
    <w:rsid w:val="00C6172E"/>
    <w:rsid w:val="00C61731"/>
    <w:rsid w:val="00C6177D"/>
    <w:rsid w:val="00C61C2C"/>
    <w:rsid w:val="00C61C59"/>
    <w:rsid w:val="00C61E6D"/>
    <w:rsid w:val="00C61F4B"/>
    <w:rsid w:val="00C624A1"/>
    <w:rsid w:val="00C62538"/>
    <w:rsid w:val="00C62BD6"/>
    <w:rsid w:val="00C62CAD"/>
    <w:rsid w:val="00C62E5C"/>
    <w:rsid w:val="00C63112"/>
    <w:rsid w:val="00C635D6"/>
    <w:rsid w:val="00C635DE"/>
    <w:rsid w:val="00C63AEB"/>
    <w:rsid w:val="00C63BB4"/>
    <w:rsid w:val="00C63BF5"/>
    <w:rsid w:val="00C63F88"/>
    <w:rsid w:val="00C64765"/>
    <w:rsid w:val="00C64F59"/>
    <w:rsid w:val="00C65228"/>
    <w:rsid w:val="00C65446"/>
    <w:rsid w:val="00C656D7"/>
    <w:rsid w:val="00C657B7"/>
    <w:rsid w:val="00C6589C"/>
    <w:rsid w:val="00C65DA5"/>
    <w:rsid w:val="00C662B3"/>
    <w:rsid w:val="00C6648A"/>
    <w:rsid w:val="00C66649"/>
    <w:rsid w:val="00C668B7"/>
    <w:rsid w:val="00C66AD2"/>
    <w:rsid w:val="00C66DEB"/>
    <w:rsid w:val="00C66E5A"/>
    <w:rsid w:val="00C66ED1"/>
    <w:rsid w:val="00C66F61"/>
    <w:rsid w:val="00C674E3"/>
    <w:rsid w:val="00C67C6F"/>
    <w:rsid w:val="00C67D54"/>
    <w:rsid w:val="00C67DB7"/>
    <w:rsid w:val="00C67EB9"/>
    <w:rsid w:val="00C67FEF"/>
    <w:rsid w:val="00C7010D"/>
    <w:rsid w:val="00C703C6"/>
    <w:rsid w:val="00C704E1"/>
    <w:rsid w:val="00C70D30"/>
    <w:rsid w:val="00C71C05"/>
    <w:rsid w:val="00C71CED"/>
    <w:rsid w:val="00C71F2B"/>
    <w:rsid w:val="00C720F9"/>
    <w:rsid w:val="00C7214B"/>
    <w:rsid w:val="00C72239"/>
    <w:rsid w:val="00C7246F"/>
    <w:rsid w:val="00C728F0"/>
    <w:rsid w:val="00C72A9D"/>
    <w:rsid w:val="00C72D57"/>
    <w:rsid w:val="00C72E30"/>
    <w:rsid w:val="00C72F4F"/>
    <w:rsid w:val="00C734B3"/>
    <w:rsid w:val="00C73777"/>
    <w:rsid w:val="00C738F1"/>
    <w:rsid w:val="00C73987"/>
    <w:rsid w:val="00C73DFD"/>
    <w:rsid w:val="00C74467"/>
    <w:rsid w:val="00C74536"/>
    <w:rsid w:val="00C74656"/>
    <w:rsid w:val="00C7482C"/>
    <w:rsid w:val="00C74AD8"/>
    <w:rsid w:val="00C74E8B"/>
    <w:rsid w:val="00C7524F"/>
    <w:rsid w:val="00C7546D"/>
    <w:rsid w:val="00C75507"/>
    <w:rsid w:val="00C756D8"/>
    <w:rsid w:val="00C757B4"/>
    <w:rsid w:val="00C75B55"/>
    <w:rsid w:val="00C762C1"/>
    <w:rsid w:val="00C766F9"/>
    <w:rsid w:val="00C76EE3"/>
    <w:rsid w:val="00C771F3"/>
    <w:rsid w:val="00C772D0"/>
    <w:rsid w:val="00C77376"/>
    <w:rsid w:val="00C773BB"/>
    <w:rsid w:val="00C77436"/>
    <w:rsid w:val="00C808A3"/>
    <w:rsid w:val="00C80919"/>
    <w:rsid w:val="00C80C7A"/>
    <w:rsid w:val="00C80FC1"/>
    <w:rsid w:val="00C81495"/>
    <w:rsid w:val="00C8158C"/>
    <w:rsid w:val="00C817B4"/>
    <w:rsid w:val="00C817B6"/>
    <w:rsid w:val="00C81C75"/>
    <w:rsid w:val="00C82453"/>
    <w:rsid w:val="00C832C3"/>
    <w:rsid w:val="00C83433"/>
    <w:rsid w:val="00C8382B"/>
    <w:rsid w:val="00C839F9"/>
    <w:rsid w:val="00C83CD8"/>
    <w:rsid w:val="00C83E20"/>
    <w:rsid w:val="00C841B1"/>
    <w:rsid w:val="00C8457F"/>
    <w:rsid w:val="00C849A5"/>
    <w:rsid w:val="00C84E30"/>
    <w:rsid w:val="00C8501C"/>
    <w:rsid w:val="00C8515A"/>
    <w:rsid w:val="00C851EC"/>
    <w:rsid w:val="00C854CB"/>
    <w:rsid w:val="00C8586D"/>
    <w:rsid w:val="00C85D4B"/>
    <w:rsid w:val="00C85F1A"/>
    <w:rsid w:val="00C86488"/>
    <w:rsid w:val="00C86F0E"/>
    <w:rsid w:val="00C87141"/>
    <w:rsid w:val="00C8728B"/>
    <w:rsid w:val="00C87DD5"/>
    <w:rsid w:val="00C87E54"/>
    <w:rsid w:val="00C90088"/>
    <w:rsid w:val="00C903E0"/>
    <w:rsid w:val="00C90685"/>
    <w:rsid w:val="00C90755"/>
    <w:rsid w:val="00C90923"/>
    <w:rsid w:val="00C90A7F"/>
    <w:rsid w:val="00C90ABD"/>
    <w:rsid w:val="00C90B2E"/>
    <w:rsid w:val="00C91089"/>
    <w:rsid w:val="00C91140"/>
    <w:rsid w:val="00C91163"/>
    <w:rsid w:val="00C91190"/>
    <w:rsid w:val="00C9119D"/>
    <w:rsid w:val="00C91981"/>
    <w:rsid w:val="00C919F0"/>
    <w:rsid w:val="00C91A79"/>
    <w:rsid w:val="00C91B60"/>
    <w:rsid w:val="00C91CB9"/>
    <w:rsid w:val="00C91F6B"/>
    <w:rsid w:val="00C922E8"/>
    <w:rsid w:val="00C924D7"/>
    <w:rsid w:val="00C92A30"/>
    <w:rsid w:val="00C92BBB"/>
    <w:rsid w:val="00C92C47"/>
    <w:rsid w:val="00C92D4A"/>
    <w:rsid w:val="00C92FAB"/>
    <w:rsid w:val="00C9324C"/>
    <w:rsid w:val="00C93385"/>
    <w:rsid w:val="00C935A4"/>
    <w:rsid w:val="00C93803"/>
    <w:rsid w:val="00C939FE"/>
    <w:rsid w:val="00C94268"/>
    <w:rsid w:val="00C94851"/>
    <w:rsid w:val="00C94919"/>
    <w:rsid w:val="00C94DD5"/>
    <w:rsid w:val="00C94E48"/>
    <w:rsid w:val="00C95333"/>
    <w:rsid w:val="00C953E2"/>
    <w:rsid w:val="00C955E2"/>
    <w:rsid w:val="00C95DA9"/>
    <w:rsid w:val="00C96184"/>
    <w:rsid w:val="00C96616"/>
    <w:rsid w:val="00C967D7"/>
    <w:rsid w:val="00C969FB"/>
    <w:rsid w:val="00C96C78"/>
    <w:rsid w:val="00C96E9B"/>
    <w:rsid w:val="00C9723B"/>
    <w:rsid w:val="00C9728C"/>
    <w:rsid w:val="00C97669"/>
    <w:rsid w:val="00C97BF1"/>
    <w:rsid w:val="00C97E54"/>
    <w:rsid w:val="00CA00BE"/>
    <w:rsid w:val="00CA0198"/>
    <w:rsid w:val="00CA01B5"/>
    <w:rsid w:val="00CA071F"/>
    <w:rsid w:val="00CA0A35"/>
    <w:rsid w:val="00CA1065"/>
    <w:rsid w:val="00CA1371"/>
    <w:rsid w:val="00CA147A"/>
    <w:rsid w:val="00CA1696"/>
    <w:rsid w:val="00CA171C"/>
    <w:rsid w:val="00CA1BC7"/>
    <w:rsid w:val="00CA1C43"/>
    <w:rsid w:val="00CA1EC6"/>
    <w:rsid w:val="00CA2076"/>
    <w:rsid w:val="00CA2431"/>
    <w:rsid w:val="00CA25B2"/>
    <w:rsid w:val="00CA2B73"/>
    <w:rsid w:val="00CA2F80"/>
    <w:rsid w:val="00CA33FC"/>
    <w:rsid w:val="00CA3CF5"/>
    <w:rsid w:val="00CA3EDE"/>
    <w:rsid w:val="00CA3FB9"/>
    <w:rsid w:val="00CA41B3"/>
    <w:rsid w:val="00CA43B7"/>
    <w:rsid w:val="00CA442D"/>
    <w:rsid w:val="00CA4801"/>
    <w:rsid w:val="00CA4958"/>
    <w:rsid w:val="00CA4A2A"/>
    <w:rsid w:val="00CA4B1A"/>
    <w:rsid w:val="00CA4BA6"/>
    <w:rsid w:val="00CA4BBF"/>
    <w:rsid w:val="00CA4C90"/>
    <w:rsid w:val="00CA5411"/>
    <w:rsid w:val="00CA5804"/>
    <w:rsid w:val="00CA5F21"/>
    <w:rsid w:val="00CA6620"/>
    <w:rsid w:val="00CA663A"/>
    <w:rsid w:val="00CA67AA"/>
    <w:rsid w:val="00CA6878"/>
    <w:rsid w:val="00CA699C"/>
    <w:rsid w:val="00CA6FAF"/>
    <w:rsid w:val="00CA70AE"/>
    <w:rsid w:val="00CA76FF"/>
    <w:rsid w:val="00CA791F"/>
    <w:rsid w:val="00CA7DA1"/>
    <w:rsid w:val="00CA7DF5"/>
    <w:rsid w:val="00CB03B9"/>
    <w:rsid w:val="00CB0476"/>
    <w:rsid w:val="00CB0B25"/>
    <w:rsid w:val="00CB0D67"/>
    <w:rsid w:val="00CB0F17"/>
    <w:rsid w:val="00CB12EA"/>
    <w:rsid w:val="00CB14D8"/>
    <w:rsid w:val="00CB1530"/>
    <w:rsid w:val="00CB1B0D"/>
    <w:rsid w:val="00CB1DF1"/>
    <w:rsid w:val="00CB1FD5"/>
    <w:rsid w:val="00CB21D4"/>
    <w:rsid w:val="00CB24AD"/>
    <w:rsid w:val="00CB2634"/>
    <w:rsid w:val="00CB278B"/>
    <w:rsid w:val="00CB2CAC"/>
    <w:rsid w:val="00CB2CC8"/>
    <w:rsid w:val="00CB3189"/>
    <w:rsid w:val="00CB37A8"/>
    <w:rsid w:val="00CB38E5"/>
    <w:rsid w:val="00CB3F49"/>
    <w:rsid w:val="00CB42CD"/>
    <w:rsid w:val="00CB42CE"/>
    <w:rsid w:val="00CB43D9"/>
    <w:rsid w:val="00CB4725"/>
    <w:rsid w:val="00CB4734"/>
    <w:rsid w:val="00CB488A"/>
    <w:rsid w:val="00CB4CAB"/>
    <w:rsid w:val="00CB4D05"/>
    <w:rsid w:val="00CB4F4D"/>
    <w:rsid w:val="00CB5120"/>
    <w:rsid w:val="00CB543A"/>
    <w:rsid w:val="00CB5970"/>
    <w:rsid w:val="00CB59FD"/>
    <w:rsid w:val="00CB6362"/>
    <w:rsid w:val="00CB6625"/>
    <w:rsid w:val="00CB672B"/>
    <w:rsid w:val="00CB6F01"/>
    <w:rsid w:val="00CB6F27"/>
    <w:rsid w:val="00CB7DC4"/>
    <w:rsid w:val="00CC00E4"/>
    <w:rsid w:val="00CC013F"/>
    <w:rsid w:val="00CC0273"/>
    <w:rsid w:val="00CC02AB"/>
    <w:rsid w:val="00CC0559"/>
    <w:rsid w:val="00CC05FF"/>
    <w:rsid w:val="00CC060F"/>
    <w:rsid w:val="00CC0711"/>
    <w:rsid w:val="00CC0CAC"/>
    <w:rsid w:val="00CC10CC"/>
    <w:rsid w:val="00CC1297"/>
    <w:rsid w:val="00CC1596"/>
    <w:rsid w:val="00CC1B45"/>
    <w:rsid w:val="00CC219B"/>
    <w:rsid w:val="00CC2249"/>
    <w:rsid w:val="00CC26CF"/>
    <w:rsid w:val="00CC2F2E"/>
    <w:rsid w:val="00CC2FBC"/>
    <w:rsid w:val="00CC320C"/>
    <w:rsid w:val="00CC3338"/>
    <w:rsid w:val="00CC36DF"/>
    <w:rsid w:val="00CC38E0"/>
    <w:rsid w:val="00CC3925"/>
    <w:rsid w:val="00CC3937"/>
    <w:rsid w:val="00CC3DE5"/>
    <w:rsid w:val="00CC3DEC"/>
    <w:rsid w:val="00CC4297"/>
    <w:rsid w:val="00CC4453"/>
    <w:rsid w:val="00CC4602"/>
    <w:rsid w:val="00CC4667"/>
    <w:rsid w:val="00CC4739"/>
    <w:rsid w:val="00CC47DE"/>
    <w:rsid w:val="00CC4A90"/>
    <w:rsid w:val="00CC4FD2"/>
    <w:rsid w:val="00CC501C"/>
    <w:rsid w:val="00CC5459"/>
    <w:rsid w:val="00CC5616"/>
    <w:rsid w:val="00CC58A3"/>
    <w:rsid w:val="00CC5BDE"/>
    <w:rsid w:val="00CC5BF3"/>
    <w:rsid w:val="00CC5DE4"/>
    <w:rsid w:val="00CC5E57"/>
    <w:rsid w:val="00CC5E8D"/>
    <w:rsid w:val="00CC62A7"/>
    <w:rsid w:val="00CC673C"/>
    <w:rsid w:val="00CC67A6"/>
    <w:rsid w:val="00CC6CF0"/>
    <w:rsid w:val="00CC7321"/>
    <w:rsid w:val="00CC744B"/>
    <w:rsid w:val="00CC754E"/>
    <w:rsid w:val="00CC76F8"/>
    <w:rsid w:val="00CC772E"/>
    <w:rsid w:val="00CC7799"/>
    <w:rsid w:val="00CC7860"/>
    <w:rsid w:val="00CC7870"/>
    <w:rsid w:val="00CC7AF9"/>
    <w:rsid w:val="00CC7BBE"/>
    <w:rsid w:val="00CD0097"/>
    <w:rsid w:val="00CD03C5"/>
    <w:rsid w:val="00CD07F2"/>
    <w:rsid w:val="00CD08D7"/>
    <w:rsid w:val="00CD09B8"/>
    <w:rsid w:val="00CD0A35"/>
    <w:rsid w:val="00CD1ACA"/>
    <w:rsid w:val="00CD1B1F"/>
    <w:rsid w:val="00CD1DB8"/>
    <w:rsid w:val="00CD1F70"/>
    <w:rsid w:val="00CD1F80"/>
    <w:rsid w:val="00CD207A"/>
    <w:rsid w:val="00CD224C"/>
    <w:rsid w:val="00CD2327"/>
    <w:rsid w:val="00CD24AF"/>
    <w:rsid w:val="00CD2771"/>
    <w:rsid w:val="00CD2850"/>
    <w:rsid w:val="00CD2960"/>
    <w:rsid w:val="00CD29F6"/>
    <w:rsid w:val="00CD2B43"/>
    <w:rsid w:val="00CD2B82"/>
    <w:rsid w:val="00CD2CF8"/>
    <w:rsid w:val="00CD2E54"/>
    <w:rsid w:val="00CD3672"/>
    <w:rsid w:val="00CD3870"/>
    <w:rsid w:val="00CD3B36"/>
    <w:rsid w:val="00CD3B4E"/>
    <w:rsid w:val="00CD3C7F"/>
    <w:rsid w:val="00CD4255"/>
    <w:rsid w:val="00CD48EB"/>
    <w:rsid w:val="00CD4983"/>
    <w:rsid w:val="00CD4BEE"/>
    <w:rsid w:val="00CD4C5D"/>
    <w:rsid w:val="00CD4D00"/>
    <w:rsid w:val="00CD4D87"/>
    <w:rsid w:val="00CD4E85"/>
    <w:rsid w:val="00CD5000"/>
    <w:rsid w:val="00CD5103"/>
    <w:rsid w:val="00CD51ED"/>
    <w:rsid w:val="00CD5308"/>
    <w:rsid w:val="00CD5407"/>
    <w:rsid w:val="00CD54FC"/>
    <w:rsid w:val="00CD555D"/>
    <w:rsid w:val="00CD5B28"/>
    <w:rsid w:val="00CD636F"/>
    <w:rsid w:val="00CD665E"/>
    <w:rsid w:val="00CD67CC"/>
    <w:rsid w:val="00CD6B02"/>
    <w:rsid w:val="00CD735A"/>
    <w:rsid w:val="00CD7695"/>
    <w:rsid w:val="00CD7838"/>
    <w:rsid w:val="00CD7E0E"/>
    <w:rsid w:val="00CE04C1"/>
    <w:rsid w:val="00CE04CA"/>
    <w:rsid w:val="00CE0554"/>
    <w:rsid w:val="00CE0838"/>
    <w:rsid w:val="00CE0882"/>
    <w:rsid w:val="00CE0B7B"/>
    <w:rsid w:val="00CE0EEE"/>
    <w:rsid w:val="00CE12FD"/>
    <w:rsid w:val="00CE1BBA"/>
    <w:rsid w:val="00CE1D1F"/>
    <w:rsid w:val="00CE1EC2"/>
    <w:rsid w:val="00CE2104"/>
    <w:rsid w:val="00CE213D"/>
    <w:rsid w:val="00CE23B2"/>
    <w:rsid w:val="00CE2735"/>
    <w:rsid w:val="00CE27F9"/>
    <w:rsid w:val="00CE2ED9"/>
    <w:rsid w:val="00CE36D7"/>
    <w:rsid w:val="00CE3AD7"/>
    <w:rsid w:val="00CE3C81"/>
    <w:rsid w:val="00CE4989"/>
    <w:rsid w:val="00CE49D1"/>
    <w:rsid w:val="00CE511C"/>
    <w:rsid w:val="00CE525D"/>
    <w:rsid w:val="00CE546F"/>
    <w:rsid w:val="00CE561D"/>
    <w:rsid w:val="00CE5858"/>
    <w:rsid w:val="00CE58ED"/>
    <w:rsid w:val="00CE592E"/>
    <w:rsid w:val="00CE59E3"/>
    <w:rsid w:val="00CE5BA1"/>
    <w:rsid w:val="00CE5D0C"/>
    <w:rsid w:val="00CE5F2C"/>
    <w:rsid w:val="00CE5F2E"/>
    <w:rsid w:val="00CE61B8"/>
    <w:rsid w:val="00CE621A"/>
    <w:rsid w:val="00CE6673"/>
    <w:rsid w:val="00CE688D"/>
    <w:rsid w:val="00CE69B1"/>
    <w:rsid w:val="00CE7230"/>
    <w:rsid w:val="00CE7A74"/>
    <w:rsid w:val="00CE7A8D"/>
    <w:rsid w:val="00CE7BD2"/>
    <w:rsid w:val="00CE7D84"/>
    <w:rsid w:val="00CE7DE0"/>
    <w:rsid w:val="00CF060C"/>
    <w:rsid w:val="00CF08D7"/>
    <w:rsid w:val="00CF0B45"/>
    <w:rsid w:val="00CF0CEE"/>
    <w:rsid w:val="00CF0DDA"/>
    <w:rsid w:val="00CF117D"/>
    <w:rsid w:val="00CF150E"/>
    <w:rsid w:val="00CF168C"/>
    <w:rsid w:val="00CF187A"/>
    <w:rsid w:val="00CF1C0F"/>
    <w:rsid w:val="00CF2108"/>
    <w:rsid w:val="00CF225C"/>
    <w:rsid w:val="00CF2356"/>
    <w:rsid w:val="00CF2448"/>
    <w:rsid w:val="00CF26E4"/>
    <w:rsid w:val="00CF2B71"/>
    <w:rsid w:val="00CF35E6"/>
    <w:rsid w:val="00CF368E"/>
    <w:rsid w:val="00CF38D6"/>
    <w:rsid w:val="00CF38DF"/>
    <w:rsid w:val="00CF3F9B"/>
    <w:rsid w:val="00CF4551"/>
    <w:rsid w:val="00CF48DB"/>
    <w:rsid w:val="00CF496A"/>
    <w:rsid w:val="00CF559C"/>
    <w:rsid w:val="00CF5B2D"/>
    <w:rsid w:val="00CF65B9"/>
    <w:rsid w:val="00CF66E6"/>
    <w:rsid w:val="00CF67BA"/>
    <w:rsid w:val="00CF6FF3"/>
    <w:rsid w:val="00D000AE"/>
    <w:rsid w:val="00D0035B"/>
    <w:rsid w:val="00D00444"/>
    <w:rsid w:val="00D004FF"/>
    <w:rsid w:val="00D0066C"/>
    <w:rsid w:val="00D0081D"/>
    <w:rsid w:val="00D00A51"/>
    <w:rsid w:val="00D00D28"/>
    <w:rsid w:val="00D00D60"/>
    <w:rsid w:val="00D01231"/>
    <w:rsid w:val="00D012F7"/>
    <w:rsid w:val="00D013AF"/>
    <w:rsid w:val="00D01BB6"/>
    <w:rsid w:val="00D01D2B"/>
    <w:rsid w:val="00D01F70"/>
    <w:rsid w:val="00D01F78"/>
    <w:rsid w:val="00D021F6"/>
    <w:rsid w:val="00D034B8"/>
    <w:rsid w:val="00D03564"/>
    <w:rsid w:val="00D03820"/>
    <w:rsid w:val="00D0396E"/>
    <w:rsid w:val="00D03AAD"/>
    <w:rsid w:val="00D03C14"/>
    <w:rsid w:val="00D03E85"/>
    <w:rsid w:val="00D03F4F"/>
    <w:rsid w:val="00D04EAF"/>
    <w:rsid w:val="00D050A2"/>
    <w:rsid w:val="00D051D4"/>
    <w:rsid w:val="00D051E4"/>
    <w:rsid w:val="00D056F5"/>
    <w:rsid w:val="00D05890"/>
    <w:rsid w:val="00D05EBA"/>
    <w:rsid w:val="00D05FDB"/>
    <w:rsid w:val="00D06356"/>
    <w:rsid w:val="00D0659A"/>
    <w:rsid w:val="00D065CC"/>
    <w:rsid w:val="00D06AE6"/>
    <w:rsid w:val="00D06D33"/>
    <w:rsid w:val="00D06D40"/>
    <w:rsid w:val="00D06E80"/>
    <w:rsid w:val="00D0742B"/>
    <w:rsid w:val="00D07475"/>
    <w:rsid w:val="00D075A3"/>
    <w:rsid w:val="00D075CC"/>
    <w:rsid w:val="00D07662"/>
    <w:rsid w:val="00D07AAC"/>
    <w:rsid w:val="00D07ABD"/>
    <w:rsid w:val="00D07F7A"/>
    <w:rsid w:val="00D07FA6"/>
    <w:rsid w:val="00D07FE2"/>
    <w:rsid w:val="00D10391"/>
    <w:rsid w:val="00D1061B"/>
    <w:rsid w:val="00D10631"/>
    <w:rsid w:val="00D106E2"/>
    <w:rsid w:val="00D10800"/>
    <w:rsid w:val="00D10B44"/>
    <w:rsid w:val="00D10BA8"/>
    <w:rsid w:val="00D10F83"/>
    <w:rsid w:val="00D10FA5"/>
    <w:rsid w:val="00D11298"/>
    <w:rsid w:val="00D112A6"/>
    <w:rsid w:val="00D113A4"/>
    <w:rsid w:val="00D11935"/>
    <w:rsid w:val="00D11AA4"/>
    <w:rsid w:val="00D11B2B"/>
    <w:rsid w:val="00D11B9E"/>
    <w:rsid w:val="00D1206A"/>
    <w:rsid w:val="00D12A95"/>
    <w:rsid w:val="00D131A5"/>
    <w:rsid w:val="00D1354E"/>
    <w:rsid w:val="00D13651"/>
    <w:rsid w:val="00D138B5"/>
    <w:rsid w:val="00D138E3"/>
    <w:rsid w:val="00D13A3F"/>
    <w:rsid w:val="00D13AE8"/>
    <w:rsid w:val="00D13F56"/>
    <w:rsid w:val="00D13F7E"/>
    <w:rsid w:val="00D1412F"/>
    <w:rsid w:val="00D141F8"/>
    <w:rsid w:val="00D14232"/>
    <w:rsid w:val="00D1485D"/>
    <w:rsid w:val="00D14ACC"/>
    <w:rsid w:val="00D14AD1"/>
    <w:rsid w:val="00D14D72"/>
    <w:rsid w:val="00D14F4D"/>
    <w:rsid w:val="00D151F5"/>
    <w:rsid w:val="00D1538A"/>
    <w:rsid w:val="00D15C2C"/>
    <w:rsid w:val="00D16063"/>
    <w:rsid w:val="00D1631C"/>
    <w:rsid w:val="00D16451"/>
    <w:rsid w:val="00D164DD"/>
    <w:rsid w:val="00D1678D"/>
    <w:rsid w:val="00D16988"/>
    <w:rsid w:val="00D16E0D"/>
    <w:rsid w:val="00D16E19"/>
    <w:rsid w:val="00D16F1B"/>
    <w:rsid w:val="00D17275"/>
    <w:rsid w:val="00D1729E"/>
    <w:rsid w:val="00D17413"/>
    <w:rsid w:val="00D17422"/>
    <w:rsid w:val="00D174AD"/>
    <w:rsid w:val="00D17769"/>
    <w:rsid w:val="00D17C7C"/>
    <w:rsid w:val="00D17DC2"/>
    <w:rsid w:val="00D17EB6"/>
    <w:rsid w:val="00D17F06"/>
    <w:rsid w:val="00D17F64"/>
    <w:rsid w:val="00D17FAC"/>
    <w:rsid w:val="00D20406"/>
    <w:rsid w:val="00D207E8"/>
    <w:rsid w:val="00D2092A"/>
    <w:rsid w:val="00D209AB"/>
    <w:rsid w:val="00D20A1D"/>
    <w:rsid w:val="00D20AF1"/>
    <w:rsid w:val="00D214C4"/>
    <w:rsid w:val="00D21591"/>
    <w:rsid w:val="00D21ECA"/>
    <w:rsid w:val="00D22573"/>
    <w:rsid w:val="00D22628"/>
    <w:rsid w:val="00D227F5"/>
    <w:rsid w:val="00D22BA0"/>
    <w:rsid w:val="00D22BB6"/>
    <w:rsid w:val="00D22EBD"/>
    <w:rsid w:val="00D2333C"/>
    <w:rsid w:val="00D233D9"/>
    <w:rsid w:val="00D23421"/>
    <w:rsid w:val="00D23596"/>
    <w:rsid w:val="00D23697"/>
    <w:rsid w:val="00D23B0D"/>
    <w:rsid w:val="00D23F08"/>
    <w:rsid w:val="00D23F0F"/>
    <w:rsid w:val="00D23F25"/>
    <w:rsid w:val="00D23FAE"/>
    <w:rsid w:val="00D240FD"/>
    <w:rsid w:val="00D2421A"/>
    <w:rsid w:val="00D2451F"/>
    <w:rsid w:val="00D2463C"/>
    <w:rsid w:val="00D248BF"/>
    <w:rsid w:val="00D24A70"/>
    <w:rsid w:val="00D24FA4"/>
    <w:rsid w:val="00D24FE9"/>
    <w:rsid w:val="00D250C5"/>
    <w:rsid w:val="00D25143"/>
    <w:rsid w:val="00D25483"/>
    <w:rsid w:val="00D255F3"/>
    <w:rsid w:val="00D25653"/>
    <w:rsid w:val="00D25804"/>
    <w:rsid w:val="00D25B59"/>
    <w:rsid w:val="00D25C22"/>
    <w:rsid w:val="00D25CD4"/>
    <w:rsid w:val="00D25DB3"/>
    <w:rsid w:val="00D25F9A"/>
    <w:rsid w:val="00D262E3"/>
    <w:rsid w:val="00D26A25"/>
    <w:rsid w:val="00D27842"/>
    <w:rsid w:val="00D2786C"/>
    <w:rsid w:val="00D27AC1"/>
    <w:rsid w:val="00D27E34"/>
    <w:rsid w:val="00D3042C"/>
    <w:rsid w:val="00D30511"/>
    <w:rsid w:val="00D30535"/>
    <w:rsid w:val="00D30767"/>
    <w:rsid w:val="00D3082A"/>
    <w:rsid w:val="00D30BBB"/>
    <w:rsid w:val="00D30F55"/>
    <w:rsid w:val="00D311D3"/>
    <w:rsid w:val="00D31312"/>
    <w:rsid w:val="00D31403"/>
    <w:rsid w:val="00D31B50"/>
    <w:rsid w:val="00D31F34"/>
    <w:rsid w:val="00D31FF9"/>
    <w:rsid w:val="00D32418"/>
    <w:rsid w:val="00D32474"/>
    <w:rsid w:val="00D3274E"/>
    <w:rsid w:val="00D32B53"/>
    <w:rsid w:val="00D32DE5"/>
    <w:rsid w:val="00D330EF"/>
    <w:rsid w:val="00D33309"/>
    <w:rsid w:val="00D336A6"/>
    <w:rsid w:val="00D33775"/>
    <w:rsid w:val="00D3407F"/>
    <w:rsid w:val="00D341E9"/>
    <w:rsid w:val="00D34609"/>
    <w:rsid w:val="00D3480A"/>
    <w:rsid w:val="00D348B6"/>
    <w:rsid w:val="00D34950"/>
    <w:rsid w:val="00D34E5F"/>
    <w:rsid w:val="00D34F20"/>
    <w:rsid w:val="00D352C5"/>
    <w:rsid w:val="00D355FD"/>
    <w:rsid w:val="00D35602"/>
    <w:rsid w:val="00D358AA"/>
    <w:rsid w:val="00D35B90"/>
    <w:rsid w:val="00D35C76"/>
    <w:rsid w:val="00D35CE4"/>
    <w:rsid w:val="00D35EA3"/>
    <w:rsid w:val="00D35EEC"/>
    <w:rsid w:val="00D360B7"/>
    <w:rsid w:val="00D36187"/>
    <w:rsid w:val="00D3618A"/>
    <w:rsid w:val="00D366A2"/>
    <w:rsid w:val="00D3675F"/>
    <w:rsid w:val="00D36ABC"/>
    <w:rsid w:val="00D36BD5"/>
    <w:rsid w:val="00D3718A"/>
    <w:rsid w:val="00D372CA"/>
    <w:rsid w:val="00D373E6"/>
    <w:rsid w:val="00D3742F"/>
    <w:rsid w:val="00D3759F"/>
    <w:rsid w:val="00D37842"/>
    <w:rsid w:val="00D379D9"/>
    <w:rsid w:val="00D37ACD"/>
    <w:rsid w:val="00D37D05"/>
    <w:rsid w:val="00D37EBA"/>
    <w:rsid w:val="00D40230"/>
    <w:rsid w:val="00D4041C"/>
    <w:rsid w:val="00D40464"/>
    <w:rsid w:val="00D40984"/>
    <w:rsid w:val="00D40C51"/>
    <w:rsid w:val="00D41342"/>
    <w:rsid w:val="00D417B0"/>
    <w:rsid w:val="00D417C4"/>
    <w:rsid w:val="00D41C66"/>
    <w:rsid w:val="00D41D0D"/>
    <w:rsid w:val="00D422FE"/>
    <w:rsid w:val="00D42AA1"/>
    <w:rsid w:val="00D42E34"/>
    <w:rsid w:val="00D43166"/>
    <w:rsid w:val="00D432B5"/>
    <w:rsid w:val="00D43618"/>
    <w:rsid w:val="00D43FEA"/>
    <w:rsid w:val="00D440B5"/>
    <w:rsid w:val="00D441EA"/>
    <w:rsid w:val="00D443C4"/>
    <w:rsid w:val="00D44C09"/>
    <w:rsid w:val="00D44C46"/>
    <w:rsid w:val="00D44E87"/>
    <w:rsid w:val="00D44F7D"/>
    <w:rsid w:val="00D45032"/>
    <w:rsid w:val="00D45108"/>
    <w:rsid w:val="00D457BF"/>
    <w:rsid w:val="00D45A4D"/>
    <w:rsid w:val="00D45C94"/>
    <w:rsid w:val="00D46366"/>
    <w:rsid w:val="00D46415"/>
    <w:rsid w:val="00D46817"/>
    <w:rsid w:val="00D46864"/>
    <w:rsid w:val="00D4686D"/>
    <w:rsid w:val="00D46D46"/>
    <w:rsid w:val="00D471A1"/>
    <w:rsid w:val="00D47274"/>
    <w:rsid w:val="00D472D5"/>
    <w:rsid w:val="00D4799B"/>
    <w:rsid w:val="00D47BA4"/>
    <w:rsid w:val="00D500B1"/>
    <w:rsid w:val="00D500C1"/>
    <w:rsid w:val="00D50320"/>
    <w:rsid w:val="00D50417"/>
    <w:rsid w:val="00D511E5"/>
    <w:rsid w:val="00D5135B"/>
    <w:rsid w:val="00D513E8"/>
    <w:rsid w:val="00D518BB"/>
    <w:rsid w:val="00D5190E"/>
    <w:rsid w:val="00D52006"/>
    <w:rsid w:val="00D52752"/>
    <w:rsid w:val="00D528E7"/>
    <w:rsid w:val="00D52B2A"/>
    <w:rsid w:val="00D52C06"/>
    <w:rsid w:val="00D52CD3"/>
    <w:rsid w:val="00D52DB8"/>
    <w:rsid w:val="00D531BC"/>
    <w:rsid w:val="00D5323D"/>
    <w:rsid w:val="00D53295"/>
    <w:rsid w:val="00D534D5"/>
    <w:rsid w:val="00D5371D"/>
    <w:rsid w:val="00D53AB7"/>
    <w:rsid w:val="00D53ACE"/>
    <w:rsid w:val="00D53B30"/>
    <w:rsid w:val="00D540A2"/>
    <w:rsid w:val="00D5440F"/>
    <w:rsid w:val="00D5450F"/>
    <w:rsid w:val="00D5471D"/>
    <w:rsid w:val="00D548D7"/>
    <w:rsid w:val="00D54CA1"/>
    <w:rsid w:val="00D54D51"/>
    <w:rsid w:val="00D54E36"/>
    <w:rsid w:val="00D55211"/>
    <w:rsid w:val="00D55308"/>
    <w:rsid w:val="00D556EE"/>
    <w:rsid w:val="00D55766"/>
    <w:rsid w:val="00D559BA"/>
    <w:rsid w:val="00D55A91"/>
    <w:rsid w:val="00D55E1D"/>
    <w:rsid w:val="00D56268"/>
    <w:rsid w:val="00D565FB"/>
    <w:rsid w:val="00D56C4F"/>
    <w:rsid w:val="00D56F19"/>
    <w:rsid w:val="00D570C9"/>
    <w:rsid w:val="00D571E3"/>
    <w:rsid w:val="00D57387"/>
    <w:rsid w:val="00D573A4"/>
    <w:rsid w:val="00D575C1"/>
    <w:rsid w:val="00D57876"/>
    <w:rsid w:val="00D57B68"/>
    <w:rsid w:val="00D57E06"/>
    <w:rsid w:val="00D6025E"/>
    <w:rsid w:val="00D6046A"/>
    <w:rsid w:val="00D60496"/>
    <w:rsid w:val="00D604A9"/>
    <w:rsid w:val="00D60683"/>
    <w:rsid w:val="00D606C3"/>
    <w:rsid w:val="00D60E87"/>
    <w:rsid w:val="00D610A7"/>
    <w:rsid w:val="00D613A2"/>
    <w:rsid w:val="00D61569"/>
    <w:rsid w:val="00D61839"/>
    <w:rsid w:val="00D61D2F"/>
    <w:rsid w:val="00D61E68"/>
    <w:rsid w:val="00D61EE3"/>
    <w:rsid w:val="00D6211C"/>
    <w:rsid w:val="00D6229E"/>
    <w:rsid w:val="00D62890"/>
    <w:rsid w:val="00D62941"/>
    <w:rsid w:val="00D62984"/>
    <w:rsid w:val="00D62D61"/>
    <w:rsid w:val="00D62D90"/>
    <w:rsid w:val="00D63245"/>
    <w:rsid w:val="00D6343C"/>
    <w:rsid w:val="00D6361B"/>
    <w:rsid w:val="00D6385A"/>
    <w:rsid w:val="00D63DE5"/>
    <w:rsid w:val="00D64033"/>
    <w:rsid w:val="00D64163"/>
    <w:rsid w:val="00D641C2"/>
    <w:rsid w:val="00D646CE"/>
    <w:rsid w:val="00D64C2B"/>
    <w:rsid w:val="00D64C7A"/>
    <w:rsid w:val="00D64CCA"/>
    <w:rsid w:val="00D64E60"/>
    <w:rsid w:val="00D64E7D"/>
    <w:rsid w:val="00D6516D"/>
    <w:rsid w:val="00D65309"/>
    <w:rsid w:val="00D65391"/>
    <w:rsid w:val="00D65804"/>
    <w:rsid w:val="00D661B7"/>
    <w:rsid w:val="00D668CA"/>
    <w:rsid w:val="00D66FED"/>
    <w:rsid w:val="00D67041"/>
    <w:rsid w:val="00D6734E"/>
    <w:rsid w:val="00D67450"/>
    <w:rsid w:val="00D67EB2"/>
    <w:rsid w:val="00D70585"/>
    <w:rsid w:val="00D70661"/>
    <w:rsid w:val="00D70832"/>
    <w:rsid w:val="00D70CFC"/>
    <w:rsid w:val="00D71066"/>
    <w:rsid w:val="00D710FC"/>
    <w:rsid w:val="00D712E7"/>
    <w:rsid w:val="00D718D9"/>
    <w:rsid w:val="00D71A32"/>
    <w:rsid w:val="00D71B60"/>
    <w:rsid w:val="00D71CCD"/>
    <w:rsid w:val="00D71D86"/>
    <w:rsid w:val="00D72454"/>
    <w:rsid w:val="00D72592"/>
    <w:rsid w:val="00D7296F"/>
    <w:rsid w:val="00D72B37"/>
    <w:rsid w:val="00D72C6E"/>
    <w:rsid w:val="00D72F21"/>
    <w:rsid w:val="00D72F6D"/>
    <w:rsid w:val="00D73116"/>
    <w:rsid w:val="00D73341"/>
    <w:rsid w:val="00D73514"/>
    <w:rsid w:val="00D7359F"/>
    <w:rsid w:val="00D735B6"/>
    <w:rsid w:val="00D735F6"/>
    <w:rsid w:val="00D73811"/>
    <w:rsid w:val="00D73D98"/>
    <w:rsid w:val="00D73E61"/>
    <w:rsid w:val="00D73F06"/>
    <w:rsid w:val="00D7407C"/>
    <w:rsid w:val="00D740FF"/>
    <w:rsid w:val="00D741EF"/>
    <w:rsid w:val="00D7422C"/>
    <w:rsid w:val="00D7432A"/>
    <w:rsid w:val="00D74440"/>
    <w:rsid w:val="00D74881"/>
    <w:rsid w:val="00D74A6C"/>
    <w:rsid w:val="00D74B10"/>
    <w:rsid w:val="00D74BD8"/>
    <w:rsid w:val="00D74F0F"/>
    <w:rsid w:val="00D75008"/>
    <w:rsid w:val="00D7543F"/>
    <w:rsid w:val="00D75792"/>
    <w:rsid w:val="00D7583D"/>
    <w:rsid w:val="00D75885"/>
    <w:rsid w:val="00D7588A"/>
    <w:rsid w:val="00D758FF"/>
    <w:rsid w:val="00D75C1E"/>
    <w:rsid w:val="00D75CEE"/>
    <w:rsid w:val="00D76263"/>
    <w:rsid w:val="00D76458"/>
    <w:rsid w:val="00D76743"/>
    <w:rsid w:val="00D767A8"/>
    <w:rsid w:val="00D768AC"/>
    <w:rsid w:val="00D76C7D"/>
    <w:rsid w:val="00D76CC5"/>
    <w:rsid w:val="00D76F30"/>
    <w:rsid w:val="00D7702B"/>
    <w:rsid w:val="00D772A9"/>
    <w:rsid w:val="00D7779F"/>
    <w:rsid w:val="00D77D7E"/>
    <w:rsid w:val="00D77DD4"/>
    <w:rsid w:val="00D77DDC"/>
    <w:rsid w:val="00D77F26"/>
    <w:rsid w:val="00D8028D"/>
    <w:rsid w:val="00D80F27"/>
    <w:rsid w:val="00D8123C"/>
    <w:rsid w:val="00D8150B"/>
    <w:rsid w:val="00D81591"/>
    <w:rsid w:val="00D816CB"/>
    <w:rsid w:val="00D82378"/>
    <w:rsid w:val="00D82C15"/>
    <w:rsid w:val="00D82EB8"/>
    <w:rsid w:val="00D835E1"/>
    <w:rsid w:val="00D83650"/>
    <w:rsid w:val="00D8368E"/>
    <w:rsid w:val="00D83738"/>
    <w:rsid w:val="00D83C71"/>
    <w:rsid w:val="00D84006"/>
    <w:rsid w:val="00D841C7"/>
    <w:rsid w:val="00D84835"/>
    <w:rsid w:val="00D84899"/>
    <w:rsid w:val="00D85002"/>
    <w:rsid w:val="00D859EC"/>
    <w:rsid w:val="00D86100"/>
    <w:rsid w:val="00D86155"/>
    <w:rsid w:val="00D865CA"/>
    <w:rsid w:val="00D8683F"/>
    <w:rsid w:val="00D874DD"/>
    <w:rsid w:val="00D8762B"/>
    <w:rsid w:val="00D87815"/>
    <w:rsid w:val="00D87863"/>
    <w:rsid w:val="00D878D3"/>
    <w:rsid w:val="00D8799F"/>
    <w:rsid w:val="00D879C5"/>
    <w:rsid w:val="00D87AD1"/>
    <w:rsid w:val="00D87AFC"/>
    <w:rsid w:val="00D87BD6"/>
    <w:rsid w:val="00D87F1B"/>
    <w:rsid w:val="00D9080C"/>
    <w:rsid w:val="00D9083C"/>
    <w:rsid w:val="00D90B00"/>
    <w:rsid w:val="00D90D8B"/>
    <w:rsid w:val="00D9100B"/>
    <w:rsid w:val="00D912DC"/>
    <w:rsid w:val="00D915E0"/>
    <w:rsid w:val="00D91A28"/>
    <w:rsid w:val="00D91A6F"/>
    <w:rsid w:val="00D91B0C"/>
    <w:rsid w:val="00D91C03"/>
    <w:rsid w:val="00D91D06"/>
    <w:rsid w:val="00D91F08"/>
    <w:rsid w:val="00D91F21"/>
    <w:rsid w:val="00D9210E"/>
    <w:rsid w:val="00D928BA"/>
    <w:rsid w:val="00D92FA5"/>
    <w:rsid w:val="00D93522"/>
    <w:rsid w:val="00D935A4"/>
    <w:rsid w:val="00D9379F"/>
    <w:rsid w:val="00D937C3"/>
    <w:rsid w:val="00D93865"/>
    <w:rsid w:val="00D93948"/>
    <w:rsid w:val="00D93AE7"/>
    <w:rsid w:val="00D93E25"/>
    <w:rsid w:val="00D942E2"/>
    <w:rsid w:val="00D942F8"/>
    <w:rsid w:val="00D9432A"/>
    <w:rsid w:val="00D94409"/>
    <w:rsid w:val="00D9464E"/>
    <w:rsid w:val="00D946F1"/>
    <w:rsid w:val="00D948A0"/>
    <w:rsid w:val="00D94943"/>
    <w:rsid w:val="00D94DEA"/>
    <w:rsid w:val="00D94E7B"/>
    <w:rsid w:val="00D94ED1"/>
    <w:rsid w:val="00D9515D"/>
    <w:rsid w:val="00D9521F"/>
    <w:rsid w:val="00D95269"/>
    <w:rsid w:val="00D95414"/>
    <w:rsid w:val="00D95B37"/>
    <w:rsid w:val="00D95CEA"/>
    <w:rsid w:val="00D95EAA"/>
    <w:rsid w:val="00D960E5"/>
    <w:rsid w:val="00D962FF"/>
    <w:rsid w:val="00D96472"/>
    <w:rsid w:val="00D96806"/>
    <w:rsid w:val="00D9689C"/>
    <w:rsid w:val="00D968C7"/>
    <w:rsid w:val="00D96AC4"/>
    <w:rsid w:val="00D96AE9"/>
    <w:rsid w:val="00D96C33"/>
    <w:rsid w:val="00D97131"/>
    <w:rsid w:val="00D97156"/>
    <w:rsid w:val="00D9754A"/>
    <w:rsid w:val="00D9755C"/>
    <w:rsid w:val="00D97960"/>
    <w:rsid w:val="00D979A5"/>
    <w:rsid w:val="00D97B3F"/>
    <w:rsid w:val="00D97C3C"/>
    <w:rsid w:val="00DA008D"/>
    <w:rsid w:val="00DA0559"/>
    <w:rsid w:val="00DA056B"/>
    <w:rsid w:val="00DA05F4"/>
    <w:rsid w:val="00DA0799"/>
    <w:rsid w:val="00DA08C4"/>
    <w:rsid w:val="00DA140C"/>
    <w:rsid w:val="00DA1487"/>
    <w:rsid w:val="00DA17EB"/>
    <w:rsid w:val="00DA186B"/>
    <w:rsid w:val="00DA1903"/>
    <w:rsid w:val="00DA1BEB"/>
    <w:rsid w:val="00DA1D69"/>
    <w:rsid w:val="00DA1ED2"/>
    <w:rsid w:val="00DA223E"/>
    <w:rsid w:val="00DA24B7"/>
    <w:rsid w:val="00DA2612"/>
    <w:rsid w:val="00DA2670"/>
    <w:rsid w:val="00DA2A49"/>
    <w:rsid w:val="00DA324A"/>
    <w:rsid w:val="00DA39F8"/>
    <w:rsid w:val="00DA3D57"/>
    <w:rsid w:val="00DA3F8B"/>
    <w:rsid w:val="00DA42A7"/>
    <w:rsid w:val="00DA4387"/>
    <w:rsid w:val="00DA4731"/>
    <w:rsid w:val="00DA4A9E"/>
    <w:rsid w:val="00DA4BE3"/>
    <w:rsid w:val="00DA4CFB"/>
    <w:rsid w:val="00DA5078"/>
    <w:rsid w:val="00DA51AC"/>
    <w:rsid w:val="00DA54F7"/>
    <w:rsid w:val="00DA5688"/>
    <w:rsid w:val="00DA5706"/>
    <w:rsid w:val="00DA5872"/>
    <w:rsid w:val="00DA590F"/>
    <w:rsid w:val="00DA5E22"/>
    <w:rsid w:val="00DA6079"/>
    <w:rsid w:val="00DA6084"/>
    <w:rsid w:val="00DA65BE"/>
    <w:rsid w:val="00DA6B07"/>
    <w:rsid w:val="00DA6E0B"/>
    <w:rsid w:val="00DA6EBD"/>
    <w:rsid w:val="00DA6EC5"/>
    <w:rsid w:val="00DA6FAA"/>
    <w:rsid w:val="00DA73FA"/>
    <w:rsid w:val="00DA746A"/>
    <w:rsid w:val="00DA7790"/>
    <w:rsid w:val="00DA79BE"/>
    <w:rsid w:val="00DA7B1E"/>
    <w:rsid w:val="00DB0459"/>
    <w:rsid w:val="00DB0BD7"/>
    <w:rsid w:val="00DB0F30"/>
    <w:rsid w:val="00DB14A1"/>
    <w:rsid w:val="00DB1508"/>
    <w:rsid w:val="00DB1541"/>
    <w:rsid w:val="00DB1B86"/>
    <w:rsid w:val="00DB1FFD"/>
    <w:rsid w:val="00DB249A"/>
    <w:rsid w:val="00DB276E"/>
    <w:rsid w:val="00DB29B3"/>
    <w:rsid w:val="00DB2B51"/>
    <w:rsid w:val="00DB2C23"/>
    <w:rsid w:val="00DB2CFD"/>
    <w:rsid w:val="00DB2FFE"/>
    <w:rsid w:val="00DB3148"/>
    <w:rsid w:val="00DB3151"/>
    <w:rsid w:val="00DB396E"/>
    <w:rsid w:val="00DB3BCB"/>
    <w:rsid w:val="00DB3C54"/>
    <w:rsid w:val="00DB3D5D"/>
    <w:rsid w:val="00DB3E10"/>
    <w:rsid w:val="00DB4049"/>
    <w:rsid w:val="00DB40CD"/>
    <w:rsid w:val="00DB45D9"/>
    <w:rsid w:val="00DB47D8"/>
    <w:rsid w:val="00DB4909"/>
    <w:rsid w:val="00DB4A3B"/>
    <w:rsid w:val="00DB4DB8"/>
    <w:rsid w:val="00DB4E5B"/>
    <w:rsid w:val="00DB4EB8"/>
    <w:rsid w:val="00DB5382"/>
    <w:rsid w:val="00DB54F9"/>
    <w:rsid w:val="00DB5B85"/>
    <w:rsid w:val="00DB6102"/>
    <w:rsid w:val="00DB614A"/>
    <w:rsid w:val="00DB62D7"/>
    <w:rsid w:val="00DB65E8"/>
    <w:rsid w:val="00DB661C"/>
    <w:rsid w:val="00DB6A86"/>
    <w:rsid w:val="00DB6EB5"/>
    <w:rsid w:val="00DB6EFB"/>
    <w:rsid w:val="00DB7031"/>
    <w:rsid w:val="00DB7251"/>
    <w:rsid w:val="00DB7781"/>
    <w:rsid w:val="00DB77B8"/>
    <w:rsid w:val="00DB7CAE"/>
    <w:rsid w:val="00DB7DE3"/>
    <w:rsid w:val="00DC0698"/>
    <w:rsid w:val="00DC11D7"/>
    <w:rsid w:val="00DC128A"/>
    <w:rsid w:val="00DC1789"/>
    <w:rsid w:val="00DC1B2F"/>
    <w:rsid w:val="00DC1C72"/>
    <w:rsid w:val="00DC1D07"/>
    <w:rsid w:val="00DC2492"/>
    <w:rsid w:val="00DC24F6"/>
    <w:rsid w:val="00DC2939"/>
    <w:rsid w:val="00DC2BC6"/>
    <w:rsid w:val="00DC2DBB"/>
    <w:rsid w:val="00DC3723"/>
    <w:rsid w:val="00DC3B26"/>
    <w:rsid w:val="00DC3CD5"/>
    <w:rsid w:val="00DC3D33"/>
    <w:rsid w:val="00DC3DD8"/>
    <w:rsid w:val="00DC4094"/>
    <w:rsid w:val="00DC45A1"/>
    <w:rsid w:val="00DC477C"/>
    <w:rsid w:val="00DC48AB"/>
    <w:rsid w:val="00DC4B16"/>
    <w:rsid w:val="00DC4C1C"/>
    <w:rsid w:val="00DC507A"/>
    <w:rsid w:val="00DC5173"/>
    <w:rsid w:val="00DC55E1"/>
    <w:rsid w:val="00DC5755"/>
    <w:rsid w:val="00DC5896"/>
    <w:rsid w:val="00DC5B5C"/>
    <w:rsid w:val="00DC5DC5"/>
    <w:rsid w:val="00DC5F24"/>
    <w:rsid w:val="00DC5FA2"/>
    <w:rsid w:val="00DC603C"/>
    <w:rsid w:val="00DC6336"/>
    <w:rsid w:val="00DC63EB"/>
    <w:rsid w:val="00DC6480"/>
    <w:rsid w:val="00DC67DB"/>
    <w:rsid w:val="00DC6990"/>
    <w:rsid w:val="00DC6B68"/>
    <w:rsid w:val="00DC6EE6"/>
    <w:rsid w:val="00DC70FC"/>
    <w:rsid w:val="00DC7207"/>
    <w:rsid w:val="00DC7344"/>
    <w:rsid w:val="00DC74B4"/>
    <w:rsid w:val="00DC750F"/>
    <w:rsid w:val="00DC7ACC"/>
    <w:rsid w:val="00DC7C6E"/>
    <w:rsid w:val="00DC7FDF"/>
    <w:rsid w:val="00DD00B0"/>
    <w:rsid w:val="00DD012D"/>
    <w:rsid w:val="00DD0B4E"/>
    <w:rsid w:val="00DD1438"/>
    <w:rsid w:val="00DD155A"/>
    <w:rsid w:val="00DD1ADF"/>
    <w:rsid w:val="00DD1C4E"/>
    <w:rsid w:val="00DD1EE0"/>
    <w:rsid w:val="00DD20A7"/>
    <w:rsid w:val="00DD20CC"/>
    <w:rsid w:val="00DD292C"/>
    <w:rsid w:val="00DD2A63"/>
    <w:rsid w:val="00DD2DCE"/>
    <w:rsid w:val="00DD329F"/>
    <w:rsid w:val="00DD3485"/>
    <w:rsid w:val="00DD34A7"/>
    <w:rsid w:val="00DD356E"/>
    <w:rsid w:val="00DD38F2"/>
    <w:rsid w:val="00DD39F4"/>
    <w:rsid w:val="00DD3B5B"/>
    <w:rsid w:val="00DD3FFC"/>
    <w:rsid w:val="00DD4097"/>
    <w:rsid w:val="00DD4496"/>
    <w:rsid w:val="00DD459D"/>
    <w:rsid w:val="00DD46D1"/>
    <w:rsid w:val="00DD46E7"/>
    <w:rsid w:val="00DD4864"/>
    <w:rsid w:val="00DD4A47"/>
    <w:rsid w:val="00DD4C63"/>
    <w:rsid w:val="00DD4DA4"/>
    <w:rsid w:val="00DD4DA7"/>
    <w:rsid w:val="00DD4E10"/>
    <w:rsid w:val="00DD57C5"/>
    <w:rsid w:val="00DD59BC"/>
    <w:rsid w:val="00DD5A17"/>
    <w:rsid w:val="00DD5C0D"/>
    <w:rsid w:val="00DD5D05"/>
    <w:rsid w:val="00DD6162"/>
    <w:rsid w:val="00DD63F4"/>
    <w:rsid w:val="00DD653C"/>
    <w:rsid w:val="00DD6955"/>
    <w:rsid w:val="00DD6F82"/>
    <w:rsid w:val="00DD7762"/>
    <w:rsid w:val="00DD77E4"/>
    <w:rsid w:val="00DD7DCF"/>
    <w:rsid w:val="00DD7ED6"/>
    <w:rsid w:val="00DE029B"/>
    <w:rsid w:val="00DE07DF"/>
    <w:rsid w:val="00DE0A8A"/>
    <w:rsid w:val="00DE0D77"/>
    <w:rsid w:val="00DE0DF0"/>
    <w:rsid w:val="00DE127F"/>
    <w:rsid w:val="00DE1314"/>
    <w:rsid w:val="00DE13B6"/>
    <w:rsid w:val="00DE183C"/>
    <w:rsid w:val="00DE1AD2"/>
    <w:rsid w:val="00DE1D9E"/>
    <w:rsid w:val="00DE1E60"/>
    <w:rsid w:val="00DE290A"/>
    <w:rsid w:val="00DE295F"/>
    <w:rsid w:val="00DE2B6B"/>
    <w:rsid w:val="00DE2E14"/>
    <w:rsid w:val="00DE3A1D"/>
    <w:rsid w:val="00DE3B61"/>
    <w:rsid w:val="00DE3B8C"/>
    <w:rsid w:val="00DE3D4C"/>
    <w:rsid w:val="00DE4137"/>
    <w:rsid w:val="00DE439D"/>
    <w:rsid w:val="00DE4A06"/>
    <w:rsid w:val="00DE4FC1"/>
    <w:rsid w:val="00DE4FF1"/>
    <w:rsid w:val="00DE5119"/>
    <w:rsid w:val="00DE5231"/>
    <w:rsid w:val="00DE53F0"/>
    <w:rsid w:val="00DE54C7"/>
    <w:rsid w:val="00DE57DF"/>
    <w:rsid w:val="00DE5EE0"/>
    <w:rsid w:val="00DE5FDE"/>
    <w:rsid w:val="00DE638A"/>
    <w:rsid w:val="00DE6501"/>
    <w:rsid w:val="00DE6646"/>
    <w:rsid w:val="00DE66F9"/>
    <w:rsid w:val="00DE6A78"/>
    <w:rsid w:val="00DE6C47"/>
    <w:rsid w:val="00DE6D2F"/>
    <w:rsid w:val="00DE6EC7"/>
    <w:rsid w:val="00DE7235"/>
    <w:rsid w:val="00DE734B"/>
    <w:rsid w:val="00DE7B41"/>
    <w:rsid w:val="00DE7BC5"/>
    <w:rsid w:val="00DE7EC0"/>
    <w:rsid w:val="00DF01B3"/>
    <w:rsid w:val="00DF0232"/>
    <w:rsid w:val="00DF03C6"/>
    <w:rsid w:val="00DF03D7"/>
    <w:rsid w:val="00DF041F"/>
    <w:rsid w:val="00DF093A"/>
    <w:rsid w:val="00DF11A7"/>
    <w:rsid w:val="00DF1314"/>
    <w:rsid w:val="00DF1505"/>
    <w:rsid w:val="00DF166F"/>
    <w:rsid w:val="00DF1B74"/>
    <w:rsid w:val="00DF1C4F"/>
    <w:rsid w:val="00DF1E7E"/>
    <w:rsid w:val="00DF1E8E"/>
    <w:rsid w:val="00DF2240"/>
    <w:rsid w:val="00DF22E2"/>
    <w:rsid w:val="00DF2631"/>
    <w:rsid w:val="00DF2A8E"/>
    <w:rsid w:val="00DF30D4"/>
    <w:rsid w:val="00DF31AE"/>
    <w:rsid w:val="00DF3910"/>
    <w:rsid w:val="00DF39AD"/>
    <w:rsid w:val="00DF4088"/>
    <w:rsid w:val="00DF4685"/>
    <w:rsid w:val="00DF4DD8"/>
    <w:rsid w:val="00DF5224"/>
    <w:rsid w:val="00DF532A"/>
    <w:rsid w:val="00DF5361"/>
    <w:rsid w:val="00DF5457"/>
    <w:rsid w:val="00DF5458"/>
    <w:rsid w:val="00DF58A0"/>
    <w:rsid w:val="00DF5965"/>
    <w:rsid w:val="00DF5D6F"/>
    <w:rsid w:val="00DF6280"/>
    <w:rsid w:val="00DF64AD"/>
    <w:rsid w:val="00DF6A42"/>
    <w:rsid w:val="00DF6BC4"/>
    <w:rsid w:val="00DF6F6B"/>
    <w:rsid w:val="00DF71A6"/>
    <w:rsid w:val="00DF7546"/>
    <w:rsid w:val="00DF761E"/>
    <w:rsid w:val="00DF7866"/>
    <w:rsid w:val="00DF78D7"/>
    <w:rsid w:val="00DF7D79"/>
    <w:rsid w:val="00DF7E98"/>
    <w:rsid w:val="00E001C1"/>
    <w:rsid w:val="00E002D9"/>
    <w:rsid w:val="00E00570"/>
    <w:rsid w:val="00E007D0"/>
    <w:rsid w:val="00E0080E"/>
    <w:rsid w:val="00E00816"/>
    <w:rsid w:val="00E00B49"/>
    <w:rsid w:val="00E00CF6"/>
    <w:rsid w:val="00E01384"/>
    <w:rsid w:val="00E01992"/>
    <w:rsid w:val="00E019AE"/>
    <w:rsid w:val="00E01C56"/>
    <w:rsid w:val="00E01C5C"/>
    <w:rsid w:val="00E01C6F"/>
    <w:rsid w:val="00E01FC0"/>
    <w:rsid w:val="00E01FF0"/>
    <w:rsid w:val="00E02030"/>
    <w:rsid w:val="00E020BE"/>
    <w:rsid w:val="00E02285"/>
    <w:rsid w:val="00E02592"/>
    <w:rsid w:val="00E027DC"/>
    <w:rsid w:val="00E03244"/>
    <w:rsid w:val="00E03376"/>
    <w:rsid w:val="00E0363E"/>
    <w:rsid w:val="00E037AD"/>
    <w:rsid w:val="00E03C6A"/>
    <w:rsid w:val="00E03CB3"/>
    <w:rsid w:val="00E03D28"/>
    <w:rsid w:val="00E03D47"/>
    <w:rsid w:val="00E04132"/>
    <w:rsid w:val="00E04257"/>
    <w:rsid w:val="00E042A5"/>
    <w:rsid w:val="00E04449"/>
    <w:rsid w:val="00E044A7"/>
    <w:rsid w:val="00E04577"/>
    <w:rsid w:val="00E0459F"/>
    <w:rsid w:val="00E04C01"/>
    <w:rsid w:val="00E04C47"/>
    <w:rsid w:val="00E04F9E"/>
    <w:rsid w:val="00E05003"/>
    <w:rsid w:val="00E05051"/>
    <w:rsid w:val="00E05597"/>
    <w:rsid w:val="00E055F0"/>
    <w:rsid w:val="00E05634"/>
    <w:rsid w:val="00E05651"/>
    <w:rsid w:val="00E05755"/>
    <w:rsid w:val="00E0583D"/>
    <w:rsid w:val="00E0585E"/>
    <w:rsid w:val="00E058F9"/>
    <w:rsid w:val="00E059C5"/>
    <w:rsid w:val="00E06882"/>
    <w:rsid w:val="00E069A1"/>
    <w:rsid w:val="00E06A32"/>
    <w:rsid w:val="00E06C53"/>
    <w:rsid w:val="00E06EBF"/>
    <w:rsid w:val="00E077E8"/>
    <w:rsid w:val="00E0795B"/>
    <w:rsid w:val="00E07AD2"/>
    <w:rsid w:val="00E07BC2"/>
    <w:rsid w:val="00E07E48"/>
    <w:rsid w:val="00E07FAB"/>
    <w:rsid w:val="00E1000B"/>
    <w:rsid w:val="00E1013A"/>
    <w:rsid w:val="00E101CC"/>
    <w:rsid w:val="00E10357"/>
    <w:rsid w:val="00E108A9"/>
    <w:rsid w:val="00E10975"/>
    <w:rsid w:val="00E10C7D"/>
    <w:rsid w:val="00E11B17"/>
    <w:rsid w:val="00E11CF6"/>
    <w:rsid w:val="00E11E5E"/>
    <w:rsid w:val="00E12279"/>
    <w:rsid w:val="00E125DD"/>
    <w:rsid w:val="00E12C0C"/>
    <w:rsid w:val="00E12EA0"/>
    <w:rsid w:val="00E131B6"/>
    <w:rsid w:val="00E13226"/>
    <w:rsid w:val="00E13A65"/>
    <w:rsid w:val="00E13C87"/>
    <w:rsid w:val="00E13DCC"/>
    <w:rsid w:val="00E14179"/>
    <w:rsid w:val="00E14649"/>
    <w:rsid w:val="00E1482E"/>
    <w:rsid w:val="00E14896"/>
    <w:rsid w:val="00E14A2F"/>
    <w:rsid w:val="00E14CC2"/>
    <w:rsid w:val="00E152F1"/>
    <w:rsid w:val="00E155E3"/>
    <w:rsid w:val="00E15645"/>
    <w:rsid w:val="00E15E0E"/>
    <w:rsid w:val="00E1615F"/>
    <w:rsid w:val="00E161CB"/>
    <w:rsid w:val="00E16200"/>
    <w:rsid w:val="00E16448"/>
    <w:rsid w:val="00E16548"/>
    <w:rsid w:val="00E16BC7"/>
    <w:rsid w:val="00E173C5"/>
    <w:rsid w:val="00E17800"/>
    <w:rsid w:val="00E178DD"/>
    <w:rsid w:val="00E20290"/>
    <w:rsid w:val="00E202A3"/>
    <w:rsid w:val="00E2040A"/>
    <w:rsid w:val="00E20510"/>
    <w:rsid w:val="00E20745"/>
    <w:rsid w:val="00E20D90"/>
    <w:rsid w:val="00E2106B"/>
    <w:rsid w:val="00E210ED"/>
    <w:rsid w:val="00E21410"/>
    <w:rsid w:val="00E215A7"/>
    <w:rsid w:val="00E21AF3"/>
    <w:rsid w:val="00E21B41"/>
    <w:rsid w:val="00E21E00"/>
    <w:rsid w:val="00E21E81"/>
    <w:rsid w:val="00E220A8"/>
    <w:rsid w:val="00E2233A"/>
    <w:rsid w:val="00E2237A"/>
    <w:rsid w:val="00E225AB"/>
    <w:rsid w:val="00E22EA3"/>
    <w:rsid w:val="00E231C9"/>
    <w:rsid w:val="00E23441"/>
    <w:rsid w:val="00E241F1"/>
    <w:rsid w:val="00E242CD"/>
    <w:rsid w:val="00E24301"/>
    <w:rsid w:val="00E2479A"/>
    <w:rsid w:val="00E24C11"/>
    <w:rsid w:val="00E24E11"/>
    <w:rsid w:val="00E24F97"/>
    <w:rsid w:val="00E25239"/>
    <w:rsid w:val="00E25503"/>
    <w:rsid w:val="00E259CA"/>
    <w:rsid w:val="00E259F3"/>
    <w:rsid w:val="00E25B54"/>
    <w:rsid w:val="00E25FDE"/>
    <w:rsid w:val="00E2643C"/>
    <w:rsid w:val="00E26621"/>
    <w:rsid w:val="00E26714"/>
    <w:rsid w:val="00E268E3"/>
    <w:rsid w:val="00E269DA"/>
    <w:rsid w:val="00E26B6E"/>
    <w:rsid w:val="00E26E49"/>
    <w:rsid w:val="00E271AB"/>
    <w:rsid w:val="00E2729F"/>
    <w:rsid w:val="00E27422"/>
    <w:rsid w:val="00E27583"/>
    <w:rsid w:val="00E2759D"/>
    <w:rsid w:val="00E27D26"/>
    <w:rsid w:val="00E27DF8"/>
    <w:rsid w:val="00E300F2"/>
    <w:rsid w:val="00E30439"/>
    <w:rsid w:val="00E30518"/>
    <w:rsid w:val="00E3068A"/>
    <w:rsid w:val="00E307BF"/>
    <w:rsid w:val="00E30A08"/>
    <w:rsid w:val="00E30BC0"/>
    <w:rsid w:val="00E30FB2"/>
    <w:rsid w:val="00E313D0"/>
    <w:rsid w:val="00E3187B"/>
    <w:rsid w:val="00E31D79"/>
    <w:rsid w:val="00E3244C"/>
    <w:rsid w:val="00E32DB1"/>
    <w:rsid w:val="00E33083"/>
    <w:rsid w:val="00E333A0"/>
    <w:rsid w:val="00E33471"/>
    <w:rsid w:val="00E33AE2"/>
    <w:rsid w:val="00E33BFA"/>
    <w:rsid w:val="00E33C89"/>
    <w:rsid w:val="00E33F61"/>
    <w:rsid w:val="00E34063"/>
    <w:rsid w:val="00E345AE"/>
    <w:rsid w:val="00E348A4"/>
    <w:rsid w:val="00E348CB"/>
    <w:rsid w:val="00E34D8B"/>
    <w:rsid w:val="00E34EAD"/>
    <w:rsid w:val="00E351B8"/>
    <w:rsid w:val="00E3534A"/>
    <w:rsid w:val="00E35500"/>
    <w:rsid w:val="00E35D6C"/>
    <w:rsid w:val="00E35F5B"/>
    <w:rsid w:val="00E3648A"/>
    <w:rsid w:val="00E3656C"/>
    <w:rsid w:val="00E369BD"/>
    <w:rsid w:val="00E36C3A"/>
    <w:rsid w:val="00E373C4"/>
    <w:rsid w:val="00E37623"/>
    <w:rsid w:val="00E3770B"/>
    <w:rsid w:val="00E37E5B"/>
    <w:rsid w:val="00E403FA"/>
    <w:rsid w:val="00E4047E"/>
    <w:rsid w:val="00E40542"/>
    <w:rsid w:val="00E40ADE"/>
    <w:rsid w:val="00E40B5E"/>
    <w:rsid w:val="00E41D86"/>
    <w:rsid w:val="00E41E83"/>
    <w:rsid w:val="00E42267"/>
    <w:rsid w:val="00E424E5"/>
    <w:rsid w:val="00E42A7E"/>
    <w:rsid w:val="00E42D7E"/>
    <w:rsid w:val="00E43611"/>
    <w:rsid w:val="00E4365D"/>
    <w:rsid w:val="00E43726"/>
    <w:rsid w:val="00E4372E"/>
    <w:rsid w:val="00E438B3"/>
    <w:rsid w:val="00E43912"/>
    <w:rsid w:val="00E43CCD"/>
    <w:rsid w:val="00E441A0"/>
    <w:rsid w:val="00E44675"/>
    <w:rsid w:val="00E44735"/>
    <w:rsid w:val="00E4482F"/>
    <w:rsid w:val="00E4489E"/>
    <w:rsid w:val="00E44ADB"/>
    <w:rsid w:val="00E44B05"/>
    <w:rsid w:val="00E452F5"/>
    <w:rsid w:val="00E458C7"/>
    <w:rsid w:val="00E45A30"/>
    <w:rsid w:val="00E45ABD"/>
    <w:rsid w:val="00E45AD9"/>
    <w:rsid w:val="00E45AF8"/>
    <w:rsid w:val="00E45BE2"/>
    <w:rsid w:val="00E45D07"/>
    <w:rsid w:val="00E45D19"/>
    <w:rsid w:val="00E45D3F"/>
    <w:rsid w:val="00E4674B"/>
    <w:rsid w:val="00E46924"/>
    <w:rsid w:val="00E46CAB"/>
    <w:rsid w:val="00E46CB6"/>
    <w:rsid w:val="00E46F24"/>
    <w:rsid w:val="00E470E9"/>
    <w:rsid w:val="00E4719A"/>
    <w:rsid w:val="00E47220"/>
    <w:rsid w:val="00E4725A"/>
    <w:rsid w:val="00E4745F"/>
    <w:rsid w:val="00E47691"/>
    <w:rsid w:val="00E478E3"/>
    <w:rsid w:val="00E47B5E"/>
    <w:rsid w:val="00E47EB0"/>
    <w:rsid w:val="00E5050F"/>
    <w:rsid w:val="00E505F6"/>
    <w:rsid w:val="00E508E3"/>
    <w:rsid w:val="00E50909"/>
    <w:rsid w:val="00E509B9"/>
    <w:rsid w:val="00E50E45"/>
    <w:rsid w:val="00E51123"/>
    <w:rsid w:val="00E51408"/>
    <w:rsid w:val="00E51940"/>
    <w:rsid w:val="00E51C00"/>
    <w:rsid w:val="00E524F8"/>
    <w:rsid w:val="00E52972"/>
    <w:rsid w:val="00E52993"/>
    <w:rsid w:val="00E52B90"/>
    <w:rsid w:val="00E52C81"/>
    <w:rsid w:val="00E52CDE"/>
    <w:rsid w:val="00E52ECE"/>
    <w:rsid w:val="00E52FF5"/>
    <w:rsid w:val="00E530A4"/>
    <w:rsid w:val="00E532D5"/>
    <w:rsid w:val="00E533D3"/>
    <w:rsid w:val="00E53422"/>
    <w:rsid w:val="00E534A7"/>
    <w:rsid w:val="00E53A26"/>
    <w:rsid w:val="00E53A28"/>
    <w:rsid w:val="00E53AC4"/>
    <w:rsid w:val="00E53F04"/>
    <w:rsid w:val="00E54397"/>
    <w:rsid w:val="00E54BDF"/>
    <w:rsid w:val="00E54FB2"/>
    <w:rsid w:val="00E551F2"/>
    <w:rsid w:val="00E55269"/>
    <w:rsid w:val="00E552C4"/>
    <w:rsid w:val="00E55704"/>
    <w:rsid w:val="00E55814"/>
    <w:rsid w:val="00E5584D"/>
    <w:rsid w:val="00E55BB2"/>
    <w:rsid w:val="00E55F77"/>
    <w:rsid w:val="00E56011"/>
    <w:rsid w:val="00E56662"/>
    <w:rsid w:val="00E56879"/>
    <w:rsid w:val="00E56BDE"/>
    <w:rsid w:val="00E56CCE"/>
    <w:rsid w:val="00E56DE0"/>
    <w:rsid w:val="00E56FCB"/>
    <w:rsid w:val="00E57221"/>
    <w:rsid w:val="00E57575"/>
    <w:rsid w:val="00E57819"/>
    <w:rsid w:val="00E57C4F"/>
    <w:rsid w:val="00E57D33"/>
    <w:rsid w:val="00E57FC1"/>
    <w:rsid w:val="00E60048"/>
    <w:rsid w:val="00E605BD"/>
    <w:rsid w:val="00E60782"/>
    <w:rsid w:val="00E607DB"/>
    <w:rsid w:val="00E60A20"/>
    <w:rsid w:val="00E60B85"/>
    <w:rsid w:val="00E610A9"/>
    <w:rsid w:val="00E61128"/>
    <w:rsid w:val="00E613D2"/>
    <w:rsid w:val="00E61532"/>
    <w:rsid w:val="00E615C2"/>
    <w:rsid w:val="00E617AD"/>
    <w:rsid w:val="00E619BB"/>
    <w:rsid w:val="00E61B2B"/>
    <w:rsid w:val="00E61B6E"/>
    <w:rsid w:val="00E61CBB"/>
    <w:rsid w:val="00E61E69"/>
    <w:rsid w:val="00E621B3"/>
    <w:rsid w:val="00E623FD"/>
    <w:rsid w:val="00E62505"/>
    <w:rsid w:val="00E625F0"/>
    <w:rsid w:val="00E6263B"/>
    <w:rsid w:val="00E62644"/>
    <w:rsid w:val="00E628BB"/>
    <w:rsid w:val="00E628FA"/>
    <w:rsid w:val="00E63082"/>
    <w:rsid w:val="00E633F4"/>
    <w:rsid w:val="00E63621"/>
    <w:rsid w:val="00E636B7"/>
    <w:rsid w:val="00E63892"/>
    <w:rsid w:val="00E63BA7"/>
    <w:rsid w:val="00E6421E"/>
    <w:rsid w:val="00E64379"/>
    <w:rsid w:val="00E643EE"/>
    <w:rsid w:val="00E64AD2"/>
    <w:rsid w:val="00E64B2B"/>
    <w:rsid w:val="00E64D72"/>
    <w:rsid w:val="00E64DDC"/>
    <w:rsid w:val="00E64DE2"/>
    <w:rsid w:val="00E657B5"/>
    <w:rsid w:val="00E65873"/>
    <w:rsid w:val="00E65932"/>
    <w:rsid w:val="00E65A01"/>
    <w:rsid w:val="00E65EDC"/>
    <w:rsid w:val="00E66091"/>
    <w:rsid w:val="00E6615C"/>
    <w:rsid w:val="00E66342"/>
    <w:rsid w:val="00E663AA"/>
    <w:rsid w:val="00E668C6"/>
    <w:rsid w:val="00E66C3B"/>
    <w:rsid w:val="00E66E26"/>
    <w:rsid w:val="00E67802"/>
    <w:rsid w:val="00E67A45"/>
    <w:rsid w:val="00E67C59"/>
    <w:rsid w:val="00E702EB"/>
    <w:rsid w:val="00E70820"/>
    <w:rsid w:val="00E70C1A"/>
    <w:rsid w:val="00E70DF5"/>
    <w:rsid w:val="00E711A4"/>
    <w:rsid w:val="00E7128D"/>
    <w:rsid w:val="00E7139B"/>
    <w:rsid w:val="00E71406"/>
    <w:rsid w:val="00E7159F"/>
    <w:rsid w:val="00E715A3"/>
    <w:rsid w:val="00E715F3"/>
    <w:rsid w:val="00E71961"/>
    <w:rsid w:val="00E71C5A"/>
    <w:rsid w:val="00E71F7F"/>
    <w:rsid w:val="00E72139"/>
    <w:rsid w:val="00E723C0"/>
    <w:rsid w:val="00E725FB"/>
    <w:rsid w:val="00E729C5"/>
    <w:rsid w:val="00E72A4B"/>
    <w:rsid w:val="00E72AED"/>
    <w:rsid w:val="00E72B45"/>
    <w:rsid w:val="00E72C0C"/>
    <w:rsid w:val="00E72FB4"/>
    <w:rsid w:val="00E730DE"/>
    <w:rsid w:val="00E737E7"/>
    <w:rsid w:val="00E743AC"/>
    <w:rsid w:val="00E744FF"/>
    <w:rsid w:val="00E7457E"/>
    <w:rsid w:val="00E74654"/>
    <w:rsid w:val="00E74D3A"/>
    <w:rsid w:val="00E74F56"/>
    <w:rsid w:val="00E750B8"/>
    <w:rsid w:val="00E750FE"/>
    <w:rsid w:val="00E751C3"/>
    <w:rsid w:val="00E753DA"/>
    <w:rsid w:val="00E75654"/>
    <w:rsid w:val="00E75906"/>
    <w:rsid w:val="00E75BD0"/>
    <w:rsid w:val="00E76289"/>
    <w:rsid w:val="00E7648D"/>
    <w:rsid w:val="00E76BF8"/>
    <w:rsid w:val="00E76C4D"/>
    <w:rsid w:val="00E76C77"/>
    <w:rsid w:val="00E77577"/>
    <w:rsid w:val="00E77D7C"/>
    <w:rsid w:val="00E80B48"/>
    <w:rsid w:val="00E80DD0"/>
    <w:rsid w:val="00E8106B"/>
    <w:rsid w:val="00E811C5"/>
    <w:rsid w:val="00E8128D"/>
    <w:rsid w:val="00E813EB"/>
    <w:rsid w:val="00E8145C"/>
    <w:rsid w:val="00E8199E"/>
    <w:rsid w:val="00E81B2A"/>
    <w:rsid w:val="00E81F73"/>
    <w:rsid w:val="00E8220D"/>
    <w:rsid w:val="00E824B3"/>
    <w:rsid w:val="00E82629"/>
    <w:rsid w:val="00E8273F"/>
    <w:rsid w:val="00E827A2"/>
    <w:rsid w:val="00E82980"/>
    <w:rsid w:val="00E829DC"/>
    <w:rsid w:val="00E82C28"/>
    <w:rsid w:val="00E82E0A"/>
    <w:rsid w:val="00E837E2"/>
    <w:rsid w:val="00E83BC1"/>
    <w:rsid w:val="00E83F46"/>
    <w:rsid w:val="00E841DE"/>
    <w:rsid w:val="00E84295"/>
    <w:rsid w:val="00E84E7F"/>
    <w:rsid w:val="00E84EF0"/>
    <w:rsid w:val="00E84F2B"/>
    <w:rsid w:val="00E85318"/>
    <w:rsid w:val="00E8595D"/>
    <w:rsid w:val="00E85E66"/>
    <w:rsid w:val="00E86325"/>
    <w:rsid w:val="00E8637D"/>
    <w:rsid w:val="00E86883"/>
    <w:rsid w:val="00E86ADF"/>
    <w:rsid w:val="00E86C43"/>
    <w:rsid w:val="00E872F6"/>
    <w:rsid w:val="00E87373"/>
    <w:rsid w:val="00E873E3"/>
    <w:rsid w:val="00E87788"/>
    <w:rsid w:val="00E879A4"/>
    <w:rsid w:val="00E9059D"/>
    <w:rsid w:val="00E905F2"/>
    <w:rsid w:val="00E90709"/>
    <w:rsid w:val="00E9074F"/>
    <w:rsid w:val="00E90986"/>
    <w:rsid w:val="00E90B00"/>
    <w:rsid w:val="00E9101B"/>
    <w:rsid w:val="00E91507"/>
    <w:rsid w:val="00E9184A"/>
    <w:rsid w:val="00E91FF0"/>
    <w:rsid w:val="00E92016"/>
    <w:rsid w:val="00E920F9"/>
    <w:rsid w:val="00E924B0"/>
    <w:rsid w:val="00E927BA"/>
    <w:rsid w:val="00E928DA"/>
    <w:rsid w:val="00E9295B"/>
    <w:rsid w:val="00E92D47"/>
    <w:rsid w:val="00E930B9"/>
    <w:rsid w:val="00E93184"/>
    <w:rsid w:val="00E93264"/>
    <w:rsid w:val="00E9377F"/>
    <w:rsid w:val="00E93850"/>
    <w:rsid w:val="00E93894"/>
    <w:rsid w:val="00E93A0F"/>
    <w:rsid w:val="00E93EBE"/>
    <w:rsid w:val="00E944AA"/>
    <w:rsid w:val="00E94969"/>
    <w:rsid w:val="00E94C16"/>
    <w:rsid w:val="00E95505"/>
    <w:rsid w:val="00E959DE"/>
    <w:rsid w:val="00E95AFC"/>
    <w:rsid w:val="00E95B5A"/>
    <w:rsid w:val="00E95D08"/>
    <w:rsid w:val="00E95D1F"/>
    <w:rsid w:val="00E95DC8"/>
    <w:rsid w:val="00E95FF4"/>
    <w:rsid w:val="00E96510"/>
    <w:rsid w:val="00E96C38"/>
    <w:rsid w:val="00E96F51"/>
    <w:rsid w:val="00E96FD3"/>
    <w:rsid w:val="00E9715F"/>
    <w:rsid w:val="00E971B4"/>
    <w:rsid w:val="00E971CC"/>
    <w:rsid w:val="00E972FF"/>
    <w:rsid w:val="00E97417"/>
    <w:rsid w:val="00E97486"/>
    <w:rsid w:val="00E9785B"/>
    <w:rsid w:val="00E979B2"/>
    <w:rsid w:val="00E97A4D"/>
    <w:rsid w:val="00E97C21"/>
    <w:rsid w:val="00E97C71"/>
    <w:rsid w:val="00E97E67"/>
    <w:rsid w:val="00EA02F7"/>
    <w:rsid w:val="00EA0507"/>
    <w:rsid w:val="00EA093C"/>
    <w:rsid w:val="00EA107A"/>
    <w:rsid w:val="00EA117B"/>
    <w:rsid w:val="00EA1D6E"/>
    <w:rsid w:val="00EA2083"/>
    <w:rsid w:val="00EA2574"/>
    <w:rsid w:val="00EA2C6B"/>
    <w:rsid w:val="00EA2F39"/>
    <w:rsid w:val="00EA3303"/>
    <w:rsid w:val="00EA3579"/>
    <w:rsid w:val="00EA36EC"/>
    <w:rsid w:val="00EA36EE"/>
    <w:rsid w:val="00EA3D0F"/>
    <w:rsid w:val="00EA44D5"/>
    <w:rsid w:val="00EA4852"/>
    <w:rsid w:val="00EA48A7"/>
    <w:rsid w:val="00EA4B58"/>
    <w:rsid w:val="00EA4C6C"/>
    <w:rsid w:val="00EA4DFE"/>
    <w:rsid w:val="00EA4E57"/>
    <w:rsid w:val="00EA52DF"/>
    <w:rsid w:val="00EA57FC"/>
    <w:rsid w:val="00EA590D"/>
    <w:rsid w:val="00EA59C8"/>
    <w:rsid w:val="00EA5B28"/>
    <w:rsid w:val="00EA5BFB"/>
    <w:rsid w:val="00EA5CC1"/>
    <w:rsid w:val="00EA5E53"/>
    <w:rsid w:val="00EA5FBD"/>
    <w:rsid w:val="00EA6097"/>
    <w:rsid w:val="00EA61A9"/>
    <w:rsid w:val="00EA63FF"/>
    <w:rsid w:val="00EA6636"/>
    <w:rsid w:val="00EA66F4"/>
    <w:rsid w:val="00EA675D"/>
    <w:rsid w:val="00EA6D7F"/>
    <w:rsid w:val="00EA6F02"/>
    <w:rsid w:val="00EA79E4"/>
    <w:rsid w:val="00EA7AEE"/>
    <w:rsid w:val="00EA7EDC"/>
    <w:rsid w:val="00EB0280"/>
    <w:rsid w:val="00EB0297"/>
    <w:rsid w:val="00EB03DE"/>
    <w:rsid w:val="00EB03E8"/>
    <w:rsid w:val="00EB0483"/>
    <w:rsid w:val="00EB059A"/>
    <w:rsid w:val="00EB0738"/>
    <w:rsid w:val="00EB0794"/>
    <w:rsid w:val="00EB07EC"/>
    <w:rsid w:val="00EB0A63"/>
    <w:rsid w:val="00EB0B87"/>
    <w:rsid w:val="00EB0D16"/>
    <w:rsid w:val="00EB1360"/>
    <w:rsid w:val="00EB13B7"/>
    <w:rsid w:val="00EB15BF"/>
    <w:rsid w:val="00EB16D4"/>
    <w:rsid w:val="00EB170F"/>
    <w:rsid w:val="00EB1803"/>
    <w:rsid w:val="00EB1923"/>
    <w:rsid w:val="00EB19CE"/>
    <w:rsid w:val="00EB220A"/>
    <w:rsid w:val="00EB2232"/>
    <w:rsid w:val="00EB23A4"/>
    <w:rsid w:val="00EB23D2"/>
    <w:rsid w:val="00EB2518"/>
    <w:rsid w:val="00EB2597"/>
    <w:rsid w:val="00EB2607"/>
    <w:rsid w:val="00EB2864"/>
    <w:rsid w:val="00EB2B65"/>
    <w:rsid w:val="00EB2D3E"/>
    <w:rsid w:val="00EB30B9"/>
    <w:rsid w:val="00EB327A"/>
    <w:rsid w:val="00EB3442"/>
    <w:rsid w:val="00EB3597"/>
    <w:rsid w:val="00EB3A13"/>
    <w:rsid w:val="00EB3C94"/>
    <w:rsid w:val="00EB3DF0"/>
    <w:rsid w:val="00EB3E7F"/>
    <w:rsid w:val="00EB3F37"/>
    <w:rsid w:val="00EB431A"/>
    <w:rsid w:val="00EB43FF"/>
    <w:rsid w:val="00EB45BB"/>
    <w:rsid w:val="00EB4834"/>
    <w:rsid w:val="00EB55AA"/>
    <w:rsid w:val="00EB5627"/>
    <w:rsid w:val="00EB59B5"/>
    <w:rsid w:val="00EB5DF6"/>
    <w:rsid w:val="00EB5E51"/>
    <w:rsid w:val="00EB5F0B"/>
    <w:rsid w:val="00EB607D"/>
    <w:rsid w:val="00EB654B"/>
    <w:rsid w:val="00EB69DE"/>
    <w:rsid w:val="00EB6AD5"/>
    <w:rsid w:val="00EB6D53"/>
    <w:rsid w:val="00EB6F9D"/>
    <w:rsid w:val="00EB700F"/>
    <w:rsid w:val="00EB7180"/>
    <w:rsid w:val="00EB7BD8"/>
    <w:rsid w:val="00EC0286"/>
    <w:rsid w:val="00EC07B7"/>
    <w:rsid w:val="00EC0E56"/>
    <w:rsid w:val="00EC104C"/>
    <w:rsid w:val="00EC1168"/>
    <w:rsid w:val="00EC1456"/>
    <w:rsid w:val="00EC15FD"/>
    <w:rsid w:val="00EC1B07"/>
    <w:rsid w:val="00EC20C0"/>
    <w:rsid w:val="00EC222C"/>
    <w:rsid w:val="00EC2511"/>
    <w:rsid w:val="00EC2537"/>
    <w:rsid w:val="00EC25BF"/>
    <w:rsid w:val="00EC26A7"/>
    <w:rsid w:val="00EC2DE8"/>
    <w:rsid w:val="00EC334A"/>
    <w:rsid w:val="00EC3400"/>
    <w:rsid w:val="00EC39EE"/>
    <w:rsid w:val="00EC3E43"/>
    <w:rsid w:val="00EC4258"/>
    <w:rsid w:val="00EC4495"/>
    <w:rsid w:val="00EC4565"/>
    <w:rsid w:val="00EC4567"/>
    <w:rsid w:val="00EC48B3"/>
    <w:rsid w:val="00EC4BD1"/>
    <w:rsid w:val="00EC4C9D"/>
    <w:rsid w:val="00EC4E0C"/>
    <w:rsid w:val="00EC4E13"/>
    <w:rsid w:val="00EC4F9E"/>
    <w:rsid w:val="00EC504E"/>
    <w:rsid w:val="00EC5101"/>
    <w:rsid w:val="00EC5307"/>
    <w:rsid w:val="00EC5317"/>
    <w:rsid w:val="00EC536D"/>
    <w:rsid w:val="00EC5648"/>
    <w:rsid w:val="00EC566C"/>
    <w:rsid w:val="00EC5687"/>
    <w:rsid w:val="00EC581A"/>
    <w:rsid w:val="00EC5BA8"/>
    <w:rsid w:val="00EC5F16"/>
    <w:rsid w:val="00EC6663"/>
    <w:rsid w:val="00EC680A"/>
    <w:rsid w:val="00EC7041"/>
    <w:rsid w:val="00EC7774"/>
    <w:rsid w:val="00EC77C0"/>
    <w:rsid w:val="00EC7A31"/>
    <w:rsid w:val="00ED034D"/>
    <w:rsid w:val="00ED0C7C"/>
    <w:rsid w:val="00ED1267"/>
    <w:rsid w:val="00ED12AD"/>
    <w:rsid w:val="00ED148A"/>
    <w:rsid w:val="00ED1F6C"/>
    <w:rsid w:val="00ED24FA"/>
    <w:rsid w:val="00ED2A51"/>
    <w:rsid w:val="00ED2AA7"/>
    <w:rsid w:val="00ED2BE9"/>
    <w:rsid w:val="00ED2C26"/>
    <w:rsid w:val="00ED2CFD"/>
    <w:rsid w:val="00ED2EF8"/>
    <w:rsid w:val="00ED2F4A"/>
    <w:rsid w:val="00ED2F51"/>
    <w:rsid w:val="00ED30A8"/>
    <w:rsid w:val="00ED31CC"/>
    <w:rsid w:val="00ED364A"/>
    <w:rsid w:val="00ED3D2E"/>
    <w:rsid w:val="00ED4325"/>
    <w:rsid w:val="00ED43E9"/>
    <w:rsid w:val="00ED484F"/>
    <w:rsid w:val="00ED4991"/>
    <w:rsid w:val="00ED4C5C"/>
    <w:rsid w:val="00ED4EC7"/>
    <w:rsid w:val="00ED5028"/>
    <w:rsid w:val="00ED51E4"/>
    <w:rsid w:val="00ED5452"/>
    <w:rsid w:val="00ED55E0"/>
    <w:rsid w:val="00ED5DB3"/>
    <w:rsid w:val="00ED684E"/>
    <w:rsid w:val="00ED6C36"/>
    <w:rsid w:val="00ED6F8D"/>
    <w:rsid w:val="00ED7841"/>
    <w:rsid w:val="00EE0218"/>
    <w:rsid w:val="00EE089A"/>
    <w:rsid w:val="00EE0DA8"/>
    <w:rsid w:val="00EE12DD"/>
    <w:rsid w:val="00EE14AA"/>
    <w:rsid w:val="00EE1684"/>
    <w:rsid w:val="00EE181F"/>
    <w:rsid w:val="00EE19B6"/>
    <w:rsid w:val="00EE1ACE"/>
    <w:rsid w:val="00EE1C63"/>
    <w:rsid w:val="00EE1C9E"/>
    <w:rsid w:val="00EE2345"/>
    <w:rsid w:val="00EE2872"/>
    <w:rsid w:val="00EE2E2B"/>
    <w:rsid w:val="00EE2FA3"/>
    <w:rsid w:val="00EE3507"/>
    <w:rsid w:val="00EE373F"/>
    <w:rsid w:val="00EE3A9B"/>
    <w:rsid w:val="00EE3B0A"/>
    <w:rsid w:val="00EE42CD"/>
    <w:rsid w:val="00EE493F"/>
    <w:rsid w:val="00EE4AC7"/>
    <w:rsid w:val="00EE4B49"/>
    <w:rsid w:val="00EE4DFE"/>
    <w:rsid w:val="00EE4ECF"/>
    <w:rsid w:val="00EE53A7"/>
    <w:rsid w:val="00EE5600"/>
    <w:rsid w:val="00EE5823"/>
    <w:rsid w:val="00EE5882"/>
    <w:rsid w:val="00EE5C48"/>
    <w:rsid w:val="00EE69EC"/>
    <w:rsid w:val="00EE6B4B"/>
    <w:rsid w:val="00EE6BA4"/>
    <w:rsid w:val="00EE6C8E"/>
    <w:rsid w:val="00EE6F66"/>
    <w:rsid w:val="00EE71C4"/>
    <w:rsid w:val="00EE73FA"/>
    <w:rsid w:val="00EE75A4"/>
    <w:rsid w:val="00EE7663"/>
    <w:rsid w:val="00EE789B"/>
    <w:rsid w:val="00EE7BC7"/>
    <w:rsid w:val="00EE7CFC"/>
    <w:rsid w:val="00EE7DB8"/>
    <w:rsid w:val="00EE7DD7"/>
    <w:rsid w:val="00EF0E4C"/>
    <w:rsid w:val="00EF1100"/>
    <w:rsid w:val="00EF12BA"/>
    <w:rsid w:val="00EF1865"/>
    <w:rsid w:val="00EF19DA"/>
    <w:rsid w:val="00EF1B9C"/>
    <w:rsid w:val="00EF1D81"/>
    <w:rsid w:val="00EF1DF5"/>
    <w:rsid w:val="00EF1FBB"/>
    <w:rsid w:val="00EF2627"/>
    <w:rsid w:val="00EF2884"/>
    <w:rsid w:val="00EF29D6"/>
    <w:rsid w:val="00EF2E00"/>
    <w:rsid w:val="00EF2E75"/>
    <w:rsid w:val="00EF35D7"/>
    <w:rsid w:val="00EF3651"/>
    <w:rsid w:val="00EF37AF"/>
    <w:rsid w:val="00EF3D63"/>
    <w:rsid w:val="00EF3E43"/>
    <w:rsid w:val="00EF3E87"/>
    <w:rsid w:val="00EF4151"/>
    <w:rsid w:val="00EF42E8"/>
    <w:rsid w:val="00EF453F"/>
    <w:rsid w:val="00EF49C2"/>
    <w:rsid w:val="00EF4A91"/>
    <w:rsid w:val="00EF4B3D"/>
    <w:rsid w:val="00EF4F4C"/>
    <w:rsid w:val="00EF4F8C"/>
    <w:rsid w:val="00EF5016"/>
    <w:rsid w:val="00EF51D9"/>
    <w:rsid w:val="00EF5357"/>
    <w:rsid w:val="00EF53BE"/>
    <w:rsid w:val="00EF5A00"/>
    <w:rsid w:val="00EF5AE1"/>
    <w:rsid w:val="00EF5EEE"/>
    <w:rsid w:val="00EF641C"/>
    <w:rsid w:val="00EF64FA"/>
    <w:rsid w:val="00EF65DD"/>
    <w:rsid w:val="00EF6622"/>
    <w:rsid w:val="00EF66DE"/>
    <w:rsid w:val="00EF6735"/>
    <w:rsid w:val="00EF697A"/>
    <w:rsid w:val="00EF6BB5"/>
    <w:rsid w:val="00EF6C75"/>
    <w:rsid w:val="00EF738F"/>
    <w:rsid w:val="00EF748A"/>
    <w:rsid w:val="00EF77B7"/>
    <w:rsid w:val="00EF7AC2"/>
    <w:rsid w:val="00EF7AE4"/>
    <w:rsid w:val="00EF7CF4"/>
    <w:rsid w:val="00EF7EF2"/>
    <w:rsid w:val="00EF7F9E"/>
    <w:rsid w:val="00F0087D"/>
    <w:rsid w:val="00F00A05"/>
    <w:rsid w:val="00F00B2D"/>
    <w:rsid w:val="00F00E54"/>
    <w:rsid w:val="00F00F43"/>
    <w:rsid w:val="00F0192F"/>
    <w:rsid w:val="00F019D8"/>
    <w:rsid w:val="00F01C53"/>
    <w:rsid w:val="00F01D2D"/>
    <w:rsid w:val="00F01EB0"/>
    <w:rsid w:val="00F01F1F"/>
    <w:rsid w:val="00F02307"/>
    <w:rsid w:val="00F02944"/>
    <w:rsid w:val="00F02DC4"/>
    <w:rsid w:val="00F0315D"/>
    <w:rsid w:val="00F03206"/>
    <w:rsid w:val="00F03577"/>
    <w:rsid w:val="00F03979"/>
    <w:rsid w:val="00F03B3F"/>
    <w:rsid w:val="00F03B94"/>
    <w:rsid w:val="00F03C98"/>
    <w:rsid w:val="00F03E09"/>
    <w:rsid w:val="00F040D0"/>
    <w:rsid w:val="00F04146"/>
    <w:rsid w:val="00F042B8"/>
    <w:rsid w:val="00F0489D"/>
    <w:rsid w:val="00F04BF0"/>
    <w:rsid w:val="00F04DA9"/>
    <w:rsid w:val="00F04E0C"/>
    <w:rsid w:val="00F05324"/>
    <w:rsid w:val="00F0542A"/>
    <w:rsid w:val="00F05501"/>
    <w:rsid w:val="00F05B6E"/>
    <w:rsid w:val="00F05BC4"/>
    <w:rsid w:val="00F060B5"/>
    <w:rsid w:val="00F06500"/>
    <w:rsid w:val="00F067A5"/>
    <w:rsid w:val="00F068E4"/>
    <w:rsid w:val="00F06D67"/>
    <w:rsid w:val="00F06ED3"/>
    <w:rsid w:val="00F070AB"/>
    <w:rsid w:val="00F07476"/>
    <w:rsid w:val="00F074EA"/>
    <w:rsid w:val="00F078FC"/>
    <w:rsid w:val="00F0799D"/>
    <w:rsid w:val="00F10266"/>
    <w:rsid w:val="00F10C41"/>
    <w:rsid w:val="00F11113"/>
    <w:rsid w:val="00F11302"/>
    <w:rsid w:val="00F115AB"/>
    <w:rsid w:val="00F116EE"/>
    <w:rsid w:val="00F1195D"/>
    <w:rsid w:val="00F11A4D"/>
    <w:rsid w:val="00F11A83"/>
    <w:rsid w:val="00F11C9B"/>
    <w:rsid w:val="00F11CE6"/>
    <w:rsid w:val="00F11E99"/>
    <w:rsid w:val="00F1233E"/>
    <w:rsid w:val="00F124BD"/>
    <w:rsid w:val="00F126C2"/>
    <w:rsid w:val="00F12B96"/>
    <w:rsid w:val="00F12E5C"/>
    <w:rsid w:val="00F12E60"/>
    <w:rsid w:val="00F13116"/>
    <w:rsid w:val="00F13388"/>
    <w:rsid w:val="00F13774"/>
    <w:rsid w:val="00F13816"/>
    <w:rsid w:val="00F139AC"/>
    <w:rsid w:val="00F13DF0"/>
    <w:rsid w:val="00F13E1D"/>
    <w:rsid w:val="00F13EDF"/>
    <w:rsid w:val="00F13FB2"/>
    <w:rsid w:val="00F140A6"/>
    <w:rsid w:val="00F14546"/>
    <w:rsid w:val="00F146A2"/>
    <w:rsid w:val="00F148B2"/>
    <w:rsid w:val="00F14AB6"/>
    <w:rsid w:val="00F14C5D"/>
    <w:rsid w:val="00F14DAF"/>
    <w:rsid w:val="00F14DFF"/>
    <w:rsid w:val="00F14F53"/>
    <w:rsid w:val="00F154EC"/>
    <w:rsid w:val="00F1574A"/>
    <w:rsid w:val="00F15E7E"/>
    <w:rsid w:val="00F16034"/>
    <w:rsid w:val="00F1608B"/>
    <w:rsid w:val="00F163C8"/>
    <w:rsid w:val="00F165E4"/>
    <w:rsid w:val="00F168A4"/>
    <w:rsid w:val="00F16991"/>
    <w:rsid w:val="00F16B6C"/>
    <w:rsid w:val="00F16B81"/>
    <w:rsid w:val="00F17026"/>
    <w:rsid w:val="00F1708B"/>
    <w:rsid w:val="00F170A1"/>
    <w:rsid w:val="00F17185"/>
    <w:rsid w:val="00F171C1"/>
    <w:rsid w:val="00F1738E"/>
    <w:rsid w:val="00F17532"/>
    <w:rsid w:val="00F17630"/>
    <w:rsid w:val="00F178F3"/>
    <w:rsid w:val="00F1797E"/>
    <w:rsid w:val="00F179EC"/>
    <w:rsid w:val="00F200B6"/>
    <w:rsid w:val="00F205A4"/>
    <w:rsid w:val="00F20CB0"/>
    <w:rsid w:val="00F20E26"/>
    <w:rsid w:val="00F20FF3"/>
    <w:rsid w:val="00F2168E"/>
    <w:rsid w:val="00F219CD"/>
    <w:rsid w:val="00F21D76"/>
    <w:rsid w:val="00F223A2"/>
    <w:rsid w:val="00F22458"/>
    <w:rsid w:val="00F224A6"/>
    <w:rsid w:val="00F22785"/>
    <w:rsid w:val="00F227DD"/>
    <w:rsid w:val="00F2290E"/>
    <w:rsid w:val="00F22FBB"/>
    <w:rsid w:val="00F23CAD"/>
    <w:rsid w:val="00F23EE5"/>
    <w:rsid w:val="00F248E6"/>
    <w:rsid w:val="00F24D5A"/>
    <w:rsid w:val="00F24E0C"/>
    <w:rsid w:val="00F2501F"/>
    <w:rsid w:val="00F250B6"/>
    <w:rsid w:val="00F25473"/>
    <w:rsid w:val="00F2569C"/>
    <w:rsid w:val="00F256D5"/>
    <w:rsid w:val="00F2599E"/>
    <w:rsid w:val="00F25E4C"/>
    <w:rsid w:val="00F267A2"/>
    <w:rsid w:val="00F269A8"/>
    <w:rsid w:val="00F26BB5"/>
    <w:rsid w:val="00F26E25"/>
    <w:rsid w:val="00F26E63"/>
    <w:rsid w:val="00F27755"/>
    <w:rsid w:val="00F27775"/>
    <w:rsid w:val="00F27978"/>
    <w:rsid w:val="00F27A8B"/>
    <w:rsid w:val="00F27DE9"/>
    <w:rsid w:val="00F27E17"/>
    <w:rsid w:val="00F27EBC"/>
    <w:rsid w:val="00F30C09"/>
    <w:rsid w:val="00F30C22"/>
    <w:rsid w:val="00F31042"/>
    <w:rsid w:val="00F310CD"/>
    <w:rsid w:val="00F31249"/>
    <w:rsid w:val="00F3134A"/>
    <w:rsid w:val="00F31668"/>
    <w:rsid w:val="00F3170A"/>
    <w:rsid w:val="00F31730"/>
    <w:rsid w:val="00F31AB3"/>
    <w:rsid w:val="00F31EE3"/>
    <w:rsid w:val="00F320C0"/>
    <w:rsid w:val="00F32266"/>
    <w:rsid w:val="00F324AC"/>
    <w:rsid w:val="00F324F1"/>
    <w:rsid w:val="00F32706"/>
    <w:rsid w:val="00F32712"/>
    <w:rsid w:val="00F3282A"/>
    <w:rsid w:val="00F32C26"/>
    <w:rsid w:val="00F32CD7"/>
    <w:rsid w:val="00F33272"/>
    <w:rsid w:val="00F3370F"/>
    <w:rsid w:val="00F33712"/>
    <w:rsid w:val="00F33776"/>
    <w:rsid w:val="00F33AF2"/>
    <w:rsid w:val="00F343E2"/>
    <w:rsid w:val="00F34603"/>
    <w:rsid w:val="00F34604"/>
    <w:rsid w:val="00F34765"/>
    <w:rsid w:val="00F3483A"/>
    <w:rsid w:val="00F348B0"/>
    <w:rsid w:val="00F34988"/>
    <w:rsid w:val="00F35050"/>
    <w:rsid w:val="00F35517"/>
    <w:rsid w:val="00F35645"/>
    <w:rsid w:val="00F35EE6"/>
    <w:rsid w:val="00F3602A"/>
    <w:rsid w:val="00F36552"/>
    <w:rsid w:val="00F365F6"/>
    <w:rsid w:val="00F36712"/>
    <w:rsid w:val="00F367A6"/>
    <w:rsid w:val="00F368EF"/>
    <w:rsid w:val="00F36CA5"/>
    <w:rsid w:val="00F36DED"/>
    <w:rsid w:val="00F37057"/>
    <w:rsid w:val="00F370A1"/>
    <w:rsid w:val="00F37585"/>
    <w:rsid w:val="00F375B1"/>
    <w:rsid w:val="00F37908"/>
    <w:rsid w:val="00F37A59"/>
    <w:rsid w:val="00F37CE0"/>
    <w:rsid w:val="00F37EB8"/>
    <w:rsid w:val="00F4081E"/>
    <w:rsid w:val="00F408AC"/>
    <w:rsid w:val="00F40B15"/>
    <w:rsid w:val="00F40CA8"/>
    <w:rsid w:val="00F41054"/>
    <w:rsid w:val="00F41356"/>
    <w:rsid w:val="00F4138A"/>
    <w:rsid w:val="00F413BB"/>
    <w:rsid w:val="00F4147B"/>
    <w:rsid w:val="00F414F7"/>
    <w:rsid w:val="00F415EC"/>
    <w:rsid w:val="00F41650"/>
    <w:rsid w:val="00F41735"/>
    <w:rsid w:val="00F41842"/>
    <w:rsid w:val="00F41C53"/>
    <w:rsid w:val="00F4200D"/>
    <w:rsid w:val="00F420EB"/>
    <w:rsid w:val="00F42777"/>
    <w:rsid w:val="00F429BF"/>
    <w:rsid w:val="00F42B05"/>
    <w:rsid w:val="00F42DB4"/>
    <w:rsid w:val="00F42E47"/>
    <w:rsid w:val="00F430A6"/>
    <w:rsid w:val="00F4319F"/>
    <w:rsid w:val="00F437F8"/>
    <w:rsid w:val="00F43CC5"/>
    <w:rsid w:val="00F44405"/>
    <w:rsid w:val="00F4474F"/>
    <w:rsid w:val="00F447B2"/>
    <w:rsid w:val="00F44994"/>
    <w:rsid w:val="00F44D64"/>
    <w:rsid w:val="00F44FCE"/>
    <w:rsid w:val="00F450D0"/>
    <w:rsid w:val="00F4518D"/>
    <w:rsid w:val="00F454AA"/>
    <w:rsid w:val="00F455EA"/>
    <w:rsid w:val="00F456F4"/>
    <w:rsid w:val="00F458FE"/>
    <w:rsid w:val="00F4591F"/>
    <w:rsid w:val="00F45ACA"/>
    <w:rsid w:val="00F45D15"/>
    <w:rsid w:val="00F45EE5"/>
    <w:rsid w:val="00F45FD2"/>
    <w:rsid w:val="00F461FB"/>
    <w:rsid w:val="00F466BC"/>
    <w:rsid w:val="00F46838"/>
    <w:rsid w:val="00F46A63"/>
    <w:rsid w:val="00F46C2E"/>
    <w:rsid w:val="00F46D60"/>
    <w:rsid w:val="00F4705D"/>
    <w:rsid w:val="00F4762D"/>
    <w:rsid w:val="00F47686"/>
    <w:rsid w:val="00F4769A"/>
    <w:rsid w:val="00F479E4"/>
    <w:rsid w:val="00F503B4"/>
    <w:rsid w:val="00F503C1"/>
    <w:rsid w:val="00F50564"/>
    <w:rsid w:val="00F5093B"/>
    <w:rsid w:val="00F50A88"/>
    <w:rsid w:val="00F50B75"/>
    <w:rsid w:val="00F50D2F"/>
    <w:rsid w:val="00F50D8E"/>
    <w:rsid w:val="00F50DA0"/>
    <w:rsid w:val="00F50FD0"/>
    <w:rsid w:val="00F511B9"/>
    <w:rsid w:val="00F511D4"/>
    <w:rsid w:val="00F51298"/>
    <w:rsid w:val="00F51642"/>
    <w:rsid w:val="00F518BB"/>
    <w:rsid w:val="00F51925"/>
    <w:rsid w:val="00F52862"/>
    <w:rsid w:val="00F53319"/>
    <w:rsid w:val="00F53380"/>
    <w:rsid w:val="00F536EE"/>
    <w:rsid w:val="00F53A58"/>
    <w:rsid w:val="00F53AD1"/>
    <w:rsid w:val="00F53B34"/>
    <w:rsid w:val="00F53C66"/>
    <w:rsid w:val="00F53DCF"/>
    <w:rsid w:val="00F53E1C"/>
    <w:rsid w:val="00F54016"/>
    <w:rsid w:val="00F54485"/>
    <w:rsid w:val="00F544A5"/>
    <w:rsid w:val="00F5491E"/>
    <w:rsid w:val="00F54A0D"/>
    <w:rsid w:val="00F5508C"/>
    <w:rsid w:val="00F555C7"/>
    <w:rsid w:val="00F5572B"/>
    <w:rsid w:val="00F559C7"/>
    <w:rsid w:val="00F559EB"/>
    <w:rsid w:val="00F55F2C"/>
    <w:rsid w:val="00F55F2E"/>
    <w:rsid w:val="00F5642C"/>
    <w:rsid w:val="00F567D4"/>
    <w:rsid w:val="00F56EB4"/>
    <w:rsid w:val="00F573F1"/>
    <w:rsid w:val="00F57538"/>
    <w:rsid w:val="00F578AF"/>
    <w:rsid w:val="00F57FC2"/>
    <w:rsid w:val="00F60224"/>
    <w:rsid w:val="00F602B6"/>
    <w:rsid w:val="00F60B75"/>
    <w:rsid w:val="00F60FC7"/>
    <w:rsid w:val="00F60FD8"/>
    <w:rsid w:val="00F618F2"/>
    <w:rsid w:val="00F61AF6"/>
    <w:rsid w:val="00F61C5E"/>
    <w:rsid w:val="00F61ED6"/>
    <w:rsid w:val="00F61FB5"/>
    <w:rsid w:val="00F62027"/>
    <w:rsid w:val="00F62495"/>
    <w:rsid w:val="00F626A1"/>
    <w:rsid w:val="00F62790"/>
    <w:rsid w:val="00F62E8E"/>
    <w:rsid w:val="00F632AF"/>
    <w:rsid w:val="00F63635"/>
    <w:rsid w:val="00F63750"/>
    <w:rsid w:val="00F63ACD"/>
    <w:rsid w:val="00F63B86"/>
    <w:rsid w:val="00F63C0C"/>
    <w:rsid w:val="00F63F6B"/>
    <w:rsid w:val="00F6421E"/>
    <w:rsid w:val="00F6426A"/>
    <w:rsid w:val="00F64C8C"/>
    <w:rsid w:val="00F64DE0"/>
    <w:rsid w:val="00F64DF8"/>
    <w:rsid w:val="00F64EAA"/>
    <w:rsid w:val="00F65D54"/>
    <w:rsid w:val="00F6602C"/>
    <w:rsid w:val="00F660B1"/>
    <w:rsid w:val="00F664AF"/>
    <w:rsid w:val="00F6686B"/>
    <w:rsid w:val="00F66ECE"/>
    <w:rsid w:val="00F66FC3"/>
    <w:rsid w:val="00F671D7"/>
    <w:rsid w:val="00F6732D"/>
    <w:rsid w:val="00F67810"/>
    <w:rsid w:val="00F67A29"/>
    <w:rsid w:val="00F67E5A"/>
    <w:rsid w:val="00F67E8A"/>
    <w:rsid w:val="00F700A6"/>
    <w:rsid w:val="00F70325"/>
    <w:rsid w:val="00F703E4"/>
    <w:rsid w:val="00F7047C"/>
    <w:rsid w:val="00F70CB6"/>
    <w:rsid w:val="00F70D5E"/>
    <w:rsid w:val="00F70E24"/>
    <w:rsid w:val="00F712C7"/>
    <w:rsid w:val="00F71719"/>
    <w:rsid w:val="00F71912"/>
    <w:rsid w:val="00F71A67"/>
    <w:rsid w:val="00F72025"/>
    <w:rsid w:val="00F72162"/>
    <w:rsid w:val="00F721BD"/>
    <w:rsid w:val="00F7256C"/>
    <w:rsid w:val="00F7262A"/>
    <w:rsid w:val="00F7265D"/>
    <w:rsid w:val="00F727D8"/>
    <w:rsid w:val="00F72858"/>
    <w:rsid w:val="00F72C45"/>
    <w:rsid w:val="00F72C58"/>
    <w:rsid w:val="00F72DAD"/>
    <w:rsid w:val="00F72E9E"/>
    <w:rsid w:val="00F73177"/>
    <w:rsid w:val="00F731E8"/>
    <w:rsid w:val="00F73363"/>
    <w:rsid w:val="00F733C3"/>
    <w:rsid w:val="00F73413"/>
    <w:rsid w:val="00F73545"/>
    <w:rsid w:val="00F735EF"/>
    <w:rsid w:val="00F736B7"/>
    <w:rsid w:val="00F738C6"/>
    <w:rsid w:val="00F739A4"/>
    <w:rsid w:val="00F739CA"/>
    <w:rsid w:val="00F739E1"/>
    <w:rsid w:val="00F73D7B"/>
    <w:rsid w:val="00F73E8B"/>
    <w:rsid w:val="00F73FD4"/>
    <w:rsid w:val="00F7418E"/>
    <w:rsid w:val="00F742C8"/>
    <w:rsid w:val="00F74365"/>
    <w:rsid w:val="00F7456D"/>
    <w:rsid w:val="00F747B5"/>
    <w:rsid w:val="00F7483D"/>
    <w:rsid w:val="00F748D6"/>
    <w:rsid w:val="00F74EA3"/>
    <w:rsid w:val="00F74EC5"/>
    <w:rsid w:val="00F751B1"/>
    <w:rsid w:val="00F7535D"/>
    <w:rsid w:val="00F75368"/>
    <w:rsid w:val="00F75524"/>
    <w:rsid w:val="00F75748"/>
    <w:rsid w:val="00F75A92"/>
    <w:rsid w:val="00F75C15"/>
    <w:rsid w:val="00F75C71"/>
    <w:rsid w:val="00F7605E"/>
    <w:rsid w:val="00F760E1"/>
    <w:rsid w:val="00F76184"/>
    <w:rsid w:val="00F76287"/>
    <w:rsid w:val="00F76494"/>
    <w:rsid w:val="00F7655D"/>
    <w:rsid w:val="00F76CA0"/>
    <w:rsid w:val="00F76D40"/>
    <w:rsid w:val="00F770AF"/>
    <w:rsid w:val="00F772D0"/>
    <w:rsid w:val="00F7739D"/>
    <w:rsid w:val="00F7792F"/>
    <w:rsid w:val="00F77AC6"/>
    <w:rsid w:val="00F77D4E"/>
    <w:rsid w:val="00F80283"/>
    <w:rsid w:val="00F804A9"/>
    <w:rsid w:val="00F807F1"/>
    <w:rsid w:val="00F80925"/>
    <w:rsid w:val="00F809C8"/>
    <w:rsid w:val="00F80A2D"/>
    <w:rsid w:val="00F80BFD"/>
    <w:rsid w:val="00F80E58"/>
    <w:rsid w:val="00F8108B"/>
    <w:rsid w:val="00F81212"/>
    <w:rsid w:val="00F812B3"/>
    <w:rsid w:val="00F81392"/>
    <w:rsid w:val="00F817AB"/>
    <w:rsid w:val="00F8181A"/>
    <w:rsid w:val="00F81E2E"/>
    <w:rsid w:val="00F81EE4"/>
    <w:rsid w:val="00F8201E"/>
    <w:rsid w:val="00F8236F"/>
    <w:rsid w:val="00F82457"/>
    <w:rsid w:val="00F8247F"/>
    <w:rsid w:val="00F82583"/>
    <w:rsid w:val="00F82DAD"/>
    <w:rsid w:val="00F82EEA"/>
    <w:rsid w:val="00F82F44"/>
    <w:rsid w:val="00F83019"/>
    <w:rsid w:val="00F833DB"/>
    <w:rsid w:val="00F835B4"/>
    <w:rsid w:val="00F83938"/>
    <w:rsid w:val="00F83ABB"/>
    <w:rsid w:val="00F83AE2"/>
    <w:rsid w:val="00F83ED4"/>
    <w:rsid w:val="00F8425D"/>
    <w:rsid w:val="00F84562"/>
    <w:rsid w:val="00F847C7"/>
    <w:rsid w:val="00F849FF"/>
    <w:rsid w:val="00F84AD3"/>
    <w:rsid w:val="00F84F2A"/>
    <w:rsid w:val="00F85025"/>
    <w:rsid w:val="00F8535E"/>
    <w:rsid w:val="00F854FE"/>
    <w:rsid w:val="00F85C46"/>
    <w:rsid w:val="00F862D7"/>
    <w:rsid w:val="00F86356"/>
    <w:rsid w:val="00F865A9"/>
    <w:rsid w:val="00F8687C"/>
    <w:rsid w:val="00F86A5E"/>
    <w:rsid w:val="00F86D1A"/>
    <w:rsid w:val="00F87554"/>
    <w:rsid w:val="00F8773A"/>
    <w:rsid w:val="00F87896"/>
    <w:rsid w:val="00F87A73"/>
    <w:rsid w:val="00F87B13"/>
    <w:rsid w:val="00F87C7B"/>
    <w:rsid w:val="00F901F0"/>
    <w:rsid w:val="00F9036D"/>
    <w:rsid w:val="00F90922"/>
    <w:rsid w:val="00F90A9E"/>
    <w:rsid w:val="00F90C8C"/>
    <w:rsid w:val="00F90CEC"/>
    <w:rsid w:val="00F90D21"/>
    <w:rsid w:val="00F90F8E"/>
    <w:rsid w:val="00F91162"/>
    <w:rsid w:val="00F912D6"/>
    <w:rsid w:val="00F913F8"/>
    <w:rsid w:val="00F91406"/>
    <w:rsid w:val="00F918CB"/>
    <w:rsid w:val="00F91E42"/>
    <w:rsid w:val="00F920B9"/>
    <w:rsid w:val="00F925DB"/>
    <w:rsid w:val="00F92706"/>
    <w:rsid w:val="00F92735"/>
    <w:rsid w:val="00F92962"/>
    <w:rsid w:val="00F92B60"/>
    <w:rsid w:val="00F92F5D"/>
    <w:rsid w:val="00F92FFF"/>
    <w:rsid w:val="00F93585"/>
    <w:rsid w:val="00F93677"/>
    <w:rsid w:val="00F93975"/>
    <w:rsid w:val="00F93EB6"/>
    <w:rsid w:val="00F944A0"/>
    <w:rsid w:val="00F945D6"/>
    <w:rsid w:val="00F94803"/>
    <w:rsid w:val="00F950AA"/>
    <w:rsid w:val="00F95812"/>
    <w:rsid w:val="00F958A5"/>
    <w:rsid w:val="00F95AD6"/>
    <w:rsid w:val="00F95B95"/>
    <w:rsid w:val="00F96565"/>
    <w:rsid w:val="00F9667F"/>
    <w:rsid w:val="00F96780"/>
    <w:rsid w:val="00F967FE"/>
    <w:rsid w:val="00F969AE"/>
    <w:rsid w:val="00F969D5"/>
    <w:rsid w:val="00F96E65"/>
    <w:rsid w:val="00F96EB4"/>
    <w:rsid w:val="00F96F47"/>
    <w:rsid w:val="00F97032"/>
    <w:rsid w:val="00F97215"/>
    <w:rsid w:val="00F972F2"/>
    <w:rsid w:val="00F979FB"/>
    <w:rsid w:val="00F97F33"/>
    <w:rsid w:val="00FA0133"/>
    <w:rsid w:val="00FA0B58"/>
    <w:rsid w:val="00FA0F17"/>
    <w:rsid w:val="00FA1146"/>
    <w:rsid w:val="00FA151D"/>
    <w:rsid w:val="00FA1A10"/>
    <w:rsid w:val="00FA1B63"/>
    <w:rsid w:val="00FA1DEB"/>
    <w:rsid w:val="00FA210E"/>
    <w:rsid w:val="00FA220B"/>
    <w:rsid w:val="00FA22F1"/>
    <w:rsid w:val="00FA288E"/>
    <w:rsid w:val="00FA2EBB"/>
    <w:rsid w:val="00FA2F00"/>
    <w:rsid w:val="00FA30E4"/>
    <w:rsid w:val="00FA34C3"/>
    <w:rsid w:val="00FA367A"/>
    <w:rsid w:val="00FA3768"/>
    <w:rsid w:val="00FA394A"/>
    <w:rsid w:val="00FA39D5"/>
    <w:rsid w:val="00FA3A23"/>
    <w:rsid w:val="00FA3C90"/>
    <w:rsid w:val="00FA3FDC"/>
    <w:rsid w:val="00FA40A6"/>
    <w:rsid w:val="00FA4165"/>
    <w:rsid w:val="00FA41EC"/>
    <w:rsid w:val="00FA427C"/>
    <w:rsid w:val="00FA46B5"/>
    <w:rsid w:val="00FA4792"/>
    <w:rsid w:val="00FA488B"/>
    <w:rsid w:val="00FA4B6F"/>
    <w:rsid w:val="00FA4D5B"/>
    <w:rsid w:val="00FA4F5A"/>
    <w:rsid w:val="00FA538B"/>
    <w:rsid w:val="00FA53E1"/>
    <w:rsid w:val="00FA5729"/>
    <w:rsid w:val="00FA595B"/>
    <w:rsid w:val="00FA5CD1"/>
    <w:rsid w:val="00FA5D9F"/>
    <w:rsid w:val="00FA5E1A"/>
    <w:rsid w:val="00FA6B63"/>
    <w:rsid w:val="00FA6F7A"/>
    <w:rsid w:val="00FA6FFA"/>
    <w:rsid w:val="00FA71BB"/>
    <w:rsid w:val="00FA76D5"/>
    <w:rsid w:val="00FA77B6"/>
    <w:rsid w:val="00FA7A4E"/>
    <w:rsid w:val="00FA7E3B"/>
    <w:rsid w:val="00FB01A8"/>
    <w:rsid w:val="00FB04F7"/>
    <w:rsid w:val="00FB0751"/>
    <w:rsid w:val="00FB0803"/>
    <w:rsid w:val="00FB0896"/>
    <w:rsid w:val="00FB0B9F"/>
    <w:rsid w:val="00FB0CA5"/>
    <w:rsid w:val="00FB10C6"/>
    <w:rsid w:val="00FB121A"/>
    <w:rsid w:val="00FB154F"/>
    <w:rsid w:val="00FB15EE"/>
    <w:rsid w:val="00FB161B"/>
    <w:rsid w:val="00FB1734"/>
    <w:rsid w:val="00FB240E"/>
    <w:rsid w:val="00FB2A34"/>
    <w:rsid w:val="00FB2E79"/>
    <w:rsid w:val="00FB2F5F"/>
    <w:rsid w:val="00FB338F"/>
    <w:rsid w:val="00FB3494"/>
    <w:rsid w:val="00FB371A"/>
    <w:rsid w:val="00FB3DCF"/>
    <w:rsid w:val="00FB455D"/>
    <w:rsid w:val="00FB4701"/>
    <w:rsid w:val="00FB4770"/>
    <w:rsid w:val="00FB49C3"/>
    <w:rsid w:val="00FB4D23"/>
    <w:rsid w:val="00FB54EA"/>
    <w:rsid w:val="00FB562C"/>
    <w:rsid w:val="00FB5C6E"/>
    <w:rsid w:val="00FB5E70"/>
    <w:rsid w:val="00FB5F39"/>
    <w:rsid w:val="00FB5F65"/>
    <w:rsid w:val="00FB61CD"/>
    <w:rsid w:val="00FB62BB"/>
    <w:rsid w:val="00FB640D"/>
    <w:rsid w:val="00FB66F5"/>
    <w:rsid w:val="00FB699F"/>
    <w:rsid w:val="00FB6BE7"/>
    <w:rsid w:val="00FB6C46"/>
    <w:rsid w:val="00FB6C6D"/>
    <w:rsid w:val="00FB6E53"/>
    <w:rsid w:val="00FB7155"/>
    <w:rsid w:val="00FB7704"/>
    <w:rsid w:val="00FB79EB"/>
    <w:rsid w:val="00FB7AF5"/>
    <w:rsid w:val="00FB7B61"/>
    <w:rsid w:val="00FC0047"/>
    <w:rsid w:val="00FC0139"/>
    <w:rsid w:val="00FC0231"/>
    <w:rsid w:val="00FC049E"/>
    <w:rsid w:val="00FC0824"/>
    <w:rsid w:val="00FC0E04"/>
    <w:rsid w:val="00FC0E49"/>
    <w:rsid w:val="00FC1235"/>
    <w:rsid w:val="00FC15A6"/>
    <w:rsid w:val="00FC15EC"/>
    <w:rsid w:val="00FC1666"/>
    <w:rsid w:val="00FC1679"/>
    <w:rsid w:val="00FC1737"/>
    <w:rsid w:val="00FC1DD3"/>
    <w:rsid w:val="00FC1EED"/>
    <w:rsid w:val="00FC1F1B"/>
    <w:rsid w:val="00FC22DA"/>
    <w:rsid w:val="00FC2302"/>
    <w:rsid w:val="00FC2525"/>
    <w:rsid w:val="00FC2ACC"/>
    <w:rsid w:val="00FC302F"/>
    <w:rsid w:val="00FC30AD"/>
    <w:rsid w:val="00FC3661"/>
    <w:rsid w:val="00FC3AD3"/>
    <w:rsid w:val="00FC4006"/>
    <w:rsid w:val="00FC4236"/>
    <w:rsid w:val="00FC42DC"/>
    <w:rsid w:val="00FC43A7"/>
    <w:rsid w:val="00FC4836"/>
    <w:rsid w:val="00FC4D65"/>
    <w:rsid w:val="00FC4E0C"/>
    <w:rsid w:val="00FC4E67"/>
    <w:rsid w:val="00FC5184"/>
    <w:rsid w:val="00FC5205"/>
    <w:rsid w:val="00FC567F"/>
    <w:rsid w:val="00FC57AD"/>
    <w:rsid w:val="00FC59C6"/>
    <w:rsid w:val="00FC5D86"/>
    <w:rsid w:val="00FC5DF5"/>
    <w:rsid w:val="00FC5E45"/>
    <w:rsid w:val="00FC5E48"/>
    <w:rsid w:val="00FC5F93"/>
    <w:rsid w:val="00FC7053"/>
    <w:rsid w:val="00FC715D"/>
    <w:rsid w:val="00FC748A"/>
    <w:rsid w:val="00FC76A7"/>
    <w:rsid w:val="00FC7A4F"/>
    <w:rsid w:val="00FC7B0F"/>
    <w:rsid w:val="00FC7DCB"/>
    <w:rsid w:val="00FC7F5B"/>
    <w:rsid w:val="00FD016F"/>
    <w:rsid w:val="00FD03B7"/>
    <w:rsid w:val="00FD03E8"/>
    <w:rsid w:val="00FD084D"/>
    <w:rsid w:val="00FD0B46"/>
    <w:rsid w:val="00FD11F2"/>
    <w:rsid w:val="00FD12C8"/>
    <w:rsid w:val="00FD1672"/>
    <w:rsid w:val="00FD1CA8"/>
    <w:rsid w:val="00FD1F01"/>
    <w:rsid w:val="00FD2019"/>
    <w:rsid w:val="00FD2099"/>
    <w:rsid w:val="00FD2150"/>
    <w:rsid w:val="00FD21C3"/>
    <w:rsid w:val="00FD22BA"/>
    <w:rsid w:val="00FD2690"/>
    <w:rsid w:val="00FD2973"/>
    <w:rsid w:val="00FD2D94"/>
    <w:rsid w:val="00FD30B3"/>
    <w:rsid w:val="00FD31F4"/>
    <w:rsid w:val="00FD3210"/>
    <w:rsid w:val="00FD323D"/>
    <w:rsid w:val="00FD3440"/>
    <w:rsid w:val="00FD34F1"/>
    <w:rsid w:val="00FD3572"/>
    <w:rsid w:val="00FD35B2"/>
    <w:rsid w:val="00FD35EC"/>
    <w:rsid w:val="00FD3C5F"/>
    <w:rsid w:val="00FD3F39"/>
    <w:rsid w:val="00FD419A"/>
    <w:rsid w:val="00FD4422"/>
    <w:rsid w:val="00FD4C22"/>
    <w:rsid w:val="00FD4C70"/>
    <w:rsid w:val="00FD4E50"/>
    <w:rsid w:val="00FD4EAB"/>
    <w:rsid w:val="00FD4EF8"/>
    <w:rsid w:val="00FD5282"/>
    <w:rsid w:val="00FD536A"/>
    <w:rsid w:val="00FD53B1"/>
    <w:rsid w:val="00FD5601"/>
    <w:rsid w:val="00FD591D"/>
    <w:rsid w:val="00FD5952"/>
    <w:rsid w:val="00FD5C49"/>
    <w:rsid w:val="00FD5C6E"/>
    <w:rsid w:val="00FD5C91"/>
    <w:rsid w:val="00FD5E9D"/>
    <w:rsid w:val="00FD6041"/>
    <w:rsid w:val="00FD6158"/>
    <w:rsid w:val="00FD61D9"/>
    <w:rsid w:val="00FD651F"/>
    <w:rsid w:val="00FD6551"/>
    <w:rsid w:val="00FD6721"/>
    <w:rsid w:val="00FD6AA0"/>
    <w:rsid w:val="00FD6DDE"/>
    <w:rsid w:val="00FD724E"/>
    <w:rsid w:val="00FD742B"/>
    <w:rsid w:val="00FD75AF"/>
    <w:rsid w:val="00FD776F"/>
    <w:rsid w:val="00FD78AE"/>
    <w:rsid w:val="00FD7C4E"/>
    <w:rsid w:val="00FD7D0C"/>
    <w:rsid w:val="00FE03A5"/>
    <w:rsid w:val="00FE11E6"/>
    <w:rsid w:val="00FE19A4"/>
    <w:rsid w:val="00FE1BE0"/>
    <w:rsid w:val="00FE1C82"/>
    <w:rsid w:val="00FE1EC3"/>
    <w:rsid w:val="00FE1ED5"/>
    <w:rsid w:val="00FE2982"/>
    <w:rsid w:val="00FE2EC0"/>
    <w:rsid w:val="00FE2EFC"/>
    <w:rsid w:val="00FE2F29"/>
    <w:rsid w:val="00FE3020"/>
    <w:rsid w:val="00FE35A1"/>
    <w:rsid w:val="00FE3BDF"/>
    <w:rsid w:val="00FE3C80"/>
    <w:rsid w:val="00FE3CD4"/>
    <w:rsid w:val="00FE3FCE"/>
    <w:rsid w:val="00FE40C2"/>
    <w:rsid w:val="00FE4639"/>
    <w:rsid w:val="00FE46B5"/>
    <w:rsid w:val="00FE4812"/>
    <w:rsid w:val="00FE4854"/>
    <w:rsid w:val="00FE552B"/>
    <w:rsid w:val="00FE565F"/>
    <w:rsid w:val="00FE57D7"/>
    <w:rsid w:val="00FE59A7"/>
    <w:rsid w:val="00FE5A20"/>
    <w:rsid w:val="00FE5D76"/>
    <w:rsid w:val="00FE60CD"/>
    <w:rsid w:val="00FE6109"/>
    <w:rsid w:val="00FE64BC"/>
    <w:rsid w:val="00FE6567"/>
    <w:rsid w:val="00FE65FF"/>
    <w:rsid w:val="00FE66AA"/>
    <w:rsid w:val="00FE66E6"/>
    <w:rsid w:val="00FE67C7"/>
    <w:rsid w:val="00FE6923"/>
    <w:rsid w:val="00FE6BE5"/>
    <w:rsid w:val="00FE715D"/>
    <w:rsid w:val="00FE7163"/>
    <w:rsid w:val="00FE71FF"/>
    <w:rsid w:val="00FE74E5"/>
    <w:rsid w:val="00FE7538"/>
    <w:rsid w:val="00FE7619"/>
    <w:rsid w:val="00FE76E6"/>
    <w:rsid w:val="00FE777F"/>
    <w:rsid w:val="00FE786B"/>
    <w:rsid w:val="00FE7CB2"/>
    <w:rsid w:val="00FE7D90"/>
    <w:rsid w:val="00FF048C"/>
    <w:rsid w:val="00FF0D05"/>
    <w:rsid w:val="00FF0F32"/>
    <w:rsid w:val="00FF0F57"/>
    <w:rsid w:val="00FF112D"/>
    <w:rsid w:val="00FF15A8"/>
    <w:rsid w:val="00FF16E5"/>
    <w:rsid w:val="00FF1F1F"/>
    <w:rsid w:val="00FF2C32"/>
    <w:rsid w:val="00FF2CDB"/>
    <w:rsid w:val="00FF2D0E"/>
    <w:rsid w:val="00FF3137"/>
    <w:rsid w:val="00FF34DE"/>
    <w:rsid w:val="00FF386F"/>
    <w:rsid w:val="00FF38CB"/>
    <w:rsid w:val="00FF3A6A"/>
    <w:rsid w:val="00FF3AC6"/>
    <w:rsid w:val="00FF3BE1"/>
    <w:rsid w:val="00FF3C9D"/>
    <w:rsid w:val="00FF3F02"/>
    <w:rsid w:val="00FF43CC"/>
    <w:rsid w:val="00FF49BF"/>
    <w:rsid w:val="00FF4C9C"/>
    <w:rsid w:val="00FF4E7A"/>
    <w:rsid w:val="00FF50D9"/>
    <w:rsid w:val="00FF50DA"/>
    <w:rsid w:val="00FF5706"/>
    <w:rsid w:val="00FF5876"/>
    <w:rsid w:val="00FF5996"/>
    <w:rsid w:val="00FF5ABD"/>
    <w:rsid w:val="00FF5D71"/>
    <w:rsid w:val="00FF6221"/>
    <w:rsid w:val="00FF6578"/>
    <w:rsid w:val="00FF66BA"/>
    <w:rsid w:val="00FF69CB"/>
    <w:rsid w:val="00FF6A09"/>
    <w:rsid w:val="00FF6B7F"/>
    <w:rsid w:val="00FF7028"/>
    <w:rsid w:val="00FF7054"/>
    <w:rsid w:val="00FF76E6"/>
    <w:rsid w:val="00FF7751"/>
    <w:rsid w:val="00FF7896"/>
    <w:rsid w:val="00FF7B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65A59F"/>
  <w15:docId w15:val="{55CA5400-F044-468D-BAC9-0C6E58EA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qFormat="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19"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A2C"/>
    <w:pPr>
      <w:suppressAutoHyphens/>
      <w:spacing w:after="120" w:line="360" w:lineRule="auto"/>
      <w:contextualSpacing/>
      <w:jc w:val="both"/>
    </w:pPr>
    <w:rPr>
      <w:rFonts w:asciiTheme="minorHAnsi" w:hAnsiTheme="minorHAnsi"/>
      <w:sz w:val="24"/>
      <w:szCs w:val="24"/>
      <w:lang w:val="es-MX" w:eastAsia="es-ES"/>
    </w:rPr>
  </w:style>
  <w:style w:type="paragraph" w:styleId="Ttulo1">
    <w:name w:val="heading 1"/>
    <w:aliases w:val="h:1,h:1app,H1,H11,Level 1,app heading 1,l1,h1,ITT t1,PA Chapter,Section Head,II+,I,Chapter Heading,1,Title1,H12,H111,H13,H112,H14,H113,H15,H114,H16,H115,H17,H116,H18,H117,H19,H118,H110,H119,H120,H1110,H121,H1111,H131,H1121,H141,H1131,H151,11"/>
    <w:basedOn w:val="Normal"/>
    <w:next w:val="Normal"/>
    <w:link w:val="Ttulo1Car"/>
    <w:autoRedefine/>
    <w:uiPriority w:val="99"/>
    <w:qFormat/>
    <w:rsid w:val="004B649F"/>
    <w:pPr>
      <w:keepNext/>
      <w:suppressAutoHyphens w:val="0"/>
      <w:spacing w:after="0" w:line="240" w:lineRule="auto"/>
      <w:ind w:left="1192" w:hanging="1191"/>
      <w:contextualSpacing w:val="0"/>
      <w:outlineLvl w:val="0"/>
    </w:pPr>
    <w:rPr>
      <w:rFonts w:ascii="ITC Avant Garde" w:hAnsi="ITC Avant Garde"/>
      <w:b/>
      <w:sz w:val="28"/>
      <w:szCs w:val="28"/>
    </w:rPr>
  </w:style>
  <w:style w:type="paragraph" w:styleId="Ttulo2">
    <w:name w:val="heading 2"/>
    <w:aliases w:val="h:2,h:2app,orderpara1,H2,H21,título 2,Level 2,heading 2+ Indent: Left 0.25 in,Head2A,2,Titre 2 ALD,Fab-2,h2,Level2,Titre 2 OD,Header 2,l2,h21,21,Header 21,l21,h22,22,Header 22,l22,h23,23,Header 23,l23,h24,24,Header 24,l24,h25,25,Header 25,l25"/>
    <w:basedOn w:val="Normal"/>
    <w:next w:val="Normal"/>
    <w:link w:val="Ttulo2Car"/>
    <w:uiPriority w:val="99"/>
    <w:qFormat/>
    <w:rsid w:val="00256585"/>
    <w:pPr>
      <w:keepNext/>
      <w:spacing w:before="240" w:after="60"/>
      <w:ind w:left="1134" w:hanging="567"/>
      <w:outlineLvl w:val="1"/>
    </w:pPr>
    <w:rPr>
      <w:b/>
      <w:lang w:val="es-ES"/>
    </w:rPr>
  </w:style>
  <w:style w:type="paragraph" w:styleId="Ttulo3">
    <w:name w:val="heading 3"/>
    <w:aliases w:val="h:3,h,3,orderpara2,H3,l3,31,l31,32,l32,33,l33,34,l34,35,l35,36,l36,37,l37,38,l38,39,l39,310,l310,311,l311,321,l321,331,l331,341,l341,351,l351,361,l361,371,l371,312,l312,322,l322,332,l332,342,l342,352,l352,362,l362,372,l372,313,l313,323,l323,E"/>
    <w:basedOn w:val="Ttulo2"/>
    <w:next w:val="Normal"/>
    <w:link w:val="Ttulo3Car"/>
    <w:uiPriority w:val="99"/>
    <w:qFormat/>
    <w:rsid w:val="00194AD9"/>
    <w:pPr>
      <w:ind w:left="993" w:hanging="426"/>
      <w:outlineLvl w:val="2"/>
    </w:pPr>
  </w:style>
  <w:style w:type="paragraph" w:styleId="Ttulo4">
    <w:name w:val="heading 4"/>
    <w:aliases w:val="h:4,h4,heading 4 + Indent: Left 0.5 in,a.,Map Title,ITT t4,PA Micro Section,I4,4,l4,heading,heading4,Title4,Header 4,H4-Heading 4,H4,le4,heading 4 + Indent: Left 0.25 in,1.1.1.1,T4,l4+toc4,Normal4,E4,Heading Four,C Head,Heading 4."/>
    <w:basedOn w:val="Normal"/>
    <w:next w:val="Normal"/>
    <w:link w:val="Ttulo4Car"/>
    <w:uiPriority w:val="99"/>
    <w:qFormat/>
    <w:rsid w:val="00F90C8C"/>
    <w:pPr>
      <w:keepNext/>
      <w:tabs>
        <w:tab w:val="num" w:pos="360"/>
      </w:tabs>
      <w:spacing w:before="240" w:after="60"/>
      <w:ind w:left="360" w:hanging="360"/>
      <w:outlineLvl w:val="3"/>
    </w:pPr>
  </w:style>
  <w:style w:type="paragraph" w:styleId="Ttulo5">
    <w:name w:val="heading 5"/>
    <w:aliases w:val="ITT t5,PA Pico Section,Roman list,5,Level 5,Header 5,H5-Heading 5,h5,H5,le5,l5,Heading5,heading5,H51,51,H5-Heading 51,h51,Heading51,l51,heading51,H52,52,H5-Heading 52,h52,Heading52,l52,heading52,H53,53,H5-Heading 53,h53,Heading53,l53"/>
    <w:basedOn w:val="Normal"/>
    <w:next w:val="Normal"/>
    <w:link w:val="Ttulo5Car"/>
    <w:uiPriority w:val="99"/>
    <w:qFormat/>
    <w:rsid w:val="00F90C8C"/>
    <w:pPr>
      <w:tabs>
        <w:tab w:val="num" w:pos="1576"/>
      </w:tabs>
      <w:spacing w:before="240" w:after="60"/>
      <w:ind w:left="1576" w:hanging="1008"/>
      <w:outlineLvl w:val="4"/>
    </w:pPr>
    <w:rPr>
      <w:sz w:val="22"/>
    </w:rPr>
  </w:style>
  <w:style w:type="paragraph" w:styleId="Ttulo6">
    <w:name w:val="heading 6"/>
    <w:aliases w:val="ITT t6,PA Appendix,Bullet list,6,Level 6,Header 6,h6,Requirement,61,h61,Requirement1,62,h62,Requirement2,611,h611,Requirement11,63,h63,Requirement3,612,h612,Requirement12,64,h64,Requirement4,613,h613,Requirement13,65,h65,Requirement5,614,h614"/>
    <w:basedOn w:val="Normal"/>
    <w:next w:val="Normal"/>
    <w:link w:val="Ttulo6Car"/>
    <w:uiPriority w:val="99"/>
    <w:qFormat/>
    <w:rsid w:val="00F90C8C"/>
    <w:pPr>
      <w:tabs>
        <w:tab w:val="num" w:pos="1152"/>
      </w:tabs>
      <w:spacing w:before="240" w:after="60"/>
      <w:ind w:left="1152" w:hanging="1152"/>
      <w:outlineLvl w:val="5"/>
    </w:pPr>
    <w:rPr>
      <w:i/>
      <w:sz w:val="22"/>
    </w:rPr>
  </w:style>
  <w:style w:type="paragraph" w:styleId="Ttulo7">
    <w:name w:val="heading 7"/>
    <w:aliases w:val="ITT t7,PA Appendix Major,letter list,7,req3,Header 7,Objective,ExhibitTitle,st,h7,Appendix3,lettered list"/>
    <w:basedOn w:val="Normal"/>
    <w:next w:val="Normal"/>
    <w:link w:val="Ttulo7Car"/>
    <w:uiPriority w:val="99"/>
    <w:qFormat/>
    <w:rsid w:val="00F90C8C"/>
    <w:pPr>
      <w:tabs>
        <w:tab w:val="num" w:pos="1296"/>
      </w:tabs>
      <w:spacing w:before="240" w:after="60"/>
      <w:ind w:left="1296" w:hanging="1296"/>
      <w:outlineLvl w:val="6"/>
    </w:pPr>
  </w:style>
  <w:style w:type="paragraph" w:styleId="Ttulo8">
    <w:name w:val="heading 8"/>
    <w:aliases w:val="ITT t8,PA Appendix Minor,action,8,r,requirement,req2,Reference List,Condition,FigureTitle,h8,Appendix1,Appendix11,ft,figure title,Annex,Heading 8 Char,Heading 8 Char1 Char,Heading 8 Char Char Char,Annex Char Char Char,Annex Char1 Char"/>
    <w:basedOn w:val="Normal"/>
    <w:next w:val="Normal"/>
    <w:link w:val="Ttulo8Car"/>
    <w:uiPriority w:val="99"/>
    <w:qFormat/>
    <w:rsid w:val="00F90C8C"/>
    <w:pPr>
      <w:tabs>
        <w:tab w:val="num" w:pos="1440"/>
      </w:tabs>
      <w:spacing w:before="240" w:after="60"/>
      <w:ind w:left="1440" w:hanging="1440"/>
      <w:outlineLvl w:val="7"/>
    </w:pPr>
    <w:rPr>
      <w:i/>
    </w:rPr>
  </w:style>
  <w:style w:type="paragraph" w:styleId="Ttulo9">
    <w:name w:val="heading 9"/>
    <w:aliases w:val="ITT t9,progress,App Heading,Titre 10,9,rb,req bullet,req1,Cond'l Reqt.,TableTitle,tt,h9,Appendix2,Appendix21,table title"/>
    <w:basedOn w:val="Normal"/>
    <w:next w:val="Normal"/>
    <w:link w:val="Ttulo9Car"/>
    <w:uiPriority w:val="99"/>
    <w:qFormat/>
    <w:rsid w:val="00F90C8C"/>
    <w:pPr>
      <w:tabs>
        <w:tab w:val="num" w:pos="1584"/>
      </w:tabs>
      <w:spacing w:before="240" w:after="60"/>
      <w:ind w:left="1584" w:hanging="1584"/>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app Car,H1 Car,H11 Car,Level 1 Car,app heading 1 Car,l1 Car,h1 Car,ITT t1 Car,PA Chapter Car,Section Head Car,II+ Car,I Car,Chapter Heading Car,1 Car,Title1 Car,H12 Car,H111 Car,H13 Car,H112 Car,H14 Car,H113 Car,H15 Car,H114 Car"/>
    <w:basedOn w:val="Fuentedeprrafopredeter"/>
    <w:link w:val="Ttulo1"/>
    <w:uiPriority w:val="99"/>
    <w:locked/>
    <w:rsid w:val="004B649F"/>
    <w:rPr>
      <w:rFonts w:ascii="ITC Avant Garde" w:hAnsi="ITC Avant Garde"/>
      <w:b/>
      <w:sz w:val="28"/>
      <w:szCs w:val="28"/>
      <w:lang w:val="es-MX" w:eastAsia="es-ES"/>
    </w:rPr>
  </w:style>
  <w:style w:type="character" w:customStyle="1" w:styleId="Ttulo2Car">
    <w:name w:val="Título 2 Car"/>
    <w:aliases w:val="h:2 Car,h:2app Car,orderpara1 Car,H2 Car,H21 Car,título 2 Car,Level 2 Car,heading 2+ Indent: Left 0.25 in Car,Head2A Car,2 Car,Titre 2 ALD Car,Fab-2 Car,h2 Car,Level2 Car,Titre 2 OD Car,Header 2 Car,l2 Car,h21 Car,21 Car,Header 21 Car"/>
    <w:basedOn w:val="Fuentedeprrafopredeter"/>
    <w:link w:val="Ttulo2"/>
    <w:uiPriority w:val="99"/>
    <w:locked/>
    <w:rsid w:val="00256585"/>
    <w:rPr>
      <w:rFonts w:asciiTheme="minorHAnsi" w:hAnsiTheme="minorHAnsi"/>
      <w:b/>
      <w:sz w:val="24"/>
      <w:szCs w:val="24"/>
      <w:lang w:val="es-ES" w:eastAsia="es-ES"/>
    </w:rPr>
  </w:style>
  <w:style w:type="character" w:customStyle="1" w:styleId="Ttulo3Car">
    <w:name w:val="Título 3 Car"/>
    <w:aliases w:val="h:3 Car,h Car,3 Car,orderpara2 Car,H3 Car,l3 Car,31 Car,l31 Car,32 Car,l32 Car,33 Car,l33 Car,34 Car,l34 Car,35 Car,l35 Car,36 Car,l36 Car,37 Car,l37 Car,38 Car,l38 Car,39 Car,l39 Car,310 Car,l310 Car,311 Car,l311 Car,321 Car,l321 Car,E Car"/>
    <w:basedOn w:val="Fuentedeprrafopredeter"/>
    <w:link w:val="Ttulo3"/>
    <w:uiPriority w:val="9"/>
    <w:locked/>
    <w:rsid w:val="00194AD9"/>
    <w:rPr>
      <w:rFonts w:asciiTheme="minorHAnsi" w:hAnsiTheme="minorHAnsi"/>
      <w:b/>
      <w:sz w:val="24"/>
      <w:szCs w:val="24"/>
      <w:lang w:val="es-ES" w:eastAsia="es-ES"/>
    </w:rPr>
  </w:style>
  <w:style w:type="character" w:customStyle="1" w:styleId="Ttulo4Car">
    <w:name w:val="Título 4 Car"/>
    <w:aliases w:val="h:4 Car,h4 Car,heading 4 + Indent: Left 0.5 in Car,a. Car,Map Title Car,ITT t4 Car,PA Micro Section Car,I4 Car,4 Car,l4 Car,heading Car,heading4 Car,Title4 Car,Header 4 Car,H4-Heading 4 Car,H4 Car,le4 Car,1.1.1.1 Car,T4 Car,l4+toc4 Car"/>
    <w:basedOn w:val="Fuentedeprrafopredeter"/>
    <w:link w:val="Ttulo4"/>
    <w:uiPriority w:val="99"/>
    <w:locked/>
    <w:rsid w:val="00F90C8C"/>
    <w:rPr>
      <w:rFonts w:ascii="Arial" w:hAnsi="Arial" w:cs="Times New Roman"/>
      <w:lang w:val="es-ES_tradnl" w:eastAsia="es-ES"/>
    </w:rPr>
  </w:style>
  <w:style w:type="character" w:customStyle="1" w:styleId="Heading5Char">
    <w:name w:val="Heading 5 Char"/>
    <w:aliases w:val="ITT t5 Char,PA Pico Section Char,Roman list Char,5 Char,Level 5 Char,Header 5 Char,H5-Heading 5 Char,h5 Char,H5 Char,le5 Char,l5 Char,Heading5 Char,heading5 Char,H51 Char,51 Char,H5-Heading 51 Char,h51 Char,Heading51 Char,l51 Char,52 Char"/>
    <w:basedOn w:val="Fuentedeprrafopredeter"/>
    <w:uiPriority w:val="9"/>
    <w:semiHidden/>
    <w:rsid w:val="00F0773A"/>
    <w:rPr>
      <w:rFonts w:asciiTheme="minorHAnsi" w:eastAsiaTheme="minorEastAsia" w:hAnsiTheme="minorHAnsi" w:cstheme="minorBidi"/>
      <w:b/>
      <w:bCs/>
      <w:i/>
      <w:iCs/>
      <w:sz w:val="26"/>
      <w:szCs w:val="26"/>
      <w:lang w:val="es-ES_tradnl" w:eastAsia="es-ES"/>
    </w:rPr>
  </w:style>
  <w:style w:type="character" w:customStyle="1" w:styleId="Heading6Char">
    <w:name w:val="Heading 6 Char"/>
    <w:aliases w:val="ITT t6 Char,PA Appendix Char,Bullet list Char,6 Char,Level 6 Char,Header 6 Char,h6 Char,Requirement Char,61 Char,h61 Char,Requirement1 Char,62 Char,h62 Char,Requirement2 Char,611 Char,h611 Char,Requirement11 Char,63 Char,h63 Char,612 Char"/>
    <w:basedOn w:val="Fuentedeprrafopredeter"/>
    <w:uiPriority w:val="9"/>
    <w:semiHidden/>
    <w:rsid w:val="00F0773A"/>
    <w:rPr>
      <w:rFonts w:asciiTheme="minorHAnsi" w:eastAsiaTheme="minorEastAsia" w:hAnsiTheme="minorHAnsi" w:cstheme="minorBidi"/>
      <w:b/>
      <w:bCs/>
      <w:lang w:val="es-ES_tradnl" w:eastAsia="es-ES"/>
    </w:rPr>
  </w:style>
  <w:style w:type="character" w:customStyle="1" w:styleId="Ttulo7Car">
    <w:name w:val="Título 7 Car"/>
    <w:aliases w:val="ITT t7 Car,PA Appendix Major Car,letter list Car,7 Car,req3 Car,Header 7 Car,Objective Car,ExhibitTitle Car,st Car,h7 Car,Appendix3 Car,lettered list Car"/>
    <w:basedOn w:val="Fuentedeprrafopredeter"/>
    <w:link w:val="Ttulo7"/>
    <w:uiPriority w:val="99"/>
    <w:locked/>
    <w:rsid w:val="00F90C8C"/>
    <w:rPr>
      <w:rFonts w:ascii="Arial" w:hAnsi="Arial" w:cs="Times New Roman"/>
      <w:lang w:val="es-ES_tradnl" w:eastAsia="es-ES"/>
    </w:rPr>
  </w:style>
  <w:style w:type="character" w:customStyle="1" w:styleId="Ttulo8Car">
    <w:name w:val="Título 8 Car"/>
    <w:aliases w:val="ITT t8 Car,PA Appendix Minor Car,action Car,8 Car,r Car,requirement Car,req2 Car,Reference List Car,Condition Car,FigureTitle Car,h8 Car1,Appendix1 Car1,Appendix11 Car1,ft Car1,figure title Car1,Annex Car1,Heading 8 Char Car1"/>
    <w:basedOn w:val="Fuentedeprrafopredeter"/>
    <w:link w:val="Ttulo8"/>
    <w:uiPriority w:val="99"/>
    <w:locked/>
    <w:rsid w:val="00F90C8C"/>
    <w:rPr>
      <w:rFonts w:ascii="Arial" w:hAnsi="Arial" w:cs="Times New Roman"/>
      <w:i/>
      <w:lang w:val="es-ES_tradnl" w:eastAsia="es-ES"/>
    </w:rPr>
  </w:style>
  <w:style w:type="character" w:customStyle="1" w:styleId="Ttulo9Car">
    <w:name w:val="Título 9 Car"/>
    <w:aliases w:val="ITT t9 Car,progress Car,App Heading Car,Titre 10 Car,9 Car,rb Car,req bullet Car,req1 Car,Cond'l Reqt. Car,TableTitle Car,tt Car1,h9 Car1,Appendix2 Car1,Appendix21 Car1,table title Car"/>
    <w:basedOn w:val="Fuentedeprrafopredeter"/>
    <w:link w:val="Ttulo9"/>
    <w:uiPriority w:val="99"/>
    <w:locked/>
    <w:rsid w:val="00F90C8C"/>
    <w:rPr>
      <w:rFonts w:ascii="Arial" w:hAnsi="Arial" w:cs="Times New Roman"/>
      <w:b/>
      <w:i/>
      <w:sz w:val="18"/>
      <w:lang w:val="es-ES_tradnl" w:eastAsia="es-ES"/>
    </w:rPr>
  </w:style>
  <w:style w:type="character" w:customStyle="1" w:styleId="Heading5Char9">
    <w:name w:val="Heading 5 Char9"/>
    <w:aliases w:val="ITT t5 Char7,PA Pico Section Char7,Roman list Char7,5 Char9,Level 5 Char7,Header 5 Char7,H5-Heading 5 Char9,h5 Char9,H5 Char9,le5 Char7,l5 Char9,Heading5 Char9,heading5 Char9,H51 Char9,51 Char9,H5-Heading 51 Char9,h51 Char9,l51 Char9"/>
    <w:basedOn w:val="Fuentedeprrafopredeter"/>
    <w:uiPriority w:val="99"/>
    <w:semiHidden/>
    <w:locked/>
    <w:rsid w:val="00C12EF6"/>
    <w:rPr>
      <w:rFonts w:ascii="Calibri" w:hAnsi="Calibri" w:cs="Times New Roman"/>
      <w:b/>
      <w:bCs/>
      <w:i/>
      <w:iCs/>
      <w:sz w:val="26"/>
      <w:szCs w:val="26"/>
      <w:lang w:val="es-ES_tradnl" w:eastAsia="es-ES"/>
    </w:rPr>
  </w:style>
  <w:style w:type="character" w:customStyle="1" w:styleId="Heading6Char6">
    <w:name w:val="Heading 6 Char6"/>
    <w:aliases w:val="ITT t6 Char6,PA Appendix Char6,Bullet list Char6,6 Char6,Level 6 Char6,Header 6 Char6,h6 Char6,Requirement Char6,61 Char6,h61 Char6,Requirement1 Char6,62 Char6,h62 Char6,Requirement2 Char6,611 Char6,h611 Char6,Requirement11 Char6,612 Cha"/>
    <w:basedOn w:val="Fuentedeprrafopredeter"/>
    <w:uiPriority w:val="99"/>
    <w:semiHidden/>
    <w:locked/>
    <w:rsid w:val="00C12EF6"/>
    <w:rPr>
      <w:rFonts w:ascii="Calibri" w:hAnsi="Calibri" w:cs="Times New Roman"/>
      <w:b/>
      <w:bCs/>
      <w:lang w:val="es-ES_tradnl" w:eastAsia="es-ES"/>
    </w:rPr>
  </w:style>
  <w:style w:type="character" w:customStyle="1" w:styleId="Heading5Char7">
    <w:name w:val="Heading 5 Char7"/>
    <w:aliases w:val="ITT t5 Char5,PA Pico Section Char5,Roman list Char5,5 Char7,Level 5 Char5,Header 5 Char5,H5-Heading 5 Char7,h5 Char7,H5 Char7,le5 Char5,l5 Char7,Heading5 Char7,heading5 Char7,H51 Char7,51 Char7,H5-Heading 51 Char7,h51 Char7,l51 Char7"/>
    <w:uiPriority w:val="99"/>
    <w:semiHidden/>
    <w:rsid w:val="00FE3020"/>
    <w:rPr>
      <w:rFonts w:ascii="Calibri" w:hAnsi="Calibri"/>
      <w:b/>
      <w:i/>
      <w:sz w:val="26"/>
      <w:lang w:val="es-ES_tradnl" w:eastAsia="es-ES"/>
    </w:rPr>
  </w:style>
  <w:style w:type="character" w:customStyle="1" w:styleId="Heading6Char5">
    <w:name w:val="Heading 6 Char5"/>
    <w:aliases w:val="ITT t6 Char5,PA Appendix Char5,Bullet list Char5,6 Char5,Level 6 Char5,Header 6 Char5,h6 Char5,Requirement Char5,61 Char5,h61 Char5,Requirement1 Char5,62 Char5,h62 Char5,Requirement2 Char5,611 Char5,h611 Char5,Requirement11 Char5,612 Ch"/>
    <w:uiPriority w:val="99"/>
    <w:semiHidden/>
    <w:rsid w:val="00FE3020"/>
    <w:rPr>
      <w:rFonts w:ascii="Calibri" w:hAnsi="Calibri"/>
      <w:b/>
      <w:lang w:val="es-ES_tradnl" w:eastAsia="es-ES"/>
    </w:rPr>
  </w:style>
  <w:style w:type="character" w:customStyle="1" w:styleId="Heading5Char6">
    <w:name w:val="Heading 5 Char6"/>
    <w:aliases w:val="ITT t5 Char4,PA Pico Section Char4,Roman list Char4,5 Char6,Level 5 Char4,Header 5 Char4,H5-Heading 5 Char6,h5 Char6,H5 Char6,le5 Char4,l5 Char6,Heading5 Char6,heading5 Char6,H51 Char6,51 Char6,H5-Heading 51 Char6,h51 Char6,l51 Char6"/>
    <w:uiPriority w:val="99"/>
    <w:semiHidden/>
    <w:rsid w:val="00FE4639"/>
    <w:rPr>
      <w:rFonts w:ascii="Calibri" w:hAnsi="Calibri"/>
      <w:b/>
      <w:i/>
      <w:sz w:val="26"/>
      <w:lang w:val="es-ES_tradnl" w:eastAsia="es-ES"/>
    </w:rPr>
  </w:style>
  <w:style w:type="character" w:customStyle="1" w:styleId="Heading6Char4">
    <w:name w:val="Heading 6 Char4"/>
    <w:aliases w:val="ITT t6 Char4,PA Appendix Char4,Bullet list Char4,6 Char4,Level 6 Char4,Header 6 Char4,h6 Char4,Requirement Char4,61 Char4,h61 Char4,Requirement1 Char4,62 Char4,h62 Char4,Requirement2 Char4,611 Char4,h611 Char4,Requirement11 Char4,612 Ch3"/>
    <w:uiPriority w:val="99"/>
    <w:semiHidden/>
    <w:rsid w:val="00FE4639"/>
    <w:rPr>
      <w:rFonts w:ascii="Calibri" w:hAnsi="Calibri"/>
      <w:b/>
      <w:lang w:val="es-ES_tradnl" w:eastAsia="es-ES"/>
    </w:rPr>
  </w:style>
  <w:style w:type="character" w:customStyle="1" w:styleId="Heading5Char5">
    <w:name w:val="Heading 5 Char5"/>
    <w:aliases w:val="ITT t5 Char3,PA Pico Section Char3,Roman list Char3,5 Char5,Level 5 Char3,Header 5 Char3,H5-Heading 5 Char5,h5 Char5,H5 Char5,le5 Char3,l5 Char5,Heading5 Char5,heading5 Char5,H51 Char5,51 Char5,H5-Heading 51 Char5,h51 Char5,l51 Char5"/>
    <w:uiPriority w:val="99"/>
    <w:semiHidden/>
    <w:rsid w:val="00FE4639"/>
    <w:rPr>
      <w:rFonts w:ascii="Calibri" w:hAnsi="Calibri"/>
      <w:b/>
      <w:i/>
      <w:sz w:val="26"/>
      <w:lang w:val="es-ES_tradnl" w:eastAsia="es-ES"/>
    </w:rPr>
  </w:style>
  <w:style w:type="character" w:customStyle="1" w:styleId="Heading6Char3">
    <w:name w:val="Heading 6 Char3"/>
    <w:aliases w:val="ITT t6 Char3,PA Appendix Char3,Bullet list Char3,6 Char3,Level 6 Char3,Header 6 Char3,h6 Char3,Requirement Char3,61 Char3,h61 Char3,Requirement1 Char3,62 Char3,h62 Char3,Requirement2 Char3,611 Char3,h611 Char3,Requirement11 Char3,612 Ch2"/>
    <w:uiPriority w:val="99"/>
    <w:semiHidden/>
    <w:rsid w:val="00FE4639"/>
    <w:rPr>
      <w:rFonts w:ascii="Calibri" w:hAnsi="Calibri"/>
      <w:b/>
      <w:lang w:val="es-ES_tradnl" w:eastAsia="es-ES"/>
    </w:rPr>
  </w:style>
  <w:style w:type="character" w:customStyle="1" w:styleId="Heading5Char4">
    <w:name w:val="Heading 5 Char4"/>
    <w:aliases w:val="ITT t5 Char2,PA Pico Section Char2,Roman list Char2,5 Char4,Level 5 Char2,Header 5 Char2,H5-Heading 5 Char4,h5 Char4,H5 Char4,le5 Char2,l5 Char4,Heading5 Char4,heading5 Char4,H51 Char4,51 Char4,H5-Heading 51 Char4,h51 Char4,l51 Char4"/>
    <w:uiPriority w:val="99"/>
    <w:semiHidden/>
    <w:rsid w:val="00FE4639"/>
    <w:rPr>
      <w:rFonts w:ascii="Calibri" w:hAnsi="Calibri"/>
      <w:b/>
      <w:i/>
      <w:sz w:val="26"/>
      <w:lang w:val="es-ES_tradnl" w:eastAsia="es-ES"/>
    </w:rPr>
  </w:style>
  <w:style w:type="character" w:customStyle="1" w:styleId="Heading6Char2">
    <w:name w:val="Heading 6 Char2"/>
    <w:aliases w:val="ITT t6 Char2,PA Appendix Char2,Bullet list Char2,6 Char2,Level 6 Char2,Header 6 Char2,h6 Char2,Requirement Char2,61 Char2,h61 Char2,Requirement1 Char2,62 Char2,h62 Char2,Requirement2 Char2,611 Char2,h611 Char2,Requirement11 Char2,612 Ch1"/>
    <w:uiPriority w:val="99"/>
    <w:semiHidden/>
    <w:rsid w:val="00FE4639"/>
    <w:rPr>
      <w:rFonts w:ascii="Calibri" w:hAnsi="Calibri"/>
      <w:b/>
      <w:lang w:val="es-ES_tradnl" w:eastAsia="es-ES"/>
    </w:rPr>
  </w:style>
  <w:style w:type="character" w:customStyle="1" w:styleId="Ttulo5Car">
    <w:name w:val="Título 5 Car"/>
    <w:aliases w:val="ITT t5 Car,PA Pico Section Car,Roman list Car,5 Car,Level 5 Car,Header 5 Car,H5-Heading 5 Car,h5 Car,H5 Car,le5 Car,l5 Car,Heading5 Car,heading5 Car,H51 Car,51 Car,H5-Heading 51 Car,h51 Car,Heading51 Car,l51 Car,heading51 Car,H52 Car,52 Car"/>
    <w:link w:val="Ttulo5"/>
    <w:uiPriority w:val="99"/>
    <w:locked/>
    <w:rsid w:val="00F90C8C"/>
    <w:rPr>
      <w:rFonts w:ascii="Arial" w:hAnsi="Arial"/>
      <w:sz w:val="22"/>
      <w:lang w:val="es-ES_tradnl" w:eastAsia="es-ES"/>
    </w:rPr>
  </w:style>
  <w:style w:type="character" w:customStyle="1" w:styleId="Ttulo6Car">
    <w:name w:val="Título 6 Car"/>
    <w:aliases w:val="ITT t6 Car,PA Appendix Car,Bullet list Car,6 Car,Level 6 Car,Header 6 Car,h6 Car,Requirement Car,61 Car,h61 Car,Requirement1 Car,62 Car,h62 Car,Requirement2 Car,611 Car,h611 Car,Requirement11 Car,63 Car,h63 Car,Requirement3 Car,612 Car"/>
    <w:link w:val="Ttulo6"/>
    <w:uiPriority w:val="99"/>
    <w:locked/>
    <w:rsid w:val="00F90C8C"/>
    <w:rPr>
      <w:rFonts w:ascii="Arial" w:hAnsi="Arial"/>
      <w:i/>
      <w:sz w:val="22"/>
      <w:lang w:val="es-ES_tradnl" w:eastAsia="es-ES"/>
    </w:rPr>
  </w:style>
  <w:style w:type="paragraph" w:styleId="Encabezado">
    <w:name w:val="header"/>
    <w:aliases w:val="Header/Footer,header odd,header odd1,header odd2,header odd3,header odd4,header odd5,header odd6,encabezado"/>
    <w:basedOn w:val="Normal"/>
    <w:link w:val="EncabezadoCar"/>
    <w:uiPriority w:val="99"/>
    <w:rsid w:val="00F90C8C"/>
    <w:pPr>
      <w:tabs>
        <w:tab w:val="center" w:pos="4252"/>
        <w:tab w:val="right" w:pos="8504"/>
      </w:tabs>
    </w:pPr>
  </w:style>
  <w:style w:type="character" w:customStyle="1" w:styleId="EncabezadoCar">
    <w:name w:val="Encabezado Car"/>
    <w:aliases w:val="Header/Footer Car,header odd Car,header odd1 Car,header odd2 Car,header odd3 Car,header odd4 Car,header odd5 Car,header odd6 Car,encabezado Car"/>
    <w:basedOn w:val="Fuentedeprrafopredeter"/>
    <w:link w:val="Encabezado"/>
    <w:uiPriority w:val="99"/>
    <w:locked/>
    <w:rsid w:val="00AD64F4"/>
    <w:rPr>
      <w:rFonts w:ascii="Arial" w:hAnsi="Arial" w:cs="Times New Roman"/>
      <w:lang w:val="es-ES_tradnl" w:eastAsia="es-ES"/>
    </w:rPr>
  </w:style>
  <w:style w:type="paragraph" w:customStyle="1" w:styleId="EstiloRequeridoIzquierda063cmPrimeralnea0cm">
    <w:name w:val="Estilo Requerido + Izquierda:  0.63 cm Primera línea:  0 cm"/>
    <w:basedOn w:val="Normal"/>
    <w:link w:val="EstiloRequeridoIzquierda063cmPrimeralnea0cmCar"/>
    <w:uiPriority w:val="99"/>
    <w:rsid w:val="001C53E6"/>
    <w:pPr>
      <w:numPr>
        <w:numId w:val="3"/>
      </w:numPr>
      <w:spacing w:before="120"/>
    </w:pPr>
    <w:rPr>
      <w:b/>
      <w:bCs/>
    </w:rPr>
  </w:style>
  <w:style w:type="paragraph" w:styleId="Piedepgina">
    <w:name w:val="footer"/>
    <w:basedOn w:val="Normal"/>
    <w:link w:val="PiedepginaCar"/>
    <w:uiPriority w:val="99"/>
    <w:rsid w:val="00F90C8C"/>
    <w:pPr>
      <w:tabs>
        <w:tab w:val="center" w:pos="4252"/>
        <w:tab w:val="right" w:pos="8504"/>
      </w:tabs>
    </w:pPr>
  </w:style>
  <w:style w:type="character" w:customStyle="1" w:styleId="PiedepginaCar">
    <w:name w:val="Pie de página Car"/>
    <w:basedOn w:val="Fuentedeprrafopredeter"/>
    <w:link w:val="Piedepgina"/>
    <w:uiPriority w:val="99"/>
    <w:locked/>
    <w:rsid w:val="00F90C8C"/>
    <w:rPr>
      <w:rFonts w:ascii="Arial" w:hAnsi="Arial" w:cs="Times New Roman"/>
      <w:lang w:val="es-ES_tradnl"/>
    </w:rPr>
  </w:style>
  <w:style w:type="paragraph" w:customStyle="1" w:styleId="claveesp">
    <w:name w:val="clave esp"/>
    <w:basedOn w:val="Normal"/>
    <w:uiPriority w:val="99"/>
    <w:rsid w:val="00F90C8C"/>
    <w:pPr>
      <w:tabs>
        <w:tab w:val="center" w:pos="4252"/>
        <w:tab w:val="right" w:pos="8504"/>
        <w:tab w:val="left" w:pos="9498"/>
      </w:tabs>
      <w:ind w:right="67"/>
      <w:jc w:val="right"/>
    </w:pPr>
    <w:rPr>
      <w:rFonts w:ascii="Courier" w:hAnsi="Courier"/>
    </w:rPr>
  </w:style>
  <w:style w:type="paragraph" w:customStyle="1" w:styleId="pieizq">
    <w:name w:val="pie izq"/>
    <w:basedOn w:val="Normal"/>
    <w:uiPriority w:val="99"/>
    <w:rsid w:val="00F90C8C"/>
    <w:pPr>
      <w:tabs>
        <w:tab w:val="center" w:pos="4252"/>
        <w:tab w:val="right" w:pos="8504"/>
        <w:tab w:val="left" w:pos="9498"/>
      </w:tabs>
      <w:ind w:left="4252" w:right="-115" w:hanging="4252"/>
    </w:pPr>
    <w:rPr>
      <w:b/>
      <w:sz w:val="28"/>
    </w:rPr>
  </w:style>
  <w:style w:type="paragraph" w:customStyle="1" w:styleId="pienum">
    <w:name w:val="pie num."/>
    <w:basedOn w:val="Normal"/>
    <w:uiPriority w:val="99"/>
    <w:rsid w:val="00F90C8C"/>
    <w:pPr>
      <w:tabs>
        <w:tab w:val="center" w:pos="4252"/>
        <w:tab w:val="right" w:pos="8504"/>
        <w:tab w:val="left" w:pos="9498"/>
      </w:tabs>
      <w:ind w:left="4252" w:right="-115" w:hanging="4252"/>
      <w:jc w:val="right"/>
    </w:pPr>
    <w:rPr>
      <w:rFonts w:ascii="Courier" w:hAnsi="Courier"/>
    </w:rPr>
  </w:style>
  <w:style w:type="paragraph" w:styleId="Textoindependiente">
    <w:name w:val="Body Text"/>
    <w:aliases w:val="Texto independiente Car,ändrad Car,Body3 Car,bt Car,BO Car,ID Car,body text Car,??2 Car,AvtalBrödtext Car,EHPT Car,Body Text2 Car,Bodytext Car,Body Text level 1 Car,Response Car,à¹×éÍàÃ×èÍ§ Car,AvtalBrodtext Car,à¹ Car,bt"/>
    <w:basedOn w:val="Normal"/>
    <w:link w:val="TextoindependienteCar1"/>
    <w:uiPriority w:val="99"/>
    <w:rsid w:val="00F90C8C"/>
    <w:pPr>
      <w:jc w:val="center"/>
    </w:pPr>
  </w:style>
  <w:style w:type="character" w:customStyle="1" w:styleId="BodyTextChar">
    <w:name w:val="Body Text Char"/>
    <w:aliases w:val="Texto independiente Car Char,ändrad Car Char,Body3 Car Char,bt Car Char,BO Car Char,ID Car Char,body text Car Char,??2 Car Char,AvtalBrödtext Car Char,EHPT Car Char,Body Text2 Car Char,Bodytext Car Char,Body Text level 1 Car Char,bt Char"/>
    <w:basedOn w:val="Fuentedeprrafopredeter"/>
    <w:uiPriority w:val="99"/>
    <w:semiHidden/>
    <w:locked/>
    <w:rsid w:val="00FE4639"/>
    <w:rPr>
      <w:rFonts w:ascii="Arial" w:hAnsi="Arial" w:cs="Times New Roman"/>
      <w:sz w:val="20"/>
      <w:lang w:val="es-ES_tradnl" w:eastAsia="es-ES"/>
    </w:rPr>
  </w:style>
  <w:style w:type="character" w:customStyle="1" w:styleId="TextoindependienteCar1">
    <w:name w:val="Texto independiente Car1"/>
    <w:aliases w:val="Texto independiente Car Car1,ändrad Car Car1,Body3 Car Car1,bt Car Car1,BO Car Car1,ID Car Car1,body text Car Car1,??2 Car Car1,AvtalBrödtext Car Car1,EHPT Car Car1,Body Text2 Car Car1,Bodytext Car Car1,Response Car Car1,bt Car1"/>
    <w:link w:val="Textoindependiente"/>
    <w:uiPriority w:val="99"/>
    <w:semiHidden/>
    <w:locked/>
    <w:rsid w:val="00F90C8C"/>
    <w:rPr>
      <w:rFonts w:ascii="Arial" w:hAnsi="Arial"/>
      <w:lang w:val="es-ES_tradnl"/>
    </w:rPr>
  </w:style>
  <w:style w:type="paragraph" w:styleId="Textocomentario">
    <w:name w:val="annotation text"/>
    <w:basedOn w:val="Normal"/>
    <w:link w:val="TextocomentarioCar"/>
    <w:uiPriority w:val="99"/>
    <w:rsid w:val="00F90C8C"/>
    <w:pPr>
      <w:tabs>
        <w:tab w:val="left" w:pos="794"/>
        <w:tab w:val="left" w:pos="1191"/>
        <w:tab w:val="left" w:pos="1588"/>
        <w:tab w:val="left" w:pos="1985"/>
      </w:tabs>
      <w:spacing w:before="136"/>
    </w:pPr>
  </w:style>
  <w:style w:type="character" w:customStyle="1" w:styleId="TextocomentarioCar">
    <w:name w:val="Texto comentario Car"/>
    <w:basedOn w:val="Fuentedeprrafopredeter"/>
    <w:link w:val="Textocomentario"/>
    <w:uiPriority w:val="99"/>
    <w:locked/>
    <w:rsid w:val="00F90C8C"/>
    <w:rPr>
      <w:rFonts w:ascii="Arial" w:hAnsi="Arial" w:cs="Times New Roman"/>
      <w:lang w:val="es-ES_tradnl"/>
    </w:rPr>
  </w:style>
  <w:style w:type="paragraph" w:customStyle="1" w:styleId="ITUparnumrot">
    <w:name w:val="ITU par. numéroté"/>
    <w:basedOn w:val="Normal"/>
    <w:uiPriority w:val="99"/>
    <w:rsid w:val="00F90C8C"/>
    <w:pPr>
      <w:keepLines/>
      <w:tabs>
        <w:tab w:val="left" w:pos="624"/>
        <w:tab w:val="left" w:pos="964"/>
      </w:tabs>
      <w:spacing w:before="120"/>
    </w:pPr>
    <w:rPr>
      <w:rFonts w:ascii="Times New Roman" w:hAnsi="Times New Roman"/>
      <w:lang w:eastAsia="en-US"/>
    </w:rPr>
  </w:style>
  <w:style w:type="character" w:customStyle="1" w:styleId="Typewriter">
    <w:name w:val="Typewriter"/>
    <w:uiPriority w:val="99"/>
    <w:rsid w:val="00F90C8C"/>
    <w:rPr>
      <w:rFonts w:ascii="Courier New" w:hAnsi="Courier New"/>
      <w:sz w:val="20"/>
    </w:rPr>
  </w:style>
  <w:style w:type="paragraph" w:customStyle="1" w:styleId="Normalaftertitle">
    <w:name w:val="Normal after title"/>
    <w:basedOn w:val="Normal"/>
    <w:uiPriority w:val="99"/>
    <w:rsid w:val="00F90C8C"/>
    <w:pPr>
      <w:tabs>
        <w:tab w:val="left" w:pos="794"/>
        <w:tab w:val="left" w:pos="1191"/>
        <w:tab w:val="left" w:pos="1588"/>
        <w:tab w:val="left" w:pos="1985"/>
      </w:tabs>
      <w:spacing w:before="480"/>
    </w:pPr>
  </w:style>
  <w:style w:type="paragraph" w:styleId="TDC1">
    <w:name w:val="toc 1"/>
    <w:basedOn w:val="Normal"/>
    <w:next w:val="Normal"/>
    <w:autoRedefine/>
    <w:uiPriority w:val="39"/>
    <w:qFormat/>
    <w:rsid w:val="00D9689C"/>
    <w:pPr>
      <w:tabs>
        <w:tab w:val="right" w:leader="dot" w:pos="8789"/>
      </w:tabs>
      <w:spacing w:before="120"/>
      <w:jc w:val="left"/>
    </w:pPr>
    <w:rPr>
      <w:bCs/>
      <w:caps/>
      <w:sz w:val="22"/>
    </w:rPr>
  </w:style>
  <w:style w:type="paragraph" w:styleId="TDC2">
    <w:name w:val="toc 2"/>
    <w:basedOn w:val="Normal"/>
    <w:next w:val="Normal"/>
    <w:autoRedefine/>
    <w:uiPriority w:val="39"/>
    <w:qFormat/>
    <w:rsid w:val="00D11B9E"/>
    <w:pPr>
      <w:tabs>
        <w:tab w:val="left" w:pos="0"/>
        <w:tab w:val="right" w:leader="dot" w:pos="8830"/>
      </w:tabs>
      <w:spacing w:before="120" w:after="240" w:line="240" w:lineRule="auto"/>
      <w:ind w:left="708" w:hanging="510"/>
    </w:pPr>
    <w:rPr>
      <w:rFonts w:ascii="Calibri" w:hAnsi="Calibri"/>
      <w:b/>
      <w:smallCaps/>
      <w:sz w:val="22"/>
      <w:szCs w:val="18"/>
    </w:rPr>
  </w:style>
  <w:style w:type="paragraph" w:styleId="TDC3">
    <w:name w:val="toc 3"/>
    <w:basedOn w:val="Normal"/>
    <w:next w:val="Normal"/>
    <w:autoRedefine/>
    <w:uiPriority w:val="39"/>
    <w:qFormat/>
    <w:rsid w:val="00D11B9E"/>
    <w:pPr>
      <w:spacing w:before="120" w:after="240" w:line="240" w:lineRule="auto"/>
      <w:ind w:left="403"/>
    </w:pPr>
    <w:rPr>
      <w:rFonts w:ascii="Calibri" w:hAnsi="Calibri"/>
      <w:iCs/>
      <w:smallCaps/>
      <w:sz w:val="20"/>
    </w:rPr>
  </w:style>
  <w:style w:type="paragraph" w:styleId="TDC4">
    <w:name w:val="toc 4"/>
    <w:basedOn w:val="Normal"/>
    <w:next w:val="Normal"/>
    <w:autoRedefine/>
    <w:uiPriority w:val="39"/>
    <w:rsid w:val="00F90C8C"/>
    <w:pPr>
      <w:ind w:left="600"/>
    </w:pPr>
    <w:rPr>
      <w:rFonts w:ascii="Times New Roman" w:hAnsi="Times New Roman"/>
      <w:sz w:val="18"/>
      <w:szCs w:val="18"/>
    </w:rPr>
  </w:style>
  <w:style w:type="paragraph" w:styleId="TDC5">
    <w:name w:val="toc 5"/>
    <w:basedOn w:val="Normal"/>
    <w:next w:val="Normal"/>
    <w:autoRedefine/>
    <w:uiPriority w:val="39"/>
    <w:rsid w:val="00F90C8C"/>
    <w:pPr>
      <w:ind w:left="800"/>
    </w:pPr>
    <w:rPr>
      <w:rFonts w:ascii="Times New Roman" w:hAnsi="Times New Roman"/>
      <w:sz w:val="18"/>
      <w:szCs w:val="18"/>
    </w:rPr>
  </w:style>
  <w:style w:type="paragraph" w:styleId="TDC6">
    <w:name w:val="toc 6"/>
    <w:basedOn w:val="Normal"/>
    <w:next w:val="Normal"/>
    <w:autoRedefine/>
    <w:uiPriority w:val="39"/>
    <w:rsid w:val="00F90C8C"/>
    <w:pPr>
      <w:ind w:left="1000"/>
    </w:pPr>
    <w:rPr>
      <w:rFonts w:ascii="Times New Roman" w:hAnsi="Times New Roman"/>
      <w:sz w:val="18"/>
      <w:szCs w:val="18"/>
    </w:rPr>
  </w:style>
  <w:style w:type="paragraph" w:styleId="TDC7">
    <w:name w:val="toc 7"/>
    <w:basedOn w:val="Normal"/>
    <w:next w:val="Normal"/>
    <w:autoRedefine/>
    <w:uiPriority w:val="39"/>
    <w:rsid w:val="00F90C8C"/>
    <w:pPr>
      <w:ind w:left="1200"/>
    </w:pPr>
    <w:rPr>
      <w:rFonts w:ascii="Times New Roman" w:hAnsi="Times New Roman"/>
      <w:sz w:val="18"/>
      <w:szCs w:val="18"/>
    </w:rPr>
  </w:style>
  <w:style w:type="paragraph" w:styleId="TDC8">
    <w:name w:val="toc 8"/>
    <w:basedOn w:val="Normal"/>
    <w:next w:val="Normal"/>
    <w:autoRedefine/>
    <w:uiPriority w:val="39"/>
    <w:rsid w:val="00F90C8C"/>
    <w:pPr>
      <w:ind w:left="1400"/>
    </w:pPr>
    <w:rPr>
      <w:rFonts w:ascii="Times New Roman" w:hAnsi="Times New Roman"/>
      <w:sz w:val="18"/>
      <w:szCs w:val="18"/>
    </w:rPr>
  </w:style>
  <w:style w:type="paragraph" w:styleId="TDC9">
    <w:name w:val="toc 9"/>
    <w:basedOn w:val="Normal"/>
    <w:next w:val="Normal"/>
    <w:autoRedefine/>
    <w:uiPriority w:val="39"/>
    <w:rsid w:val="00F90C8C"/>
    <w:pPr>
      <w:ind w:left="1600"/>
    </w:pPr>
    <w:rPr>
      <w:rFonts w:ascii="Times New Roman" w:hAnsi="Times New Roman"/>
      <w:sz w:val="18"/>
      <w:szCs w:val="18"/>
    </w:rPr>
  </w:style>
  <w:style w:type="character" w:styleId="Hipervnculo">
    <w:name w:val="Hyperlink"/>
    <w:basedOn w:val="Fuentedeprrafopredeter"/>
    <w:uiPriority w:val="99"/>
    <w:rsid w:val="00F90C8C"/>
    <w:rPr>
      <w:rFonts w:cs="Times New Roman"/>
      <w:color w:val="0000FF"/>
      <w:u w:val="single"/>
    </w:rPr>
  </w:style>
  <w:style w:type="paragraph" w:styleId="HTMLconformatoprevio">
    <w:name w:val="HTML Preformatted"/>
    <w:basedOn w:val="Normal"/>
    <w:link w:val="HTMLconformatoprevioCar"/>
    <w:uiPriority w:val="99"/>
    <w:rsid w:val="00F90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conformatoprevioCar">
    <w:name w:val="HTML con formato previo Car"/>
    <w:basedOn w:val="Fuentedeprrafopredeter"/>
    <w:link w:val="HTMLconformatoprevio"/>
    <w:uiPriority w:val="99"/>
    <w:semiHidden/>
    <w:locked/>
    <w:rsid w:val="00F90C8C"/>
    <w:rPr>
      <w:rFonts w:ascii="Courier New" w:hAnsi="Courier New" w:cs="Times New Roman"/>
      <w:lang w:val="es-ES_tradnl"/>
    </w:rPr>
  </w:style>
  <w:style w:type="paragraph" w:styleId="Sangradetextonormal">
    <w:name w:val="Body Text Indent"/>
    <w:basedOn w:val="Normal"/>
    <w:link w:val="SangradetextonormalCar"/>
    <w:uiPriority w:val="99"/>
    <w:rsid w:val="00F90C8C"/>
    <w:pPr>
      <w:ind w:left="360"/>
    </w:pPr>
  </w:style>
  <w:style w:type="character" w:customStyle="1" w:styleId="SangradetextonormalCar">
    <w:name w:val="Sangría de texto normal Car"/>
    <w:basedOn w:val="Fuentedeprrafopredeter"/>
    <w:link w:val="Sangradetextonormal"/>
    <w:uiPriority w:val="99"/>
    <w:semiHidden/>
    <w:locked/>
    <w:rsid w:val="00F90C8C"/>
    <w:rPr>
      <w:rFonts w:ascii="Arial" w:hAnsi="Arial" w:cs="Times New Roman"/>
      <w:lang w:val="es-ES_tradnl"/>
    </w:rPr>
  </w:style>
  <w:style w:type="paragraph" w:styleId="Sangra2detindependiente">
    <w:name w:val="Body Text Indent 2"/>
    <w:basedOn w:val="Normal"/>
    <w:link w:val="Sangra2detindependienteCar"/>
    <w:uiPriority w:val="99"/>
    <w:rsid w:val="00F90C8C"/>
    <w:pPr>
      <w:ind w:left="360"/>
    </w:pPr>
  </w:style>
  <w:style w:type="character" w:customStyle="1" w:styleId="Sangra2detindependienteCar">
    <w:name w:val="Sangría 2 de t. independiente Car"/>
    <w:basedOn w:val="Fuentedeprrafopredeter"/>
    <w:link w:val="Sangra2detindependiente"/>
    <w:uiPriority w:val="99"/>
    <w:locked/>
    <w:rsid w:val="00F90C8C"/>
    <w:rPr>
      <w:rFonts w:ascii="Arial" w:hAnsi="Arial" w:cs="Times New Roman"/>
      <w:lang w:val="es-ES_tradnl"/>
    </w:rPr>
  </w:style>
  <w:style w:type="paragraph" w:styleId="Textodebloque">
    <w:name w:val="Block Text"/>
    <w:basedOn w:val="Normal"/>
    <w:uiPriority w:val="99"/>
    <w:rsid w:val="00F90C8C"/>
    <w:pPr>
      <w:ind w:left="567" w:right="-1"/>
    </w:pPr>
    <w:rPr>
      <w:rFonts w:cs="Arial"/>
    </w:rPr>
  </w:style>
  <w:style w:type="character" w:styleId="Nmerodepgina">
    <w:name w:val="page number"/>
    <w:basedOn w:val="Fuentedeprrafopredeter"/>
    <w:uiPriority w:val="99"/>
    <w:rsid w:val="00F90C8C"/>
    <w:rPr>
      <w:rFonts w:cs="Times New Roman"/>
    </w:rPr>
  </w:style>
  <w:style w:type="paragraph" w:customStyle="1" w:styleId="enumlev1">
    <w:name w:val="enumlev1"/>
    <w:basedOn w:val="Normal"/>
    <w:uiPriority w:val="99"/>
    <w:rsid w:val="00F90C8C"/>
    <w:pPr>
      <w:tabs>
        <w:tab w:val="left" w:pos="794"/>
        <w:tab w:val="left" w:pos="1191"/>
        <w:tab w:val="left" w:pos="1588"/>
        <w:tab w:val="left" w:pos="1985"/>
      </w:tabs>
      <w:spacing w:before="80"/>
      <w:ind w:left="794" w:hanging="794"/>
    </w:pPr>
    <w:rPr>
      <w:rFonts w:ascii="Times New Roman" w:hAnsi="Times New Roman"/>
    </w:rPr>
  </w:style>
  <w:style w:type="paragraph" w:customStyle="1" w:styleId="TableText">
    <w:name w:val="Table_Text"/>
    <w:basedOn w:val="Normal"/>
    <w:uiPriority w:val="99"/>
    <w:rsid w:val="00F90C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57" w:after="57"/>
    </w:pPr>
  </w:style>
  <w:style w:type="paragraph" w:customStyle="1" w:styleId="TableHead">
    <w:name w:val="Table_Head"/>
    <w:basedOn w:val="TableText"/>
    <w:uiPriority w:val="99"/>
    <w:rsid w:val="00F90C8C"/>
    <w:pPr>
      <w:spacing w:before="113" w:after="113"/>
      <w:jc w:val="center"/>
    </w:pPr>
  </w:style>
  <w:style w:type="character" w:styleId="Hipervnculovisitado">
    <w:name w:val="FollowedHyperlink"/>
    <w:basedOn w:val="Fuentedeprrafopredeter"/>
    <w:uiPriority w:val="99"/>
    <w:rsid w:val="00F90C8C"/>
    <w:rPr>
      <w:rFonts w:cs="Times New Roman"/>
      <w:color w:val="800080"/>
      <w:u w:val="single"/>
    </w:rPr>
  </w:style>
  <w:style w:type="paragraph" w:customStyle="1" w:styleId="Rec">
    <w:name w:val="Rec_#"/>
    <w:basedOn w:val="Normal"/>
    <w:next w:val="Normal"/>
    <w:uiPriority w:val="99"/>
    <w:rsid w:val="00F90C8C"/>
    <w:pPr>
      <w:keepNext/>
      <w:keepLines/>
      <w:tabs>
        <w:tab w:val="center" w:pos="4849"/>
        <w:tab w:val="right" w:pos="9696"/>
      </w:tabs>
      <w:overflowPunct w:val="0"/>
      <w:autoSpaceDE w:val="0"/>
      <w:autoSpaceDN w:val="0"/>
      <w:adjustRightInd w:val="0"/>
      <w:spacing w:before="720"/>
      <w:jc w:val="center"/>
      <w:textAlignment w:val="baseline"/>
    </w:pPr>
    <w:rPr>
      <w:rFonts w:ascii="Times New Roman" w:hAnsi="Times New Roman"/>
      <w:lang w:val="en-GB"/>
    </w:rPr>
  </w:style>
  <w:style w:type="paragraph" w:styleId="Textoindependiente2">
    <w:name w:val="Body Text 2"/>
    <w:basedOn w:val="Normal"/>
    <w:link w:val="Textoindependiente2Car"/>
    <w:uiPriority w:val="99"/>
    <w:rsid w:val="00F90C8C"/>
  </w:style>
  <w:style w:type="character" w:customStyle="1" w:styleId="Textoindependiente2Car">
    <w:name w:val="Texto independiente 2 Car"/>
    <w:basedOn w:val="Fuentedeprrafopredeter"/>
    <w:link w:val="Textoindependiente2"/>
    <w:uiPriority w:val="99"/>
    <w:locked/>
    <w:rsid w:val="00F90C8C"/>
    <w:rPr>
      <w:rFonts w:ascii="Arial" w:hAnsi="Arial" w:cs="Times New Roman"/>
      <w:lang w:val="es-ES_tradnl"/>
    </w:rPr>
  </w:style>
  <w:style w:type="paragraph" w:styleId="Textosinformato">
    <w:name w:val="Plain Text"/>
    <w:basedOn w:val="Normal"/>
    <w:link w:val="TextosinformatoCar"/>
    <w:uiPriority w:val="99"/>
    <w:rsid w:val="00F90C8C"/>
    <w:rPr>
      <w:rFonts w:ascii="Courier New" w:hAnsi="Courier New"/>
    </w:rPr>
  </w:style>
  <w:style w:type="character" w:customStyle="1" w:styleId="TextosinformatoCar">
    <w:name w:val="Texto sin formato Car"/>
    <w:basedOn w:val="Fuentedeprrafopredeter"/>
    <w:link w:val="Textosinformato"/>
    <w:uiPriority w:val="99"/>
    <w:semiHidden/>
    <w:locked/>
    <w:rsid w:val="00F90C8C"/>
    <w:rPr>
      <w:rFonts w:ascii="Courier New" w:hAnsi="Courier New" w:cs="Times New Roman"/>
      <w:lang w:val="es-ES_tradnl"/>
    </w:rPr>
  </w:style>
  <w:style w:type="paragraph" w:styleId="Textoindependiente3">
    <w:name w:val="Body Text 3"/>
    <w:basedOn w:val="Normal"/>
    <w:link w:val="Textoindependiente3Car"/>
    <w:uiPriority w:val="99"/>
    <w:rsid w:val="00F90C8C"/>
    <w:rPr>
      <w:sz w:val="16"/>
    </w:rPr>
  </w:style>
  <w:style w:type="character" w:customStyle="1" w:styleId="Textoindependiente3Car">
    <w:name w:val="Texto independiente 3 Car"/>
    <w:basedOn w:val="Fuentedeprrafopredeter"/>
    <w:link w:val="Textoindependiente3"/>
    <w:uiPriority w:val="99"/>
    <w:locked/>
    <w:rsid w:val="00F90C8C"/>
    <w:rPr>
      <w:rFonts w:ascii="Arial" w:hAnsi="Arial" w:cs="Times New Roman"/>
      <w:sz w:val="16"/>
      <w:lang w:val="es-ES_tradnl"/>
    </w:rPr>
  </w:style>
  <w:style w:type="paragraph" w:customStyle="1" w:styleId="RecTitle">
    <w:name w:val="Rec_Title"/>
    <w:basedOn w:val="Rec"/>
    <w:next w:val="Normal"/>
    <w:uiPriority w:val="99"/>
    <w:rsid w:val="00F90C8C"/>
    <w:pPr>
      <w:spacing w:before="180"/>
    </w:pPr>
    <w:rPr>
      <w:b/>
    </w:rPr>
  </w:style>
  <w:style w:type="paragraph" w:styleId="Sangra3detindependiente">
    <w:name w:val="Body Text Indent 3"/>
    <w:basedOn w:val="Normal"/>
    <w:link w:val="Sangra3detindependienteCar"/>
    <w:uiPriority w:val="99"/>
    <w:rsid w:val="00F90C8C"/>
    <w:pPr>
      <w:ind w:left="708"/>
    </w:pPr>
    <w:rPr>
      <w:sz w:val="16"/>
    </w:rPr>
  </w:style>
  <w:style w:type="character" w:customStyle="1" w:styleId="Sangra3detindependienteCar">
    <w:name w:val="Sangría 3 de t. independiente Car"/>
    <w:basedOn w:val="Fuentedeprrafopredeter"/>
    <w:link w:val="Sangra3detindependiente"/>
    <w:uiPriority w:val="99"/>
    <w:locked/>
    <w:rsid w:val="00F90C8C"/>
    <w:rPr>
      <w:rFonts w:ascii="Arial" w:hAnsi="Arial" w:cs="Times New Roman"/>
      <w:sz w:val="16"/>
      <w:lang w:val="es-ES_tradnl"/>
    </w:rPr>
  </w:style>
  <w:style w:type="character" w:styleId="Refdecomentario">
    <w:name w:val="annotation reference"/>
    <w:basedOn w:val="Fuentedeprrafopredeter"/>
    <w:rsid w:val="00F90C8C"/>
    <w:rPr>
      <w:rFonts w:cs="Times New Roman"/>
      <w:sz w:val="16"/>
    </w:rPr>
  </w:style>
  <w:style w:type="character" w:styleId="AcrnimoHTML">
    <w:name w:val="HTML Acronym"/>
    <w:basedOn w:val="Fuentedeprrafopredeter"/>
    <w:uiPriority w:val="99"/>
    <w:rsid w:val="00F90C8C"/>
    <w:rPr>
      <w:rFonts w:cs="Times New Roman"/>
    </w:rPr>
  </w:style>
  <w:style w:type="paragraph" w:customStyle="1" w:styleId="NormalBulletLevel2">
    <w:name w:val="Normal Bullet Level 2"/>
    <w:basedOn w:val="Normal"/>
    <w:next w:val="Normal"/>
    <w:uiPriority w:val="99"/>
    <w:rsid w:val="00F90C8C"/>
    <w:pPr>
      <w:numPr>
        <w:numId w:val="1"/>
      </w:numPr>
      <w:tabs>
        <w:tab w:val="clear" w:pos="9000"/>
      </w:tabs>
      <w:spacing w:before="60" w:after="60"/>
      <w:ind w:left="4680"/>
    </w:pPr>
    <w:rPr>
      <w:rFonts w:ascii="Garamond" w:hAnsi="Garamond"/>
      <w:sz w:val="22"/>
      <w:szCs w:val="22"/>
      <w:lang w:val="en-US" w:eastAsia="en-US"/>
    </w:rPr>
  </w:style>
  <w:style w:type="paragraph" w:customStyle="1" w:styleId="NormalBulletChar">
    <w:name w:val="Normal Bullet Char"/>
    <w:basedOn w:val="Normal"/>
    <w:uiPriority w:val="99"/>
    <w:rsid w:val="00F90C8C"/>
    <w:pPr>
      <w:numPr>
        <w:numId w:val="2"/>
      </w:numPr>
      <w:spacing w:before="60" w:after="60"/>
    </w:pPr>
    <w:rPr>
      <w:rFonts w:ascii="Garamond" w:hAnsi="Garamond"/>
      <w:sz w:val="22"/>
      <w:szCs w:val="22"/>
      <w:lang w:val="en-US" w:eastAsia="en-US"/>
    </w:rPr>
  </w:style>
  <w:style w:type="paragraph" w:customStyle="1" w:styleId="AppendixHeading1">
    <w:name w:val="Appendix Heading 1"/>
    <w:basedOn w:val="Normal"/>
    <w:autoRedefine/>
    <w:uiPriority w:val="99"/>
    <w:rsid w:val="00F90C8C"/>
    <w:pPr>
      <w:keepNext/>
      <w:tabs>
        <w:tab w:val="left" w:pos="0"/>
        <w:tab w:val="num" w:pos="648"/>
      </w:tabs>
      <w:spacing w:before="240" w:after="60"/>
      <w:ind w:left="648" w:hanging="1296"/>
      <w:outlineLvl w:val="0"/>
    </w:pPr>
    <w:rPr>
      <w:b/>
      <w:sz w:val="28"/>
      <w:lang w:val="en-US" w:eastAsia="en-US"/>
    </w:rPr>
  </w:style>
  <w:style w:type="paragraph" w:customStyle="1" w:styleId="AppendixHeading2">
    <w:name w:val="Appendix Heading 2"/>
    <w:basedOn w:val="Ttulo2"/>
    <w:uiPriority w:val="99"/>
    <w:rsid w:val="00F90C8C"/>
    <w:pPr>
      <w:tabs>
        <w:tab w:val="num" w:pos="0"/>
      </w:tabs>
      <w:ind w:left="0" w:hanging="792"/>
      <w:jc w:val="left"/>
    </w:pPr>
    <w:rPr>
      <w:lang w:val="en-US" w:eastAsia="en-US"/>
    </w:rPr>
  </w:style>
  <w:style w:type="paragraph" w:customStyle="1" w:styleId="AppendixHeading3">
    <w:name w:val="Appendix Heading 3"/>
    <w:basedOn w:val="AppendixHeading2"/>
    <w:uiPriority w:val="99"/>
    <w:rsid w:val="00F90C8C"/>
    <w:pPr>
      <w:tabs>
        <w:tab w:val="clear" w:pos="0"/>
        <w:tab w:val="num" w:pos="864"/>
        <w:tab w:val="num" w:pos="2880"/>
      </w:tabs>
      <w:ind w:left="864" w:hanging="360"/>
    </w:pPr>
  </w:style>
  <w:style w:type="paragraph" w:customStyle="1" w:styleId="TableHeading">
    <w:name w:val="Table Heading"/>
    <w:basedOn w:val="Normal"/>
    <w:autoRedefine/>
    <w:uiPriority w:val="99"/>
    <w:rsid w:val="00F90C8C"/>
    <w:pPr>
      <w:keepNext/>
      <w:spacing w:before="40" w:after="40"/>
    </w:pPr>
    <w:rPr>
      <w:rFonts w:cs="Arial"/>
      <w:b/>
      <w:bCs/>
      <w:sz w:val="18"/>
      <w:lang w:val="en-US" w:eastAsia="en-US"/>
    </w:rPr>
  </w:style>
  <w:style w:type="paragraph" w:styleId="Listaconvietas">
    <w:name w:val="List Bullet"/>
    <w:basedOn w:val="Normal"/>
    <w:autoRedefine/>
    <w:uiPriority w:val="99"/>
    <w:qFormat/>
    <w:rsid w:val="00A04C3E"/>
    <w:pPr>
      <w:numPr>
        <w:numId w:val="221"/>
      </w:numPr>
      <w:suppressAutoHyphens w:val="0"/>
      <w:spacing w:after="0" w:line="240" w:lineRule="auto"/>
    </w:pPr>
    <w:rPr>
      <w:rFonts w:ascii="ITC Avant Garde" w:hAnsi="ITC Avant Garde"/>
      <w:b/>
      <w:sz w:val="22"/>
      <w:szCs w:val="22"/>
      <w:lang w:val="es-ES" w:eastAsia="es-MX"/>
    </w:rPr>
  </w:style>
  <w:style w:type="paragraph" w:styleId="Descripcin">
    <w:name w:val="caption"/>
    <w:aliases w:val="TF,cap"/>
    <w:basedOn w:val="Normal"/>
    <w:next w:val="Normal"/>
    <w:uiPriority w:val="99"/>
    <w:qFormat/>
    <w:rsid w:val="00F90C8C"/>
    <w:pPr>
      <w:keepNext/>
      <w:spacing w:before="120"/>
    </w:pPr>
    <w:rPr>
      <w:b/>
      <w:bCs/>
      <w:lang w:val="en-US" w:eastAsia="en-US"/>
    </w:rPr>
  </w:style>
  <w:style w:type="paragraph" w:styleId="Asuntodelcomentario">
    <w:name w:val="annotation subject"/>
    <w:basedOn w:val="Textocomentario"/>
    <w:next w:val="Textocomentario"/>
    <w:link w:val="AsuntodelcomentarioCar"/>
    <w:uiPriority w:val="99"/>
    <w:semiHidden/>
    <w:rsid w:val="00F90C8C"/>
    <w:pPr>
      <w:tabs>
        <w:tab w:val="clear" w:pos="794"/>
        <w:tab w:val="clear" w:pos="1191"/>
        <w:tab w:val="clear" w:pos="1588"/>
        <w:tab w:val="clear" w:pos="1985"/>
      </w:tabs>
      <w:spacing w:before="0"/>
      <w:jc w:val="left"/>
    </w:pPr>
    <w:rPr>
      <w:b/>
    </w:rPr>
  </w:style>
  <w:style w:type="character" w:customStyle="1" w:styleId="AsuntodelcomentarioCar">
    <w:name w:val="Asunto del comentario Car"/>
    <w:basedOn w:val="TextocomentarioCar"/>
    <w:link w:val="Asuntodelcomentario"/>
    <w:uiPriority w:val="99"/>
    <w:semiHidden/>
    <w:locked/>
    <w:rsid w:val="00F90C8C"/>
    <w:rPr>
      <w:rFonts w:ascii="Arial" w:hAnsi="Arial" w:cs="Times New Roman"/>
      <w:b/>
      <w:lang w:val="es-ES_tradnl"/>
    </w:rPr>
  </w:style>
  <w:style w:type="paragraph" w:styleId="Textodeglobo">
    <w:name w:val="Balloon Text"/>
    <w:basedOn w:val="Normal"/>
    <w:link w:val="TextodegloboCar"/>
    <w:uiPriority w:val="99"/>
    <w:semiHidden/>
    <w:rsid w:val="00F90C8C"/>
    <w:rPr>
      <w:rFonts w:ascii="Tahoma" w:hAnsi="Tahoma"/>
      <w:sz w:val="16"/>
    </w:rPr>
  </w:style>
  <w:style w:type="character" w:customStyle="1" w:styleId="TextodegloboCar">
    <w:name w:val="Texto de globo Car"/>
    <w:basedOn w:val="Fuentedeprrafopredeter"/>
    <w:link w:val="Textodeglobo"/>
    <w:uiPriority w:val="99"/>
    <w:semiHidden/>
    <w:locked/>
    <w:rsid w:val="00F90C8C"/>
    <w:rPr>
      <w:rFonts w:ascii="Tahoma" w:hAnsi="Tahoma" w:cs="Times New Roman"/>
      <w:sz w:val="16"/>
      <w:lang w:val="es-ES_tradnl"/>
    </w:rPr>
  </w:style>
  <w:style w:type="paragraph" w:customStyle="1" w:styleId="headingi">
    <w:name w:val="heading_i"/>
    <w:basedOn w:val="Ttulo3"/>
    <w:next w:val="Normal"/>
    <w:uiPriority w:val="99"/>
    <w:rsid w:val="00F90C8C"/>
    <w:pPr>
      <w:keepLines/>
      <w:tabs>
        <w:tab w:val="left" w:pos="794"/>
        <w:tab w:val="left" w:pos="2127"/>
        <w:tab w:val="left" w:pos="2410"/>
        <w:tab w:val="left" w:pos="2921"/>
        <w:tab w:val="left" w:pos="3261"/>
      </w:tabs>
      <w:overflowPunct w:val="0"/>
      <w:autoSpaceDE w:val="0"/>
      <w:autoSpaceDN w:val="0"/>
      <w:adjustRightInd w:val="0"/>
      <w:spacing w:before="160" w:after="0"/>
      <w:ind w:left="0" w:firstLine="0"/>
      <w:textAlignment w:val="baseline"/>
      <w:outlineLvl w:val="9"/>
    </w:pPr>
    <w:rPr>
      <w:iCs/>
      <w:color w:val="000000"/>
    </w:rPr>
  </w:style>
  <w:style w:type="paragraph" w:customStyle="1" w:styleId="TH">
    <w:name w:val="TH"/>
    <w:basedOn w:val="Normal"/>
    <w:uiPriority w:val="99"/>
    <w:rsid w:val="00F90C8C"/>
    <w:pPr>
      <w:keepNext/>
      <w:keepLines/>
      <w:overflowPunct w:val="0"/>
      <w:autoSpaceDE w:val="0"/>
      <w:autoSpaceDN w:val="0"/>
      <w:adjustRightInd w:val="0"/>
      <w:spacing w:before="60" w:after="180"/>
      <w:jc w:val="center"/>
      <w:textAlignment w:val="baseline"/>
    </w:pPr>
    <w:rPr>
      <w:b/>
      <w:lang w:val="en-GB" w:eastAsia="en-US"/>
    </w:rPr>
  </w:style>
  <w:style w:type="table" w:styleId="Tablaconcuadrcula">
    <w:name w:val="Table Grid"/>
    <w:basedOn w:val="Tablanormal"/>
    <w:uiPriority w:val="59"/>
    <w:rsid w:val="00A95BA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RequeridoIzquierda063cmPrimeralnea0cmCar">
    <w:name w:val="Estilo Requerido + Izquierda:  0.63 cm Primera línea:  0 cm Car"/>
    <w:link w:val="EstiloRequeridoIzquierda063cmPrimeralnea0cm"/>
    <w:uiPriority w:val="99"/>
    <w:locked/>
    <w:rsid w:val="001C53E6"/>
    <w:rPr>
      <w:rFonts w:asciiTheme="minorHAnsi" w:hAnsiTheme="minorHAnsi"/>
      <w:b/>
      <w:bCs/>
      <w:sz w:val="24"/>
      <w:szCs w:val="24"/>
      <w:lang w:val="es-MX" w:eastAsia="es-ES"/>
    </w:rPr>
  </w:style>
  <w:style w:type="paragraph" w:customStyle="1" w:styleId="aOpcional">
    <w:name w:val="aOpcional"/>
    <w:basedOn w:val="Normal"/>
    <w:uiPriority w:val="99"/>
    <w:rsid w:val="00145EFE"/>
    <w:pPr>
      <w:numPr>
        <w:numId w:val="4"/>
      </w:numPr>
      <w:tabs>
        <w:tab w:val="left" w:pos="794"/>
        <w:tab w:val="left" w:pos="1191"/>
        <w:tab w:val="left" w:pos="1588"/>
        <w:tab w:val="left" w:pos="1985"/>
      </w:tabs>
      <w:spacing w:before="136"/>
    </w:pPr>
    <w:rPr>
      <w:lang w:eastAsia="en-US"/>
    </w:rPr>
  </w:style>
  <w:style w:type="character" w:customStyle="1" w:styleId="st1">
    <w:name w:val="st1"/>
    <w:uiPriority w:val="99"/>
    <w:rsid w:val="00857C97"/>
  </w:style>
  <w:style w:type="paragraph" w:customStyle="1" w:styleId="ARequeridoR">
    <w:name w:val="A Requerido (R)"/>
    <w:basedOn w:val="Normal"/>
    <w:next w:val="Normal"/>
    <w:uiPriority w:val="99"/>
    <w:rsid w:val="00BF609B"/>
    <w:pPr>
      <w:keepLines/>
      <w:numPr>
        <w:numId w:val="19"/>
      </w:numPr>
      <w:tabs>
        <w:tab w:val="left" w:pos="794"/>
        <w:tab w:val="left" w:pos="1191"/>
        <w:tab w:val="left" w:pos="1588"/>
        <w:tab w:val="left" w:pos="1985"/>
      </w:tabs>
      <w:spacing w:before="136"/>
    </w:pPr>
    <w:rPr>
      <w:lang w:eastAsia="en-US"/>
    </w:rPr>
  </w:style>
  <w:style w:type="paragraph" w:styleId="Ttulo">
    <w:name w:val="Title"/>
    <w:basedOn w:val="Normal"/>
    <w:link w:val="TtuloCar"/>
    <w:uiPriority w:val="99"/>
    <w:qFormat/>
    <w:rsid w:val="009C4526"/>
    <w:pPr>
      <w:spacing w:before="240" w:after="60"/>
      <w:jc w:val="center"/>
      <w:outlineLvl w:val="0"/>
    </w:pPr>
    <w:rPr>
      <w:rFonts w:ascii="Cambria" w:hAnsi="Cambria"/>
      <w:b/>
      <w:kern w:val="28"/>
      <w:sz w:val="32"/>
    </w:rPr>
  </w:style>
  <w:style w:type="character" w:customStyle="1" w:styleId="TtuloCar">
    <w:name w:val="Título Car"/>
    <w:basedOn w:val="Fuentedeprrafopredeter"/>
    <w:link w:val="Ttulo"/>
    <w:uiPriority w:val="99"/>
    <w:locked/>
    <w:rsid w:val="00F90C8C"/>
    <w:rPr>
      <w:rFonts w:ascii="Cambria" w:hAnsi="Cambria" w:cs="Times New Roman"/>
      <w:b/>
      <w:kern w:val="28"/>
      <w:sz w:val="32"/>
      <w:lang w:val="es-ES_tradnl"/>
    </w:rPr>
  </w:style>
  <w:style w:type="paragraph" w:customStyle="1" w:styleId="Arial14Bold">
    <w:name w:val="Arial14Bold"/>
    <w:basedOn w:val="Normal"/>
    <w:uiPriority w:val="99"/>
    <w:rsid w:val="009C4526"/>
    <w:rPr>
      <w:b/>
      <w:sz w:val="28"/>
    </w:rPr>
  </w:style>
  <w:style w:type="paragraph" w:customStyle="1" w:styleId="Note">
    <w:name w:val="Note"/>
    <w:basedOn w:val="Normal"/>
    <w:uiPriority w:val="99"/>
    <w:rsid w:val="009C4526"/>
    <w:pPr>
      <w:tabs>
        <w:tab w:val="left" w:pos="1191"/>
        <w:tab w:val="left" w:pos="1588"/>
        <w:tab w:val="left" w:pos="1985"/>
      </w:tabs>
      <w:spacing w:before="136"/>
      <w:ind w:firstLine="567"/>
    </w:pPr>
    <w:rPr>
      <w:sz w:val="22"/>
    </w:rPr>
  </w:style>
  <w:style w:type="paragraph" w:customStyle="1" w:styleId="TableTitle">
    <w:name w:val="Table_Title"/>
    <w:basedOn w:val="Normal"/>
    <w:next w:val="TableText"/>
    <w:uiPriority w:val="99"/>
    <w:rsid w:val="009C4526"/>
    <w:pPr>
      <w:keepNext/>
      <w:tabs>
        <w:tab w:val="left" w:pos="794"/>
        <w:tab w:val="left" w:pos="1191"/>
        <w:tab w:val="left" w:pos="1588"/>
        <w:tab w:val="left" w:pos="1985"/>
      </w:tabs>
      <w:spacing w:after="113"/>
      <w:jc w:val="center"/>
    </w:pPr>
    <w:rPr>
      <w:b/>
    </w:rPr>
  </w:style>
  <w:style w:type="paragraph" w:customStyle="1" w:styleId="FigureNo">
    <w:name w:val="Figure_No"/>
    <w:basedOn w:val="Normal"/>
    <w:next w:val="Normal"/>
    <w:uiPriority w:val="99"/>
    <w:rsid w:val="009C4526"/>
    <w:pPr>
      <w:keepNext/>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hAnsi="Times New Roman"/>
      <w:lang w:val="es-ES"/>
    </w:rPr>
  </w:style>
  <w:style w:type="paragraph" w:customStyle="1" w:styleId="Figuretitle">
    <w:name w:val="Figure_title"/>
    <w:basedOn w:val="TableTitle"/>
    <w:next w:val="Normal"/>
    <w:uiPriority w:val="99"/>
    <w:rsid w:val="009C4526"/>
    <w:pPr>
      <w:keepNext w:val="0"/>
      <w:keepLines/>
      <w:overflowPunct w:val="0"/>
      <w:autoSpaceDE w:val="0"/>
      <w:autoSpaceDN w:val="0"/>
      <w:adjustRightInd w:val="0"/>
      <w:spacing w:before="120" w:after="480"/>
      <w:textAlignment w:val="baseline"/>
    </w:pPr>
    <w:rPr>
      <w:rFonts w:ascii="Times New Roman" w:hAnsi="Times New Roman"/>
      <w:lang w:val="es-ES"/>
    </w:rPr>
  </w:style>
  <w:style w:type="paragraph" w:customStyle="1" w:styleId="enumlev2">
    <w:name w:val="enumlev2"/>
    <w:basedOn w:val="enumlev1"/>
    <w:uiPriority w:val="99"/>
    <w:rsid w:val="009C4526"/>
    <w:pPr>
      <w:overflowPunct w:val="0"/>
      <w:autoSpaceDE w:val="0"/>
      <w:autoSpaceDN w:val="0"/>
      <w:adjustRightInd w:val="0"/>
      <w:ind w:left="1191" w:hanging="397"/>
      <w:textAlignment w:val="baseline"/>
    </w:pPr>
    <w:rPr>
      <w:lang w:val="es-ES"/>
    </w:rPr>
  </w:style>
  <w:style w:type="paragraph" w:customStyle="1" w:styleId="p">
    <w:name w:val="p"/>
    <w:aliases w:val="paragraph"/>
    <w:uiPriority w:val="99"/>
    <w:rsid w:val="009C4526"/>
    <w:pPr>
      <w:widowControl w:val="0"/>
      <w:tabs>
        <w:tab w:val="left" w:pos="479"/>
        <w:tab w:val="left" w:pos="960"/>
        <w:tab w:val="left" w:pos="1440"/>
        <w:tab w:val="left" w:pos="1919"/>
        <w:tab w:val="left" w:pos="2400"/>
        <w:tab w:val="left" w:pos="2880"/>
        <w:tab w:val="left" w:pos="3359"/>
        <w:tab w:val="left" w:pos="3840"/>
        <w:tab w:val="left" w:pos="4320"/>
        <w:tab w:val="left" w:pos="4799"/>
        <w:tab w:val="left" w:pos="5280"/>
        <w:tab w:val="left" w:pos="5760"/>
        <w:tab w:val="left" w:pos="6239"/>
        <w:tab w:val="left" w:pos="6720"/>
        <w:tab w:val="left" w:pos="7200"/>
        <w:tab w:val="left" w:pos="7679"/>
        <w:tab w:val="left" w:pos="8160"/>
        <w:tab w:val="left" w:pos="8640"/>
        <w:tab w:val="left" w:pos="9119"/>
      </w:tabs>
      <w:spacing w:before="160" w:after="100" w:line="280" w:lineRule="exact"/>
    </w:pPr>
    <w:rPr>
      <w:rFonts w:ascii="Times" w:hAnsi="Times"/>
      <w:sz w:val="24"/>
      <w:szCs w:val="20"/>
      <w:lang w:eastAsia="es-ES"/>
    </w:rPr>
  </w:style>
  <w:style w:type="paragraph" w:customStyle="1" w:styleId="CouvRecTitle">
    <w:name w:val="Couv Rec Title"/>
    <w:basedOn w:val="Normal"/>
    <w:uiPriority w:val="99"/>
    <w:rsid w:val="009C4526"/>
    <w:pPr>
      <w:keepNext/>
      <w:keepLines/>
      <w:spacing w:before="240"/>
      <w:ind w:left="1418"/>
    </w:pPr>
    <w:rPr>
      <w:b/>
      <w:sz w:val="36"/>
      <w:lang w:val="en-US"/>
    </w:rPr>
  </w:style>
  <w:style w:type="paragraph" w:styleId="Mapadeldocumento">
    <w:name w:val="Document Map"/>
    <w:basedOn w:val="Normal"/>
    <w:link w:val="MapadeldocumentoCar"/>
    <w:uiPriority w:val="99"/>
    <w:semiHidden/>
    <w:rsid w:val="009C4526"/>
    <w:pPr>
      <w:shd w:val="clear" w:color="auto" w:fill="000080"/>
    </w:pPr>
    <w:rPr>
      <w:rFonts w:ascii="Tahoma" w:hAnsi="Tahoma"/>
      <w:sz w:val="16"/>
    </w:rPr>
  </w:style>
  <w:style w:type="character" w:customStyle="1" w:styleId="MapadeldocumentoCar">
    <w:name w:val="Mapa del documento Car"/>
    <w:basedOn w:val="Fuentedeprrafopredeter"/>
    <w:link w:val="Mapadeldocumento"/>
    <w:uiPriority w:val="99"/>
    <w:semiHidden/>
    <w:locked/>
    <w:rsid w:val="00F90C8C"/>
    <w:rPr>
      <w:rFonts w:ascii="Tahoma" w:hAnsi="Tahoma" w:cs="Times New Roman"/>
      <w:sz w:val="16"/>
      <w:lang w:val="es-ES_tradnl"/>
    </w:rPr>
  </w:style>
  <w:style w:type="paragraph" w:styleId="NormalWeb">
    <w:name w:val="Normal (Web)"/>
    <w:basedOn w:val="Normal"/>
    <w:uiPriority w:val="99"/>
    <w:rsid w:val="009C4526"/>
    <w:pPr>
      <w:spacing w:before="100" w:beforeAutospacing="1" w:after="100" w:afterAutospacing="1"/>
    </w:pPr>
    <w:rPr>
      <w:rFonts w:ascii="Times New Roman" w:hAnsi="Times New Roman"/>
      <w:color w:val="000000"/>
      <w:lang w:val="es-ES"/>
    </w:rPr>
  </w:style>
  <w:style w:type="character" w:styleId="Textoennegrita">
    <w:name w:val="Strong"/>
    <w:aliases w:val="Normal negrita"/>
    <w:basedOn w:val="Fuentedeprrafopredeter"/>
    <w:uiPriority w:val="19"/>
    <w:qFormat/>
    <w:rsid w:val="009C4526"/>
    <w:rPr>
      <w:rFonts w:cs="Times New Roman"/>
      <w:b/>
    </w:rPr>
  </w:style>
  <w:style w:type="character" w:customStyle="1" w:styleId="a1">
    <w:name w:val="a1"/>
    <w:uiPriority w:val="99"/>
    <w:rsid w:val="009C4526"/>
    <w:rPr>
      <w:bdr w:val="none" w:sz="0" w:space="0" w:color="auto" w:frame="1"/>
    </w:rPr>
  </w:style>
  <w:style w:type="character" w:customStyle="1" w:styleId="l15">
    <w:name w:val="l15"/>
    <w:uiPriority w:val="99"/>
    <w:rsid w:val="009C4526"/>
    <w:rPr>
      <w:bdr w:val="none" w:sz="0" w:space="0" w:color="auto" w:frame="1"/>
    </w:rPr>
  </w:style>
  <w:style w:type="character" w:customStyle="1" w:styleId="l82">
    <w:name w:val="l82"/>
    <w:uiPriority w:val="99"/>
    <w:rsid w:val="009C4526"/>
    <w:rPr>
      <w:bdr w:val="none" w:sz="0" w:space="0" w:color="auto" w:frame="1"/>
    </w:rPr>
  </w:style>
  <w:style w:type="character" w:customStyle="1" w:styleId="l62">
    <w:name w:val="l62"/>
    <w:uiPriority w:val="99"/>
    <w:rsid w:val="009C4526"/>
    <w:rPr>
      <w:bdr w:val="none" w:sz="0" w:space="0" w:color="auto" w:frame="1"/>
    </w:rPr>
  </w:style>
  <w:style w:type="character" w:customStyle="1" w:styleId="l122">
    <w:name w:val="l122"/>
    <w:uiPriority w:val="99"/>
    <w:rsid w:val="009C4526"/>
    <w:rPr>
      <w:bdr w:val="none" w:sz="0" w:space="0" w:color="auto" w:frame="1"/>
    </w:rPr>
  </w:style>
  <w:style w:type="character" w:customStyle="1" w:styleId="l102">
    <w:name w:val="l102"/>
    <w:uiPriority w:val="99"/>
    <w:rsid w:val="009C4526"/>
    <w:rPr>
      <w:bdr w:val="none" w:sz="0" w:space="0" w:color="auto" w:frame="1"/>
    </w:rPr>
  </w:style>
  <w:style w:type="character" w:customStyle="1" w:styleId="l72">
    <w:name w:val="l72"/>
    <w:uiPriority w:val="99"/>
    <w:rsid w:val="009C4526"/>
    <w:rPr>
      <w:bdr w:val="none" w:sz="0" w:space="0" w:color="auto" w:frame="1"/>
    </w:rPr>
  </w:style>
  <w:style w:type="character" w:customStyle="1" w:styleId="l92">
    <w:name w:val="l92"/>
    <w:uiPriority w:val="99"/>
    <w:rsid w:val="009C4526"/>
    <w:rPr>
      <w:bdr w:val="none" w:sz="0" w:space="0" w:color="auto" w:frame="1"/>
    </w:rPr>
  </w:style>
  <w:style w:type="character" w:customStyle="1" w:styleId="caps2">
    <w:name w:val="caps2"/>
    <w:uiPriority w:val="99"/>
    <w:rsid w:val="009C4526"/>
  </w:style>
  <w:style w:type="paragraph" w:styleId="Prrafodelista">
    <w:name w:val="List Paragraph"/>
    <w:aliases w:val="prueba1,Numeración 1"/>
    <w:basedOn w:val="Normal"/>
    <w:link w:val="PrrafodelistaCar"/>
    <w:uiPriority w:val="34"/>
    <w:qFormat/>
    <w:rsid w:val="00A16E3A"/>
    <w:pPr>
      <w:ind w:left="708"/>
    </w:pPr>
  </w:style>
  <w:style w:type="paragraph" w:customStyle="1" w:styleId="DIDCAP">
    <w:name w:val="DID CAP"/>
    <w:basedOn w:val="Normal"/>
    <w:link w:val="DIDCAPCar"/>
    <w:uiPriority w:val="99"/>
    <w:rsid w:val="002558C6"/>
    <w:rPr>
      <w:b/>
      <w:sz w:val="32"/>
      <w:lang w:val="en-US"/>
    </w:rPr>
  </w:style>
  <w:style w:type="character" w:customStyle="1" w:styleId="DIDCAPCar">
    <w:name w:val="DID CAP Car"/>
    <w:link w:val="DIDCAP"/>
    <w:uiPriority w:val="99"/>
    <w:locked/>
    <w:rsid w:val="002558C6"/>
    <w:rPr>
      <w:rFonts w:ascii="Arial" w:hAnsi="Arial"/>
      <w:b/>
      <w:sz w:val="32"/>
    </w:rPr>
  </w:style>
  <w:style w:type="paragraph" w:customStyle="1" w:styleId="Texto1">
    <w:name w:val="Texto 1"/>
    <w:basedOn w:val="Normal"/>
    <w:uiPriority w:val="99"/>
    <w:rsid w:val="002558C6"/>
    <w:pPr>
      <w:ind w:left="352"/>
    </w:pPr>
  </w:style>
  <w:style w:type="character" w:customStyle="1" w:styleId="Heading5Char3">
    <w:name w:val="Heading 5 Char3"/>
    <w:aliases w:val="h5 Char3,l5 Char3,5 Char3,H5 Char3,H5-Heading 5 Char3,Heading5 Char3,heading5 Char3,H51 Char3,51 Char3,H5-Heading 51 Char3,h51 Char3,Heading51 Char3,l51 Char1,heading51 Char,H52 Char,52 Char1,H5-Heading 52 Char,h52 Char,Heading52 Char"/>
    <w:uiPriority w:val="99"/>
    <w:semiHidden/>
    <w:rsid w:val="005A720E"/>
    <w:rPr>
      <w:rFonts w:ascii="Calibri" w:hAnsi="Calibri"/>
      <w:b/>
      <w:i/>
      <w:sz w:val="26"/>
      <w:lang w:val="es-MX"/>
    </w:rPr>
  </w:style>
  <w:style w:type="character" w:customStyle="1" w:styleId="h8Car">
    <w:name w:val="h8 Car"/>
    <w:aliases w:val="Appendix1 Car,Appendix11 Car,ft Car,figure title Car,Annex Car,Heading 8 Char Car,Heading 8 Char1 Char Car,Heading 8 Char Char Char Car,Annex Char Char Char Car,Annex Char1 Char Car,Annex Char Car Car"/>
    <w:uiPriority w:val="99"/>
    <w:locked/>
    <w:rsid w:val="005A720E"/>
    <w:rPr>
      <w:rFonts w:ascii="Arial" w:hAnsi="Arial"/>
      <w:b/>
      <w:sz w:val="20"/>
      <w:lang w:val="es-MX" w:eastAsia="es-ES"/>
    </w:rPr>
  </w:style>
  <w:style w:type="character" w:customStyle="1" w:styleId="ttCar">
    <w:name w:val="tt Car"/>
    <w:aliases w:val="h9 Car,Appendix2 Car,Appendix21 Car,table title Car Car"/>
    <w:uiPriority w:val="99"/>
    <w:locked/>
    <w:rsid w:val="005A720E"/>
    <w:rPr>
      <w:rFonts w:ascii="Arial" w:hAnsi="Arial"/>
      <w:b/>
      <w:i/>
      <w:sz w:val="20"/>
      <w:lang w:val="es-MX" w:eastAsia="es-ES"/>
    </w:rPr>
  </w:style>
  <w:style w:type="character" w:customStyle="1" w:styleId="Heading5Char2">
    <w:name w:val="Heading 5 Char2"/>
    <w:aliases w:val="h5 Char2,l5 Char2,5 Char2,H5 Char2,H5-Heading 5 Char2,Heading5 Char2,heading5 Char2,H51 Char2,51 Char2,H5-Heading 51 Char2,h51 Char2,Heading51 Char2,l51 Char2,heading51 Char2,H52 Char2,52 Char2,H5-Heading 52 Char2,h52 Char2,l52 Char2"/>
    <w:uiPriority w:val="99"/>
    <w:semiHidden/>
    <w:locked/>
    <w:rsid w:val="005A720E"/>
    <w:rPr>
      <w:rFonts w:ascii="Calibri" w:hAnsi="Calibri"/>
      <w:b/>
      <w:i/>
      <w:sz w:val="26"/>
      <w:lang w:val="es-MX"/>
    </w:rPr>
  </w:style>
  <w:style w:type="paragraph" w:customStyle="1" w:styleId="Cabeceraypie">
    <w:name w:val="Cabecera y pie"/>
    <w:uiPriority w:val="99"/>
    <w:rsid w:val="005A720E"/>
    <w:pPr>
      <w:tabs>
        <w:tab w:val="right" w:pos="9632"/>
      </w:tabs>
      <w:spacing w:line="360" w:lineRule="auto"/>
    </w:pPr>
    <w:rPr>
      <w:rFonts w:ascii="Helvetica" w:hAnsi="Helvetica"/>
      <w:color w:val="000000"/>
      <w:sz w:val="20"/>
      <w:szCs w:val="20"/>
      <w:lang w:val="es-ES_tradnl" w:eastAsia="es-MX"/>
    </w:rPr>
  </w:style>
  <w:style w:type="paragraph" w:customStyle="1" w:styleId="Formatolibre">
    <w:name w:val="Formato libre"/>
    <w:uiPriority w:val="99"/>
    <w:rsid w:val="005A720E"/>
    <w:pPr>
      <w:spacing w:line="360" w:lineRule="auto"/>
    </w:pPr>
    <w:rPr>
      <w:rFonts w:ascii="Helvetica" w:hAnsi="Helvetica"/>
      <w:color w:val="000000"/>
      <w:sz w:val="24"/>
      <w:szCs w:val="20"/>
      <w:lang w:val="es-ES_tradnl" w:eastAsia="es-MX"/>
    </w:rPr>
  </w:style>
  <w:style w:type="paragraph" w:customStyle="1" w:styleId="Encabezamiento2">
    <w:name w:val="Encabezamiento 2"/>
    <w:next w:val="Cuerpo"/>
    <w:uiPriority w:val="99"/>
    <w:rsid w:val="005A720E"/>
    <w:pPr>
      <w:keepNext/>
      <w:spacing w:line="360" w:lineRule="auto"/>
      <w:outlineLvl w:val="1"/>
    </w:pPr>
    <w:rPr>
      <w:rFonts w:ascii="Helvetica" w:hAnsi="Helvetica"/>
      <w:b/>
      <w:color w:val="000000"/>
      <w:sz w:val="24"/>
      <w:szCs w:val="20"/>
      <w:lang w:val="es-ES_tradnl" w:eastAsia="es-MX"/>
    </w:rPr>
  </w:style>
  <w:style w:type="paragraph" w:customStyle="1" w:styleId="Cuerpo">
    <w:name w:val="Cuerpo"/>
    <w:uiPriority w:val="99"/>
    <w:rsid w:val="005A720E"/>
    <w:pPr>
      <w:spacing w:line="360" w:lineRule="auto"/>
    </w:pPr>
    <w:rPr>
      <w:rFonts w:ascii="Helvetica" w:hAnsi="Helvetica"/>
      <w:color w:val="000000"/>
      <w:sz w:val="24"/>
      <w:szCs w:val="20"/>
      <w:lang w:val="es-ES_tradnl" w:eastAsia="es-MX"/>
    </w:rPr>
  </w:style>
  <w:style w:type="character" w:customStyle="1" w:styleId="BodyTextChar2">
    <w:name w:val="Body Text Char2"/>
    <w:aliases w:val="Texto independiente Car Char2,ändrad Car Char2,Body3 Car Char2,bt Car Char2,BO Car Char2,ID Car Char2,body text Car Char2,??2 Car Char2,AvtalBrödtext Car Char2,EHPT Car Char2,Body Text2 Car Char2,Bodytext Car Char2,bt Char1"/>
    <w:uiPriority w:val="99"/>
    <w:semiHidden/>
    <w:locked/>
    <w:rsid w:val="005A720E"/>
    <w:rPr>
      <w:sz w:val="24"/>
      <w:lang w:val="es-MX"/>
    </w:rPr>
  </w:style>
  <w:style w:type="character" w:customStyle="1" w:styleId="TextoindependienteCarCar">
    <w:name w:val="Texto independiente Car Car"/>
    <w:aliases w:val="ändrad Car Car,Body3 Car Car,bt Car Car,BO Car Car,ID Car Car,body text Car Car,??2 Car Car,AvtalBrödtext Car Car,EHPT Car Car,Body Text2 Car Car,Bodytext Car Car,Body Text level 1 Car Car,Response Car Car,à¹×éÍàÃ×èÍ§ Car Ca"/>
    <w:uiPriority w:val="99"/>
    <w:locked/>
    <w:rsid w:val="005A720E"/>
    <w:rPr>
      <w:rFonts w:ascii="Arial" w:hAnsi="Arial"/>
      <w:b/>
      <w:sz w:val="28"/>
    </w:rPr>
  </w:style>
  <w:style w:type="paragraph" w:customStyle="1" w:styleId="Default">
    <w:name w:val="Default"/>
    <w:rsid w:val="005A720E"/>
    <w:pPr>
      <w:spacing w:line="360" w:lineRule="auto"/>
    </w:pPr>
    <w:rPr>
      <w:rFonts w:ascii="Arial" w:hAnsi="Arial"/>
      <w:color w:val="000000"/>
      <w:sz w:val="24"/>
      <w:szCs w:val="20"/>
      <w:lang w:val="es-ES" w:eastAsia="es-ES"/>
    </w:rPr>
  </w:style>
  <w:style w:type="paragraph" w:customStyle="1" w:styleId="Text">
    <w:name w:val="Text"/>
    <w:aliases w:val="t"/>
    <w:basedOn w:val="Normal"/>
    <w:uiPriority w:val="99"/>
    <w:rsid w:val="005A720E"/>
    <w:pPr>
      <w:widowControl w:val="0"/>
      <w:spacing w:before="60" w:after="60"/>
    </w:pPr>
    <w:rPr>
      <w:sz w:val="22"/>
      <w:lang w:val="en-US" w:eastAsia="de-DE"/>
    </w:rPr>
  </w:style>
  <w:style w:type="paragraph" w:styleId="Firmadecorreoelectrnico">
    <w:name w:val="E-mail Signature"/>
    <w:basedOn w:val="Normal"/>
    <w:link w:val="FirmadecorreoelectrnicoCar"/>
    <w:uiPriority w:val="99"/>
    <w:rsid w:val="005A720E"/>
  </w:style>
  <w:style w:type="character" w:customStyle="1" w:styleId="FirmadecorreoelectrnicoCar">
    <w:name w:val="Firma de correo electrónico Car"/>
    <w:basedOn w:val="Fuentedeprrafopredeter"/>
    <w:link w:val="Firmadecorreoelectrnico"/>
    <w:uiPriority w:val="99"/>
    <w:locked/>
    <w:rsid w:val="00FE4639"/>
    <w:rPr>
      <w:rFonts w:ascii="Arial" w:hAnsi="Arial" w:cs="Times New Roman"/>
      <w:sz w:val="20"/>
      <w:lang w:val="es-ES_tradnl" w:eastAsia="es-ES"/>
    </w:rPr>
  </w:style>
  <w:style w:type="character" w:customStyle="1" w:styleId="EstiloCorreo115">
    <w:name w:val="EstiloCorreo115"/>
    <w:uiPriority w:val="99"/>
    <w:rsid w:val="005A720E"/>
    <w:rPr>
      <w:rFonts w:ascii="Arial" w:hAnsi="Arial"/>
      <w:color w:val="000000"/>
      <w:sz w:val="20"/>
    </w:rPr>
  </w:style>
  <w:style w:type="paragraph" w:customStyle="1" w:styleId="Propos">
    <w:name w:val="Propos"/>
    <w:uiPriority w:val="99"/>
    <w:rsid w:val="005A720E"/>
    <w:pPr>
      <w:spacing w:before="120" w:line="360" w:lineRule="auto"/>
      <w:jc w:val="both"/>
    </w:pPr>
    <w:rPr>
      <w:sz w:val="24"/>
      <w:szCs w:val="20"/>
      <w:lang w:val="fr-FR" w:eastAsia="es-ES"/>
    </w:rPr>
  </w:style>
  <w:style w:type="character" w:customStyle="1" w:styleId="WW-Refdecomentario">
    <w:name w:val="WW-Ref. de comentario"/>
    <w:uiPriority w:val="99"/>
    <w:rsid w:val="005A720E"/>
    <w:rPr>
      <w:sz w:val="16"/>
    </w:rPr>
  </w:style>
  <w:style w:type="paragraph" w:customStyle="1" w:styleId="ndice">
    <w:name w:val="Índice"/>
    <w:basedOn w:val="Normal"/>
    <w:uiPriority w:val="99"/>
    <w:rsid w:val="005A720E"/>
    <w:pPr>
      <w:suppressLineNumbers/>
    </w:pPr>
    <w:rPr>
      <w:rFonts w:cs="Arial Unicode MS"/>
      <w:lang w:eastAsia="ar-SA"/>
    </w:rPr>
  </w:style>
  <w:style w:type="paragraph" w:customStyle="1" w:styleId="font5">
    <w:name w:val="font5"/>
    <w:basedOn w:val="Normal"/>
    <w:uiPriority w:val="99"/>
    <w:rsid w:val="005A720E"/>
    <w:pPr>
      <w:spacing w:before="100" w:after="100"/>
    </w:pPr>
    <w:rPr>
      <w:rFonts w:ascii="Tahoma" w:hAnsi="Tahoma"/>
      <w:sz w:val="18"/>
    </w:rPr>
  </w:style>
  <w:style w:type="character" w:customStyle="1" w:styleId="LuisMiguelSalinasUrbina">
    <w:name w:val="Luis Miguel Salinas Urbina"/>
    <w:uiPriority w:val="99"/>
    <w:rsid w:val="005A720E"/>
    <w:rPr>
      <w:rFonts w:ascii="Arial" w:hAnsi="Arial"/>
      <w:color w:val="000000"/>
      <w:sz w:val="20"/>
    </w:rPr>
  </w:style>
  <w:style w:type="paragraph" w:styleId="Continuarlista">
    <w:name w:val="List Continue"/>
    <w:basedOn w:val="Normal"/>
    <w:uiPriority w:val="99"/>
    <w:rsid w:val="005A720E"/>
    <w:pPr>
      <w:numPr>
        <w:numId w:val="8"/>
      </w:numPr>
      <w:tabs>
        <w:tab w:val="clear" w:pos="1440"/>
        <w:tab w:val="num" w:pos="708"/>
      </w:tabs>
      <w:ind w:left="708" w:hanging="708"/>
    </w:pPr>
  </w:style>
  <w:style w:type="paragraph" w:customStyle="1" w:styleId="Titulo30">
    <w:name w:val="Titulo 3"/>
    <w:basedOn w:val="Ttulo3"/>
    <w:next w:val="Normal"/>
    <w:uiPriority w:val="99"/>
    <w:rsid w:val="005A720E"/>
    <w:pPr>
      <w:keepNext w:val="0"/>
      <w:numPr>
        <w:numId w:val="6"/>
      </w:numPr>
      <w:tabs>
        <w:tab w:val="clear" w:pos="853"/>
        <w:tab w:val="num" w:pos="993"/>
      </w:tabs>
      <w:spacing w:before="0" w:after="0"/>
      <w:ind w:left="851" w:hanging="567"/>
    </w:pPr>
    <w:rPr>
      <w:rFonts w:cs="Arial"/>
      <w:b w:val="0"/>
      <w:i/>
      <w:sz w:val="22"/>
      <w:szCs w:val="22"/>
    </w:rPr>
  </w:style>
  <w:style w:type="paragraph" w:customStyle="1" w:styleId="Titulo20">
    <w:name w:val="Titulo 2"/>
    <w:basedOn w:val="Ttulo2"/>
    <w:next w:val="Normal"/>
    <w:link w:val="Titulo2Car"/>
    <w:uiPriority w:val="99"/>
    <w:rsid w:val="005A720E"/>
    <w:pPr>
      <w:keepNext w:val="0"/>
      <w:numPr>
        <w:numId w:val="9"/>
      </w:numPr>
      <w:tabs>
        <w:tab w:val="clear" w:pos="720"/>
        <w:tab w:val="num" w:pos="567"/>
        <w:tab w:val="num" w:pos="853"/>
      </w:tabs>
      <w:spacing w:before="0" w:after="0"/>
      <w:ind w:left="567" w:hanging="567"/>
      <w:jc w:val="left"/>
    </w:pPr>
    <w:rPr>
      <w:b w:val="0"/>
      <w:sz w:val="22"/>
      <w:szCs w:val="22"/>
      <w:lang w:val="es-MX"/>
    </w:rPr>
  </w:style>
  <w:style w:type="paragraph" w:customStyle="1" w:styleId="Titulo32">
    <w:name w:val="Titulo 3 +"/>
    <w:basedOn w:val="Titulo30"/>
    <w:next w:val="Normal"/>
    <w:uiPriority w:val="99"/>
    <w:rsid w:val="005A720E"/>
    <w:pPr>
      <w:numPr>
        <w:numId w:val="0"/>
      </w:numPr>
      <w:ind w:left="360" w:hanging="360"/>
    </w:pPr>
    <w:rPr>
      <w:b/>
    </w:rPr>
  </w:style>
  <w:style w:type="paragraph" w:customStyle="1" w:styleId="EstiloTitulo3Negrita">
    <w:name w:val="Estilo Titulo 3 + Negrita"/>
    <w:basedOn w:val="Titulo30"/>
    <w:uiPriority w:val="99"/>
    <w:rsid w:val="005A720E"/>
    <w:pPr>
      <w:numPr>
        <w:numId w:val="10"/>
      </w:numPr>
      <w:tabs>
        <w:tab w:val="num" w:pos="853"/>
        <w:tab w:val="num" w:pos="993"/>
      </w:tabs>
    </w:pPr>
    <w:rPr>
      <w:bCs/>
    </w:rPr>
  </w:style>
  <w:style w:type="paragraph" w:customStyle="1" w:styleId="Titulo3">
    <w:name w:val="Titulo 3 ++"/>
    <w:basedOn w:val="Titulo30"/>
    <w:next w:val="Normal"/>
    <w:uiPriority w:val="99"/>
    <w:rsid w:val="005A720E"/>
    <w:pPr>
      <w:numPr>
        <w:numId w:val="11"/>
      </w:numPr>
      <w:tabs>
        <w:tab w:val="clear" w:pos="1440"/>
        <w:tab w:val="num" w:pos="360"/>
        <w:tab w:val="num" w:pos="993"/>
      </w:tabs>
      <w:ind w:left="700" w:hanging="340"/>
    </w:pPr>
    <w:rPr>
      <w:b/>
    </w:rPr>
  </w:style>
  <w:style w:type="paragraph" w:customStyle="1" w:styleId="Titulo31">
    <w:name w:val="Titulo 3 +++"/>
    <w:basedOn w:val="Titulo3"/>
    <w:next w:val="Normal"/>
    <w:uiPriority w:val="99"/>
    <w:rsid w:val="005A720E"/>
    <w:pPr>
      <w:numPr>
        <w:numId w:val="7"/>
      </w:numPr>
      <w:tabs>
        <w:tab w:val="clear" w:pos="1440"/>
        <w:tab w:val="num" w:pos="993"/>
      </w:tabs>
      <w:ind w:left="360" w:hanging="360"/>
    </w:pPr>
    <w:rPr>
      <w:b w:val="0"/>
    </w:rPr>
  </w:style>
  <w:style w:type="paragraph" w:customStyle="1" w:styleId="Titulo2">
    <w:name w:val="Titulo 2 +"/>
    <w:basedOn w:val="Ttulo2"/>
    <w:next w:val="Normal"/>
    <w:uiPriority w:val="99"/>
    <w:rsid w:val="005A720E"/>
    <w:pPr>
      <w:keepNext w:val="0"/>
      <w:numPr>
        <w:numId w:val="12"/>
      </w:numPr>
      <w:tabs>
        <w:tab w:val="num" w:pos="720"/>
        <w:tab w:val="num" w:pos="853"/>
      </w:tabs>
      <w:spacing w:before="0" w:after="0"/>
      <w:ind w:left="700" w:hanging="340"/>
      <w:jc w:val="left"/>
    </w:pPr>
    <w:rPr>
      <w:b w:val="0"/>
      <w:sz w:val="22"/>
      <w:szCs w:val="22"/>
      <w:lang w:val="es-MX"/>
    </w:rPr>
  </w:style>
  <w:style w:type="paragraph" w:customStyle="1" w:styleId="Titulo3-0">
    <w:name w:val="Titulo 3 +-"/>
    <w:basedOn w:val="Titulo32"/>
    <w:next w:val="Normal"/>
    <w:uiPriority w:val="99"/>
    <w:rsid w:val="005A720E"/>
    <w:pPr>
      <w:numPr>
        <w:numId w:val="13"/>
      </w:numPr>
      <w:tabs>
        <w:tab w:val="num" w:pos="993"/>
      </w:tabs>
      <w:ind w:left="851" w:hanging="567"/>
    </w:pPr>
    <w:rPr>
      <w:b w:val="0"/>
    </w:rPr>
  </w:style>
  <w:style w:type="paragraph" w:customStyle="1" w:styleId="Titulo3-">
    <w:name w:val="Titulo 3 +-+"/>
    <w:basedOn w:val="Titulo3-0"/>
    <w:next w:val="Normal"/>
    <w:uiPriority w:val="99"/>
    <w:rsid w:val="005A720E"/>
    <w:pPr>
      <w:numPr>
        <w:numId w:val="14"/>
      </w:numPr>
      <w:tabs>
        <w:tab w:val="num" w:pos="450"/>
      </w:tabs>
    </w:pPr>
    <w:rPr>
      <w:b/>
    </w:rPr>
  </w:style>
  <w:style w:type="paragraph" w:customStyle="1" w:styleId="Titulo3--">
    <w:name w:val="Titulo 3 +--"/>
    <w:basedOn w:val="Titulo3-"/>
    <w:next w:val="Normal"/>
    <w:uiPriority w:val="99"/>
    <w:rsid w:val="005A720E"/>
    <w:pPr>
      <w:numPr>
        <w:numId w:val="5"/>
      </w:numPr>
      <w:tabs>
        <w:tab w:val="clear" w:pos="853"/>
        <w:tab w:val="num" w:pos="1440"/>
      </w:tabs>
      <w:ind w:left="851" w:hanging="567"/>
    </w:pPr>
    <w:rPr>
      <w:b w:val="0"/>
    </w:rPr>
  </w:style>
  <w:style w:type="paragraph" w:customStyle="1" w:styleId="Titulo2-">
    <w:name w:val="Titulo 2 -"/>
    <w:basedOn w:val="Titulo2"/>
    <w:next w:val="Normal"/>
    <w:uiPriority w:val="99"/>
    <w:rsid w:val="005A720E"/>
    <w:pPr>
      <w:numPr>
        <w:numId w:val="0"/>
      </w:numPr>
      <w:tabs>
        <w:tab w:val="num" w:pos="853"/>
      </w:tabs>
      <w:ind w:left="720" w:hanging="360"/>
    </w:pPr>
    <w:rPr>
      <w:b/>
    </w:rPr>
  </w:style>
  <w:style w:type="paragraph" w:customStyle="1" w:styleId="FigureNoTitle">
    <w:name w:val="Figure_NoTitle"/>
    <w:basedOn w:val="Normal"/>
    <w:next w:val="Normalaftertitle0"/>
    <w:uiPriority w:val="99"/>
    <w:rsid w:val="005A720E"/>
    <w:pPr>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hAnsi="Times New Roman"/>
      <w:b/>
    </w:rPr>
  </w:style>
  <w:style w:type="paragraph" w:customStyle="1" w:styleId="Normalaftertitle0">
    <w:name w:val="Normal_after_title"/>
    <w:basedOn w:val="Normal"/>
    <w:next w:val="Normal"/>
    <w:uiPriority w:val="99"/>
    <w:rsid w:val="005A720E"/>
    <w:pPr>
      <w:tabs>
        <w:tab w:val="left" w:pos="794"/>
        <w:tab w:val="left" w:pos="1191"/>
        <w:tab w:val="left" w:pos="1588"/>
        <w:tab w:val="left" w:pos="1985"/>
      </w:tabs>
      <w:overflowPunct w:val="0"/>
      <w:autoSpaceDE w:val="0"/>
      <w:autoSpaceDN w:val="0"/>
      <w:adjustRightInd w:val="0"/>
      <w:spacing w:before="360"/>
      <w:textAlignment w:val="baseline"/>
    </w:pPr>
    <w:rPr>
      <w:rFonts w:ascii="Times New Roman" w:hAnsi="Times New Roman"/>
    </w:rPr>
  </w:style>
  <w:style w:type="paragraph" w:customStyle="1" w:styleId="Titulo4PEETT">
    <w:name w:val="Titulo 4 PEETT"/>
    <w:basedOn w:val="Normal"/>
    <w:autoRedefine/>
    <w:uiPriority w:val="99"/>
    <w:rsid w:val="005A720E"/>
    <w:pPr>
      <w:overflowPunct w:val="0"/>
      <w:autoSpaceDE w:val="0"/>
      <w:autoSpaceDN w:val="0"/>
      <w:adjustRightInd w:val="0"/>
      <w:textAlignment w:val="baseline"/>
    </w:pPr>
    <w:rPr>
      <w:rFonts w:cs="Arial"/>
    </w:rPr>
  </w:style>
  <w:style w:type="paragraph" w:styleId="Subttulo">
    <w:name w:val="Subtitle"/>
    <w:basedOn w:val="Normal"/>
    <w:link w:val="SubttuloCar"/>
    <w:uiPriority w:val="99"/>
    <w:qFormat/>
    <w:rsid w:val="005A720E"/>
    <w:rPr>
      <w:rFonts w:ascii="Cambria" w:hAnsi="Cambria"/>
    </w:rPr>
  </w:style>
  <w:style w:type="character" w:customStyle="1" w:styleId="SubttuloCar">
    <w:name w:val="Subtítulo Car"/>
    <w:basedOn w:val="Fuentedeprrafopredeter"/>
    <w:link w:val="Subttulo"/>
    <w:uiPriority w:val="99"/>
    <w:locked/>
    <w:rsid w:val="00FE4639"/>
    <w:rPr>
      <w:rFonts w:ascii="Cambria" w:hAnsi="Cambria" w:cs="Times New Roman"/>
      <w:sz w:val="24"/>
      <w:lang w:val="es-ES_tradnl" w:eastAsia="es-ES"/>
    </w:rPr>
  </w:style>
  <w:style w:type="paragraph" w:customStyle="1" w:styleId="Listabcdoubleline">
    <w:name w:val="List abc double line"/>
    <w:uiPriority w:val="99"/>
    <w:rsid w:val="005A720E"/>
    <w:pPr>
      <w:spacing w:before="220" w:line="360" w:lineRule="auto"/>
      <w:ind w:left="2921" w:hanging="369"/>
    </w:pPr>
    <w:rPr>
      <w:rFonts w:ascii="Arial" w:hAnsi="Arial"/>
      <w:szCs w:val="20"/>
    </w:rPr>
  </w:style>
  <w:style w:type="paragraph" w:customStyle="1" w:styleId="SP249902">
    <w:name w:val="SP249902"/>
    <w:basedOn w:val="Default"/>
    <w:next w:val="Default"/>
    <w:uiPriority w:val="99"/>
    <w:rsid w:val="005A720E"/>
    <w:pPr>
      <w:autoSpaceDE w:val="0"/>
      <w:autoSpaceDN w:val="0"/>
      <w:adjustRightInd w:val="0"/>
    </w:pPr>
    <w:rPr>
      <w:color w:val="auto"/>
      <w:sz w:val="20"/>
      <w:szCs w:val="24"/>
    </w:rPr>
  </w:style>
  <w:style w:type="paragraph" w:customStyle="1" w:styleId="SP249882">
    <w:name w:val="SP249882"/>
    <w:basedOn w:val="Default"/>
    <w:next w:val="Default"/>
    <w:uiPriority w:val="99"/>
    <w:rsid w:val="005A720E"/>
    <w:pPr>
      <w:autoSpaceDE w:val="0"/>
      <w:autoSpaceDN w:val="0"/>
      <w:adjustRightInd w:val="0"/>
      <w:spacing w:before="960"/>
    </w:pPr>
    <w:rPr>
      <w:color w:val="auto"/>
      <w:sz w:val="20"/>
      <w:szCs w:val="24"/>
    </w:rPr>
  </w:style>
  <w:style w:type="paragraph" w:customStyle="1" w:styleId="SP249961">
    <w:name w:val="SP249961"/>
    <w:basedOn w:val="Default"/>
    <w:next w:val="Default"/>
    <w:uiPriority w:val="99"/>
    <w:rsid w:val="005A720E"/>
    <w:pPr>
      <w:autoSpaceDE w:val="0"/>
      <w:autoSpaceDN w:val="0"/>
      <w:adjustRightInd w:val="0"/>
      <w:spacing w:before="200" w:after="80"/>
    </w:pPr>
    <w:rPr>
      <w:color w:val="auto"/>
      <w:sz w:val="20"/>
      <w:szCs w:val="24"/>
    </w:rPr>
  </w:style>
  <w:style w:type="paragraph" w:customStyle="1" w:styleId="SP249885">
    <w:name w:val="SP249885"/>
    <w:basedOn w:val="Default"/>
    <w:next w:val="Default"/>
    <w:uiPriority w:val="99"/>
    <w:rsid w:val="005A720E"/>
    <w:pPr>
      <w:autoSpaceDE w:val="0"/>
      <w:autoSpaceDN w:val="0"/>
      <w:adjustRightInd w:val="0"/>
      <w:spacing w:before="480"/>
    </w:pPr>
    <w:rPr>
      <w:color w:val="auto"/>
      <w:sz w:val="20"/>
      <w:szCs w:val="24"/>
    </w:rPr>
  </w:style>
  <w:style w:type="character" w:customStyle="1" w:styleId="SC176142">
    <w:name w:val="SC176142"/>
    <w:uiPriority w:val="99"/>
    <w:rsid w:val="005A720E"/>
    <w:rPr>
      <w:color w:val="000000"/>
      <w:sz w:val="28"/>
    </w:rPr>
  </w:style>
  <w:style w:type="paragraph" w:customStyle="1" w:styleId="SP249876">
    <w:name w:val="SP249876"/>
    <w:basedOn w:val="Default"/>
    <w:next w:val="Default"/>
    <w:uiPriority w:val="99"/>
    <w:rsid w:val="005A720E"/>
    <w:pPr>
      <w:autoSpaceDE w:val="0"/>
      <w:autoSpaceDN w:val="0"/>
      <w:adjustRightInd w:val="0"/>
      <w:spacing w:before="160"/>
    </w:pPr>
    <w:rPr>
      <w:color w:val="auto"/>
      <w:sz w:val="20"/>
      <w:szCs w:val="24"/>
    </w:rPr>
  </w:style>
  <w:style w:type="character" w:customStyle="1" w:styleId="SC176133">
    <w:name w:val="SC176133"/>
    <w:uiPriority w:val="99"/>
    <w:rsid w:val="005A720E"/>
    <w:rPr>
      <w:rFonts w:ascii="Times New Roman PSMT" w:hAnsi="Times New Roman PSMT"/>
      <w:color w:val="000000"/>
      <w:sz w:val="24"/>
    </w:rPr>
  </w:style>
  <w:style w:type="paragraph" w:customStyle="1" w:styleId="SP249877">
    <w:name w:val="SP249877"/>
    <w:basedOn w:val="Default"/>
    <w:next w:val="Default"/>
    <w:uiPriority w:val="99"/>
    <w:rsid w:val="005A720E"/>
    <w:pPr>
      <w:autoSpaceDE w:val="0"/>
      <w:autoSpaceDN w:val="0"/>
      <w:adjustRightInd w:val="0"/>
      <w:spacing w:before="160"/>
    </w:pPr>
    <w:rPr>
      <w:color w:val="auto"/>
      <w:sz w:val="20"/>
      <w:szCs w:val="24"/>
    </w:rPr>
  </w:style>
  <w:style w:type="paragraph" w:customStyle="1" w:styleId="Heading">
    <w:name w:val="Heading"/>
    <w:next w:val="Textoindependiente"/>
    <w:uiPriority w:val="99"/>
    <w:rsid w:val="005A720E"/>
    <w:pPr>
      <w:spacing w:before="240" w:line="360" w:lineRule="auto"/>
      <w:ind w:left="2552"/>
    </w:pPr>
    <w:rPr>
      <w:rFonts w:ascii="Arial" w:hAnsi="Arial"/>
      <w:b/>
      <w:szCs w:val="20"/>
      <w:u w:val="single"/>
      <w:lang w:val="en-GB"/>
    </w:rPr>
  </w:style>
  <w:style w:type="paragraph" w:customStyle="1" w:styleId="Listabcsingleline">
    <w:name w:val="List abc single line"/>
    <w:uiPriority w:val="99"/>
    <w:rsid w:val="005A720E"/>
    <w:pPr>
      <w:spacing w:line="360" w:lineRule="auto"/>
      <w:ind w:left="720" w:hanging="360"/>
    </w:pPr>
    <w:rPr>
      <w:rFonts w:ascii="Arial" w:hAnsi="Arial"/>
      <w:szCs w:val="20"/>
    </w:rPr>
  </w:style>
  <w:style w:type="paragraph" w:customStyle="1" w:styleId="Listabcsinglelinewide">
    <w:name w:val="List abc single line (wide)"/>
    <w:uiPriority w:val="99"/>
    <w:rsid w:val="005A720E"/>
    <w:pPr>
      <w:spacing w:line="360" w:lineRule="auto"/>
      <w:ind w:left="720" w:hanging="360"/>
    </w:pPr>
    <w:rPr>
      <w:rFonts w:ascii="Arial" w:hAnsi="Arial"/>
      <w:szCs w:val="20"/>
      <w:lang w:bidi="ar-DZ"/>
    </w:rPr>
  </w:style>
  <w:style w:type="paragraph" w:customStyle="1" w:styleId="Listnumbersinglelinewide">
    <w:name w:val="List number single line (wide)"/>
    <w:uiPriority w:val="99"/>
    <w:rsid w:val="005A720E"/>
    <w:pPr>
      <w:spacing w:line="360" w:lineRule="auto"/>
      <w:ind w:left="720" w:hanging="360"/>
    </w:pPr>
    <w:rPr>
      <w:rFonts w:ascii="Arial" w:hAnsi="Arial"/>
      <w:szCs w:val="20"/>
    </w:rPr>
  </w:style>
  <w:style w:type="paragraph" w:customStyle="1" w:styleId="Listabcdoublelinewide">
    <w:name w:val="List abc double line (wide)"/>
    <w:uiPriority w:val="99"/>
    <w:rsid w:val="005A720E"/>
    <w:pPr>
      <w:spacing w:before="220" w:line="360" w:lineRule="auto"/>
      <w:ind w:left="720" w:hanging="360"/>
    </w:pPr>
    <w:rPr>
      <w:rFonts w:ascii="Arial" w:hAnsi="Arial"/>
      <w:szCs w:val="20"/>
    </w:rPr>
  </w:style>
  <w:style w:type="paragraph" w:customStyle="1" w:styleId="ListBulletwide">
    <w:name w:val="List Bullet (wide)"/>
    <w:uiPriority w:val="99"/>
    <w:rsid w:val="005A720E"/>
    <w:pPr>
      <w:spacing w:line="360" w:lineRule="auto"/>
      <w:ind w:left="360" w:hanging="360"/>
    </w:pPr>
    <w:rPr>
      <w:rFonts w:ascii="Arial" w:hAnsi="Arial"/>
      <w:szCs w:val="20"/>
    </w:rPr>
  </w:style>
  <w:style w:type="paragraph" w:customStyle="1" w:styleId="TableStyle">
    <w:name w:val="TableStyle"/>
    <w:uiPriority w:val="99"/>
    <w:rsid w:val="005A720E"/>
    <w:pPr>
      <w:spacing w:line="360" w:lineRule="auto"/>
      <w:ind w:left="85"/>
    </w:pPr>
    <w:rPr>
      <w:rFonts w:ascii="Arial" w:hAnsi="Arial"/>
      <w:noProof/>
      <w:szCs w:val="20"/>
    </w:rPr>
  </w:style>
  <w:style w:type="paragraph" w:customStyle="1" w:styleId="Tender-Header">
    <w:name w:val="Tender - Header"/>
    <w:basedOn w:val="Textoindependiente"/>
    <w:uiPriority w:val="99"/>
    <w:rsid w:val="005A720E"/>
    <w:pPr>
      <w:keepLines/>
      <w:pBdr>
        <w:bottom w:val="single" w:sz="6" w:space="1" w:color="auto"/>
      </w:pBdr>
      <w:tabs>
        <w:tab w:val="left" w:pos="2552"/>
        <w:tab w:val="right" w:pos="9923"/>
      </w:tabs>
      <w:spacing w:before="60"/>
      <w:ind w:left="425"/>
      <w:jc w:val="left"/>
    </w:pPr>
  </w:style>
  <w:style w:type="paragraph" w:customStyle="1" w:styleId="Tender-Footer">
    <w:name w:val="Tender - Footer"/>
    <w:basedOn w:val="Tender-Header"/>
    <w:uiPriority w:val="99"/>
    <w:rsid w:val="005A720E"/>
    <w:pPr>
      <w:pBdr>
        <w:top w:val="single" w:sz="6" w:space="1" w:color="auto"/>
        <w:bottom w:val="none" w:sz="0" w:space="0" w:color="auto"/>
      </w:pBdr>
      <w:tabs>
        <w:tab w:val="clear" w:pos="2552"/>
      </w:tabs>
      <w:ind w:left="426"/>
    </w:pPr>
    <w:rPr>
      <w:sz w:val="16"/>
    </w:rPr>
  </w:style>
  <w:style w:type="paragraph" w:customStyle="1" w:styleId="Bullet">
    <w:name w:val="Bullet"/>
    <w:basedOn w:val="Normal"/>
    <w:uiPriority w:val="99"/>
    <w:rsid w:val="005A720E"/>
    <w:pPr>
      <w:tabs>
        <w:tab w:val="left" w:pos="1531"/>
        <w:tab w:val="left" w:pos="2552"/>
        <w:tab w:val="left" w:pos="3856"/>
        <w:tab w:val="left" w:pos="5160"/>
        <w:tab w:val="left" w:pos="6464"/>
        <w:tab w:val="left" w:pos="7768"/>
        <w:tab w:val="left" w:pos="9072"/>
      </w:tabs>
      <w:spacing w:after="60"/>
      <w:ind w:left="720" w:hanging="360"/>
    </w:pPr>
    <w:rPr>
      <w:rFonts w:ascii="Times" w:hAnsi="Times"/>
      <w:sz w:val="22"/>
      <w:lang w:val="en-GB" w:eastAsia="en-US"/>
    </w:rPr>
  </w:style>
  <w:style w:type="paragraph" w:customStyle="1" w:styleId="1Bullet">
    <w:name w:val="1Bullet"/>
    <w:basedOn w:val="Normal"/>
    <w:uiPriority w:val="99"/>
    <w:rsid w:val="005A720E"/>
    <w:pPr>
      <w:tabs>
        <w:tab w:val="left" w:pos="2552"/>
        <w:tab w:val="left" w:pos="3856"/>
        <w:tab w:val="left" w:pos="5160"/>
        <w:tab w:val="left" w:pos="6464"/>
        <w:tab w:val="left" w:pos="7768"/>
        <w:tab w:val="left" w:pos="9072"/>
      </w:tabs>
      <w:spacing w:after="60"/>
      <w:ind w:left="2552" w:hanging="284"/>
    </w:pPr>
    <w:rPr>
      <w:rFonts w:ascii="Garamond" w:hAnsi="Garamond"/>
      <w:sz w:val="22"/>
      <w:lang w:val="en-GB" w:eastAsia="en-US"/>
    </w:rPr>
  </w:style>
  <w:style w:type="paragraph" w:customStyle="1" w:styleId="-InBullet">
    <w:name w:val="-InBullet"/>
    <w:basedOn w:val="Text"/>
    <w:uiPriority w:val="99"/>
    <w:rsid w:val="005A720E"/>
    <w:pPr>
      <w:widowControl/>
      <w:tabs>
        <w:tab w:val="left" w:pos="2835"/>
        <w:tab w:val="left" w:pos="3856"/>
        <w:tab w:val="left" w:pos="5160"/>
        <w:tab w:val="left" w:pos="6464"/>
        <w:tab w:val="left" w:pos="7768"/>
        <w:tab w:val="left" w:pos="9072"/>
      </w:tabs>
      <w:spacing w:before="0" w:line="240" w:lineRule="auto"/>
      <w:ind w:left="2836" w:hanging="284"/>
      <w:jc w:val="left"/>
    </w:pPr>
    <w:rPr>
      <w:rFonts w:ascii="Times" w:hAnsi="Times"/>
      <w:lang w:val="en-GB" w:eastAsia="en-US"/>
    </w:rPr>
  </w:style>
  <w:style w:type="paragraph" w:customStyle="1" w:styleId="Punkter">
    <w:name w:val="Punkter"/>
    <w:basedOn w:val="Normal"/>
    <w:next w:val="Brdutanindrag"/>
    <w:uiPriority w:val="99"/>
    <w:rsid w:val="005A720E"/>
    <w:pPr>
      <w:spacing w:line="260" w:lineRule="exact"/>
      <w:ind w:left="720" w:hanging="360"/>
    </w:pPr>
    <w:rPr>
      <w:rFonts w:ascii="Ericsson Roman" w:hAnsi="Ericsson Roman"/>
      <w:lang w:val="sv-SE" w:eastAsia="en-US"/>
    </w:rPr>
  </w:style>
  <w:style w:type="paragraph" w:customStyle="1" w:styleId="Brdutanindrag">
    <w:name w:val="Bröd utan indrag"/>
    <w:basedOn w:val="Normal"/>
    <w:uiPriority w:val="99"/>
    <w:rsid w:val="005A720E"/>
    <w:pPr>
      <w:spacing w:line="260" w:lineRule="exact"/>
    </w:pPr>
    <w:rPr>
      <w:rFonts w:ascii="Ericsson Roman" w:hAnsi="Ericsson Roman"/>
      <w:kern w:val="18"/>
      <w:lang w:val="en-US" w:eastAsia="en-US"/>
    </w:rPr>
  </w:style>
  <w:style w:type="paragraph" w:customStyle="1" w:styleId="TableHeader">
    <w:name w:val="Table Header"/>
    <w:basedOn w:val="Normal"/>
    <w:autoRedefine/>
    <w:uiPriority w:val="99"/>
    <w:rsid w:val="005A720E"/>
    <w:pPr>
      <w:keepNext/>
      <w:spacing w:before="40" w:after="80"/>
    </w:pPr>
    <w:rPr>
      <w:rFonts w:cs="Arial"/>
      <w:bCs/>
      <w:szCs w:val="30"/>
      <w:lang w:eastAsia="en-US"/>
    </w:rPr>
  </w:style>
  <w:style w:type="paragraph" w:customStyle="1" w:styleId="Fig">
    <w:name w:val="Fig"/>
    <w:basedOn w:val="Normal"/>
    <w:next w:val="Normal"/>
    <w:uiPriority w:val="99"/>
    <w:qFormat/>
    <w:rsid w:val="006F4944"/>
    <w:pPr>
      <w:tabs>
        <w:tab w:val="left" w:pos="794"/>
        <w:tab w:val="left" w:pos="1191"/>
        <w:tab w:val="left" w:pos="1588"/>
        <w:tab w:val="left" w:pos="1985"/>
      </w:tabs>
      <w:overflowPunct w:val="0"/>
      <w:autoSpaceDE w:val="0"/>
      <w:autoSpaceDN w:val="0"/>
      <w:adjustRightInd w:val="0"/>
      <w:spacing w:before="136"/>
      <w:jc w:val="center"/>
      <w:textAlignment w:val="baseline"/>
    </w:pPr>
    <w:rPr>
      <w:i/>
      <w:sz w:val="16"/>
      <w:lang w:val="en-US"/>
    </w:rPr>
  </w:style>
  <w:style w:type="paragraph" w:customStyle="1" w:styleId="Figure">
    <w:name w:val="Figure"/>
    <w:basedOn w:val="Normal"/>
    <w:autoRedefine/>
    <w:uiPriority w:val="99"/>
    <w:rsid w:val="005A720E"/>
    <w:pPr>
      <w:numPr>
        <w:numId w:val="15"/>
      </w:numPr>
      <w:tabs>
        <w:tab w:val="clear" w:pos="936"/>
      </w:tabs>
      <w:spacing w:before="40" w:after="200" w:line="288" w:lineRule="auto"/>
      <w:ind w:left="0" w:firstLine="0"/>
      <w:jc w:val="center"/>
    </w:pPr>
    <w:rPr>
      <w:rFonts w:cs="Arial"/>
      <w:b/>
      <w:bCs/>
      <w:szCs w:val="30"/>
      <w:lang w:eastAsia="en-US"/>
    </w:rPr>
  </w:style>
  <w:style w:type="paragraph" w:customStyle="1" w:styleId="Bullets1">
    <w:name w:val="Bullets 1"/>
    <w:basedOn w:val="Normal"/>
    <w:uiPriority w:val="99"/>
    <w:rsid w:val="005A720E"/>
    <w:pPr>
      <w:tabs>
        <w:tab w:val="left" w:pos="1021"/>
      </w:tabs>
      <w:spacing w:after="20"/>
      <w:ind w:left="1080" w:hanging="360"/>
    </w:pPr>
  </w:style>
  <w:style w:type="paragraph" w:customStyle="1" w:styleId="Listavistosa-nfasis11">
    <w:name w:val="Lista vistosa - Énfasis 11"/>
    <w:basedOn w:val="Normal"/>
    <w:uiPriority w:val="99"/>
    <w:rsid w:val="005A720E"/>
    <w:pPr>
      <w:ind w:left="708"/>
    </w:pPr>
  </w:style>
  <w:style w:type="paragraph" w:customStyle="1" w:styleId="Texto2">
    <w:name w:val="Texto 2"/>
    <w:basedOn w:val="Normal"/>
    <w:uiPriority w:val="99"/>
    <w:rsid w:val="005A720E"/>
    <w:pPr>
      <w:ind w:left="454"/>
    </w:pPr>
  </w:style>
  <w:style w:type="paragraph" w:customStyle="1" w:styleId="FIGURAS">
    <w:name w:val="FIGURAS"/>
    <w:basedOn w:val="Normal"/>
    <w:link w:val="FIGURASCar"/>
    <w:uiPriority w:val="99"/>
    <w:rsid w:val="005A720E"/>
    <w:pPr>
      <w:numPr>
        <w:numId w:val="16"/>
      </w:numPr>
      <w:ind w:left="0" w:firstLine="0"/>
      <w:jc w:val="center"/>
    </w:pPr>
    <w:rPr>
      <w:lang w:val="es-ES"/>
    </w:rPr>
  </w:style>
  <w:style w:type="character" w:customStyle="1" w:styleId="FIGURASCar">
    <w:name w:val="FIGURAS Car"/>
    <w:link w:val="FIGURAS"/>
    <w:uiPriority w:val="99"/>
    <w:locked/>
    <w:rsid w:val="005A720E"/>
    <w:rPr>
      <w:rFonts w:asciiTheme="minorHAnsi" w:hAnsiTheme="minorHAnsi"/>
      <w:sz w:val="24"/>
      <w:szCs w:val="24"/>
      <w:lang w:val="es-ES" w:eastAsia="es-ES"/>
    </w:rPr>
  </w:style>
  <w:style w:type="paragraph" w:customStyle="1" w:styleId="FIGURACarCarCar">
    <w:name w:val="FIGURA Car Car Car"/>
    <w:basedOn w:val="FIGURAS"/>
    <w:link w:val="FIGURACarCarCarCar"/>
    <w:uiPriority w:val="99"/>
    <w:rsid w:val="005A720E"/>
    <w:pPr>
      <w:numPr>
        <w:numId w:val="0"/>
      </w:numPr>
      <w:ind w:left="720" w:hanging="360"/>
    </w:pPr>
    <w:rPr>
      <w:lang w:val="en-US"/>
    </w:rPr>
  </w:style>
  <w:style w:type="character" w:customStyle="1" w:styleId="FIGURACarCarCarCar">
    <w:name w:val="FIGURA Car Car Car Car"/>
    <w:link w:val="FIGURACarCarCar"/>
    <w:uiPriority w:val="99"/>
    <w:locked/>
    <w:rsid w:val="005A720E"/>
    <w:rPr>
      <w:rFonts w:ascii="Arial" w:hAnsi="Arial"/>
      <w:sz w:val="24"/>
      <w:lang w:eastAsia="es-ES"/>
    </w:rPr>
  </w:style>
  <w:style w:type="paragraph" w:customStyle="1" w:styleId="CAPITULOS">
    <w:name w:val="CAPITULOS"/>
    <w:basedOn w:val="Normal"/>
    <w:link w:val="CAPITULOSCar"/>
    <w:uiPriority w:val="99"/>
    <w:rsid w:val="005A720E"/>
    <w:rPr>
      <w:b/>
      <w:sz w:val="32"/>
    </w:rPr>
  </w:style>
  <w:style w:type="character" w:customStyle="1" w:styleId="CAPITULOSCar">
    <w:name w:val="CAPITULOS Car"/>
    <w:link w:val="CAPITULOS"/>
    <w:uiPriority w:val="99"/>
    <w:locked/>
    <w:rsid w:val="005A720E"/>
    <w:rPr>
      <w:rFonts w:ascii="Arial" w:hAnsi="Arial"/>
      <w:b/>
      <w:sz w:val="32"/>
      <w:lang w:val="es-MX" w:eastAsia="es-ES"/>
    </w:rPr>
  </w:style>
  <w:style w:type="paragraph" w:styleId="ndice1">
    <w:name w:val="index 1"/>
    <w:basedOn w:val="Listaconnmeros"/>
    <w:next w:val="Normal"/>
    <w:autoRedefine/>
    <w:uiPriority w:val="99"/>
    <w:rsid w:val="005A720E"/>
    <w:pPr>
      <w:ind w:left="240" w:hanging="240"/>
      <w:contextualSpacing w:val="0"/>
      <w:jc w:val="left"/>
    </w:pPr>
    <w:rPr>
      <w:rFonts w:ascii="Calibri" w:hAnsi="Calibri"/>
      <w:sz w:val="20"/>
    </w:rPr>
  </w:style>
  <w:style w:type="paragraph" w:styleId="Listaconnmeros">
    <w:name w:val="List Number"/>
    <w:basedOn w:val="Normal"/>
    <w:uiPriority w:val="99"/>
    <w:rsid w:val="005A720E"/>
    <w:pPr>
      <w:ind w:left="1080" w:hanging="360"/>
    </w:pPr>
  </w:style>
  <w:style w:type="paragraph" w:customStyle="1" w:styleId="Listavistosa-nfasis12">
    <w:name w:val="Lista vistosa - Énfasis 12"/>
    <w:basedOn w:val="Normal"/>
    <w:uiPriority w:val="99"/>
    <w:rsid w:val="005A720E"/>
    <w:pPr>
      <w:ind w:left="708"/>
    </w:pPr>
  </w:style>
  <w:style w:type="paragraph" w:styleId="ndice2">
    <w:name w:val="index 2"/>
    <w:basedOn w:val="Normal"/>
    <w:next w:val="Normal"/>
    <w:autoRedefine/>
    <w:uiPriority w:val="99"/>
    <w:rsid w:val="005A720E"/>
    <w:pPr>
      <w:ind w:left="480" w:hanging="240"/>
    </w:pPr>
    <w:rPr>
      <w:rFonts w:ascii="Calibri" w:hAnsi="Calibri"/>
    </w:rPr>
  </w:style>
  <w:style w:type="paragraph" w:customStyle="1" w:styleId="TITULOTELMEXSUBCAPITULOS">
    <w:name w:val="TITULO TELMEX SUBCAPITULOS"/>
    <w:basedOn w:val="Normal"/>
    <w:link w:val="TITULOTELMEXSUBCAPITULOSCar"/>
    <w:uiPriority w:val="99"/>
    <w:rsid w:val="005A720E"/>
    <w:rPr>
      <w:b/>
      <w:sz w:val="32"/>
      <w:lang w:val="en-US"/>
    </w:rPr>
  </w:style>
  <w:style w:type="character" w:customStyle="1" w:styleId="andradCar">
    <w:name w:val="andrad Car"/>
    <w:aliases w:val="compact Car,paragraph 2 Car,- TF Car"/>
    <w:uiPriority w:val="99"/>
    <w:rsid w:val="005A720E"/>
    <w:rPr>
      <w:rFonts w:ascii="Arial" w:hAnsi="Arial"/>
      <w:b/>
      <w:sz w:val="28"/>
    </w:rPr>
  </w:style>
  <w:style w:type="paragraph" w:customStyle="1" w:styleId="FIGURA">
    <w:name w:val="FIGURA"/>
    <w:basedOn w:val="FIGURAS"/>
    <w:link w:val="FIGURACar"/>
    <w:uiPriority w:val="99"/>
    <w:rsid w:val="005A720E"/>
    <w:pPr>
      <w:ind w:left="720" w:hanging="360"/>
    </w:pPr>
  </w:style>
  <w:style w:type="character" w:customStyle="1" w:styleId="FIGURACar">
    <w:name w:val="FIGURA Car"/>
    <w:link w:val="FIGURA"/>
    <w:uiPriority w:val="99"/>
    <w:locked/>
    <w:rsid w:val="005A720E"/>
    <w:rPr>
      <w:rFonts w:asciiTheme="minorHAnsi" w:hAnsiTheme="minorHAnsi"/>
      <w:sz w:val="24"/>
      <w:szCs w:val="24"/>
      <w:lang w:val="es-ES" w:eastAsia="es-ES"/>
    </w:rPr>
  </w:style>
  <w:style w:type="character" w:customStyle="1" w:styleId="FIGURACarCar">
    <w:name w:val="FIGURA Car Car"/>
    <w:uiPriority w:val="99"/>
    <w:rsid w:val="005A720E"/>
    <w:rPr>
      <w:rFonts w:ascii="Arial" w:hAnsi="Arial"/>
      <w:sz w:val="20"/>
      <w:lang w:val="es-ES" w:eastAsia="es-ES"/>
    </w:rPr>
  </w:style>
  <w:style w:type="paragraph" w:customStyle="1" w:styleId="SUBCAP">
    <w:name w:val="SUBCAP"/>
    <w:basedOn w:val="CAPITULOS"/>
    <w:link w:val="SUBCAPCar"/>
    <w:uiPriority w:val="99"/>
    <w:rsid w:val="005A720E"/>
    <w:rPr>
      <w:sz w:val="24"/>
    </w:rPr>
  </w:style>
  <w:style w:type="character" w:customStyle="1" w:styleId="SUBCAPCar">
    <w:name w:val="SUBCAP Car"/>
    <w:link w:val="SUBCAP"/>
    <w:uiPriority w:val="99"/>
    <w:locked/>
    <w:rsid w:val="005A720E"/>
    <w:rPr>
      <w:rFonts w:ascii="Arial" w:hAnsi="Arial"/>
      <w:b/>
      <w:sz w:val="24"/>
      <w:lang w:val="es-MX" w:eastAsia="es-ES"/>
    </w:rPr>
  </w:style>
  <w:style w:type="paragraph" w:customStyle="1" w:styleId="SUBSUBCAP">
    <w:name w:val="SUBSUBCAP"/>
    <w:basedOn w:val="SUBCAP"/>
    <w:link w:val="SUBSUBCAPCar"/>
    <w:autoRedefine/>
    <w:uiPriority w:val="99"/>
    <w:rsid w:val="005A720E"/>
    <w:pPr>
      <w:tabs>
        <w:tab w:val="num" w:pos="1922"/>
      </w:tabs>
      <w:ind w:left="1922" w:hanging="504"/>
      <w:outlineLvl w:val="0"/>
    </w:pPr>
    <w:rPr>
      <w:lang w:val="es-ES"/>
    </w:rPr>
  </w:style>
  <w:style w:type="character" w:customStyle="1" w:styleId="SUBSUBCAPCar">
    <w:name w:val="SUBSUBCAP Car"/>
    <w:link w:val="SUBSUBCAP"/>
    <w:uiPriority w:val="99"/>
    <w:locked/>
    <w:rsid w:val="005A720E"/>
    <w:rPr>
      <w:rFonts w:asciiTheme="minorHAnsi" w:hAnsiTheme="minorHAnsi"/>
      <w:b/>
      <w:sz w:val="24"/>
      <w:szCs w:val="24"/>
      <w:lang w:val="es-ES" w:eastAsia="es-ES"/>
    </w:rPr>
  </w:style>
  <w:style w:type="paragraph" w:customStyle="1" w:styleId="OPCIONES">
    <w:name w:val="OPCIONES"/>
    <w:basedOn w:val="Normal"/>
    <w:link w:val="OPCIONESCar"/>
    <w:uiPriority w:val="99"/>
    <w:rsid w:val="005A720E"/>
    <w:pPr>
      <w:ind w:left="720" w:hanging="360"/>
    </w:pPr>
    <w:rPr>
      <w:lang w:val="en-US"/>
    </w:rPr>
  </w:style>
  <w:style w:type="character" w:customStyle="1" w:styleId="OPCIONESCar">
    <w:name w:val="OPCIONES Car"/>
    <w:link w:val="OPCIONES"/>
    <w:uiPriority w:val="99"/>
    <w:locked/>
    <w:rsid w:val="005A720E"/>
    <w:rPr>
      <w:rFonts w:ascii="Arial" w:hAnsi="Arial"/>
      <w:sz w:val="24"/>
      <w:lang w:eastAsia="es-ES"/>
    </w:rPr>
  </w:style>
  <w:style w:type="paragraph" w:customStyle="1" w:styleId="SUBCAP4">
    <w:name w:val="SUBCAP4"/>
    <w:basedOn w:val="SUBSUBCAP"/>
    <w:link w:val="SUBCAP4Car"/>
    <w:autoRedefine/>
    <w:uiPriority w:val="99"/>
    <w:rsid w:val="005A720E"/>
    <w:pPr>
      <w:numPr>
        <w:ilvl w:val="3"/>
        <w:numId w:val="17"/>
      </w:numPr>
    </w:pPr>
  </w:style>
  <w:style w:type="character" w:customStyle="1" w:styleId="SUBCAP4Car">
    <w:name w:val="SUBCAP4 Car"/>
    <w:link w:val="SUBCAP4"/>
    <w:uiPriority w:val="99"/>
    <w:locked/>
    <w:rsid w:val="005A720E"/>
    <w:rPr>
      <w:rFonts w:asciiTheme="minorHAnsi" w:hAnsiTheme="minorHAnsi"/>
      <w:b/>
      <w:sz w:val="24"/>
      <w:szCs w:val="24"/>
      <w:lang w:val="es-ES" w:eastAsia="es-ES"/>
    </w:rPr>
  </w:style>
  <w:style w:type="paragraph" w:customStyle="1" w:styleId="OPCIONES2">
    <w:name w:val="OPCIONES2"/>
    <w:basedOn w:val="OPCIONES"/>
    <w:link w:val="OPCIONES2Car"/>
    <w:uiPriority w:val="99"/>
    <w:rsid w:val="005A720E"/>
  </w:style>
  <w:style w:type="character" w:customStyle="1" w:styleId="OPCIONES2Car">
    <w:name w:val="OPCIONES2 Car"/>
    <w:link w:val="OPCIONES2"/>
    <w:uiPriority w:val="99"/>
    <w:locked/>
    <w:rsid w:val="005A720E"/>
    <w:rPr>
      <w:rFonts w:ascii="Arial" w:hAnsi="Arial"/>
      <w:sz w:val="24"/>
      <w:lang w:eastAsia="es-ES"/>
    </w:rPr>
  </w:style>
  <w:style w:type="paragraph" w:customStyle="1" w:styleId="TITULOTELMEXCar">
    <w:name w:val="TITULO TELMEX Car"/>
    <w:basedOn w:val="Normal"/>
    <w:link w:val="TITULOTELMEXCarCar"/>
    <w:uiPriority w:val="99"/>
    <w:rsid w:val="005A720E"/>
    <w:rPr>
      <w:b/>
      <w:sz w:val="32"/>
    </w:rPr>
  </w:style>
  <w:style w:type="character" w:customStyle="1" w:styleId="TITULOTELMEXCarCar">
    <w:name w:val="TITULO TELMEX Car Car"/>
    <w:link w:val="TITULOTELMEXCar"/>
    <w:uiPriority w:val="99"/>
    <w:locked/>
    <w:rsid w:val="005A720E"/>
    <w:rPr>
      <w:rFonts w:ascii="Arial" w:hAnsi="Arial"/>
      <w:b/>
      <w:sz w:val="32"/>
      <w:lang w:val="es-MX" w:eastAsia="es-ES"/>
    </w:rPr>
  </w:style>
  <w:style w:type="character" w:customStyle="1" w:styleId="longtext">
    <w:name w:val="long_text"/>
    <w:uiPriority w:val="99"/>
    <w:rsid w:val="005A720E"/>
  </w:style>
  <w:style w:type="paragraph" w:customStyle="1" w:styleId="TITULOTELMEX">
    <w:name w:val="TITULO TELMEX"/>
    <w:basedOn w:val="Normal"/>
    <w:uiPriority w:val="99"/>
    <w:rsid w:val="005A720E"/>
    <w:pPr>
      <w:ind w:left="426" w:hanging="426"/>
    </w:pPr>
    <w:rPr>
      <w:b/>
      <w:sz w:val="32"/>
    </w:rPr>
  </w:style>
  <w:style w:type="character" w:customStyle="1" w:styleId="corchete-llamada1">
    <w:name w:val="corchete-llamada1"/>
    <w:uiPriority w:val="99"/>
    <w:rsid w:val="005A720E"/>
    <w:rPr>
      <w:vanish/>
    </w:rPr>
  </w:style>
  <w:style w:type="character" w:customStyle="1" w:styleId="mw-headline">
    <w:name w:val="mw-headline"/>
    <w:uiPriority w:val="99"/>
    <w:rsid w:val="005A720E"/>
  </w:style>
  <w:style w:type="paragraph" w:styleId="ndice3">
    <w:name w:val="index 3"/>
    <w:basedOn w:val="Normal"/>
    <w:next w:val="Normal"/>
    <w:autoRedefine/>
    <w:uiPriority w:val="99"/>
    <w:semiHidden/>
    <w:rsid w:val="005A720E"/>
    <w:pPr>
      <w:ind w:left="720" w:hanging="240"/>
    </w:pPr>
    <w:rPr>
      <w:rFonts w:ascii="Calibri" w:hAnsi="Calibri"/>
    </w:rPr>
  </w:style>
  <w:style w:type="paragraph" w:styleId="ndice4">
    <w:name w:val="index 4"/>
    <w:basedOn w:val="Normal"/>
    <w:next w:val="Normal"/>
    <w:autoRedefine/>
    <w:uiPriority w:val="99"/>
    <w:semiHidden/>
    <w:rsid w:val="005A720E"/>
    <w:pPr>
      <w:ind w:left="960" w:hanging="240"/>
    </w:pPr>
    <w:rPr>
      <w:rFonts w:ascii="Calibri" w:hAnsi="Calibri"/>
    </w:rPr>
  </w:style>
  <w:style w:type="paragraph" w:styleId="ndice5">
    <w:name w:val="index 5"/>
    <w:basedOn w:val="Normal"/>
    <w:next w:val="Normal"/>
    <w:autoRedefine/>
    <w:uiPriority w:val="99"/>
    <w:semiHidden/>
    <w:rsid w:val="005A720E"/>
    <w:pPr>
      <w:ind w:left="1200" w:hanging="240"/>
    </w:pPr>
    <w:rPr>
      <w:rFonts w:ascii="Calibri" w:hAnsi="Calibri"/>
    </w:rPr>
  </w:style>
  <w:style w:type="paragraph" w:styleId="ndice6">
    <w:name w:val="index 6"/>
    <w:basedOn w:val="Normal"/>
    <w:next w:val="Normal"/>
    <w:autoRedefine/>
    <w:uiPriority w:val="99"/>
    <w:semiHidden/>
    <w:rsid w:val="005A720E"/>
    <w:pPr>
      <w:ind w:left="1440" w:hanging="240"/>
    </w:pPr>
    <w:rPr>
      <w:rFonts w:ascii="Calibri" w:hAnsi="Calibri"/>
    </w:rPr>
  </w:style>
  <w:style w:type="paragraph" w:styleId="ndice7">
    <w:name w:val="index 7"/>
    <w:basedOn w:val="Normal"/>
    <w:next w:val="Normal"/>
    <w:autoRedefine/>
    <w:uiPriority w:val="99"/>
    <w:semiHidden/>
    <w:rsid w:val="005A720E"/>
    <w:pPr>
      <w:ind w:left="1680" w:hanging="240"/>
    </w:pPr>
    <w:rPr>
      <w:rFonts w:ascii="Calibri" w:hAnsi="Calibri"/>
    </w:rPr>
  </w:style>
  <w:style w:type="paragraph" w:styleId="ndice8">
    <w:name w:val="index 8"/>
    <w:basedOn w:val="Normal"/>
    <w:next w:val="Normal"/>
    <w:autoRedefine/>
    <w:uiPriority w:val="99"/>
    <w:semiHidden/>
    <w:rsid w:val="005A720E"/>
    <w:pPr>
      <w:ind w:left="1920" w:hanging="240"/>
    </w:pPr>
    <w:rPr>
      <w:rFonts w:ascii="Calibri" w:hAnsi="Calibri"/>
    </w:rPr>
  </w:style>
  <w:style w:type="paragraph" w:styleId="ndice9">
    <w:name w:val="index 9"/>
    <w:basedOn w:val="Normal"/>
    <w:next w:val="Normal"/>
    <w:autoRedefine/>
    <w:uiPriority w:val="99"/>
    <w:semiHidden/>
    <w:rsid w:val="005A720E"/>
    <w:pPr>
      <w:ind w:left="2160" w:hanging="240"/>
    </w:pPr>
    <w:rPr>
      <w:rFonts w:ascii="Calibri" w:hAnsi="Calibri"/>
    </w:rPr>
  </w:style>
  <w:style w:type="paragraph" w:styleId="Ttulodendice">
    <w:name w:val="index heading"/>
    <w:basedOn w:val="Normal"/>
    <w:next w:val="ndice1"/>
    <w:uiPriority w:val="99"/>
    <w:semiHidden/>
    <w:rsid w:val="005A720E"/>
    <w:pPr>
      <w:spacing w:before="120"/>
    </w:pPr>
    <w:rPr>
      <w:rFonts w:ascii="Calibri" w:hAnsi="Calibri"/>
      <w:b/>
      <w:bCs/>
      <w:i/>
      <w:iCs/>
    </w:rPr>
  </w:style>
  <w:style w:type="paragraph" w:customStyle="1" w:styleId="Sinespaciado1">
    <w:name w:val="Sin espaciado1"/>
    <w:uiPriority w:val="99"/>
    <w:rsid w:val="005A720E"/>
    <w:pPr>
      <w:spacing w:line="360" w:lineRule="auto"/>
    </w:pPr>
    <w:rPr>
      <w:rFonts w:ascii="Calibri" w:hAnsi="Calibri"/>
      <w:lang w:val="es-ES"/>
    </w:rPr>
  </w:style>
  <w:style w:type="paragraph" w:customStyle="1" w:styleId="DIDTEXTO">
    <w:name w:val="DID TEXTO"/>
    <w:basedOn w:val="TITULOTELMEXCar"/>
    <w:link w:val="DIDTEXTOCar"/>
    <w:uiPriority w:val="99"/>
    <w:rsid w:val="005A720E"/>
    <w:pPr>
      <w:outlineLvl w:val="0"/>
    </w:pPr>
    <w:rPr>
      <w:b w:val="0"/>
      <w:sz w:val="24"/>
    </w:rPr>
  </w:style>
  <w:style w:type="paragraph" w:customStyle="1" w:styleId="Prrafodelista1">
    <w:name w:val="Párrafo de lista1"/>
    <w:basedOn w:val="Normal"/>
    <w:uiPriority w:val="99"/>
    <w:rsid w:val="005A720E"/>
    <w:pPr>
      <w:ind w:left="708"/>
    </w:pPr>
  </w:style>
  <w:style w:type="character" w:customStyle="1" w:styleId="DIDTEXTOCar">
    <w:name w:val="DID TEXTO Car"/>
    <w:link w:val="DIDTEXTO"/>
    <w:uiPriority w:val="99"/>
    <w:locked/>
    <w:rsid w:val="005A720E"/>
    <w:rPr>
      <w:rFonts w:ascii="Arial" w:hAnsi="Arial"/>
      <w:sz w:val="24"/>
      <w:lang w:val="es-MX" w:eastAsia="es-ES"/>
    </w:rPr>
  </w:style>
  <w:style w:type="paragraph" w:customStyle="1" w:styleId="DIDSUBCAP">
    <w:name w:val="DID SUBCAP"/>
    <w:basedOn w:val="CAPITULOS"/>
    <w:link w:val="DIDSUBCAPCar"/>
    <w:uiPriority w:val="99"/>
    <w:rsid w:val="005A720E"/>
    <w:pPr>
      <w:ind w:left="792" w:hanging="432"/>
    </w:pPr>
    <w:rPr>
      <w:sz w:val="28"/>
      <w:lang w:val="es-ES"/>
    </w:rPr>
  </w:style>
  <w:style w:type="character" w:customStyle="1" w:styleId="DIDSUBCAPCar">
    <w:name w:val="DID SUBCAP Car"/>
    <w:link w:val="DIDSUBCAP"/>
    <w:uiPriority w:val="99"/>
    <w:locked/>
    <w:rsid w:val="005A720E"/>
    <w:rPr>
      <w:rFonts w:asciiTheme="minorHAnsi" w:hAnsiTheme="minorHAnsi"/>
      <w:b/>
      <w:sz w:val="28"/>
      <w:szCs w:val="24"/>
      <w:lang w:val="es-ES" w:eastAsia="es-ES"/>
    </w:rPr>
  </w:style>
  <w:style w:type="character" w:customStyle="1" w:styleId="TITULOTELMEXSUBCAPITULOSCar">
    <w:name w:val="TITULO TELMEX SUBCAPITULOS Car"/>
    <w:link w:val="TITULOTELMEXSUBCAPITULOS"/>
    <w:uiPriority w:val="99"/>
    <w:locked/>
    <w:rsid w:val="005A720E"/>
    <w:rPr>
      <w:rFonts w:ascii="Arial" w:hAnsi="Arial"/>
      <w:b/>
      <w:sz w:val="32"/>
    </w:rPr>
  </w:style>
  <w:style w:type="paragraph" w:customStyle="1" w:styleId="TtulodeTDC1">
    <w:name w:val="Título de TDC1"/>
    <w:basedOn w:val="Ttulo1"/>
    <w:next w:val="Normal"/>
    <w:uiPriority w:val="99"/>
    <w:semiHidden/>
    <w:rsid w:val="005A720E"/>
    <w:pPr>
      <w:keepLines/>
      <w:spacing w:before="480" w:line="276" w:lineRule="auto"/>
      <w:ind w:left="0" w:firstLine="0"/>
      <w:outlineLvl w:val="9"/>
    </w:pPr>
    <w:rPr>
      <w:rFonts w:ascii="Cambria" w:hAnsi="Cambria"/>
      <w:bCs/>
      <w:color w:val="365F91"/>
    </w:rPr>
  </w:style>
  <w:style w:type="paragraph" w:customStyle="1" w:styleId="CM2">
    <w:name w:val="CM2"/>
    <w:basedOn w:val="Default"/>
    <w:next w:val="Default"/>
    <w:uiPriority w:val="99"/>
    <w:rsid w:val="005A720E"/>
    <w:pPr>
      <w:widowControl w:val="0"/>
      <w:autoSpaceDE w:val="0"/>
      <w:autoSpaceDN w:val="0"/>
      <w:adjustRightInd w:val="0"/>
      <w:spacing w:line="266" w:lineRule="atLeast"/>
    </w:pPr>
    <w:rPr>
      <w:rFonts w:ascii="Times New Roman" w:hAnsi="Times New Roman"/>
      <w:color w:val="auto"/>
      <w:szCs w:val="24"/>
    </w:rPr>
  </w:style>
  <w:style w:type="paragraph" w:customStyle="1" w:styleId="CM18">
    <w:name w:val="CM18"/>
    <w:basedOn w:val="Default"/>
    <w:next w:val="Default"/>
    <w:uiPriority w:val="99"/>
    <w:rsid w:val="005A720E"/>
    <w:pPr>
      <w:widowControl w:val="0"/>
      <w:autoSpaceDE w:val="0"/>
      <w:autoSpaceDN w:val="0"/>
      <w:adjustRightInd w:val="0"/>
      <w:spacing w:after="263"/>
    </w:pPr>
    <w:rPr>
      <w:rFonts w:ascii="Times New Roman" w:hAnsi="Times New Roman"/>
      <w:color w:val="auto"/>
      <w:szCs w:val="24"/>
    </w:rPr>
  </w:style>
  <w:style w:type="paragraph" w:customStyle="1" w:styleId="CM19">
    <w:name w:val="CM19"/>
    <w:basedOn w:val="Default"/>
    <w:next w:val="Default"/>
    <w:uiPriority w:val="99"/>
    <w:rsid w:val="005A720E"/>
    <w:pPr>
      <w:widowControl w:val="0"/>
      <w:autoSpaceDE w:val="0"/>
      <w:autoSpaceDN w:val="0"/>
      <w:adjustRightInd w:val="0"/>
      <w:spacing w:after="615"/>
    </w:pPr>
    <w:rPr>
      <w:rFonts w:ascii="Times New Roman" w:hAnsi="Times New Roman"/>
      <w:color w:val="auto"/>
      <w:szCs w:val="24"/>
    </w:rPr>
  </w:style>
  <w:style w:type="paragraph" w:customStyle="1" w:styleId="CM17">
    <w:name w:val="CM17"/>
    <w:basedOn w:val="Default"/>
    <w:next w:val="Default"/>
    <w:uiPriority w:val="99"/>
    <w:rsid w:val="005A720E"/>
    <w:pPr>
      <w:widowControl w:val="0"/>
      <w:autoSpaceDE w:val="0"/>
      <w:autoSpaceDN w:val="0"/>
      <w:adjustRightInd w:val="0"/>
      <w:spacing w:after="448"/>
    </w:pPr>
    <w:rPr>
      <w:rFonts w:ascii="Times New Roman" w:hAnsi="Times New Roman"/>
      <w:color w:val="auto"/>
      <w:szCs w:val="24"/>
    </w:rPr>
  </w:style>
  <w:style w:type="paragraph" w:customStyle="1" w:styleId="CM21">
    <w:name w:val="CM21"/>
    <w:basedOn w:val="Default"/>
    <w:next w:val="Default"/>
    <w:uiPriority w:val="99"/>
    <w:rsid w:val="005A720E"/>
    <w:pPr>
      <w:widowControl w:val="0"/>
      <w:autoSpaceDE w:val="0"/>
      <w:autoSpaceDN w:val="0"/>
      <w:adjustRightInd w:val="0"/>
      <w:spacing w:after="518"/>
    </w:pPr>
    <w:rPr>
      <w:rFonts w:ascii="Times New Roman" w:hAnsi="Times New Roman"/>
      <w:color w:val="auto"/>
      <w:szCs w:val="24"/>
    </w:rPr>
  </w:style>
  <w:style w:type="paragraph" w:customStyle="1" w:styleId="CM3">
    <w:name w:val="CM3"/>
    <w:basedOn w:val="Default"/>
    <w:next w:val="Default"/>
    <w:uiPriority w:val="99"/>
    <w:rsid w:val="005A720E"/>
    <w:pPr>
      <w:widowControl w:val="0"/>
      <w:autoSpaceDE w:val="0"/>
      <w:autoSpaceDN w:val="0"/>
      <w:adjustRightInd w:val="0"/>
    </w:pPr>
    <w:rPr>
      <w:rFonts w:ascii="Times New Roman" w:hAnsi="Times New Roman"/>
      <w:color w:val="auto"/>
      <w:szCs w:val="24"/>
    </w:rPr>
  </w:style>
  <w:style w:type="paragraph" w:customStyle="1" w:styleId="CM7">
    <w:name w:val="CM7"/>
    <w:basedOn w:val="Default"/>
    <w:next w:val="Default"/>
    <w:uiPriority w:val="99"/>
    <w:rsid w:val="005A720E"/>
    <w:pPr>
      <w:widowControl w:val="0"/>
      <w:autoSpaceDE w:val="0"/>
      <w:autoSpaceDN w:val="0"/>
      <w:adjustRightInd w:val="0"/>
      <w:spacing w:line="266" w:lineRule="atLeast"/>
    </w:pPr>
    <w:rPr>
      <w:rFonts w:ascii="Times New Roman" w:hAnsi="Times New Roman"/>
      <w:color w:val="auto"/>
      <w:szCs w:val="24"/>
    </w:rPr>
  </w:style>
  <w:style w:type="paragraph" w:customStyle="1" w:styleId="CM9">
    <w:name w:val="CM9"/>
    <w:basedOn w:val="Default"/>
    <w:next w:val="Default"/>
    <w:uiPriority w:val="99"/>
    <w:rsid w:val="005A720E"/>
    <w:pPr>
      <w:widowControl w:val="0"/>
      <w:autoSpaceDE w:val="0"/>
      <w:autoSpaceDN w:val="0"/>
      <w:adjustRightInd w:val="0"/>
      <w:spacing w:line="266" w:lineRule="atLeast"/>
    </w:pPr>
    <w:rPr>
      <w:rFonts w:ascii="Times New Roman" w:hAnsi="Times New Roman"/>
      <w:color w:val="auto"/>
      <w:szCs w:val="24"/>
    </w:rPr>
  </w:style>
  <w:style w:type="paragraph" w:customStyle="1" w:styleId="CM26">
    <w:name w:val="CM26"/>
    <w:basedOn w:val="Default"/>
    <w:next w:val="Default"/>
    <w:uiPriority w:val="99"/>
    <w:rsid w:val="005A720E"/>
    <w:pPr>
      <w:widowControl w:val="0"/>
      <w:autoSpaceDE w:val="0"/>
      <w:autoSpaceDN w:val="0"/>
      <w:adjustRightInd w:val="0"/>
      <w:spacing w:after="208"/>
    </w:pPr>
    <w:rPr>
      <w:rFonts w:ascii="Times New Roman" w:hAnsi="Times New Roman"/>
      <w:color w:val="auto"/>
      <w:szCs w:val="24"/>
    </w:rPr>
  </w:style>
  <w:style w:type="paragraph" w:customStyle="1" w:styleId="CM23">
    <w:name w:val="CM23"/>
    <w:basedOn w:val="Default"/>
    <w:next w:val="Default"/>
    <w:uiPriority w:val="99"/>
    <w:rsid w:val="005A720E"/>
    <w:pPr>
      <w:widowControl w:val="0"/>
      <w:autoSpaceDE w:val="0"/>
      <w:autoSpaceDN w:val="0"/>
      <w:adjustRightInd w:val="0"/>
      <w:spacing w:after="373"/>
    </w:pPr>
    <w:rPr>
      <w:rFonts w:ascii="Times New Roman" w:hAnsi="Times New Roman"/>
      <w:color w:val="auto"/>
      <w:szCs w:val="24"/>
    </w:rPr>
  </w:style>
  <w:style w:type="paragraph" w:customStyle="1" w:styleId="CM20">
    <w:name w:val="CM20"/>
    <w:basedOn w:val="Default"/>
    <w:next w:val="Default"/>
    <w:uiPriority w:val="99"/>
    <w:rsid w:val="005A720E"/>
    <w:pPr>
      <w:widowControl w:val="0"/>
      <w:autoSpaceDE w:val="0"/>
      <w:autoSpaceDN w:val="0"/>
      <w:adjustRightInd w:val="0"/>
      <w:spacing w:after="680"/>
    </w:pPr>
    <w:rPr>
      <w:rFonts w:ascii="Times New Roman" w:hAnsi="Times New Roman"/>
      <w:color w:val="auto"/>
      <w:szCs w:val="24"/>
    </w:rPr>
  </w:style>
  <w:style w:type="table" w:customStyle="1" w:styleId="Tablaconcuadrcula1">
    <w:name w:val="Tabla con cuadrícula1"/>
    <w:uiPriority w:val="99"/>
    <w:locked/>
    <w:rsid w:val="005A720E"/>
    <w:pPr>
      <w:spacing w:after="200" w:line="276" w:lineRule="auto"/>
    </w:pPr>
    <w:rPr>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4">
    <w:name w:val="Estilo4"/>
    <w:basedOn w:val="Ttulo"/>
    <w:autoRedefine/>
    <w:uiPriority w:val="99"/>
    <w:rsid w:val="005A720E"/>
    <w:pPr>
      <w:spacing w:before="0" w:after="0"/>
      <w:ind w:left="284"/>
      <w:jc w:val="left"/>
      <w:outlineLvl w:val="9"/>
    </w:pPr>
    <w:rPr>
      <w:kern w:val="0"/>
      <w:sz w:val="20"/>
    </w:rPr>
  </w:style>
  <w:style w:type="paragraph" w:styleId="TtuloTDC">
    <w:name w:val="TOC Heading"/>
    <w:basedOn w:val="Ttulo1"/>
    <w:next w:val="Normal"/>
    <w:uiPriority w:val="39"/>
    <w:qFormat/>
    <w:rsid w:val="005A720E"/>
    <w:pPr>
      <w:keepLines/>
      <w:spacing w:before="480" w:line="276" w:lineRule="auto"/>
      <w:ind w:left="0" w:firstLine="0"/>
      <w:outlineLvl w:val="9"/>
    </w:pPr>
    <w:rPr>
      <w:rFonts w:ascii="Cambria" w:hAnsi="Cambria"/>
      <w:bCs/>
      <w:color w:val="365F91"/>
      <w:lang w:val="es-ES" w:eastAsia="en-US"/>
    </w:rPr>
  </w:style>
  <w:style w:type="paragraph" w:styleId="Textonotapie">
    <w:name w:val="footnote text"/>
    <w:aliases w:val="Footnote Text Char3,Footnote Text Char2 Char,Footnote Text Char Char Char1 Char,Footnote Text Char1 Char1 Char,Footnote Text Char Char Char2,Footnote Text Char Char Char Char,Footnote Text Char1 Char Char Char Char,ALTS FOOTNOTE,Car,5_G"/>
    <w:basedOn w:val="Normal"/>
    <w:link w:val="TextonotapieCar"/>
    <w:qFormat/>
    <w:locked/>
    <w:rsid w:val="00E90709"/>
    <w:rPr>
      <w:lang w:val="es-ES"/>
    </w:rPr>
  </w:style>
  <w:style w:type="character" w:customStyle="1" w:styleId="TextonotapieCar">
    <w:name w:val="Texto nota pie Car"/>
    <w:aliases w:val="Footnote Text Char3 Car,Footnote Text Char2 Char Car,Footnote Text Char Char Char1 Char Car,Footnote Text Char1 Char1 Char Car,Footnote Text Char Char Char2 Car,Footnote Text Char Char Char Char Car,ALTS FOOTNOTE Car,Car Car,5_G Car"/>
    <w:basedOn w:val="Fuentedeprrafopredeter"/>
    <w:link w:val="Textonotapie"/>
    <w:locked/>
    <w:rsid w:val="00E90709"/>
    <w:rPr>
      <w:rFonts w:ascii="Arial" w:hAnsi="Arial" w:cs="Times New Roman"/>
      <w:lang w:val="es-ES" w:eastAsia="es-ES"/>
    </w:rPr>
  </w:style>
  <w:style w:type="character" w:styleId="Refdenotaalpie">
    <w:name w:val="footnote reference"/>
    <w:aliases w:val="(NECG) Footnote Reference,o,fr,Style 3,Appel note de bas de p,Style 12,Style 124,Style 13,FR,Style 17,Style 6,Footnote Reference/,Ref,de nota al pie,Ref. de nota al pie 2,Footnote Reference Superscript"/>
    <w:basedOn w:val="Fuentedeprrafopredeter"/>
    <w:qFormat/>
    <w:locked/>
    <w:rsid w:val="00E90709"/>
    <w:rPr>
      <w:rFonts w:cs="Times New Roman"/>
      <w:vertAlign w:val="superscript"/>
    </w:rPr>
  </w:style>
  <w:style w:type="paragraph" w:styleId="Revisin">
    <w:name w:val="Revision"/>
    <w:hidden/>
    <w:uiPriority w:val="99"/>
    <w:semiHidden/>
    <w:rsid w:val="006D5763"/>
    <w:pPr>
      <w:spacing w:line="360" w:lineRule="auto"/>
    </w:pPr>
    <w:rPr>
      <w:rFonts w:ascii="Arial" w:hAnsi="Arial"/>
      <w:sz w:val="20"/>
      <w:szCs w:val="20"/>
      <w:lang w:val="es-ES_tradnl" w:eastAsia="es-ES"/>
    </w:rPr>
  </w:style>
  <w:style w:type="paragraph" w:styleId="Listaconvietas2">
    <w:name w:val="List Bullet 2"/>
    <w:basedOn w:val="Normal"/>
    <w:autoRedefine/>
    <w:uiPriority w:val="99"/>
    <w:semiHidden/>
    <w:locked/>
    <w:rsid w:val="00F91E42"/>
    <w:pPr>
      <w:widowControl w:val="0"/>
      <w:tabs>
        <w:tab w:val="left" w:pos="284"/>
        <w:tab w:val="left" w:pos="993"/>
      </w:tabs>
      <w:spacing w:before="60"/>
      <w:ind w:left="567" w:hanging="567"/>
    </w:pPr>
    <w:rPr>
      <w:sz w:val="22"/>
    </w:rPr>
  </w:style>
  <w:style w:type="paragraph" w:customStyle="1" w:styleId="Normal1">
    <w:name w:val="Normal1"/>
    <w:uiPriority w:val="99"/>
    <w:rsid w:val="00881CF9"/>
    <w:pPr>
      <w:spacing w:after="120" w:line="360" w:lineRule="auto"/>
      <w:ind w:firstLine="567"/>
      <w:jc w:val="both"/>
    </w:pPr>
    <w:rPr>
      <w:rFonts w:ascii="Garamond" w:hAnsi="Garamond"/>
      <w:sz w:val="24"/>
      <w:szCs w:val="20"/>
      <w:lang w:val="es-ES" w:eastAsia="es-ES"/>
    </w:rPr>
  </w:style>
  <w:style w:type="paragraph" w:customStyle="1" w:styleId="Prrafodelista2">
    <w:name w:val="Párrafo de lista2"/>
    <w:basedOn w:val="Normal"/>
    <w:uiPriority w:val="99"/>
    <w:rsid w:val="00E01992"/>
    <w:pPr>
      <w:ind w:left="708"/>
    </w:pPr>
  </w:style>
  <w:style w:type="character" w:customStyle="1" w:styleId="apple-converted-space">
    <w:name w:val="apple-converted-space"/>
    <w:basedOn w:val="Fuentedeprrafopredeter"/>
    <w:uiPriority w:val="99"/>
    <w:rsid w:val="004F2C14"/>
    <w:rPr>
      <w:rFonts w:cs="Times New Roman"/>
    </w:rPr>
  </w:style>
  <w:style w:type="paragraph" w:styleId="Textonotaalfinal">
    <w:name w:val="endnote text"/>
    <w:basedOn w:val="Normal"/>
    <w:link w:val="TextonotaalfinalCar"/>
    <w:uiPriority w:val="99"/>
    <w:semiHidden/>
    <w:locked/>
    <w:rsid w:val="00B35E22"/>
  </w:style>
  <w:style w:type="character" w:customStyle="1" w:styleId="TextonotaalfinalCar">
    <w:name w:val="Texto nota al final Car"/>
    <w:basedOn w:val="Fuentedeprrafopredeter"/>
    <w:link w:val="Textonotaalfinal"/>
    <w:uiPriority w:val="99"/>
    <w:semiHidden/>
    <w:locked/>
    <w:rsid w:val="00B35E22"/>
    <w:rPr>
      <w:rFonts w:ascii="Arial" w:hAnsi="Arial" w:cs="Times New Roman"/>
      <w:sz w:val="20"/>
      <w:szCs w:val="20"/>
      <w:lang w:val="es-ES_tradnl" w:eastAsia="es-ES"/>
    </w:rPr>
  </w:style>
  <w:style w:type="character" w:styleId="Refdenotaalfinal">
    <w:name w:val="endnote reference"/>
    <w:basedOn w:val="Fuentedeprrafopredeter"/>
    <w:uiPriority w:val="99"/>
    <w:semiHidden/>
    <w:locked/>
    <w:rsid w:val="00B35E22"/>
    <w:rPr>
      <w:rFonts w:cs="Times New Roman"/>
      <w:vertAlign w:val="superscript"/>
    </w:rPr>
  </w:style>
  <w:style w:type="paragraph" w:customStyle="1" w:styleId="DefinitionList">
    <w:name w:val="Definition List"/>
    <w:basedOn w:val="Normal"/>
    <w:next w:val="Normal"/>
    <w:uiPriority w:val="99"/>
    <w:rsid w:val="001626D0"/>
    <w:pPr>
      <w:ind w:left="360"/>
    </w:pPr>
    <w:rPr>
      <w:rFonts w:ascii="Times New Roman" w:hAnsi="Times New Roman"/>
    </w:rPr>
  </w:style>
  <w:style w:type="table" w:styleId="Cuadrculamedia2-nfasis1">
    <w:name w:val="Medium Grid 2 Accent 1"/>
    <w:basedOn w:val="Tablanormal"/>
    <w:uiPriority w:val="99"/>
    <w:rsid w:val="00FA1A10"/>
    <w:rPr>
      <w:rFonts w:ascii="Cambria"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customStyle="1" w:styleId="Prrafodelista3">
    <w:name w:val="Párrafo de lista3"/>
    <w:basedOn w:val="Normal"/>
    <w:uiPriority w:val="99"/>
    <w:rsid w:val="00B360B8"/>
    <w:pPr>
      <w:spacing w:line="240" w:lineRule="auto"/>
      <w:ind w:left="708"/>
    </w:pPr>
  </w:style>
  <w:style w:type="character" w:customStyle="1" w:styleId="Heading5Char8">
    <w:name w:val="Heading 5 Char8"/>
    <w:aliases w:val="ITT t5 Char6,PA Pico Section Char6,Roman list Char6,5 Char8,Level 5 Char6,Header 5 Char6,H5-Heading 5 Char8,h5 Char8,H5 Char8,le5 Char6,l5 Char8,Heading5 Char8,heading5 Char8,H51 Char8,51 Char8,H5-Heading 51 Char8,h51 Char8,l51 Char8"/>
    <w:basedOn w:val="Fuentedeprrafopredeter"/>
    <w:uiPriority w:val="99"/>
    <w:semiHidden/>
    <w:locked/>
    <w:rsid w:val="007F5E84"/>
    <w:rPr>
      <w:rFonts w:ascii="Calibri" w:hAnsi="Calibri" w:cs="Times New Roman"/>
      <w:b/>
      <w:bCs/>
      <w:i/>
      <w:iCs/>
      <w:sz w:val="26"/>
      <w:szCs w:val="26"/>
      <w:lang w:val="es-ES_tradnl" w:eastAsia="es-ES"/>
    </w:rPr>
  </w:style>
  <w:style w:type="table" w:styleId="Cuadrculamedia3-nfasis1">
    <w:name w:val="Medium Grid 3 Accent 1"/>
    <w:basedOn w:val="Tablanormal"/>
    <w:uiPriority w:val="99"/>
    <w:rsid w:val="00F060B5"/>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Estilo1">
    <w:name w:val="Estilo1"/>
    <w:rsid w:val="00F0773A"/>
    <w:pPr>
      <w:numPr>
        <w:numId w:val="205"/>
      </w:numPr>
    </w:pPr>
  </w:style>
  <w:style w:type="numbering" w:customStyle="1" w:styleId="Estilo2">
    <w:name w:val="Estilo2"/>
    <w:rsid w:val="00F0773A"/>
    <w:pPr>
      <w:numPr>
        <w:numId w:val="18"/>
      </w:numPr>
    </w:pPr>
  </w:style>
  <w:style w:type="numbering" w:customStyle="1" w:styleId="Estilo3">
    <w:name w:val="Estilo3"/>
    <w:rsid w:val="00F0773A"/>
    <w:pPr>
      <w:numPr>
        <w:numId w:val="216"/>
      </w:numPr>
    </w:pPr>
  </w:style>
  <w:style w:type="paragraph" w:customStyle="1" w:styleId="Prrafodelista4">
    <w:name w:val="Párrafo de lista4"/>
    <w:basedOn w:val="Normal"/>
    <w:rsid w:val="003E0D14"/>
    <w:pPr>
      <w:ind w:left="708"/>
    </w:pPr>
  </w:style>
  <w:style w:type="paragraph" w:customStyle="1" w:styleId="Prrafodelista5">
    <w:name w:val="Párrafo de lista5"/>
    <w:basedOn w:val="Normal"/>
    <w:rsid w:val="00892023"/>
    <w:pPr>
      <w:ind w:left="708"/>
    </w:pPr>
  </w:style>
  <w:style w:type="paragraph" w:customStyle="1" w:styleId="Prrafodelista6">
    <w:name w:val="Párrafo de lista6"/>
    <w:basedOn w:val="Normal"/>
    <w:rsid w:val="000E17EF"/>
    <w:pPr>
      <w:ind w:left="708"/>
    </w:pPr>
  </w:style>
  <w:style w:type="table" w:customStyle="1" w:styleId="Sombreadoclaro1">
    <w:name w:val="Sombreado claro1"/>
    <w:basedOn w:val="Tablanormal"/>
    <w:uiPriority w:val="60"/>
    <w:rsid w:val="00003DF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itaIFT">
    <w:name w:val="Cita IFT"/>
    <w:basedOn w:val="Normal"/>
    <w:link w:val="CitaIFTCar"/>
    <w:qFormat/>
    <w:rsid w:val="0017756E"/>
    <w:pPr>
      <w:adjustRightInd w:val="0"/>
      <w:spacing w:after="200" w:line="276" w:lineRule="auto"/>
      <w:ind w:left="851" w:right="760"/>
    </w:pPr>
    <w:rPr>
      <w:rFonts w:ascii="ITC Avant Garde" w:hAnsi="ITC Avant Garde" w:cs="Arial"/>
      <w:bCs/>
      <w:i/>
      <w:color w:val="000000"/>
      <w:sz w:val="18"/>
      <w:szCs w:val="18"/>
    </w:rPr>
  </w:style>
  <w:style w:type="character" w:customStyle="1" w:styleId="CitaIFTCar">
    <w:name w:val="Cita IFT Car"/>
    <w:link w:val="CitaIFT"/>
    <w:qFormat/>
    <w:rsid w:val="0017756E"/>
    <w:rPr>
      <w:rFonts w:ascii="ITC Avant Garde" w:hAnsi="ITC Avant Garde" w:cs="Arial"/>
      <w:bCs/>
      <w:i/>
      <w:color w:val="000000"/>
      <w:sz w:val="18"/>
      <w:szCs w:val="18"/>
      <w:lang w:val="es-ES_tradnl" w:eastAsia="es-ES"/>
    </w:rPr>
  </w:style>
  <w:style w:type="paragraph" w:customStyle="1" w:styleId="Title2">
    <w:name w:val="Title 2"/>
    <w:basedOn w:val="Normal"/>
    <w:rsid w:val="00B6052B"/>
    <w:pPr>
      <w:spacing w:line="240" w:lineRule="auto"/>
      <w:jc w:val="center"/>
    </w:pPr>
    <w:rPr>
      <w:rFonts w:ascii="Telefonica Text" w:hAnsi="Telefonica Text"/>
      <w:b/>
      <w:color w:val="003245"/>
    </w:rPr>
  </w:style>
  <w:style w:type="paragraph" w:customStyle="1" w:styleId="h1Rom">
    <w:name w:val="h:1Rom"/>
    <w:basedOn w:val="Ttulo1"/>
    <w:next w:val="Normal"/>
    <w:link w:val="h1RomCar"/>
    <w:qFormat/>
    <w:rsid w:val="00F437F8"/>
    <w:pPr>
      <w:ind w:left="426" w:hanging="426"/>
    </w:pPr>
  </w:style>
  <w:style w:type="paragraph" w:customStyle="1" w:styleId="Estilo5">
    <w:name w:val="Estilo5"/>
    <w:basedOn w:val="Titulo20"/>
    <w:next w:val="Normal"/>
    <w:link w:val="Estilo5Car"/>
    <w:qFormat/>
    <w:rsid w:val="00D95EAA"/>
    <w:pPr>
      <w:spacing w:before="240" w:after="240"/>
    </w:pPr>
    <w:rPr>
      <w:b/>
    </w:rPr>
  </w:style>
  <w:style w:type="character" w:customStyle="1" w:styleId="h1RomCar">
    <w:name w:val="h:1Rom Car"/>
    <w:basedOn w:val="Ttulo1Car"/>
    <w:link w:val="h1Rom"/>
    <w:rsid w:val="00F437F8"/>
    <w:rPr>
      <w:rFonts w:asciiTheme="minorHAnsi" w:hAnsiTheme="minorHAnsi"/>
      <w:b/>
      <w:sz w:val="28"/>
      <w:szCs w:val="28"/>
      <w:lang w:val="es-MX" w:eastAsia="es-ES"/>
    </w:rPr>
  </w:style>
  <w:style w:type="paragraph" w:customStyle="1" w:styleId="h2Rom">
    <w:name w:val="h:2 Rom"/>
    <w:basedOn w:val="Ttulo2"/>
    <w:next w:val="Normal"/>
    <w:link w:val="h2RomCar"/>
    <w:qFormat/>
    <w:rsid w:val="00E623FD"/>
    <w:pPr>
      <w:spacing w:after="240"/>
      <w:ind w:left="765" w:hanging="405"/>
    </w:pPr>
  </w:style>
  <w:style w:type="character" w:customStyle="1" w:styleId="Titulo2Car">
    <w:name w:val="Titulo 2 Car"/>
    <w:basedOn w:val="Ttulo2Car"/>
    <w:link w:val="Titulo20"/>
    <w:uiPriority w:val="99"/>
    <w:rsid w:val="00D95EAA"/>
    <w:rPr>
      <w:rFonts w:asciiTheme="minorHAnsi" w:hAnsiTheme="minorHAnsi"/>
      <w:b w:val="0"/>
      <w:sz w:val="24"/>
      <w:szCs w:val="24"/>
      <w:lang w:val="es-MX" w:eastAsia="es-ES"/>
    </w:rPr>
  </w:style>
  <w:style w:type="character" w:customStyle="1" w:styleId="Estilo5Car">
    <w:name w:val="Estilo5 Car"/>
    <w:basedOn w:val="Titulo2Car"/>
    <w:link w:val="Estilo5"/>
    <w:rsid w:val="00D95EAA"/>
    <w:rPr>
      <w:rFonts w:asciiTheme="minorHAnsi" w:hAnsiTheme="minorHAnsi"/>
      <w:b/>
      <w:sz w:val="24"/>
      <w:szCs w:val="24"/>
      <w:lang w:val="es-MX" w:eastAsia="es-ES"/>
    </w:rPr>
  </w:style>
  <w:style w:type="paragraph" w:customStyle="1" w:styleId="h1Num">
    <w:name w:val="h:1 Num"/>
    <w:basedOn w:val="Ttulo1"/>
    <w:link w:val="h1NumCar"/>
    <w:qFormat/>
    <w:rsid w:val="005011F5"/>
    <w:pPr>
      <w:ind w:left="1146" w:hanging="360"/>
    </w:pPr>
  </w:style>
  <w:style w:type="character" w:customStyle="1" w:styleId="h2RomCar">
    <w:name w:val="h:2 Rom Car"/>
    <w:basedOn w:val="Ttulo2Car"/>
    <w:link w:val="h2Rom"/>
    <w:rsid w:val="00E623FD"/>
    <w:rPr>
      <w:rFonts w:asciiTheme="minorHAnsi" w:hAnsiTheme="minorHAnsi"/>
      <w:b/>
      <w:sz w:val="24"/>
      <w:szCs w:val="24"/>
      <w:lang w:val="es-ES" w:eastAsia="es-ES"/>
    </w:rPr>
  </w:style>
  <w:style w:type="character" w:customStyle="1" w:styleId="h1NumCar">
    <w:name w:val="h:1 Num Car"/>
    <w:basedOn w:val="Ttulo1Car"/>
    <w:link w:val="h1Num"/>
    <w:rsid w:val="005011F5"/>
    <w:rPr>
      <w:rFonts w:asciiTheme="minorHAnsi" w:hAnsiTheme="minorHAnsi"/>
      <w:b/>
      <w:sz w:val="28"/>
      <w:szCs w:val="28"/>
      <w:lang w:val="es-MX" w:eastAsia="es-ES"/>
    </w:rPr>
  </w:style>
  <w:style w:type="paragraph" w:customStyle="1" w:styleId="7CitaTextual">
    <w:name w:val="7 Cita Textual"/>
    <w:basedOn w:val="Normal"/>
    <w:link w:val="7CitaTextualCar"/>
    <w:qFormat/>
    <w:rsid w:val="001B6385"/>
    <w:pPr>
      <w:suppressAutoHyphens w:val="0"/>
      <w:spacing w:before="40" w:after="200" w:line="276" w:lineRule="auto"/>
      <w:ind w:left="567" w:right="567"/>
      <w:contextualSpacing w:val="0"/>
    </w:pPr>
    <w:rPr>
      <w:rFonts w:ascii="ITC Avant Garde" w:eastAsiaTheme="minorHAnsi" w:hAnsi="ITC Avant Garde" w:cstheme="minorBidi"/>
      <w:i/>
      <w:sz w:val="18"/>
      <w:szCs w:val="22"/>
      <w:lang w:eastAsia="en-US"/>
    </w:rPr>
  </w:style>
  <w:style w:type="character" w:customStyle="1" w:styleId="7CitaTextualCar">
    <w:name w:val="7 Cita Textual Car"/>
    <w:basedOn w:val="Fuentedeprrafopredeter"/>
    <w:link w:val="7CitaTextual"/>
    <w:rsid w:val="001B6385"/>
    <w:rPr>
      <w:rFonts w:ascii="ITC Avant Garde" w:eastAsiaTheme="minorHAnsi" w:hAnsi="ITC Avant Garde" w:cstheme="minorBidi"/>
      <w:i/>
      <w:sz w:val="18"/>
      <w:lang w:val="es-MX"/>
    </w:rPr>
  </w:style>
  <w:style w:type="paragraph" w:customStyle="1" w:styleId="4TituloCuarto">
    <w:name w:val="4 Titulo Cuarto"/>
    <w:basedOn w:val="Normal"/>
    <w:link w:val="4TituloCuartoCar"/>
    <w:qFormat/>
    <w:rsid w:val="001B6385"/>
    <w:pPr>
      <w:suppressAutoHyphens w:val="0"/>
      <w:spacing w:before="160" w:after="160" w:line="276" w:lineRule="auto"/>
      <w:contextualSpacing w:val="0"/>
      <w:jc w:val="left"/>
      <w:outlineLvl w:val="3"/>
    </w:pPr>
    <w:rPr>
      <w:rFonts w:ascii="ITC Avant Garde" w:eastAsiaTheme="minorHAnsi" w:hAnsi="ITC Avant Garde" w:cs="Arial"/>
      <w:b/>
      <w:sz w:val="22"/>
      <w:szCs w:val="14"/>
      <w:lang w:val="es-ES_tradnl"/>
    </w:rPr>
  </w:style>
  <w:style w:type="character" w:customStyle="1" w:styleId="4TituloCuartoCar">
    <w:name w:val="4 Titulo Cuarto Car"/>
    <w:basedOn w:val="Fuentedeprrafopredeter"/>
    <w:link w:val="4TituloCuarto"/>
    <w:rsid w:val="001B6385"/>
    <w:rPr>
      <w:rFonts w:ascii="ITC Avant Garde" w:eastAsiaTheme="minorHAnsi" w:hAnsi="ITC Avant Garde" w:cs="Arial"/>
      <w:b/>
      <w:szCs w:val="14"/>
      <w:lang w:val="es-ES_tradnl" w:eastAsia="es-ES"/>
    </w:rPr>
  </w:style>
  <w:style w:type="paragraph" w:customStyle="1" w:styleId="1BulletsPrimero">
    <w:name w:val="1 Bullets Primero"/>
    <w:basedOn w:val="Normal"/>
    <w:link w:val="1BulletsPrimeroCar"/>
    <w:autoRedefine/>
    <w:uiPriority w:val="3"/>
    <w:qFormat/>
    <w:rsid w:val="001B6385"/>
    <w:pPr>
      <w:suppressAutoHyphens w:val="0"/>
      <w:spacing w:before="60" w:after="60" w:line="276" w:lineRule="auto"/>
      <w:ind w:left="567" w:hanging="340"/>
      <w:contextualSpacing w:val="0"/>
    </w:pPr>
    <w:rPr>
      <w:rFonts w:ascii="ITC Avant Garde" w:eastAsiaTheme="minorHAnsi" w:hAnsi="ITC Avant Garde" w:cs="Arial"/>
      <w:sz w:val="22"/>
      <w:szCs w:val="22"/>
      <w:lang w:val="es-ES"/>
    </w:rPr>
  </w:style>
  <w:style w:type="paragraph" w:customStyle="1" w:styleId="2BulletsSegundo">
    <w:name w:val="2 Bullets Segundo"/>
    <w:basedOn w:val="1BulletsPrimero"/>
    <w:link w:val="2BulletsSegundoCar"/>
    <w:autoRedefine/>
    <w:uiPriority w:val="3"/>
    <w:qFormat/>
    <w:rsid w:val="001B6385"/>
    <w:pPr>
      <w:tabs>
        <w:tab w:val="num" w:pos="680"/>
      </w:tabs>
      <w:ind w:left="680"/>
    </w:pPr>
  </w:style>
  <w:style w:type="paragraph" w:customStyle="1" w:styleId="3BulletsTercero">
    <w:name w:val="3 Bullets Tercero"/>
    <w:basedOn w:val="2BulletsSegundo"/>
    <w:autoRedefine/>
    <w:uiPriority w:val="3"/>
    <w:qFormat/>
    <w:rsid w:val="001B6385"/>
    <w:pPr>
      <w:tabs>
        <w:tab w:val="clear" w:pos="680"/>
        <w:tab w:val="num" w:pos="360"/>
        <w:tab w:val="num" w:pos="6120"/>
      </w:tabs>
      <w:spacing w:line="264" w:lineRule="auto"/>
      <w:ind w:left="1418" w:hanging="360"/>
    </w:pPr>
  </w:style>
  <w:style w:type="paragraph" w:customStyle="1" w:styleId="BulletCMI">
    <w:name w:val="Bullet CMI"/>
    <w:basedOn w:val="3BulletsTercero"/>
    <w:qFormat/>
    <w:rsid w:val="001B6385"/>
    <w:pPr>
      <w:tabs>
        <w:tab w:val="num" w:pos="6840"/>
      </w:tabs>
      <w:ind w:left="2127"/>
    </w:pPr>
  </w:style>
  <w:style w:type="character" w:customStyle="1" w:styleId="1BulletsPrimeroCar">
    <w:name w:val="1 Bullets Primero Car"/>
    <w:basedOn w:val="Fuentedeprrafopredeter"/>
    <w:link w:val="1BulletsPrimero"/>
    <w:uiPriority w:val="3"/>
    <w:rsid w:val="001B6385"/>
    <w:rPr>
      <w:rFonts w:ascii="ITC Avant Garde" w:eastAsiaTheme="minorHAnsi" w:hAnsi="ITC Avant Garde" w:cs="Arial"/>
      <w:lang w:val="es-ES" w:eastAsia="es-ES"/>
    </w:rPr>
  </w:style>
  <w:style w:type="character" w:customStyle="1" w:styleId="2BulletsSegundoCar">
    <w:name w:val="2 Bullets Segundo Car"/>
    <w:basedOn w:val="1BulletsPrimeroCar"/>
    <w:link w:val="2BulletsSegundo"/>
    <w:uiPriority w:val="3"/>
    <w:rsid w:val="001B6385"/>
    <w:rPr>
      <w:rFonts w:ascii="ITC Avant Garde" w:eastAsiaTheme="minorHAnsi" w:hAnsi="ITC Avant Garde" w:cs="Arial"/>
      <w:lang w:val="es-ES" w:eastAsia="es-ES"/>
    </w:rPr>
  </w:style>
  <w:style w:type="character" w:styleId="nfasis">
    <w:name w:val="Emphasis"/>
    <w:basedOn w:val="Fuentedeprrafopredeter"/>
    <w:uiPriority w:val="20"/>
    <w:qFormat/>
    <w:rsid w:val="001B6385"/>
    <w:rPr>
      <w:i/>
      <w:iCs/>
    </w:rPr>
  </w:style>
  <w:style w:type="paragraph" w:styleId="Sinespaciado">
    <w:name w:val="No Spacing"/>
    <w:uiPriority w:val="1"/>
    <w:qFormat/>
    <w:rsid w:val="005310A8"/>
    <w:pPr>
      <w:suppressAutoHyphens/>
      <w:contextualSpacing/>
      <w:jc w:val="both"/>
    </w:pPr>
    <w:rPr>
      <w:rFonts w:asciiTheme="minorHAnsi" w:hAnsiTheme="minorHAnsi"/>
      <w:sz w:val="24"/>
      <w:szCs w:val="24"/>
      <w:lang w:val="es-MX" w:eastAsia="es-ES"/>
    </w:rPr>
  </w:style>
  <w:style w:type="paragraph" w:customStyle="1" w:styleId="IFTnormal">
    <w:name w:val="IFT normal"/>
    <w:basedOn w:val="Normal"/>
    <w:link w:val="IFTnormalCar"/>
    <w:qFormat/>
    <w:rsid w:val="00CE7A74"/>
    <w:pPr>
      <w:suppressAutoHyphens w:val="0"/>
      <w:spacing w:after="200" w:line="276" w:lineRule="auto"/>
      <w:contextualSpacing w:val="0"/>
    </w:pPr>
    <w:rPr>
      <w:rFonts w:ascii="ITC Avant Garde" w:eastAsia="MS Mincho" w:hAnsi="ITC Avant Garde" w:cs="Calibri"/>
      <w:bCs/>
      <w:sz w:val="22"/>
      <w:szCs w:val="22"/>
      <w:lang w:eastAsia="en-US"/>
    </w:rPr>
  </w:style>
  <w:style w:type="paragraph" w:customStyle="1" w:styleId="NumeracinIFT">
    <w:name w:val="Numeración IFT"/>
    <w:basedOn w:val="Prrafodelista"/>
    <w:link w:val="NumeracinIFTCar"/>
    <w:qFormat/>
    <w:rsid w:val="00CE7A74"/>
    <w:pPr>
      <w:suppressAutoHyphens w:val="0"/>
      <w:spacing w:after="200" w:line="276" w:lineRule="auto"/>
      <w:ind w:left="1571" w:hanging="360"/>
    </w:pPr>
    <w:rPr>
      <w:rFonts w:ascii="ITC Avant Garde" w:hAnsi="ITC Avant Garde"/>
      <w:iCs/>
      <w:sz w:val="22"/>
      <w:szCs w:val="22"/>
      <w:lang w:eastAsia="en-US"/>
    </w:rPr>
  </w:style>
  <w:style w:type="character" w:customStyle="1" w:styleId="PrrafodelistaCar">
    <w:name w:val="Párrafo de lista Car"/>
    <w:aliases w:val="prueba1 Car,Numeración 1 Car"/>
    <w:link w:val="Prrafodelista"/>
    <w:uiPriority w:val="34"/>
    <w:qFormat/>
    <w:rsid w:val="00CE7A74"/>
    <w:rPr>
      <w:rFonts w:asciiTheme="minorHAnsi" w:hAnsiTheme="minorHAnsi"/>
      <w:sz w:val="24"/>
      <w:szCs w:val="24"/>
      <w:lang w:val="es-MX" w:eastAsia="es-ES"/>
    </w:rPr>
  </w:style>
  <w:style w:type="character" w:customStyle="1" w:styleId="NumeracinIFTCar">
    <w:name w:val="Numeración IFT Car"/>
    <w:link w:val="NumeracinIFT"/>
    <w:rsid w:val="00CE7A74"/>
    <w:rPr>
      <w:rFonts w:ascii="ITC Avant Garde" w:hAnsi="ITC Avant Garde"/>
      <w:iCs/>
      <w:lang w:val="es-MX"/>
    </w:rPr>
  </w:style>
  <w:style w:type="paragraph" w:customStyle="1" w:styleId="Citaift0">
    <w:name w:val="Cita ift"/>
    <w:basedOn w:val="Normal"/>
    <w:link w:val="CitaiftCar0"/>
    <w:qFormat/>
    <w:rsid w:val="00CE7A74"/>
    <w:pPr>
      <w:suppressAutoHyphens w:val="0"/>
      <w:adjustRightInd w:val="0"/>
      <w:spacing w:after="200" w:line="276" w:lineRule="auto"/>
      <w:ind w:left="851" w:right="760"/>
      <w:contextualSpacing w:val="0"/>
    </w:pPr>
    <w:rPr>
      <w:rFonts w:ascii="ITC Avant Garde" w:hAnsi="ITC Avant Garde" w:cs="Arial"/>
      <w:i/>
      <w:color w:val="000000"/>
      <w:sz w:val="18"/>
      <w:szCs w:val="18"/>
    </w:rPr>
  </w:style>
  <w:style w:type="character" w:customStyle="1" w:styleId="CitaiftCar0">
    <w:name w:val="Cita ift Car"/>
    <w:link w:val="Citaift0"/>
    <w:rsid w:val="00CE7A74"/>
    <w:rPr>
      <w:rFonts w:ascii="ITC Avant Garde" w:hAnsi="ITC Avant Garde" w:cs="Arial"/>
      <w:i/>
      <w:color w:val="000000"/>
      <w:sz w:val="18"/>
      <w:szCs w:val="18"/>
      <w:lang w:val="es-MX" w:eastAsia="es-ES"/>
    </w:rPr>
  </w:style>
  <w:style w:type="character" w:customStyle="1" w:styleId="IFTnormalCar">
    <w:name w:val="IFT normal Car"/>
    <w:basedOn w:val="Fuentedeprrafopredeter"/>
    <w:link w:val="IFTnormal"/>
    <w:qFormat/>
    <w:rsid w:val="00CE7A74"/>
    <w:rPr>
      <w:rFonts w:ascii="ITC Avant Garde" w:eastAsia="MS Mincho" w:hAnsi="ITC Avant Garde" w:cs="Calibri"/>
      <w:bCs/>
      <w:lang w:val="es-MX"/>
    </w:rPr>
  </w:style>
  <w:style w:type="paragraph" w:customStyle="1" w:styleId="TtuloIFT">
    <w:name w:val="Título IFT"/>
    <w:basedOn w:val="Ttulo1"/>
    <w:link w:val="TtuloIFTCar"/>
    <w:qFormat/>
    <w:rsid w:val="00CE7A74"/>
    <w:pPr>
      <w:keepNext w:val="0"/>
      <w:spacing w:after="200" w:line="276" w:lineRule="auto"/>
      <w:ind w:left="0" w:firstLine="0"/>
    </w:pPr>
    <w:rPr>
      <w:rFonts w:eastAsia="Calibri" w:cs="Arial"/>
      <w:color w:val="000000"/>
      <w:sz w:val="22"/>
      <w:szCs w:val="22"/>
      <w:lang w:val="es-ES"/>
    </w:rPr>
  </w:style>
  <w:style w:type="character" w:customStyle="1" w:styleId="TtuloIFTCar">
    <w:name w:val="Título IFT Car"/>
    <w:link w:val="TtuloIFT"/>
    <w:rsid w:val="00CE7A74"/>
    <w:rPr>
      <w:rFonts w:ascii="ITC Avant Garde" w:eastAsia="Calibri" w:hAnsi="ITC Avant Garde" w:cs="Arial"/>
      <w:b/>
      <w:color w:val="000000"/>
      <w:lang w:val="es-ES" w:eastAsia="es-ES"/>
    </w:rPr>
  </w:style>
  <w:style w:type="paragraph" w:customStyle="1" w:styleId="IFTcita">
    <w:name w:val="IFT cita"/>
    <w:basedOn w:val="7CitaTextual"/>
    <w:link w:val="IFTcitaCar"/>
    <w:qFormat/>
    <w:rsid w:val="00E27DF8"/>
    <w:rPr>
      <w:b/>
      <w:lang w:val="es-ES"/>
    </w:rPr>
  </w:style>
  <w:style w:type="character" w:customStyle="1" w:styleId="IFTcitaCar">
    <w:name w:val="IFT cita Car"/>
    <w:basedOn w:val="7CitaTextualCar"/>
    <w:link w:val="IFTcita"/>
    <w:rsid w:val="00E27DF8"/>
    <w:rPr>
      <w:rFonts w:ascii="ITC Avant Garde" w:eastAsiaTheme="minorHAnsi" w:hAnsi="ITC Avant Garde" w:cstheme="minorBidi"/>
      <w:b/>
      <w:i/>
      <w:sz w:val="18"/>
      <w:lang w:val="es-ES"/>
    </w:rPr>
  </w:style>
  <w:style w:type="paragraph" w:customStyle="1" w:styleId="Romano1ernivel">
    <w:name w:val="Romano 1er nivel"/>
    <w:basedOn w:val="Normal"/>
    <w:link w:val="Romano1ernivelCar"/>
    <w:qFormat/>
    <w:rsid w:val="0019635E"/>
    <w:pPr>
      <w:suppressAutoHyphens w:val="0"/>
      <w:adjustRightInd w:val="0"/>
      <w:spacing w:before="120" w:line="276" w:lineRule="auto"/>
      <w:ind w:left="1571" w:hanging="360"/>
      <w:contextualSpacing w:val="0"/>
    </w:pPr>
    <w:rPr>
      <w:rFonts w:ascii="ITC Avant Garde" w:eastAsia="Calibri" w:hAnsi="ITC Avant Garde" w:cs="Arial"/>
      <w:bCs/>
      <w:color w:val="000000"/>
      <w:sz w:val="22"/>
      <w:szCs w:val="22"/>
      <w:lang w:val="es-ES"/>
    </w:rPr>
  </w:style>
  <w:style w:type="character" w:customStyle="1" w:styleId="Romano1ernivelCar">
    <w:name w:val="Romano 1er nivel Car"/>
    <w:basedOn w:val="Fuentedeprrafopredeter"/>
    <w:link w:val="Romano1ernivel"/>
    <w:rsid w:val="008132A3"/>
    <w:rPr>
      <w:rFonts w:ascii="ITC Avant Garde" w:eastAsia="Calibri" w:hAnsi="ITC Avant Garde" w:cs="Arial"/>
      <w:bCs/>
      <w:color w:val="000000"/>
      <w:lang w:val="es-ES" w:eastAsia="es-ES"/>
    </w:rPr>
  </w:style>
  <w:style w:type="paragraph" w:customStyle="1" w:styleId="ListBulletCompact">
    <w:name w:val="List Bullet Compact"/>
    <w:basedOn w:val="Listaconvietas"/>
    <w:qFormat/>
    <w:rsid w:val="008235F5"/>
    <w:pPr>
      <w:spacing w:line="320" w:lineRule="atLeast"/>
      <w:ind w:left="357" w:hanging="357"/>
      <w:contextualSpacing w:val="0"/>
    </w:pPr>
    <w:rPr>
      <w:rFonts w:ascii="Arial" w:eastAsiaTheme="minorHAnsi" w:hAnsi="Arial" w:cstheme="minorBidi"/>
      <w:lang w:val="es-ES_tradnl" w:eastAsia="en-US"/>
    </w:rPr>
  </w:style>
  <w:style w:type="paragraph" w:customStyle="1" w:styleId="Border">
    <w:name w:val="Border"/>
    <w:next w:val="Descripcin"/>
    <w:qFormat/>
    <w:rsid w:val="00545394"/>
    <w:pPr>
      <w:spacing w:after="80" w:line="320" w:lineRule="atLeast"/>
      <w:jc w:val="center"/>
    </w:pPr>
    <w:rPr>
      <w:rFonts w:eastAsiaTheme="minorHAnsi" w:cstheme="minorBidi"/>
      <w:lang w:val="en-GB"/>
    </w:rPr>
  </w:style>
  <w:style w:type="paragraph" w:customStyle="1" w:styleId="Captionsmall">
    <w:name w:val="Caption: small"/>
    <w:basedOn w:val="Descripcin"/>
    <w:next w:val="Normal"/>
    <w:qFormat/>
    <w:rsid w:val="00545394"/>
    <w:pPr>
      <w:tabs>
        <w:tab w:val="left" w:pos="2041"/>
      </w:tabs>
      <w:suppressAutoHyphens w:val="0"/>
      <w:spacing w:before="160" w:after="240" w:line="240" w:lineRule="exact"/>
      <w:ind w:left="113" w:right="113"/>
      <w:contextualSpacing w:val="0"/>
      <w:jc w:val="left"/>
    </w:pPr>
    <w:rPr>
      <w:rFonts w:ascii="Arial" w:eastAsiaTheme="minorHAnsi" w:hAnsi="Arial" w:cs="Arial"/>
      <w:b w:val="0"/>
      <w:i/>
      <w:sz w:val="18"/>
      <w:szCs w:val="18"/>
      <w:lang w:val="en-GB"/>
    </w:rPr>
  </w:style>
  <w:style w:type="paragraph" w:customStyle="1" w:styleId="Bordersmall">
    <w:name w:val="Border: small"/>
    <w:basedOn w:val="Border"/>
    <w:qFormat/>
    <w:rsid w:val="00B20898"/>
    <w:pPr>
      <w:spacing w:after="0"/>
    </w:pPr>
  </w:style>
  <w:style w:type="paragraph" w:customStyle="1" w:styleId="EstilomodificacionCPEUM">
    <w:name w:val="Estilo modificacion CPEUM"/>
    <w:basedOn w:val="Prrafodelista"/>
    <w:link w:val="EstilomodificacionCPEUMCar"/>
    <w:qFormat/>
    <w:rsid w:val="00481AE0"/>
    <w:pPr>
      <w:suppressAutoHyphens w:val="0"/>
      <w:spacing w:before="120" w:line="276" w:lineRule="auto"/>
      <w:ind w:left="851"/>
      <w:jc w:val="right"/>
    </w:pPr>
    <w:rPr>
      <w:rFonts w:ascii="ITC Avant Garde" w:eastAsiaTheme="minorHAnsi" w:hAnsi="ITC Avant Garde" w:cs="Arial"/>
      <w:i/>
      <w:color w:val="0070C0"/>
      <w:sz w:val="18"/>
      <w:szCs w:val="22"/>
      <w:lang w:eastAsia="en-US"/>
    </w:rPr>
  </w:style>
  <w:style w:type="character" w:customStyle="1" w:styleId="EstilomodificacionCPEUMCar">
    <w:name w:val="Estilo modificacion CPEUM Car"/>
    <w:basedOn w:val="Fuentedeprrafopredeter"/>
    <w:link w:val="EstilomodificacionCPEUM"/>
    <w:rsid w:val="00481AE0"/>
    <w:rPr>
      <w:rFonts w:ascii="ITC Avant Garde" w:eastAsiaTheme="minorHAnsi" w:hAnsi="ITC Avant Garde" w:cs="Arial"/>
      <w:i/>
      <w:color w:val="0070C0"/>
      <w:sz w:val="18"/>
      <w:lang w:val="es-MX"/>
    </w:rPr>
  </w:style>
  <w:style w:type="paragraph" w:customStyle="1" w:styleId="1TitPrin">
    <w:name w:val="1TitPrin"/>
    <w:basedOn w:val="Ttulo1"/>
    <w:link w:val="1TitPrinCar"/>
    <w:autoRedefine/>
    <w:qFormat/>
    <w:rsid w:val="00C97669"/>
    <w:pPr>
      <w:keepNext w:val="0"/>
      <w:spacing w:after="200" w:line="276" w:lineRule="auto"/>
      <w:ind w:left="791" w:hanging="791"/>
    </w:pPr>
    <w:rPr>
      <w:rFonts w:eastAsia="Calibri" w:cs="Arial"/>
      <w:color w:val="000000"/>
      <w:sz w:val="22"/>
      <w:szCs w:val="22"/>
      <w:lang w:val="es-ES_tradnl"/>
    </w:rPr>
  </w:style>
  <w:style w:type="paragraph" w:customStyle="1" w:styleId="5TitCin">
    <w:name w:val="5TitCin"/>
    <w:basedOn w:val="4TitCuar"/>
    <w:autoRedefine/>
    <w:qFormat/>
    <w:rsid w:val="003A4977"/>
    <w:pPr>
      <w:ind w:left="4451"/>
      <w:outlineLvl w:val="3"/>
    </w:pPr>
  </w:style>
  <w:style w:type="paragraph" w:customStyle="1" w:styleId="4TitCuar">
    <w:name w:val="4TitCuar"/>
    <w:basedOn w:val="3TitTer"/>
    <w:autoRedefine/>
    <w:qFormat/>
    <w:rsid w:val="003A4977"/>
    <w:pPr>
      <w:tabs>
        <w:tab w:val="num" w:pos="360"/>
      </w:tabs>
      <w:ind w:left="3731" w:hanging="360"/>
      <w:outlineLvl w:val="2"/>
    </w:pPr>
  </w:style>
  <w:style w:type="paragraph" w:customStyle="1" w:styleId="3TitTer">
    <w:name w:val="3TitTer"/>
    <w:basedOn w:val="IFTnormal"/>
    <w:link w:val="3TitTerCar"/>
    <w:autoRedefine/>
    <w:qFormat/>
    <w:rsid w:val="003A4977"/>
    <w:pPr>
      <w:ind w:left="3011" w:hanging="180"/>
      <w:outlineLvl w:val="1"/>
    </w:pPr>
    <w:rPr>
      <w:rFonts w:eastAsia="Calibri" w:cs="Arial"/>
      <w:b/>
      <w:bCs w:val="0"/>
      <w:color w:val="000000"/>
      <w:lang w:val="es-ES_tradnl" w:eastAsia="es-ES"/>
    </w:rPr>
  </w:style>
  <w:style w:type="character" w:customStyle="1" w:styleId="3TitTerCar">
    <w:name w:val="3TitTer Car"/>
    <w:basedOn w:val="Fuentedeprrafopredeter"/>
    <w:link w:val="3TitTer"/>
    <w:rsid w:val="00FE60CD"/>
    <w:rPr>
      <w:rFonts w:ascii="ITC Avant Garde" w:eastAsia="Calibri" w:hAnsi="ITC Avant Garde" w:cs="Arial"/>
      <w:b/>
      <w:color w:val="000000"/>
      <w:lang w:val="es-ES_tradnl" w:eastAsia="es-ES"/>
    </w:rPr>
  </w:style>
  <w:style w:type="character" w:customStyle="1" w:styleId="1TitPrinCar">
    <w:name w:val="1TitPrin Car"/>
    <w:link w:val="1TitPrin"/>
    <w:rsid w:val="00C97669"/>
    <w:rPr>
      <w:rFonts w:ascii="ITC Avant Garde" w:eastAsia="Calibri" w:hAnsi="ITC Avant Garde" w:cs="Arial"/>
      <w:b/>
      <w:color w:val="000000"/>
      <w:lang w:val="es-ES_tradnl" w:eastAsia="es-ES"/>
    </w:rPr>
  </w:style>
  <w:style w:type="paragraph" w:customStyle="1" w:styleId="TituloSeccion">
    <w:name w:val="TituloSeccion"/>
    <w:basedOn w:val="1TitPrin"/>
    <w:link w:val="TituloSeccionCar"/>
    <w:qFormat/>
    <w:rsid w:val="003A4977"/>
    <w:pPr>
      <w:ind w:left="1440" w:hanging="360"/>
    </w:pPr>
    <w:rPr>
      <w:bCs/>
    </w:rPr>
  </w:style>
  <w:style w:type="character" w:customStyle="1" w:styleId="TituloSeccionCar">
    <w:name w:val="TituloSeccion Car"/>
    <w:basedOn w:val="1TitPrinCar"/>
    <w:link w:val="TituloSeccion"/>
    <w:rsid w:val="00FE60CD"/>
    <w:rPr>
      <w:rFonts w:ascii="ITC Avant Garde" w:eastAsia="Calibri" w:hAnsi="ITC Avant Garde" w:cs="Arial"/>
      <w:b/>
      <w:bCs/>
      <w:color w:val="000000"/>
      <w:lang w:val="es-ES_tradnl" w:eastAsia="es-ES"/>
    </w:rPr>
  </w:style>
  <w:style w:type="paragraph" w:customStyle="1" w:styleId="N2">
    <w:name w:val="N2"/>
    <w:basedOn w:val="Normal"/>
    <w:link w:val="N2Car"/>
    <w:qFormat/>
    <w:rsid w:val="00BC3F67"/>
    <w:pPr>
      <w:suppressAutoHyphens w:val="0"/>
      <w:spacing w:after="200" w:line="276" w:lineRule="auto"/>
      <w:contextualSpacing w:val="0"/>
      <w:jc w:val="center"/>
      <w:outlineLvl w:val="0"/>
    </w:pPr>
    <w:rPr>
      <w:rFonts w:ascii="ITC Avant Garde" w:eastAsia="Calibri" w:hAnsi="ITC Avant Garde" w:cs="Arial"/>
      <w:b/>
      <w:snapToGrid w:val="0"/>
      <w:color w:val="000000"/>
      <w:sz w:val="22"/>
      <w:szCs w:val="22"/>
      <w:lang w:val="es-ES"/>
    </w:rPr>
  </w:style>
  <w:style w:type="character" w:customStyle="1" w:styleId="N2Car">
    <w:name w:val="N2 Car"/>
    <w:basedOn w:val="Fuentedeprrafopredeter"/>
    <w:link w:val="N2"/>
    <w:rsid w:val="00BC3F67"/>
    <w:rPr>
      <w:rFonts w:ascii="ITC Avant Garde" w:eastAsia="Calibri" w:hAnsi="ITC Avant Garde" w:cs="Arial"/>
      <w:b/>
      <w:snapToGrid w:val="0"/>
      <w:color w:val="000000"/>
      <w:lang w:val="es-ES" w:eastAsia="es-ES"/>
    </w:rPr>
  </w:style>
  <w:style w:type="paragraph" w:customStyle="1" w:styleId="PiedeFoto">
    <w:name w:val="Pie de Foto"/>
    <w:basedOn w:val="Normal"/>
    <w:next w:val="Normal"/>
    <w:link w:val="PiedeFotoCar"/>
    <w:rsid w:val="00E84EF0"/>
    <w:pPr>
      <w:numPr>
        <w:numId w:val="72"/>
      </w:numPr>
      <w:suppressAutoHyphens w:val="0"/>
      <w:spacing w:after="0" w:line="240" w:lineRule="auto"/>
      <w:ind w:right="284"/>
      <w:contextualSpacing w:val="0"/>
      <w:jc w:val="center"/>
    </w:pPr>
    <w:rPr>
      <w:rFonts w:ascii="Arial" w:hAnsi="Arial" w:cs="Arial"/>
      <w:b/>
      <w:bCs/>
      <w:szCs w:val="20"/>
      <w:lang w:val="es-ES"/>
    </w:rPr>
  </w:style>
  <w:style w:type="character" w:customStyle="1" w:styleId="PiedeFotoCar">
    <w:name w:val="Pie de Foto Car"/>
    <w:link w:val="PiedeFoto"/>
    <w:rsid w:val="00E84EF0"/>
    <w:rPr>
      <w:rFonts w:ascii="Arial" w:hAnsi="Arial" w:cs="Arial"/>
      <w:b/>
      <w:bCs/>
      <w:sz w:val="24"/>
      <w:szCs w:val="20"/>
      <w:lang w:val="es-ES" w:eastAsia="es-ES"/>
    </w:rPr>
  </w:style>
  <w:style w:type="paragraph" w:customStyle="1" w:styleId="CondicionesFinales">
    <w:name w:val="CondicionesFinales"/>
    <w:basedOn w:val="Citaift0"/>
    <w:qFormat/>
    <w:rsid w:val="00A0362D"/>
    <w:rPr>
      <w:bCs/>
      <w:i w:val="0"/>
      <w:sz w:val="22"/>
      <w:szCs w:val="22"/>
      <w:lang w:val="es-ES_tradnl"/>
    </w:rPr>
  </w:style>
  <w:style w:type="paragraph" w:customStyle="1" w:styleId="N1IFT">
    <w:name w:val="N1 IFT"/>
    <w:basedOn w:val="Ttulo1"/>
    <w:link w:val="N1IFTCar"/>
    <w:autoRedefine/>
    <w:qFormat/>
    <w:rsid w:val="00DC750F"/>
    <w:pPr>
      <w:keepNext w:val="0"/>
      <w:spacing w:after="200" w:line="276" w:lineRule="auto"/>
      <w:ind w:left="0" w:firstLine="0"/>
    </w:pPr>
    <w:rPr>
      <w:rFonts w:eastAsia="Calibri" w:cs="Arial"/>
      <w:snapToGrid w:val="0"/>
      <w:color w:val="000000"/>
      <w:sz w:val="22"/>
      <w:szCs w:val="22"/>
      <w:lang w:val="es-ES"/>
    </w:rPr>
  </w:style>
  <w:style w:type="paragraph" w:customStyle="1" w:styleId="IFTTexto">
    <w:name w:val="IFT Texto"/>
    <w:link w:val="IFTTextoCar"/>
    <w:qFormat/>
    <w:rsid w:val="00DC750F"/>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DC750F"/>
    <w:rPr>
      <w:rFonts w:ascii="ITC Avant Garde" w:eastAsia="Calibri" w:hAnsi="ITC Avant Garde" w:cs="Arial"/>
      <w:color w:val="000000"/>
      <w:lang w:val="es-ES_tradnl" w:eastAsia="es-ES"/>
    </w:rPr>
  </w:style>
  <w:style w:type="character" w:customStyle="1" w:styleId="N1IFTCar">
    <w:name w:val="N1 IFT Car"/>
    <w:basedOn w:val="Fuentedeprrafopredeter"/>
    <w:link w:val="N1IFT"/>
    <w:rsid w:val="00DC750F"/>
    <w:rPr>
      <w:rFonts w:ascii="ITC Avant Garde" w:eastAsia="Calibri" w:hAnsi="ITC Avant Garde" w:cs="Arial"/>
      <w:b/>
      <w:snapToGrid w:val="0"/>
      <w:color w:val="000000"/>
      <w:lang w:val="es-ES" w:eastAsia="es-ES"/>
    </w:rPr>
  </w:style>
  <w:style w:type="character" w:customStyle="1" w:styleId="shorttext">
    <w:name w:val="short_text"/>
    <w:basedOn w:val="Fuentedeprrafopredeter"/>
    <w:rsid w:val="00851799"/>
  </w:style>
  <w:style w:type="paragraph" w:customStyle="1" w:styleId="Inciso1ernivel">
    <w:name w:val="Inciso 1er nivel"/>
    <w:basedOn w:val="Normal"/>
    <w:link w:val="Inciso1ernivelCar"/>
    <w:qFormat/>
    <w:rsid w:val="00E9074F"/>
    <w:pPr>
      <w:suppressAutoHyphens w:val="0"/>
      <w:adjustRightInd w:val="0"/>
      <w:spacing w:before="120" w:line="276" w:lineRule="auto"/>
      <w:ind w:left="785" w:hanging="360"/>
      <w:contextualSpacing w:val="0"/>
    </w:pPr>
    <w:rPr>
      <w:rFonts w:ascii="ITC Avant Garde" w:eastAsia="Calibri" w:hAnsi="ITC Avant Garde" w:cs="Arial"/>
      <w:bCs/>
      <w:color w:val="000000"/>
      <w:sz w:val="22"/>
      <w:szCs w:val="22"/>
      <w:lang w:val="en-GB"/>
    </w:rPr>
  </w:style>
  <w:style w:type="character" w:customStyle="1" w:styleId="Inciso1ernivelCar">
    <w:name w:val="Inciso 1er nivel Car"/>
    <w:basedOn w:val="Fuentedeprrafopredeter"/>
    <w:link w:val="Inciso1ernivel"/>
    <w:rsid w:val="00E9074F"/>
    <w:rPr>
      <w:rFonts w:ascii="ITC Avant Garde" w:eastAsia="Calibri" w:hAnsi="ITC Avant Garde" w:cs="Arial"/>
      <w:bCs/>
      <w:color w:val="000000"/>
      <w:lang w:val="en-GB" w:eastAsia="es-ES"/>
    </w:rPr>
  </w:style>
  <w:style w:type="paragraph" w:customStyle="1" w:styleId="Bullet1ernivel">
    <w:name w:val="Bullet 1er nivel"/>
    <w:basedOn w:val="Normal"/>
    <w:link w:val="Bullet1ernivelCar"/>
    <w:qFormat/>
    <w:rsid w:val="000E0A4D"/>
    <w:pPr>
      <w:numPr>
        <w:numId w:val="163"/>
      </w:numPr>
      <w:suppressAutoHyphens w:val="0"/>
      <w:adjustRightInd w:val="0"/>
      <w:spacing w:before="120" w:line="276" w:lineRule="auto"/>
      <w:ind w:left="709"/>
      <w:contextualSpacing w:val="0"/>
    </w:pPr>
    <w:rPr>
      <w:rFonts w:ascii="ITC Avant Garde" w:hAnsi="ITC Avant Garde" w:cs="Arial"/>
      <w:bCs/>
      <w:color w:val="000000"/>
      <w:sz w:val="22"/>
      <w:szCs w:val="22"/>
      <w:lang w:val="en-GB"/>
    </w:rPr>
  </w:style>
  <w:style w:type="character" w:customStyle="1" w:styleId="Bullet1ernivelCar">
    <w:name w:val="Bullet 1er nivel Car"/>
    <w:basedOn w:val="Fuentedeprrafopredeter"/>
    <w:link w:val="Bullet1ernivel"/>
    <w:rsid w:val="007F1907"/>
    <w:rPr>
      <w:rFonts w:ascii="ITC Avant Garde" w:hAnsi="ITC Avant Garde" w:cs="Arial"/>
      <w:bCs/>
      <w:color w:val="000000"/>
      <w:lang w:val="en-GB" w:eastAsia="es-ES"/>
    </w:rPr>
  </w:style>
  <w:style w:type="table" w:customStyle="1" w:styleId="Tablanormal31">
    <w:name w:val="Tabla normal 31"/>
    <w:basedOn w:val="Tablanormal"/>
    <w:uiPriority w:val="43"/>
    <w:rsid w:val="00325B5D"/>
    <w:rPr>
      <w:rFonts w:ascii="Calibri" w:eastAsia="Calibri" w:hAnsi="Calibri"/>
      <w:sz w:val="20"/>
      <w:szCs w:val="20"/>
      <w:lang w:val="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exto">
    <w:name w:val="Texto"/>
    <w:basedOn w:val="Normal"/>
    <w:link w:val="TextoCar"/>
    <w:rsid w:val="00F90D21"/>
    <w:pPr>
      <w:suppressAutoHyphens w:val="0"/>
      <w:spacing w:after="101" w:line="216" w:lineRule="exact"/>
      <w:ind w:firstLine="288"/>
      <w:contextualSpacing w:val="0"/>
    </w:pPr>
    <w:rPr>
      <w:rFonts w:ascii="Arial" w:hAnsi="Arial" w:cs="Arial"/>
      <w:sz w:val="18"/>
      <w:szCs w:val="20"/>
      <w:lang w:val="es-ES"/>
    </w:rPr>
  </w:style>
  <w:style w:type="character" w:customStyle="1" w:styleId="TextoCar">
    <w:name w:val="Texto Car"/>
    <w:link w:val="Texto"/>
    <w:locked/>
    <w:rsid w:val="00F90D21"/>
    <w:rPr>
      <w:rFonts w:ascii="Arial" w:hAnsi="Arial" w:cs="Arial"/>
      <w:sz w:val="18"/>
      <w:szCs w:val="20"/>
      <w:lang w:val="es-ES" w:eastAsia="es-ES"/>
    </w:rPr>
  </w:style>
  <w:style w:type="table" w:customStyle="1" w:styleId="Tablaconcuadrcula2">
    <w:name w:val="Tabla con cuadrícula2"/>
    <w:basedOn w:val="Tablanormal"/>
    <w:next w:val="Tablaconcuadrcula"/>
    <w:uiPriority w:val="59"/>
    <w:rsid w:val="00335E67"/>
    <w:rPr>
      <w:sz w:val="20"/>
      <w:szCs w:val="2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99"/>
    <w:qFormat/>
    <w:rsid w:val="00E613D2"/>
  </w:style>
  <w:style w:type="paragraph" w:customStyle="1" w:styleId="ROMANOS">
    <w:name w:val="ROMANOS"/>
    <w:basedOn w:val="Normal"/>
    <w:link w:val="ROMANOSCar"/>
    <w:rsid w:val="00390B03"/>
    <w:pPr>
      <w:tabs>
        <w:tab w:val="left" w:pos="720"/>
      </w:tabs>
      <w:suppressAutoHyphens w:val="0"/>
      <w:overflowPunct w:val="0"/>
      <w:autoSpaceDE w:val="0"/>
      <w:autoSpaceDN w:val="0"/>
      <w:adjustRightInd w:val="0"/>
      <w:spacing w:after="101" w:line="216" w:lineRule="atLeast"/>
      <w:ind w:left="720" w:hanging="432"/>
      <w:contextualSpacing w:val="0"/>
      <w:textAlignment w:val="baseline"/>
    </w:pPr>
    <w:rPr>
      <w:rFonts w:ascii="Arial" w:hAnsi="Arial"/>
      <w:sz w:val="18"/>
      <w:szCs w:val="20"/>
      <w:lang w:val="es-ES_tradnl"/>
    </w:rPr>
  </w:style>
  <w:style w:type="character" w:customStyle="1" w:styleId="ROMANOSCar">
    <w:name w:val="ROMANOS Car"/>
    <w:link w:val="ROMANOS"/>
    <w:locked/>
    <w:rsid w:val="00390B03"/>
    <w:rPr>
      <w:rFonts w:ascii="Arial" w:hAnsi="Arial"/>
      <w:sz w:val="18"/>
      <w:szCs w:val="20"/>
      <w:lang w:val="es-ES_tradnl" w:eastAsia="es-ES"/>
    </w:rPr>
  </w:style>
  <w:style w:type="paragraph" w:customStyle="1" w:styleId="TxtListado">
    <w:name w:val="TxtListado"/>
    <w:basedOn w:val="Normal"/>
    <w:qFormat/>
    <w:rsid w:val="00390B03"/>
    <w:pPr>
      <w:suppressAutoHyphens w:val="0"/>
      <w:spacing w:after="200" w:line="276" w:lineRule="auto"/>
      <w:contextualSpacing w:val="0"/>
      <w:jc w:val="left"/>
    </w:pPr>
    <w:rPr>
      <w:rFonts w:ascii="ITC Avant Garde" w:eastAsia="Calibri" w:hAnsi="ITC Avant Garde"/>
      <w:sz w:val="20"/>
      <w:szCs w:val="20"/>
    </w:rPr>
  </w:style>
  <w:style w:type="table" w:customStyle="1" w:styleId="Cuadrculadetablaclara1">
    <w:name w:val="Cuadrícula de tabla clara1"/>
    <w:basedOn w:val="Tablanormal"/>
    <w:uiPriority w:val="40"/>
    <w:rsid w:val="00390B03"/>
    <w:rPr>
      <w:rFonts w:asciiTheme="minorHAnsi" w:eastAsiaTheme="minorHAnsi" w:hAnsiTheme="minorHAnsi" w:cstheme="minorBidi"/>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390B03"/>
    <w:rPr>
      <w:rFonts w:asciiTheme="minorHAnsi" w:eastAsiaTheme="minorHAnsi" w:hAnsiTheme="minorHAnsi" w:cstheme="minorBidi"/>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7459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19606">
      <w:bodyDiv w:val="1"/>
      <w:marLeft w:val="0"/>
      <w:marRight w:val="0"/>
      <w:marTop w:val="0"/>
      <w:marBottom w:val="0"/>
      <w:divBdr>
        <w:top w:val="none" w:sz="0" w:space="0" w:color="auto"/>
        <w:left w:val="none" w:sz="0" w:space="0" w:color="auto"/>
        <w:bottom w:val="none" w:sz="0" w:space="0" w:color="auto"/>
        <w:right w:val="none" w:sz="0" w:space="0" w:color="auto"/>
      </w:divBdr>
    </w:div>
    <w:div w:id="174613391">
      <w:bodyDiv w:val="1"/>
      <w:marLeft w:val="0"/>
      <w:marRight w:val="0"/>
      <w:marTop w:val="0"/>
      <w:marBottom w:val="0"/>
      <w:divBdr>
        <w:top w:val="none" w:sz="0" w:space="0" w:color="auto"/>
        <w:left w:val="none" w:sz="0" w:space="0" w:color="auto"/>
        <w:bottom w:val="none" w:sz="0" w:space="0" w:color="auto"/>
        <w:right w:val="none" w:sz="0" w:space="0" w:color="auto"/>
      </w:divBdr>
    </w:div>
    <w:div w:id="195704828">
      <w:bodyDiv w:val="1"/>
      <w:marLeft w:val="0"/>
      <w:marRight w:val="0"/>
      <w:marTop w:val="0"/>
      <w:marBottom w:val="0"/>
      <w:divBdr>
        <w:top w:val="none" w:sz="0" w:space="0" w:color="auto"/>
        <w:left w:val="none" w:sz="0" w:space="0" w:color="auto"/>
        <w:bottom w:val="none" w:sz="0" w:space="0" w:color="auto"/>
        <w:right w:val="none" w:sz="0" w:space="0" w:color="auto"/>
      </w:divBdr>
    </w:div>
    <w:div w:id="279846167">
      <w:bodyDiv w:val="1"/>
      <w:marLeft w:val="0"/>
      <w:marRight w:val="0"/>
      <w:marTop w:val="0"/>
      <w:marBottom w:val="0"/>
      <w:divBdr>
        <w:top w:val="none" w:sz="0" w:space="0" w:color="auto"/>
        <w:left w:val="none" w:sz="0" w:space="0" w:color="auto"/>
        <w:bottom w:val="none" w:sz="0" w:space="0" w:color="auto"/>
        <w:right w:val="none" w:sz="0" w:space="0" w:color="auto"/>
      </w:divBdr>
    </w:div>
    <w:div w:id="382827042">
      <w:bodyDiv w:val="1"/>
      <w:marLeft w:val="0"/>
      <w:marRight w:val="0"/>
      <w:marTop w:val="0"/>
      <w:marBottom w:val="0"/>
      <w:divBdr>
        <w:top w:val="none" w:sz="0" w:space="0" w:color="auto"/>
        <w:left w:val="none" w:sz="0" w:space="0" w:color="auto"/>
        <w:bottom w:val="none" w:sz="0" w:space="0" w:color="auto"/>
        <w:right w:val="none" w:sz="0" w:space="0" w:color="auto"/>
      </w:divBdr>
    </w:div>
    <w:div w:id="551575074">
      <w:bodyDiv w:val="1"/>
      <w:marLeft w:val="0"/>
      <w:marRight w:val="0"/>
      <w:marTop w:val="0"/>
      <w:marBottom w:val="0"/>
      <w:divBdr>
        <w:top w:val="none" w:sz="0" w:space="0" w:color="auto"/>
        <w:left w:val="none" w:sz="0" w:space="0" w:color="auto"/>
        <w:bottom w:val="none" w:sz="0" w:space="0" w:color="auto"/>
        <w:right w:val="none" w:sz="0" w:space="0" w:color="auto"/>
      </w:divBdr>
    </w:div>
    <w:div w:id="592321024">
      <w:bodyDiv w:val="1"/>
      <w:marLeft w:val="0"/>
      <w:marRight w:val="0"/>
      <w:marTop w:val="0"/>
      <w:marBottom w:val="0"/>
      <w:divBdr>
        <w:top w:val="none" w:sz="0" w:space="0" w:color="auto"/>
        <w:left w:val="none" w:sz="0" w:space="0" w:color="auto"/>
        <w:bottom w:val="none" w:sz="0" w:space="0" w:color="auto"/>
        <w:right w:val="none" w:sz="0" w:space="0" w:color="auto"/>
      </w:divBdr>
    </w:div>
    <w:div w:id="604196448">
      <w:bodyDiv w:val="1"/>
      <w:marLeft w:val="0"/>
      <w:marRight w:val="0"/>
      <w:marTop w:val="0"/>
      <w:marBottom w:val="0"/>
      <w:divBdr>
        <w:top w:val="none" w:sz="0" w:space="0" w:color="auto"/>
        <w:left w:val="none" w:sz="0" w:space="0" w:color="auto"/>
        <w:bottom w:val="none" w:sz="0" w:space="0" w:color="auto"/>
        <w:right w:val="none" w:sz="0" w:space="0" w:color="auto"/>
      </w:divBdr>
    </w:div>
    <w:div w:id="622002716">
      <w:bodyDiv w:val="1"/>
      <w:marLeft w:val="0"/>
      <w:marRight w:val="0"/>
      <w:marTop w:val="0"/>
      <w:marBottom w:val="0"/>
      <w:divBdr>
        <w:top w:val="none" w:sz="0" w:space="0" w:color="auto"/>
        <w:left w:val="none" w:sz="0" w:space="0" w:color="auto"/>
        <w:bottom w:val="none" w:sz="0" w:space="0" w:color="auto"/>
        <w:right w:val="none" w:sz="0" w:space="0" w:color="auto"/>
      </w:divBdr>
    </w:div>
    <w:div w:id="659695506">
      <w:bodyDiv w:val="1"/>
      <w:marLeft w:val="0"/>
      <w:marRight w:val="0"/>
      <w:marTop w:val="0"/>
      <w:marBottom w:val="0"/>
      <w:divBdr>
        <w:top w:val="none" w:sz="0" w:space="0" w:color="auto"/>
        <w:left w:val="none" w:sz="0" w:space="0" w:color="auto"/>
        <w:bottom w:val="none" w:sz="0" w:space="0" w:color="auto"/>
        <w:right w:val="none" w:sz="0" w:space="0" w:color="auto"/>
      </w:divBdr>
    </w:div>
    <w:div w:id="670840406">
      <w:bodyDiv w:val="1"/>
      <w:marLeft w:val="0"/>
      <w:marRight w:val="0"/>
      <w:marTop w:val="0"/>
      <w:marBottom w:val="0"/>
      <w:divBdr>
        <w:top w:val="none" w:sz="0" w:space="0" w:color="auto"/>
        <w:left w:val="none" w:sz="0" w:space="0" w:color="auto"/>
        <w:bottom w:val="none" w:sz="0" w:space="0" w:color="auto"/>
        <w:right w:val="none" w:sz="0" w:space="0" w:color="auto"/>
      </w:divBdr>
    </w:div>
    <w:div w:id="826823662">
      <w:bodyDiv w:val="1"/>
      <w:marLeft w:val="0"/>
      <w:marRight w:val="0"/>
      <w:marTop w:val="0"/>
      <w:marBottom w:val="0"/>
      <w:divBdr>
        <w:top w:val="none" w:sz="0" w:space="0" w:color="auto"/>
        <w:left w:val="none" w:sz="0" w:space="0" w:color="auto"/>
        <w:bottom w:val="none" w:sz="0" w:space="0" w:color="auto"/>
        <w:right w:val="none" w:sz="0" w:space="0" w:color="auto"/>
      </w:divBdr>
    </w:div>
    <w:div w:id="858204330">
      <w:bodyDiv w:val="1"/>
      <w:marLeft w:val="0"/>
      <w:marRight w:val="0"/>
      <w:marTop w:val="0"/>
      <w:marBottom w:val="0"/>
      <w:divBdr>
        <w:top w:val="none" w:sz="0" w:space="0" w:color="auto"/>
        <w:left w:val="none" w:sz="0" w:space="0" w:color="auto"/>
        <w:bottom w:val="none" w:sz="0" w:space="0" w:color="auto"/>
        <w:right w:val="none" w:sz="0" w:space="0" w:color="auto"/>
      </w:divBdr>
    </w:div>
    <w:div w:id="940338795">
      <w:bodyDiv w:val="1"/>
      <w:marLeft w:val="0"/>
      <w:marRight w:val="0"/>
      <w:marTop w:val="0"/>
      <w:marBottom w:val="0"/>
      <w:divBdr>
        <w:top w:val="none" w:sz="0" w:space="0" w:color="auto"/>
        <w:left w:val="none" w:sz="0" w:space="0" w:color="auto"/>
        <w:bottom w:val="none" w:sz="0" w:space="0" w:color="auto"/>
        <w:right w:val="none" w:sz="0" w:space="0" w:color="auto"/>
      </w:divBdr>
    </w:div>
    <w:div w:id="995961722">
      <w:bodyDiv w:val="1"/>
      <w:marLeft w:val="0"/>
      <w:marRight w:val="0"/>
      <w:marTop w:val="0"/>
      <w:marBottom w:val="0"/>
      <w:divBdr>
        <w:top w:val="none" w:sz="0" w:space="0" w:color="auto"/>
        <w:left w:val="none" w:sz="0" w:space="0" w:color="auto"/>
        <w:bottom w:val="none" w:sz="0" w:space="0" w:color="auto"/>
        <w:right w:val="none" w:sz="0" w:space="0" w:color="auto"/>
      </w:divBdr>
    </w:div>
    <w:div w:id="1062869959">
      <w:bodyDiv w:val="1"/>
      <w:marLeft w:val="0"/>
      <w:marRight w:val="0"/>
      <w:marTop w:val="0"/>
      <w:marBottom w:val="0"/>
      <w:divBdr>
        <w:top w:val="none" w:sz="0" w:space="0" w:color="auto"/>
        <w:left w:val="none" w:sz="0" w:space="0" w:color="auto"/>
        <w:bottom w:val="none" w:sz="0" w:space="0" w:color="auto"/>
        <w:right w:val="none" w:sz="0" w:space="0" w:color="auto"/>
      </w:divBdr>
    </w:div>
    <w:div w:id="1155797559">
      <w:bodyDiv w:val="1"/>
      <w:marLeft w:val="0"/>
      <w:marRight w:val="0"/>
      <w:marTop w:val="0"/>
      <w:marBottom w:val="0"/>
      <w:divBdr>
        <w:top w:val="none" w:sz="0" w:space="0" w:color="auto"/>
        <w:left w:val="none" w:sz="0" w:space="0" w:color="auto"/>
        <w:bottom w:val="none" w:sz="0" w:space="0" w:color="auto"/>
        <w:right w:val="none" w:sz="0" w:space="0" w:color="auto"/>
      </w:divBdr>
    </w:div>
    <w:div w:id="1156456912">
      <w:bodyDiv w:val="1"/>
      <w:marLeft w:val="0"/>
      <w:marRight w:val="0"/>
      <w:marTop w:val="0"/>
      <w:marBottom w:val="0"/>
      <w:divBdr>
        <w:top w:val="none" w:sz="0" w:space="0" w:color="auto"/>
        <w:left w:val="none" w:sz="0" w:space="0" w:color="auto"/>
        <w:bottom w:val="none" w:sz="0" w:space="0" w:color="auto"/>
        <w:right w:val="none" w:sz="0" w:space="0" w:color="auto"/>
      </w:divBdr>
    </w:div>
    <w:div w:id="1179075144">
      <w:bodyDiv w:val="1"/>
      <w:marLeft w:val="0"/>
      <w:marRight w:val="0"/>
      <w:marTop w:val="0"/>
      <w:marBottom w:val="0"/>
      <w:divBdr>
        <w:top w:val="none" w:sz="0" w:space="0" w:color="auto"/>
        <w:left w:val="none" w:sz="0" w:space="0" w:color="auto"/>
        <w:bottom w:val="none" w:sz="0" w:space="0" w:color="auto"/>
        <w:right w:val="none" w:sz="0" w:space="0" w:color="auto"/>
      </w:divBdr>
    </w:div>
    <w:div w:id="1332175756">
      <w:bodyDiv w:val="1"/>
      <w:marLeft w:val="0"/>
      <w:marRight w:val="0"/>
      <w:marTop w:val="0"/>
      <w:marBottom w:val="0"/>
      <w:divBdr>
        <w:top w:val="none" w:sz="0" w:space="0" w:color="auto"/>
        <w:left w:val="none" w:sz="0" w:space="0" w:color="auto"/>
        <w:bottom w:val="none" w:sz="0" w:space="0" w:color="auto"/>
        <w:right w:val="none" w:sz="0" w:space="0" w:color="auto"/>
      </w:divBdr>
    </w:div>
    <w:div w:id="1355038947">
      <w:bodyDiv w:val="1"/>
      <w:marLeft w:val="0"/>
      <w:marRight w:val="0"/>
      <w:marTop w:val="0"/>
      <w:marBottom w:val="0"/>
      <w:divBdr>
        <w:top w:val="none" w:sz="0" w:space="0" w:color="auto"/>
        <w:left w:val="none" w:sz="0" w:space="0" w:color="auto"/>
        <w:bottom w:val="none" w:sz="0" w:space="0" w:color="auto"/>
        <w:right w:val="none" w:sz="0" w:space="0" w:color="auto"/>
      </w:divBdr>
    </w:div>
    <w:div w:id="1472095204">
      <w:bodyDiv w:val="1"/>
      <w:marLeft w:val="0"/>
      <w:marRight w:val="0"/>
      <w:marTop w:val="0"/>
      <w:marBottom w:val="0"/>
      <w:divBdr>
        <w:top w:val="none" w:sz="0" w:space="0" w:color="auto"/>
        <w:left w:val="none" w:sz="0" w:space="0" w:color="auto"/>
        <w:bottom w:val="none" w:sz="0" w:space="0" w:color="auto"/>
        <w:right w:val="none" w:sz="0" w:space="0" w:color="auto"/>
      </w:divBdr>
    </w:div>
    <w:div w:id="1492988730">
      <w:bodyDiv w:val="1"/>
      <w:marLeft w:val="0"/>
      <w:marRight w:val="0"/>
      <w:marTop w:val="0"/>
      <w:marBottom w:val="0"/>
      <w:divBdr>
        <w:top w:val="none" w:sz="0" w:space="0" w:color="auto"/>
        <w:left w:val="none" w:sz="0" w:space="0" w:color="auto"/>
        <w:bottom w:val="none" w:sz="0" w:space="0" w:color="auto"/>
        <w:right w:val="none" w:sz="0" w:space="0" w:color="auto"/>
      </w:divBdr>
    </w:div>
    <w:div w:id="1545092205">
      <w:bodyDiv w:val="1"/>
      <w:marLeft w:val="0"/>
      <w:marRight w:val="0"/>
      <w:marTop w:val="0"/>
      <w:marBottom w:val="0"/>
      <w:divBdr>
        <w:top w:val="none" w:sz="0" w:space="0" w:color="auto"/>
        <w:left w:val="none" w:sz="0" w:space="0" w:color="auto"/>
        <w:bottom w:val="none" w:sz="0" w:space="0" w:color="auto"/>
        <w:right w:val="none" w:sz="0" w:space="0" w:color="auto"/>
      </w:divBdr>
    </w:div>
    <w:div w:id="1577933875">
      <w:bodyDiv w:val="1"/>
      <w:marLeft w:val="0"/>
      <w:marRight w:val="0"/>
      <w:marTop w:val="0"/>
      <w:marBottom w:val="0"/>
      <w:divBdr>
        <w:top w:val="none" w:sz="0" w:space="0" w:color="auto"/>
        <w:left w:val="none" w:sz="0" w:space="0" w:color="auto"/>
        <w:bottom w:val="none" w:sz="0" w:space="0" w:color="auto"/>
        <w:right w:val="none" w:sz="0" w:space="0" w:color="auto"/>
      </w:divBdr>
      <w:divsChild>
        <w:div w:id="894202900">
          <w:marLeft w:val="0"/>
          <w:marRight w:val="0"/>
          <w:marTop w:val="0"/>
          <w:marBottom w:val="0"/>
          <w:divBdr>
            <w:top w:val="none" w:sz="0" w:space="0" w:color="auto"/>
            <w:left w:val="none" w:sz="0" w:space="0" w:color="auto"/>
            <w:bottom w:val="none" w:sz="0" w:space="0" w:color="auto"/>
            <w:right w:val="none" w:sz="0" w:space="0" w:color="auto"/>
          </w:divBdr>
          <w:divsChild>
            <w:div w:id="1767728940">
              <w:marLeft w:val="0"/>
              <w:marRight w:val="0"/>
              <w:marTop w:val="0"/>
              <w:marBottom w:val="0"/>
              <w:divBdr>
                <w:top w:val="none" w:sz="0" w:space="0" w:color="auto"/>
                <w:left w:val="none" w:sz="0" w:space="0" w:color="auto"/>
                <w:bottom w:val="none" w:sz="0" w:space="0" w:color="auto"/>
                <w:right w:val="none" w:sz="0" w:space="0" w:color="auto"/>
              </w:divBdr>
              <w:divsChild>
                <w:div w:id="147670140">
                  <w:marLeft w:val="0"/>
                  <w:marRight w:val="0"/>
                  <w:marTop w:val="0"/>
                  <w:marBottom w:val="0"/>
                  <w:divBdr>
                    <w:top w:val="none" w:sz="0" w:space="0" w:color="auto"/>
                    <w:left w:val="none" w:sz="0" w:space="0" w:color="auto"/>
                    <w:bottom w:val="none" w:sz="0" w:space="0" w:color="auto"/>
                    <w:right w:val="none" w:sz="0" w:space="0" w:color="auto"/>
                  </w:divBdr>
                  <w:divsChild>
                    <w:div w:id="736823247">
                      <w:marLeft w:val="0"/>
                      <w:marRight w:val="0"/>
                      <w:marTop w:val="0"/>
                      <w:marBottom w:val="0"/>
                      <w:divBdr>
                        <w:top w:val="none" w:sz="0" w:space="0" w:color="auto"/>
                        <w:left w:val="none" w:sz="0" w:space="0" w:color="auto"/>
                        <w:bottom w:val="none" w:sz="0" w:space="0" w:color="auto"/>
                        <w:right w:val="none" w:sz="0" w:space="0" w:color="auto"/>
                      </w:divBdr>
                      <w:divsChild>
                        <w:div w:id="523910796">
                          <w:marLeft w:val="0"/>
                          <w:marRight w:val="0"/>
                          <w:marTop w:val="0"/>
                          <w:marBottom w:val="0"/>
                          <w:divBdr>
                            <w:top w:val="none" w:sz="0" w:space="0" w:color="auto"/>
                            <w:left w:val="none" w:sz="0" w:space="0" w:color="auto"/>
                            <w:bottom w:val="none" w:sz="0" w:space="0" w:color="auto"/>
                            <w:right w:val="none" w:sz="0" w:space="0" w:color="auto"/>
                          </w:divBdr>
                          <w:divsChild>
                            <w:div w:id="1994292253">
                              <w:marLeft w:val="0"/>
                              <w:marRight w:val="0"/>
                              <w:marTop w:val="0"/>
                              <w:marBottom w:val="0"/>
                              <w:divBdr>
                                <w:top w:val="none" w:sz="0" w:space="0" w:color="auto"/>
                                <w:left w:val="none" w:sz="0" w:space="0" w:color="auto"/>
                                <w:bottom w:val="none" w:sz="0" w:space="0" w:color="auto"/>
                                <w:right w:val="none" w:sz="0" w:space="0" w:color="auto"/>
                              </w:divBdr>
                              <w:divsChild>
                                <w:div w:id="763191846">
                                  <w:marLeft w:val="0"/>
                                  <w:marRight w:val="0"/>
                                  <w:marTop w:val="0"/>
                                  <w:marBottom w:val="0"/>
                                  <w:divBdr>
                                    <w:top w:val="none" w:sz="0" w:space="0" w:color="auto"/>
                                    <w:left w:val="none" w:sz="0" w:space="0" w:color="auto"/>
                                    <w:bottom w:val="none" w:sz="0" w:space="0" w:color="auto"/>
                                    <w:right w:val="none" w:sz="0" w:space="0" w:color="auto"/>
                                  </w:divBdr>
                                  <w:divsChild>
                                    <w:div w:id="693311030">
                                      <w:marLeft w:val="0"/>
                                      <w:marRight w:val="0"/>
                                      <w:marTop w:val="0"/>
                                      <w:marBottom w:val="0"/>
                                      <w:divBdr>
                                        <w:top w:val="none" w:sz="0" w:space="0" w:color="auto"/>
                                        <w:left w:val="none" w:sz="0" w:space="0" w:color="auto"/>
                                        <w:bottom w:val="none" w:sz="0" w:space="0" w:color="auto"/>
                                        <w:right w:val="none" w:sz="0" w:space="0" w:color="auto"/>
                                      </w:divBdr>
                                      <w:divsChild>
                                        <w:div w:id="137000302">
                                          <w:marLeft w:val="0"/>
                                          <w:marRight w:val="0"/>
                                          <w:marTop w:val="0"/>
                                          <w:marBottom w:val="0"/>
                                          <w:divBdr>
                                            <w:top w:val="none" w:sz="0" w:space="0" w:color="auto"/>
                                            <w:left w:val="none" w:sz="0" w:space="0" w:color="auto"/>
                                            <w:bottom w:val="none" w:sz="0" w:space="0" w:color="auto"/>
                                            <w:right w:val="none" w:sz="0" w:space="0" w:color="auto"/>
                                          </w:divBdr>
                                          <w:divsChild>
                                            <w:div w:id="1532720146">
                                              <w:marLeft w:val="0"/>
                                              <w:marRight w:val="0"/>
                                              <w:marTop w:val="0"/>
                                              <w:marBottom w:val="0"/>
                                              <w:divBdr>
                                                <w:top w:val="none" w:sz="0" w:space="0" w:color="auto"/>
                                                <w:left w:val="none" w:sz="0" w:space="0" w:color="auto"/>
                                                <w:bottom w:val="none" w:sz="0" w:space="0" w:color="auto"/>
                                                <w:right w:val="none" w:sz="0" w:space="0" w:color="auto"/>
                                              </w:divBdr>
                                              <w:divsChild>
                                                <w:div w:id="630551032">
                                                  <w:marLeft w:val="0"/>
                                                  <w:marRight w:val="0"/>
                                                  <w:marTop w:val="0"/>
                                                  <w:marBottom w:val="0"/>
                                                  <w:divBdr>
                                                    <w:top w:val="none" w:sz="0" w:space="0" w:color="auto"/>
                                                    <w:left w:val="none" w:sz="0" w:space="0" w:color="auto"/>
                                                    <w:bottom w:val="none" w:sz="0" w:space="0" w:color="auto"/>
                                                    <w:right w:val="none" w:sz="0" w:space="0" w:color="auto"/>
                                                  </w:divBdr>
                                                  <w:divsChild>
                                                    <w:div w:id="830874868">
                                                      <w:marLeft w:val="0"/>
                                                      <w:marRight w:val="0"/>
                                                      <w:marTop w:val="0"/>
                                                      <w:marBottom w:val="0"/>
                                                      <w:divBdr>
                                                        <w:top w:val="none" w:sz="0" w:space="0" w:color="auto"/>
                                                        <w:left w:val="none" w:sz="0" w:space="0" w:color="auto"/>
                                                        <w:bottom w:val="none" w:sz="0" w:space="0" w:color="auto"/>
                                                        <w:right w:val="none" w:sz="0" w:space="0" w:color="auto"/>
                                                      </w:divBdr>
                                                      <w:divsChild>
                                                        <w:div w:id="1414623832">
                                                          <w:marLeft w:val="0"/>
                                                          <w:marRight w:val="0"/>
                                                          <w:marTop w:val="0"/>
                                                          <w:marBottom w:val="0"/>
                                                          <w:divBdr>
                                                            <w:top w:val="none" w:sz="0" w:space="0" w:color="auto"/>
                                                            <w:left w:val="none" w:sz="0" w:space="0" w:color="auto"/>
                                                            <w:bottom w:val="none" w:sz="0" w:space="0" w:color="auto"/>
                                                            <w:right w:val="none" w:sz="0" w:space="0" w:color="auto"/>
                                                          </w:divBdr>
                                                          <w:divsChild>
                                                            <w:div w:id="453056909">
                                                              <w:marLeft w:val="0"/>
                                                              <w:marRight w:val="0"/>
                                                              <w:marTop w:val="0"/>
                                                              <w:marBottom w:val="0"/>
                                                              <w:divBdr>
                                                                <w:top w:val="none" w:sz="0" w:space="0" w:color="auto"/>
                                                                <w:left w:val="none" w:sz="0" w:space="0" w:color="auto"/>
                                                                <w:bottom w:val="none" w:sz="0" w:space="0" w:color="auto"/>
                                                                <w:right w:val="none" w:sz="0" w:space="0" w:color="auto"/>
                                                              </w:divBdr>
                                                              <w:divsChild>
                                                                <w:div w:id="775365351">
                                                                  <w:marLeft w:val="0"/>
                                                                  <w:marRight w:val="0"/>
                                                                  <w:marTop w:val="0"/>
                                                                  <w:marBottom w:val="0"/>
                                                                  <w:divBdr>
                                                                    <w:top w:val="none" w:sz="0" w:space="0" w:color="auto"/>
                                                                    <w:left w:val="none" w:sz="0" w:space="0" w:color="auto"/>
                                                                    <w:bottom w:val="none" w:sz="0" w:space="0" w:color="auto"/>
                                                                    <w:right w:val="none" w:sz="0" w:space="0" w:color="auto"/>
                                                                  </w:divBdr>
                                                                  <w:divsChild>
                                                                    <w:div w:id="5615228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37989602">
                                                                          <w:marLeft w:val="0"/>
                                                                          <w:marRight w:val="0"/>
                                                                          <w:marTop w:val="0"/>
                                                                          <w:marBottom w:val="0"/>
                                                                          <w:divBdr>
                                                                            <w:top w:val="none" w:sz="0" w:space="0" w:color="auto"/>
                                                                            <w:left w:val="none" w:sz="0" w:space="0" w:color="auto"/>
                                                                            <w:bottom w:val="none" w:sz="0" w:space="0" w:color="auto"/>
                                                                            <w:right w:val="none" w:sz="0" w:space="0" w:color="auto"/>
                                                                          </w:divBdr>
                                                                          <w:divsChild>
                                                                            <w:div w:id="180677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049576">
      <w:bodyDiv w:val="1"/>
      <w:marLeft w:val="0"/>
      <w:marRight w:val="0"/>
      <w:marTop w:val="0"/>
      <w:marBottom w:val="0"/>
      <w:divBdr>
        <w:top w:val="none" w:sz="0" w:space="0" w:color="auto"/>
        <w:left w:val="none" w:sz="0" w:space="0" w:color="auto"/>
        <w:bottom w:val="none" w:sz="0" w:space="0" w:color="auto"/>
        <w:right w:val="none" w:sz="0" w:space="0" w:color="auto"/>
      </w:divBdr>
    </w:div>
    <w:div w:id="1599754054">
      <w:bodyDiv w:val="1"/>
      <w:marLeft w:val="0"/>
      <w:marRight w:val="0"/>
      <w:marTop w:val="0"/>
      <w:marBottom w:val="0"/>
      <w:divBdr>
        <w:top w:val="none" w:sz="0" w:space="0" w:color="auto"/>
        <w:left w:val="none" w:sz="0" w:space="0" w:color="auto"/>
        <w:bottom w:val="none" w:sz="0" w:space="0" w:color="auto"/>
        <w:right w:val="none" w:sz="0" w:space="0" w:color="auto"/>
      </w:divBdr>
    </w:div>
    <w:div w:id="1618557689">
      <w:bodyDiv w:val="1"/>
      <w:marLeft w:val="0"/>
      <w:marRight w:val="0"/>
      <w:marTop w:val="0"/>
      <w:marBottom w:val="0"/>
      <w:divBdr>
        <w:top w:val="none" w:sz="0" w:space="0" w:color="auto"/>
        <w:left w:val="none" w:sz="0" w:space="0" w:color="auto"/>
        <w:bottom w:val="none" w:sz="0" w:space="0" w:color="auto"/>
        <w:right w:val="none" w:sz="0" w:space="0" w:color="auto"/>
      </w:divBdr>
      <w:divsChild>
        <w:div w:id="1262641528">
          <w:marLeft w:val="240"/>
          <w:marRight w:val="0"/>
          <w:marTop w:val="0"/>
          <w:marBottom w:val="0"/>
          <w:divBdr>
            <w:top w:val="none" w:sz="0" w:space="0" w:color="auto"/>
            <w:left w:val="none" w:sz="0" w:space="0" w:color="auto"/>
            <w:bottom w:val="none" w:sz="0" w:space="0" w:color="auto"/>
            <w:right w:val="none" w:sz="0" w:space="0" w:color="auto"/>
          </w:divBdr>
          <w:divsChild>
            <w:div w:id="103272654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820806661">
      <w:bodyDiv w:val="1"/>
      <w:marLeft w:val="0"/>
      <w:marRight w:val="0"/>
      <w:marTop w:val="0"/>
      <w:marBottom w:val="0"/>
      <w:divBdr>
        <w:top w:val="none" w:sz="0" w:space="0" w:color="auto"/>
        <w:left w:val="none" w:sz="0" w:space="0" w:color="auto"/>
        <w:bottom w:val="none" w:sz="0" w:space="0" w:color="auto"/>
        <w:right w:val="none" w:sz="0" w:space="0" w:color="auto"/>
      </w:divBdr>
    </w:div>
    <w:div w:id="1832791905">
      <w:bodyDiv w:val="1"/>
      <w:marLeft w:val="0"/>
      <w:marRight w:val="0"/>
      <w:marTop w:val="0"/>
      <w:marBottom w:val="0"/>
      <w:divBdr>
        <w:top w:val="none" w:sz="0" w:space="0" w:color="auto"/>
        <w:left w:val="none" w:sz="0" w:space="0" w:color="auto"/>
        <w:bottom w:val="none" w:sz="0" w:space="0" w:color="auto"/>
        <w:right w:val="none" w:sz="0" w:space="0" w:color="auto"/>
      </w:divBdr>
    </w:div>
    <w:div w:id="1914967289">
      <w:marLeft w:val="0"/>
      <w:marRight w:val="0"/>
      <w:marTop w:val="0"/>
      <w:marBottom w:val="0"/>
      <w:divBdr>
        <w:top w:val="none" w:sz="0" w:space="0" w:color="auto"/>
        <w:left w:val="none" w:sz="0" w:space="0" w:color="auto"/>
        <w:bottom w:val="none" w:sz="0" w:space="0" w:color="auto"/>
        <w:right w:val="none" w:sz="0" w:space="0" w:color="auto"/>
      </w:divBdr>
    </w:div>
    <w:div w:id="1914967292">
      <w:marLeft w:val="0"/>
      <w:marRight w:val="0"/>
      <w:marTop w:val="0"/>
      <w:marBottom w:val="0"/>
      <w:divBdr>
        <w:top w:val="none" w:sz="0" w:space="0" w:color="auto"/>
        <w:left w:val="none" w:sz="0" w:space="0" w:color="auto"/>
        <w:bottom w:val="none" w:sz="0" w:space="0" w:color="auto"/>
        <w:right w:val="none" w:sz="0" w:space="0" w:color="auto"/>
      </w:divBdr>
    </w:div>
    <w:div w:id="1914967294">
      <w:marLeft w:val="0"/>
      <w:marRight w:val="0"/>
      <w:marTop w:val="0"/>
      <w:marBottom w:val="0"/>
      <w:divBdr>
        <w:top w:val="none" w:sz="0" w:space="0" w:color="auto"/>
        <w:left w:val="none" w:sz="0" w:space="0" w:color="auto"/>
        <w:bottom w:val="none" w:sz="0" w:space="0" w:color="auto"/>
        <w:right w:val="none" w:sz="0" w:space="0" w:color="auto"/>
      </w:divBdr>
    </w:div>
    <w:div w:id="1914967298">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1914967309">
      <w:marLeft w:val="0"/>
      <w:marRight w:val="0"/>
      <w:marTop w:val="0"/>
      <w:marBottom w:val="0"/>
      <w:divBdr>
        <w:top w:val="none" w:sz="0" w:space="0" w:color="auto"/>
        <w:left w:val="none" w:sz="0" w:space="0" w:color="auto"/>
        <w:bottom w:val="none" w:sz="0" w:space="0" w:color="auto"/>
        <w:right w:val="none" w:sz="0" w:space="0" w:color="auto"/>
      </w:divBdr>
    </w:div>
    <w:div w:id="1914967311">
      <w:marLeft w:val="0"/>
      <w:marRight w:val="0"/>
      <w:marTop w:val="0"/>
      <w:marBottom w:val="0"/>
      <w:divBdr>
        <w:top w:val="none" w:sz="0" w:space="0" w:color="auto"/>
        <w:left w:val="none" w:sz="0" w:space="0" w:color="auto"/>
        <w:bottom w:val="none" w:sz="0" w:space="0" w:color="auto"/>
        <w:right w:val="none" w:sz="0" w:space="0" w:color="auto"/>
      </w:divBdr>
    </w:div>
    <w:div w:id="1914967315">
      <w:marLeft w:val="0"/>
      <w:marRight w:val="0"/>
      <w:marTop w:val="0"/>
      <w:marBottom w:val="0"/>
      <w:divBdr>
        <w:top w:val="none" w:sz="0" w:space="0" w:color="auto"/>
        <w:left w:val="none" w:sz="0" w:space="0" w:color="auto"/>
        <w:bottom w:val="none" w:sz="0" w:space="0" w:color="auto"/>
        <w:right w:val="none" w:sz="0" w:space="0" w:color="auto"/>
      </w:divBdr>
    </w:div>
    <w:div w:id="1914967318">
      <w:marLeft w:val="0"/>
      <w:marRight w:val="0"/>
      <w:marTop w:val="0"/>
      <w:marBottom w:val="0"/>
      <w:divBdr>
        <w:top w:val="none" w:sz="0" w:space="0" w:color="auto"/>
        <w:left w:val="none" w:sz="0" w:space="0" w:color="auto"/>
        <w:bottom w:val="none" w:sz="0" w:space="0" w:color="auto"/>
        <w:right w:val="none" w:sz="0" w:space="0" w:color="auto"/>
      </w:divBdr>
    </w:div>
    <w:div w:id="1914967319">
      <w:marLeft w:val="0"/>
      <w:marRight w:val="0"/>
      <w:marTop w:val="0"/>
      <w:marBottom w:val="0"/>
      <w:divBdr>
        <w:top w:val="none" w:sz="0" w:space="0" w:color="auto"/>
        <w:left w:val="none" w:sz="0" w:space="0" w:color="auto"/>
        <w:bottom w:val="none" w:sz="0" w:space="0" w:color="auto"/>
        <w:right w:val="none" w:sz="0" w:space="0" w:color="auto"/>
      </w:divBdr>
    </w:div>
    <w:div w:id="1914967320">
      <w:marLeft w:val="0"/>
      <w:marRight w:val="0"/>
      <w:marTop w:val="0"/>
      <w:marBottom w:val="0"/>
      <w:divBdr>
        <w:top w:val="none" w:sz="0" w:space="0" w:color="auto"/>
        <w:left w:val="none" w:sz="0" w:space="0" w:color="auto"/>
        <w:bottom w:val="none" w:sz="0" w:space="0" w:color="auto"/>
        <w:right w:val="none" w:sz="0" w:space="0" w:color="auto"/>
      </w:divBdr>
    </w:div>
    <w:div w:id="1914967321">
      <w:marLeft w:val="0"/>
      <w:marRight w:val="0"/>
      <w:marTop w:val="0"/>
      <w:marBottom w:val="0"/>
      <w:divBdr>
        <w:top w:val="none" w:sz="0" w:space="0" w:color="auto"/>
        <w:left w:val="none" w:sz="0" w:space="0" w:color="auto"/>
        <w:bottom w:val="none" w:sz="0" w:space="0" w:color="auto"/>
        <w:right w:val="none" w:sz="0" w:space="0" w:color="auto"/>
      </w:divBdr>
    </w:div>
    <w:div w:id="1914967322">
      <w:marLeft w:val="0"/>
      <w:marRight w:val="0"/>
      <w:marTop w:val="0"/>
      <w:marBottom w:val="0"/>
      <w:divBdr>
        <w:top w:val="none" w:sz="0" w:space="0" w:color="auto"/>
        <w:left w:val="none" w:sz="0" w:space="0" w:color="auto"/>
        <w:bottom w:val="none" w:sz="0" w:space="0" w:color="auto"/>
        <w:right w:val="none" w:sz="0" w:space="0" w:color="auto"/>
      </w:divBdr>
    </w:div>
    <w:div w:id="1914967323">
      <w:marLeft w:val="0"/>
      <w:marRight w:val="0"/>
      <w:marTop w:val="0"/>
      <w:marBottom w:val="0"/>
      <w:divBdr>
        <w:top w:val="none" w:sz="0" w:space="0" w:color="auto"/>
        <w:left w:val="none" w:sz="0" w:space="0" w:color="auto"/>
        <w:bottom w:val="none" w:sz="0" w:space="0" w:color="auto"/>
        <w:right w:val="none" w:sz="0" w:space="0" w:color="auto"/>
      </w:divBdr>
      <w:divsChild>
        <w:div w:id="1914967347">
          <w:marLeft w:val="0"/>
          <w:marRight w:val="0"/>
          <w:marTop w:val="0"/>
          <w:marBottom w:val="0"/>
          <w:divBdr>
            <w:top w:val="none" w:sz="0" w:space="0" w:color="auto"/>
            <w:left w:val="none" w:sz="0" w:space="0" w:color="auto"/>
            <w:bottom w:val="none" w:sz="0" w:space="0" w:color="auto"/>
            <w:right w:val="none" w:sz="0" w:space="0" w:color="auto"/>
          </w:divBdr>
          <w:divsChild>
            <w:div w:id="1914967338">
              <w:marLeft w:val="0"/>
              <w:marRight w:val="0"/>
              <w:marTop w:val="0"/>
              <w:marBottom w:val="0"/>
              <w:divBdr>
                <w:top w:val="none" w:sz="0" w:space="0" w:color="auto"/>
                <w:left w:val="none" w:sz="0" w:space="0" w:color="auto"/>
                <w:bottom w:val="none" w:sz="0" w:space="0" w:color="auto"/>
                <w:right w:val="none" w:sz="0" w:space="0" w:color="auto"/>
              </w:divBdr>
              <w:divsChild>
                <w:div w:id="1914967332">
                  <w:marLeft w:val="0"/>
                  <w:marRight w:val="0"/>
                  <w:marTop w:val="0"/>
                  <w:marBottom w:val="0"/>
                  <w:divBdr>
                    <w:top w:val="none" w:sz="0" w:space="0" w:color="auto"/>
                    <w:left w:val="none" w:sz="0" w:space="0" w:color="auto"/>
                    <w:bottom w:val="none" w:sz="0" w:space="0" w:color="auto"/>
                    <w:right w:val="none" w:sz="0" w:space="0" w:color="auto"/>
                  </w:divBdr>
                  <w:divsChild>
                    <w:div w:id="1914967324">
                      <w:marLeft w:val="0"/>
                      <w:marRight w:val="0"/>
                      <w:marTop w:val="0"/>
                      <w:marBottom w:val="0"/>
                      <w:divBdr>
                        <w:top w:val="none" w:sz="0" w:space="0" w:color="auto"/>
                        <w:left w:val="none" w:sz="0" w:space="0" w:color="auto"/>
                        <w:bottom w:val="none" w:sz="0" w:space="0" w:color="auto"/>
                        <w:right w:val="none" w:sz="0" w:space="0" w:color="auto"/>
                      </w:divBdr>
                      <w:divsChild>
                        <w:div w:id="1914967335">
                          <w:marLeft w:val="16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967327">
      <w:marLeft w:val="0"/>
      <w:marRight w:val="0"/>
      <w:marTop w:val="0"/>
      <w:marBottom w:val="0"/>
      <w:divBdr>
        <w:top w:val="none" w:sz="0" w:space="0" w:color="auto"/>
        <w:left w:val="none" w:sz="0" w:space="0" w:color="auto"/>
        <w:bottom w:val="none" w:sz="0" w:space="0" w:color="auto"/>
        <w:right w:val="none" w:sz="0" w:space="0" w:color="auto"/>
      </w:divBdr>
    </w:div>
    <w:div w:id="1914967339">
      <w:marLeft w:val="0"/>
      <w:marRight w:val="0"/>
      <w:marTop w:val="0"/>
      <w:marBottom w:val="0"/>
      <w:divBdr>
        <w:top w:val="none" w:sz="0" w:space="0" w:color="auto"/>
        <w:left w:val="none" w:sz="0" w:space="0" w:color="auto"/>
        <w:bottom w:val="none" w:sz="0" w:space="0" w:color="auto"/>
        <w:right w:val="none" w:sz="0" w:space="0" w:color="auto"/>
      </w:divBdr>
    </w:div>
    <w:div w:id="1914967344">
      <w:marLeft w:val="0"/>
      <w:marRight w:val="0"/>
      <w:marTop w:val="0"/>
      <w:marBottom w:val="0"/>
      <w:divBdr>
        <w:top w:val="none" w:sz="0" w:space="0" w:color="auto"/>
        <w:left w:val="none" w:sz="0" w:space="0" w:color="auto"/>
        <w:bottom w:val="none" w:sz="0" w:space="0" w:color="auto"/>
        <w:right w:val="none" w:sz="0" w:space="0" w:color="auto"/>
      </w:divBdr>
      <w:divsChild>
        <w:div w:id="1914967333">
          <w:marLeft w:val="0"/>
          <w:marRight w:val="0"/>
          <w:marTop w:val="0"/>
          <w:marBottom w:val="0"/>
          <w:divBdr>
            <w:top w:val="none" w:sz="0" w:space="0" w:color="auto"/>
            <w:left w:val="none" w:sz="0" w:space="0" w:color="auto"/>
            <w:bottom w:val="none" w:sz="0" w:space="0" w:color="auto"/>
            <w:right w:val="none" w:sz="0" w:space="0" w:color="auto"/>
          </w:divBdr>
          <w:divsChild>
            <w:div w:id="1914967340">
              <w:marLeft w:val="0"/>
              <w:marRight w:val="0"/>
              <w:marTop w:val="0"/>
              <w:marBottom w:val="0"/>
              <w:divBdr>
                <w:top w:val="none" w:sz="0" w:space="0" w:color="auto"/>
                <w:left w:val="none" w:sz="0" w:space="0" w:color="auto"/>
                <w:bottom w:val="none" w:sz="0" w:space="0" w:color="auto"/>
                <w:right w:val="none" w:sz="0" w:space="0" w:color="auto"/>
              </w:divBdr>
              <w:divsChild>
                <w:div w:id="1914967351">
                  <w:marLeft w:val="0"/>
                  <w:marRight w:val="0"/>
                  <w:marTop w:val="0"/>
                  <w:marBottom w:val="0"/>
                  <w:divBdr>
                    <w:top w:val="none" w:sz="0" w:space="0" w:color="auto"/>
                    <w:left w:val="none" w:sz="0" w:space="0" w:color="auto"/>
                    <w:bottom w:val="none" w:sz="0" w:space="0" w:color="auto"/>
                    <w:right w:val="none" w:sz="0" w:space="0" w:color="auto"/>
                  </w:divBdr>
                  <w:divsChild>
                    <w:div w:id="1914967346">
                      <w:marLeft w:val="0"/>
                      <w:marRight w:val="0"/>
                      <w:marTop w:val="0"/>
                      <w:marBottom w:val="0"/>
                      <w:divBdr>
                        <w:top w:val="none" w:sz="0" w:space="0" w:color="auto"/>
                        <w:left w:val="none" w:sz="0" w:space="0" w:color="auto"/>
                        <w:bottom w:val="none" w:sz="0" w:space="0" w:color="auto"/>
                        <w:right w:val="none" w:sz="0" w:space="0" w:color="auto"/>
                      </w:divBdr>
                      <w:divsChild>
                        <w:div w:id="1914967345">
                          <w:marLeft w:val="0"/>
                          <w:marRight w:val="0"/>
                          <w:marTop w:val="0"/>
                          <w:marBottom w:val="0"/>
                          <w:divBdr>
                            <w:top w:val="none" w:sz="0" w:space="0" w:color="auto"/>
                            <w:left w:val="none" w:sz="0" w:space="0" w:color="auto"/>
                            <w:bottom w:val="none" w:sz="0" w:space="0" w:color="auto"/>
                            <w:right w:val="none" w:sz="0" w:space="0" w:color="auto"/>
                          </w:divBdr>
                          <w:divsChild>
                            <w:div w:id="1914967331">
                              <w:marLeft w:val="0"/>
                              <w:marRight w:val="0"/>
                              <w:marTop w:val="0"/>
                              <w:marBottom w:val="0"/>
                              <w:divBdr>
                                <w:top w:val="none" w:sz="0" w:space="0" w:color="auto"/>
                                <w:left w:val="none" w:sz="0" w:space="0" w:color="auto"/>
                                <w:bottom w:val="none" w:sz="0" w:space="0" w:color="auto"/>
                                <w:right w:val="none" w:sz="0" w:space="0" w:color="auto"/>
                              </w:divBdr>
                              <w:divsChild>
                                <w:div w:id="1914967337">
                                  <w:marLeft w:val="0"/>
                                  <w:marRight w:val="0"/>
                                  <w:marTop w:val="0"/>
                                  <w:marBottom w:val="0"/>
                                  <w:divBdr>
                                    <w:top w:val="none" w:sz="0" w:space="0" w:color="auto"/>
                                    <w:left w:val="none" w:sz="0" w:space="0" w:color="auto"/>
                                    <w:bottom w:val="none" w:sz="0" w:space="0" w:color="auto"/>
                                    <w:right w:val="none" w:sz="0" w:space="0" w:color="auto"/>
                                  </w:divBdr>
                                  <w:divsChild>
                                    <w:div w:id="1914967349">
                                      <w:marLeft w:val="0"/>
                                      <w:marRight w:val="0"/>
                                      <w:marTop w:val="0"/>
                                      <w:marBottom w:val="0"/>
                                      <w:divBdr>
                                        <w:top w:val="none" w:sz="0" w:space="0" w:color="auto"/>
                                        <w:left w:val="none" w:sz="0" w:space="0" w:color="auto"/>
                                        <w:bottom w:val="none" w:sz="0" w:space="0" w:color="auto"/>
                                        <w:right w:val="none" w:sz="0" w:space="0" w:color="auto"/>
                                      </w:divBdr>
                                      <w:divsChild>
                                        <w:div w:id="1914967325">
                                          <w:marLeft w:val="0"/>
                                          <w:marRight w:val="0"/>
                                          <w:marTop w:val="0"/>
                                          <w:marBottom w:val="0"/>
                                          <w:divBdr>
                                            <w:top w:val="none" w:sz="0" w:space="0" w:color="auto"/>
                                            <w:left w:val="none" w:sz="0" w:space="0" w:color="auto"/>
                                            <w:bottom w:val="none" w:sz="0" w:space="0" w:color="auto"/>
                                            <w:right w:val="none" w:sz="0" w:space="0" w:color="auto"/>
                                          </w:divBdr>
                                          <w:divsChild>
                                            <w:div w:id="1914967329">
                                              <w:marLeft w:val="0"/>
                                              <w:marRight w:val="0"/>
                                              <w:marTop w:val="0"/>
                                              <w:marBottom w:val="0"/>
                                              <w:divBdr>
                                                <w:top w:val="none" w:sz="0" w:space="0" w:color="auto"/>
                                                <w:left w:val="none" w:sz="0" w:space="0" w:color="auto"/>
                                                <w:bottom w:val="none" w:sz="0" w:space="0" w:color="auto"/>
                                                <w:right w:val="none" w:sz="0" w:space="0" w:color="auto"/>
                                              </w:divBdr>
                                              <w:divsChild>
                                                <w:div w:id="1914967326">
                                                  <w:marLeft w:val="0"/>
                                                  <w:marRight w:val="0"/>
                                                  <w:marTop w:val="0"/>
                                                  <w:marBottom w:val="0"/>
                                                  <w:divBdr>
                                                    <w:top w:val="none" w:sz="0" w:space="0" w:color="auto"/>
                                                    <w:left w:val="none" w:sz="0" w:space="0" w:color="auto"/>
                                                    <w:bottom w:val="none" w:sz="0" w:space="0" w:color="auto"/>
                                                    <w:right w:val="none" w:sz="0" w:space="0" w:color="auto"/>
                                                  </w:divBdr>
                                                  <w:divsChild>
                                                    <w:div w:id="1914967342">
                                                      <w:marLeft w:val="0"/>
                                                      <w:marRight w:val="0"/>
                                                      <w:marTop w:val="0"/>
                                                      <w:marBottom w:val="0"/>
                                                      <w:divBdr>
                                                        <w:top w:val="none" w:sz="0" w:space="0" w:color="auto"/>
                                                        <w:left w:val="none" w:sz="0" w:space="0" w:color="auto"/>
                                                        <w:bottom w:val="none" w:sz="0" w:space="0" w:color="auto"/>
                                                        <w:right w:val="none" w:sz="0" w:space="0" w:color="auto"/>
                                                      </w:divBdr>
                                                      <w:divsChild>
                                                        <w:div w:id="1914967343">
                                                          <w:marLeft w:val="0"/>
                                                          <w:marRight w:val="0"/>
                                                          <w:marTop w:val="0"/>
                                                          <w:marBottom w:val="0"/>
                                                          <w:divBdr>
                                                            <w:top w:val="none" w:sz="0" w:space="0" w:color="auto"/>
                                                            <w:left w:val="none" w:sz="0" w:space="0" w:color="auto"/>
                                                            <w:bottom w:val="none" w:sz="0" w:space="0" w:color="auto"/>
                                                            <w:right w:val="none" w:sz="0" w:space="0" w:color="auto"/>
                                                          </w:divBdr>
                                                          <w:divsChild>
                                                            <w:div w:id="1914967336">
                                                              <w:marLeft w:val="0"/>
                                                              <w:marRight w:val="0"/>
                                                              <w:marTop w:val="0"/>
                                                              <w:marBottom w:val="0"/>
                                                              <w:divBdr>
                                                                <w:top w:val="none" w:sz="0" w:space="0" w:color="auto"/>
                                                                <w:left w:val="none" w:sz="0" w:space="0" w:color="auto"/>
                                                                <w:bottom w:val="none" w:sz="0" w:space="0" w:color="auto"/>
                                                                <w:right w:val="none" w:sz="0" w:space="0" w:color="auto"/>
                                                              </w:divBdr>
                                                              <w:divsChild>
                                                                <w:div w:id="1914967350">
                                                                  <w:marLeft w:val="0"/>
                                                                  <w:marRight w:val="0"/>
                                                                  <w:marTop w:val="225"/>
                                                                  <w:marBottom w:val="300"/>
                                                                  <w:divBdr>
                                                                    <w:top w:val="none" w:sz="0" w:space="0" w:color="auto"/>
                                                                    <w:left w:val="none" w:sz="0" w:space="0" w:color="auto"/>
                                                                    <w:bottom w:val="none" w:sz="0" w:space="0" w:color="auto"/>
                                                                    <w:right w:val="none" w:sz="0" w:space="0" w:color="auto"/>
                                                                  </w:divBdr>
                                                                  <w:divsChild>
                                                                    <w:div w:id="1914967341">
                                                                      <w:marLeft w:val="0"/>
                                                                      <w:marRight w:val="0"/>
                                                                      <w:marTop w:val="0"/>
                                                                      <w:marBottom w:val="0"/>
                                                                      <w:divBdr>
                                                                        <w:top w:val="none" w:sz="0" w:space="0" w:color="auto"/>
                                                                        <w:left w:val="none" w:sz="0" w:space="0" w:color="auto"/>
                                                                        <w:bottom w:val="none" w:sz="0" w:space="0" w:color="auto"/>
                                                                        <w:right w:val="none" w:sz="0" w:space="0" w:color="auto"/>
                                                                      </w:divBdr>
                                                                      <w:divsChild>
                                                                        <w:div w:id="1914967328">
                                                                          <w:marLeft w:val="0"/>
                                                                          <w:marRight w:val="0"/>
                                                                          <w:marTop w:val="0"/>
                                                                          <w:marBottom w:val="0"/>
                                                                          <w:divBdr>
                                                                            <w:top w:val="none" w:sz="0" w:space="0" w:color="auto"/>
                                                                            <w:left w:val="none" w:sz="0" w:space="0" w:color="auto"/>
                                                                            <w:bottom w:val="single" w:sz="6" w:space="23" w:color="DBDBDB"/>
                                                                            <w:right w:val="none" w:sz="0" w:space="0" w:color="auto"/>
                                                                          </w:divBdr>
                                                                          <w:divsChild>
                                                                            <w:div w:id="1914967330">
                                                                              <w:marLeft w:val="0"/>
                                                                              <w:marRight w:val="0"/>
                                                                              <w:marTop w:val="0"/>
                                                                              <w:marBottom w:val="0"/>
                                                                              <w:divBdr>
                                                                                <w:top w:val="none" w:sz="0" w:space="0" w:color="auto"/>
                                                                                <w:left w:val="none" w:sz="0" w:space="0" w:color="auto"/>
                                                                                <w:bottom w:val="none" w:sz="0" w:space="0" w:color="auto"/>
                                                                                <w:right w:val="none" w:sz="0" w:space="0" w:color="auto"/>
                                                                              </w:divBdr>
                                                                              <w:divsChild>
                                                                                <w:div w:id="19149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967348">
      <w:marLeft w:val="0"/>
      <w:marRight w:val="0"/>
      <w:marTop w:val="0"/>
      <w:marBottom w:val="0"/>
      <w:divBdr>
        <w:top w:val="none" w:sz="0" w:space="0" w:color="auto"/>
        <w:left w:val="none" w:sz="0" w:space="0" w:color="auto"/>
        <w:bottom w:val="none" w:sz="0" w:space="0" w:color="auto"/>
        <w:right w:val="none" w:sz="0" w:space="0" w:color="auto"/>
      </w:divBdr>
    </w:div>
    <w:div w:id="1914967352">
      <w:marLeft w:val="0"/>
      <w:marRight w:val="0"/>
      <w:marTop w:val="0"/>
      <w:marBottom w:val="0"/>
      <w:divBdr>
        <w:top w:val="none" w:sz="0" w:space="0" w:color="auto"/>
        <w:left w:val="none" w:sz="0" w:space="0" w:color="auto"/>
        <w:bottom w:val="none" w:sz="0" w:space="0" w:color="auto"/>
        <w:right w:val="none" w:sz="0" w:space="0" w:color="auto"/>
      </w:divBdr>
    </w:div>
    <w:div w:id="1914967353">
      <w:marLeft w:val="0"/>
      <w:marRight w:val="0"/>
      <w:marTop w:val="0"/>
      <w:marBottom w:val="0"/>
      <w:divBdr>
        <w:top w:val="none" w:sz="0" w:space="0" w:color="auto"/>
        <w:left w:val="none" w:sz="0" w:space="0" w:color="auto"/>
        <w:bottom w:val="none" w:sz="0" w:space="0" w:color="auto"/>
        <w:right w:val="none" w:sz="0" w:space="0" w:color="auto"/>
      </w:divBdr>
    </w:div>
    <w:div w:id="1914967354">
      <w:marLeft w:val="0"/>
      <w:marRight w:val="0"/>
      <w:marTop w:val="0"/>
      <w:marBottom w:val="0"/>
      <w:divBdr>
        <w:top w:val="none" w:sz="0" w:space="0" w:color="auto"/>
        <w:left w:val="none" w:sz="0" w:space="0" w:color="auto"/>
        <w:bottom w:val="none" w:sz="0" w:space="0" w:color="auto"/>
        <w:right w:val="none" w:sz="0" w:space="0" w:color="auto"/>
      </w:divBdr>
    </w:div>
    <w:div w:id="1914967355">
      <w:marLeft w:val="0"/>
      <w:marRight w:val="0"/>
      <w:marTop w:val="0"/>
      <w:marBottom w:val="0"/>
      <w:divBdr>
        <w:top w:val="none" w:sz="0" w:space="0" w:color="auto"/>
        <w:left w:val="none" w:sz="0" w:space="0" w:color="auto"/>
        <w:bottom w:val="none" w:sz="0" w:space="0" w:color="auto"/>
        <w:right w:val="none" w:sz="0" w:space="0" w:color="auto"/>
      </w:divBdr>
    </w:div>
    <w:div w:id="1914967356">
      <w:marLeft w:val="0"/>
      <w:marRight w:val="0"/>
      <w:marTop w:val="0"/>
      <w:marBottom w:val="0"/>
      <w:divBdr>
        <w:top w:val="none" w:sz="0" w:space="0" w:color="auto"/>
        <w:left w:val="none" w:sz="0" w:space="0" w:color="auto"/>
        <w:bottom w:val="none" w:sz="0" w:space="0" w:color="auto"/>
        <w:right w:val="none" w:sz="0" w:space="0" w:color="auto"/>
      </w:divBdr>
    </w:div>
    <w:div w:id="1914967357">
      <w:marLeft w:val="0"/>
      <w:marRight w:val="0"/>
      <w:marTop w:val="0"/>
      <w:marBottom w:val="0"/>
      <w:divBdr>
        <w:top w:val="none" w:sz="0" w:space="0" w:color="auto"/>
        <w:left w:val="none" w:sz="0" w:space="0" w:color="auto"/>
        <w:bottom w:val="none" w:sz="0" w:space="0" w:color="auto"/>
        <w:right w:val="none" w:sz="0" w:space="0" w:color="auto"/>
      </w:divBdr>
    </w:div>
    <w:div w:id="1914967358">
      <w:marLeft w:val="0"/>
      <w:marRight w:val="0"/>
      <w:marTop w:val="0"/>
      <w:marBottom w:val="0"/>
      <w:divBdr>
        <w:top w:val="none" w:sz="0" w:space="0" w:color="auto"/>
        <w:left w:val="none" w:sz="0" w:space="0" w:color="auto"/>
        <w:bottom w:val="none" w:sz="0" w:space="0" w:color="auto"/>
        <w:right w:val="none" w:sz="0" w:space="0" w:color="auto"/>
      </w:divBdr>
    </w:div>
    <w:div w:id="1914967362">
      <w:marLeft w:val="0"/>
      <w:marRight w:val="0"/>
      <w:marTop w:val="0"/>
      <w:marBottom w:val="0"/>
      <w:divBdr>
        <w:top w:val="none" w:sz="0" w:space="0" w:color="auto"/>
        <w:left w:val="none" w:sz="0" w:space="0" w:color="auto"/>
        <w:bottom w:val="none" w:sz="0" w:space="0" w:color="auto"/>
        <w:right w:val="none" w:sz="0" w:space="0" w:color="auto"/>
      </w:divBdr>
      <w:divsChild>
        <w:div w:id="1914967363">
          <w:marLeft w:val="0"/>
          <w:marRight w:val="0"/>
          <w:marTop w:val="0"/>
          <w:marBottom w:val="0"/>
          <w:divBdr>
            <w:top w:val="none" w:sz="0" w:space="0" w:color="auto"/>
            <w:left w:val="none" w:sz="0" w:space="0" w:color="auto"/>
            <w:bottom w:val="none" w:sz="0" w:space="0" w:color="auto"/>
            <w:right w:val="none" w:sz="0" w:space="0" w:color="auto"/>
          </w:divBdr>
        </w:div>
      </w:divsChild>
    </w:div>
    <w:div w:id="1914967366">
      <w:marLeft w:val="0"/>
      <w:marRight w:val="0"/>
      <w:marTop w:val="0"/>
      <w:marBottom w:val="0"/>
      <w:divBdr>
        <w:top w:val="none" w:sz="0" w:space="0" w:color="auto"/>
        <w:left w:val="none" w:sz="0" w:space="0" w:color="auto"/>
        <w:bottom w:val="none" w:sz="0" w:space="0" w:color="auto"/>
        <w:right w:val="none" w:sz="0" w:space="0" w:color="auto"/>
      </w:divBdr>
      <w:divsChild>
        <w:div w:id="1914967359">
          <w:marLeft w:val="0"/>
          <w:marRight w:val="0"/>
          <w:marTop w:val="0"/>
          <w:marBottom w:val="0"/>
          <w:divBdr>
            <w:top w:val="none" w:sz="0" w:space="0" w:color="auto"/>
            <w:left w:val="none" w:sz="0" w:space="0" w:color="auto"/>
            <w:bottom w:val="none" w:sz="0" w:space="0" w:color="auto"/>
            <w:right w:val="none" w:sz="0" w:space="0" w:color="auto"/>
          </w:divBdr>
          <w:divsChild>
            <w:div w:id="1914967365">
              <w:marLeft w:val="0"/>
              <w:marRight w:val="0"/>
              <w:marTop w:val="0"/>
              <w:marBottom w:val="100"/>
              <w:divBdr>
                <w:top w:val="none" w:sz="0" w:space="0" w:color="auto"/>
                <w:left w:val="none" w:sz="0" w:space="0" w:color="auto"/>
                <w:bottom w:val="none" w:sz="0" w:space="0" w:color="auto"/>
                <w:right w:val="none" w:sz="0" w:space="0" w:color="auto"/>
              </w:divBdr>
              <w:divsChild>
                <w:div w:id="1914967364">
                  <w:marLeft w:val="0"/>
                  <w:marRight w:val="0"/>
                  <w:marTop w:val="100"/>
                  <w:marBottom w:val="100"/>
                  <w:divBdr>
                    <w:top w:val="none" w:sz="0" w:space="0" w:color="auto"/>
                    <w:left w:val="none" w:sz="0" w:space="0" w:color="auto"/>
                    <w:bottom w:val="none" w:sz="0" w:space="0" w:color="auto"/>
                    <w:right w:val="none" w:sz="0" w:space="0" w:color="auto"/>
                  </w:divBdr>
                  <w:divsChild>
                    <w:div w:id="19149673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967367">
      <w:marLeft w:val="0"/>
      <w:marRight w:val="0"/>
      <w:marTop w:val="0"/>
      <w:marBottom w:val="0"/>
      <w:divBdr>
        <w:top w:val="none" w:sz="0" w:space="0" w:color="auto"/>
        <w:left w:val="none" w:sz="0" w:space="0" w:color="auto"/>
        <w:bottom w:val="none" w:sz="0" w:space="0" w:color="auto"/>
        <w:right w:val="none" w:sz="0" w:space="0" w:color="auto"/>
      </w:divBdr>
      <w:divsChild>
        <w:div w:id="1914967361">
          <w:marLeft w:val="0"/>
          <w:marRight w:val="0"/>
          <w:marTop w:val="0"/>
          <w:marBottom w:val="0"/>
          <w:divBdr>
            <w:top w:val="none" w:sz="0" w:space="0" w:color="auto"/>
            <w:left w:val="none" w:sz="0" w:space="0" w:color="auto"/>
            <w:bottom w:val="none" w:sz="0" w:space="0" w:color="auto"/>
            <w:right w:val="none" w:sz="0" w:space="0" w:color="auto"/>
          </w:divBdr>
        </w:div>
      </w:divsChild>
    </w:div>
    <w:div w:id="1914967368">
      <w:marLeft w:val="0"/>
      <w:marRight w:val="0"/>
      <w:marTop w:val="0"/>
      <w:marBottom w:val="0"/>
      <w:divBdr>
        <w:top w:val="none" w:sz="0" w:space="0" w:color="auto"/>
        <w:left w:val="none" w:sz="0" w:space="0" w:color="auto"/>
        <w:bottom w:val="none" w:sz="0" w:space="0" w:color="auto"/>
        <w:right w:val="none" w:sz="0" w:space="0" w:color="auto"/>
      </w:divBdr>
    </w:div>
    <w:div w:id="1914967369">
      <w:marLeft w:val="0"/>
      <w:marRight w:val="0"/>
      <w:marTop w:val="0"/>
      <w:marBottom w:val="0"/>
      <w:divBdr>
        <w:top w:val="none" w:sz="0" w:space="0" w:color="auto"/>
        <w:left w:val="none" w:sz="0" w:space="0" w:color="auto"/>
        <w:bottom w:val="none" w:sz="0" w:space="0" w:color="auto"/>
        <w:right w:val="none" w:sz="0" w:space="0" w:color="auto"/>
      </w:divBdr>
    </w:div>
    <w:div w:id="1914967372">
      <w:marLeft w:val="0"/>
      <w:marRight w:val="0"/>
      <w:marTop w:val="0"/>
      <w:marBottom w:val="0"/>
      <w:divBdr>
        <w:top w:val="none" w:sz="0" w:space="0" w:color="auto"/>
        <w:left w:val="none" w:sz="0" w:space="0" w:color="auto"/>
        <w:bottom w:val="none" w:sz="0" w:space="0" w:color="auto"/>
        <w:right w:val="none" w:sz="0" w:space="0" w:color="auto"/>
      </w:divBdr>
      <w:divsChild>
        <w:div w:id="1914967308">
          <w:marLeft w:val="547"/>
          <w:marRight w:val="0"/>
          <w:marTop w:val="0"/>
          <w:marBottom w:val="0"/>
          <w:divBdr>
            <w:top w:val="none" w:sz="0" w:space="0" w:color="auto"/>
            <w:left w:val="none" w:sz="0" w:space="0" w:color="auto"/>
            <w:bottom w:val="none" w:sz="0" w:space="0" w:color="auto"/>
            <w:right w:val="none" w:sz="0" w:space="0" w:color="auto"/>
          </w:divBdr>
        </w:div>
        <w:div w:id="1914967310">
          <w:marLeft w:val="547"/>
          <w:marRight w:val="0"/>
          <w:marTop w:val="0"/>
          <w:marBottom w:val="0"/>
          <w:divBdr>
            <w:top w:val="none" w:sz="0" w:space="0" w:color="auto"/>
            <w:left w:val="none" w:sz="0" w:space="0" w:color="auto"/>
            <w:bottom w:val="none" w:sz="0" w:space="0" w:color="auto"/>
            <w:right w:val="none" w:sz="0" w:space="0" w:color="auto"/>
          </w:divBdr>
        </w:div>
        <w:div w:id="1914967312">
          <w:marLeft w:val="547"/>
          <w:marRight w:val="0"/>
          <w:marTop w:val="0"/>
          <w:marBottom w:val="0"/>
          <w:divBdr>
            <w:top w:val="none" w:sz="0" w:space="0" w:color="auto"/>
            <w:left w:val="none" w:sz="0" w:space="0" w:color="auto"/>
            <w:bottom w:val="none" w:sz="0" w:space="0" w:color="auto"/>
            <w:right w:val="none" w:sz="0" w:space="0" w:color="auto"/>
          </w:divBdr>
        </w:div>
        <w:div w:id="1914967313">
          <w:marLeft w:val="547"/>
          <w:marRight w:val="0"/>
          <w:marTop w:val="0"/>
          <w:marBottom w:val="0"/>
          <w:divBdr>
            <w:top w:val="none" w:sz="0" w:space="0" w:color="auto"/>
            <w:left w:val="none" w:sz="0" w:space="0" w:color="auto"/>
            <w:bottom w:val="none" w:sz="0" w:space="0" w:color="auto"/>
            <w:right w:val="none" w:sz="0" w:space="0" w:color="auto"/>
          </w:divBdr>
        </w:div>
        <w:div w:id="1914967374">
          <w:marLeft w:val="547"/>
          <w:marRight w:val="0"/>
          <w:marTop w:val="0"/>
          <w:marBottom w:val="0"/>
          <w:divBdr>
            <w:top w:val="none" w:sz="0" w:space="0" w:color="auto"/>
            <w:left w:val="none" w:sz="0" w:space="0" w:color="auto"/>
            <w:bottom w:val="none" w:sz="0" w:space="0" w:color="auto"/>
            <w:right w:val="none" w:sz="0" w:space="0" w:color="auto"/>
          </w:divBdr>
        </w:div>
        <w:div w:id="1914967376">
          <w:marLeft w:val="547"/>
          <w:marRight w:val="0"/>
          <w:marTop w:val="0"/>
          <w:marBottom w:val="0"/>
          <w:divBdr>
            <w:top w:val="none" w:sz="0" w:space="0" w:color="auto"/>
            <w:left w:val="none" w:sz="0" w:space="0" w:color="auto"/>
            <w:bottom w:val="none" w:sz="0" w:space="0" w:color="auto"/>
            <w:right w:val="none" w:sz="0" w:space="0" w:color="auto"/>
          </w:divBdr>
        </w:div>
        <w:div w:id="1914967377">
          <w:marLeft w:val="547"/>
          <w:marRight w:val="0"/>
          <w:marTop w:val="0"/>
          <w:marBottom w:val="0"/>
          <w:divBdr>
            <w:top w:val="none" w:sz="0" w:space="0" w:color="auto"/>
            <w:left w:val="none" w:sz="0" w:space="0" w:color="auto"/>
            <w:bottom w:val="none" w:sz="0" w:space="0" w:color="auto"/>
            <w:right w:val="none" w:sz="0" w:space="0" w:color="auto"/>
          </w:divBdr>
        </w:div>
      </w:divsChild>
    </w:div>
    <w:div w:id="1914967373">
      <w:marLeft w:val="0"/>
      <w:marRight w:val="0"/>
      <w:marTop w:val="0"/>
      <w:marBottom w:val="0"/>
      <w:divBdr>
        <w:top w:val="none" w:sz="0" w:space="0" w:color="auto"/>
        <w:left w:val="none" w:sz="0" w:space="0" w:color="auto"/>
        <w:bottom w:val="none" w:sz="0" w:space="0" w:color="auto"/>
        <w:right w:val="none" w:sz="0" w:space="0" w:color="auto"/>
      </w:divBdr>
    </w:div>
    <w:div w:id="1914967375">
      <w:marLeft w:val="0"/>
      <w:marRight w:val="0"/>
      <w:marTop w:val="0"/>
      <w:marBottom w:val="0"/>
      <w:divBdr>
        <w:top w:val="none" w:sz="0" w:space="0" w:color="auto"/>
        <w:left w:val="none" w:sz="0" w:space="0" w:color="auto"/>
        <w:bottom w:val="none" w:sz="0" w:space="0" w:color="auto"/>
        <w:right w:val="none" w:sz="0" w:space="0" w:color="auto"/>
      </w:divBdr>
      <w:divsChild>
        <w:div w:id="1914967302">
          <w:marLeft w:val="547"/>
          <w:marRight w:val="0"/>
          <w:marTop w:val="0"/>
          <w:marBottom w:val="0"/>
          <w:divBdr>
            <w:top w:val="none" w:sz="0" w:space="0" w:color="auto"/>
            <w:left w:val="none" w:sz="0" w:space="0" w:color="auto"/>
            <w:bottom w:val="none" w:sz="0" w:space="0" w:color="auto"/>
            <w:right w:val="none" w:sz="0" w:space="0" w:color="auto"/>
          </w:divBdr>
        </w:div>
        <w:div w:id="1914967303">
          <w:marLeft w:val="547"/>
          <w:marRight w:val="0"/>
          <w:marTop w:val="0"/>
          <w:marBottom w:val="0"/>
          <w:divBdr>
            <w:top w:val="none" w:sz="0" w:space="0" w:color="auto"/>
            <w:left w:val="none" w:sz="0" w:space="0" w:color="auto"/>
            <w:bottom w:val="none" w:sz="0" w:space="0" w:color="auto"/>
            <w:right w:val="none" w:sz="0" w:space="0" w:color="auto"/>
          </w:divBdr>
        </w:div>
        <w:div w:id="1914967304">
          <w:marLeft w:val="547"/>
          <w:marRight w:val="0"/>
          <w:marTop w:val="0"/>
          <w:marBottom w:val="0"/>
          <w:divBdr>
            <w:top w:val="none" w:sz="0" w:space="0" w:color="auto"/>
            <w:left w:val="none" w:sz="0" w:space="0" w:color="auto"/>
            <w:bottom w:val="none" w:sz="0" w:space="0" w:color="auto"/>
            <w:right w:val="none" w:sz="0" w:space="0" w:color="auto"/>
          </w:divBdr>
        </w:div>
        <w:div w:id="1914967305">
          <w:marLeft w:val="547"/>
          <w:marRight w:val="0"/>
          <w:marTop w:val="0"/>
          <w:marBottom w:val="0"/>
          <w:divBdr>
            <w:top w:val="none" w:sz="0" w:space="0" w:color="auto"/>
            <w:left w:val="none" w:sz="0" w:space="0" w:color="auto"/>
            <w:bottom w:val="none" w:sz="0" w:space="0" w:color="auto"/>
            <w:right w:val="none" w:sz="0" w:space="0" w:color="auto"/>
          </w:divBdr>
        </w:div>
        <w:div w:id="1914967314">
          <w:marLeft w:val="547"/>
          <w:marRight w:val="0"/>
          <w:marTop w:val="0"/>
          <w:marBottom w:val="0"/>
          <w:divBdr>
            <w:top w:val="none" w:sz="0" w:space="0" w:color="auto"/>
            <w:left w:val="none" w:sz="0" w:space="0" w:color="auto"/>
            <w:bottom w:val="none" w:sz="0" w:space="0" w:color="auto"/>
            <w:right w:val="none" w:sz="0" w:space="0" w:color="auto"/>
          </w:divBdr>
        </w:div>
        <w:div w:id="1914967316">
          <w:marLeft w:val="547"/>
          <w:marRight w:val="0"/>
          <w:marTop w:val="0"/>
          <w:marBottom w:val="0"/>
          <w:divBdr>
            <w:top w:val="none" w:sz="0" w:space="0" w:color="auto"/>
            <w:left w:val="none" w:sz="0" w:space="0" w:color="auto"/>
            <w:bottom w:val="none" w:sz="0" w:space="0" w:color="auto"/>
            <w:right w:val="none" w:sz="0" w:space="0" w:color="auto"/>
          </w:divBdr>
        </w:div>
        <w:div w:id="1914967317">
          <w:marLeft w:val="547"/>
          <w:marRight w:val="0"/>
          <w:marTop w:val="0"/>
          <w:marBottom w:val="0"/>
          <w:divBdr>
            <w:top w:val="none" w:sz="0" w:space="0" w:color="auto"/>
            <w:left w:val="none" w:sz="0" w:space="0" w:color="auto"/>
            <w:bottom w:val="none" w:sz="0" w:space="0" w:color="auto"/>
            <w:right w:val="none" w:sz="0" w:space="0" w:color="auto"/>
          </w:divBdr>
        </w:div>
        <w:div w:id="1914967370">
          <w:marLeft w:val="547"/>
          <w:marRight w:val="0"/>
          <w:marTop w:val="0"/>
          <w:marBottom w:val="0"/>
          <w:divBdr>
            <w:top w:val="none" w:sz="0" w:space="0" w:color="auto"/>
            <w:left w:val="none" w:sz="0" w:space="0" w:color="auto"/>
            <w:bottom w:val="none" w:sz="0" w:space="0" w:color="auto"/>
            <w:right w:val="none" w:sz="0" w:space="0" w:color="auto"/>
          </w:divBdr>
        </w:div>
        <w:div w:id="1914967371">
          <w:marLeft w:val="547"/>
          <w:marRight w:val="0"/>
          <w:marTop w:val="0"/>
          <w:marBottom w:val="0"/>
          <w:divBdr>
            <w:top w:val="none" w:sz="0" w:space="0" w:color="auto"/>
            <w:left w:val="none" w:sz="0" w:space="0" w:color="auto"/>
            <w:bottom w:val="none" w:sz="0" w:space="0" w:color="auto"/>
            <w:right w:val="none" w:sz="0" w:space="0" w:color="auto"/>
          </w:divBdr>
        </w:div>
        <w:div w:id="1914967378">
          <w:marLeft w:val="547"/>
          <w:marRight w:val="0"/>
          <w:marTop w:val="0"/>
          <w:marBottom w:val="0"/>
          <w:divBdr>
            <w:top w:val="none" w:sz="0" w:space="0" w:color="auto"/>
            <w:left w:val="none" w:sz="0" w:space="0" w:color="auto"/>
            <w:bottom w:val="none" w:sz="0" w:space="0" w:color="auto"/>
            <w:right w:val="none" w:sz="0" w:space="0" w:color="auto"/>
          </w:divBdr>
        </w:div>
        <w:div w:id="1914967379">
          <w:marLeft w:val="547"/>
          <w:marRight w:val="0"/>
          <w:marTop w:val="0"/>
          <w:marBottom w:val="0"/>
          <w:divBdr>
            <w:top w:val="none" w:sz="0" w:space="0" w:color="auto"/>
            <w:left w:val="none" w:sz="0" w:space="0" w:color="auto"/>
            <w:bottom w:val="none" w:sz="0" w:space="0" w:color="auto"/>
            <w:right w:val="none" w:sz="0" w:space="0" w:color="auto"/>
          </w:divBdr>
        </w:div>
        <w:div w:id="1914967380">
          <w:marLeft w:val="547"/>
          <w:marRight w:val="0"/>
          <w:marTop w:val="0"/>
          <w:marBottom w:val="0"/>
          <w:divBdr>
            <w:top w:val="none" w:sz="0" w:space="0" w:color="auto"/>
            <w:left w:val="none" w:sz="0" w:space="0" w:color="auto"/>
            <w:bottom w:val="none" w:sz="0" w:space="0" w:color="auto"/>
            <w:right w:val="none" w:sz="0" w:space="0" w:color="auto"/>
          </w:divBdr>
        </w:div>
        <w:div w:id="1914967381">
          <w:marLeft w:val="562"/>
          <w:marRight w:val="0"/>
          <w:marTop w:val="0"/>
          <w:marBottom w:val="0"/>
          <w:divBdr>
            <w:top w:val="none" w:sz="0" w:space="0" w:color="auto"/>
            <w:left w:val="none" w:sz="0" w:space="0" w:color="auto"/>
            <w:bottom w:val="none" w:sz="0" w:space="0" w:color="auto"/>
            <w:right w:val="none" w:sz="0" w:space="0" w:color="auto"/>
          </w:divBdr>
        </w:div>
        <w:div w:id="1914967382">
          <w:marLeft w:val="547"/>
          <w:marRight w:val="0"/>
          <w:marTop w:val="0"/>
          <w:marBottom w:val="0"/>
          <w:divBdr>
            <w:top w:val="none" w:sz="0" w:space="0" w:color="auto"/>
            <w:left w:val="none" w:sz="0" w:space="0" w:color="auto"/>
            <w:bottom w:val="none" w:sz="0" w:space="0" w:color="auto"/>
            <w:right w:val="none" w:sz="0" w:space="0" w:color="auto"/>
          </w:divBdr>
        </w:div>
      </w:divsChild>
    </w:div>
    <w:div w:id="1914967383">
      <w:marLeft w:val="0"/>
      <w:marRight w:val="0"/>
      <w:marTop w:val="0"/>
      <w:marBottom w:val="0"/>
      <w:divBdr>
        <w:top w:val="none" w:sz="0" w:space="0" w:color="auto"/>
        <w:left w:val="none" w:sz="0" w:space="0" w:color="auto"/>
        <w:bottom w:val="none" w:sz="0" w:space="0" w:color="auto"/>
        <w:right w:val="none" w:sz="0" w:space="0" w:color="auto"/>
      </w:divBdr>
      <w:divsChild>
        <w:div w:id="1914967301">
          <w:marLeft w:val="547"/>
          <w:marRight w:val="0"/>
          <w:marTop w:val="0"/>
          <w:marBottom w:val="0"/>
          <w:divBdr>
            <w:top w:val="none" w:sz="0" w:space="0" w:color="auto"/>
            <w:left w:val="none" w:sz="0" w:space="0" w:color="auto"/>
            <w:bottom w:val="none" w:sz="0" w:space="0" w:color="auto"/>
            <w:right w:val="none" w:sz="0" w:space="0" w:color="auto"/>
          </w:divBdr>
        </w:div>
        <w:div w:id="1914967307">
          <w:marLeft w:val="547"/>
          <w:marRight w:val="0"/>
          <w:marTop w:val="0"/>
          <w:marBottom w:val="0"/>
          <w:divBdr>
            <w:top w:val="none" w:sz="0" w:space="0" w:color="auto"/>
            <w:left w:val="none" w:sz="0" w:space="0" w:color="auto"/>
            <w:bottom w:val="none" w:sz="0" w:space="0" w:color="auto"/>
            <w:right w:val="none" w:sz="0" w:space="0" w:color="auto"/>
          </w:divBdr>
        </w:div>
      </w:divsChild>
    </w:div>
    <w:div w:id="1914967384">
      <w:marLeft w:val="0"/>
      <w:marRight w:val="0"/>
      <w:marTop w:val="0"/>
      <w:marBottom w:val="0"/>
      <w:divBdr>
        <w:top w:val="none" w:sz="0" w:space="0" w:color="auto"/>
        <w:left w:val="none" w:sz="0" w:space="0" w:color="auto"/>
        <w:bottom w:val="none" w:sz="0" w:space="0" w:color="auto"/>
        <w:right w:val="none" w:sz="0" w:space="0" w:color="auto"/>
      </w:divBdr>
    </w:div>
    <w:div w:id="1914967385">
      <w:marLeft w:val="0"/>
      <w:marRight w:val="0"/>
      <w:marTop w:val="0"/>
      <w:marBottom w:val="0"/>
      <w:divBdr>
        <w:top w:val="none" w:sz="0" w:space="0" w:color="auto"/>
        <w:left w:val="none" w:sz="0" w:space="0" w:color="auto"/>
        <w:bottom w:val="none" w:sz="0" w:space="0" w:color="auto"/>
        <w:right w:val="none" w:sz="0" w:space="0" w:color="auto"/>
      </w:divBdr>
    </w:div>
    <w:div w:id="1914967386">
      <w:marLeft w:val="0"/>
      <w:marRight w:val="0"/>
      <w:marTop w:val="0"/>
      <w:marBottom w:val="0"/>
      <w:divBdr>
        <w:top w:val="none" w:sz="0" w:space="0" w:color="auto"/>
        <w:left w:val="none" w:sz="0" w:space="0" w:color="auto"/>
        <w:bottom w:val="none" w:sz="0" w:space="0" w:color="auto"/>
        <w:right w:val="none" w:sz="0" w:space="0" w:color="auto"/>
      </w:divBdr>
    </w:div>
    <w:div w:id="1914967387">
      <w:marLeft w:val="0"/>
      <w:marRight w:val="0"/>
      <w:marTop w:val="0"/>
      <w:marBottom w:val="0"/>
      <w:divBdr>
        <w:top w:val="none" w:sz="0" w:space="0" w:color="auto"/>
        <w:left w:val="none" w:sz="0" w:space="0" w:color="auto"/>
        <w:bottom w:val="none" w:sz="0" w:space="0" w:color="auto"/>
        <w:right w:val="none" w:sz="0" w:space="0" w:color="auto"/>
      </w:divBdr>
    </w:div>
    <w:div w:id="1914967388">
      <w:marLeft w:val="0"/>
      <w:marRight w:val="0"/>
      <w:marTop w:val="0"/>
      <w:marBottom w:val="0"/>
      <w:divBdr>
        <w:top w:val="none" w:sz="0" w:space="0" w:color="auto"/>
        <w:left w:val="none" w:sz="0" w:space="0" w:color="auto"/>
        <w:bottom w:val="none" w:sz="0" w:space="0" w:color="auto"/>
        <w:right w:val="none" w:sz="0" w:space="0" w:color="auto"/>
      </w:divBdr>
    </w:div>
    <w:div w:id="1914967389">
      <w:marLeft w:val="0"/>
      <w:marRight w:val="0"/>
      <w:marTop w:val="0"/>
      <w:marBottom w:val="0"/>
      <w:divBdr>
        <w:top w:val="none" w:sz="0" w:space="0" w:color="auto"/>
        <w:left w:val="none" w:sz="0" w:space="0" w:color="auto"/>
        <w:bottom w:val="none" w:sz="0" w:space="0" w:color="auto"/>
        <w:right w:val="none" w:sz="0" w:space="0" w:color="auto"/>
      </w:divBdr>
    </w:div>
    <w:div w:id="1914967390">
      <w:marLeft w:val="0"/>
      <w:marRight w:val="0"/>
      <w:marTop w:val="0"/>
      <w:marBottom w:val="0"/>
      <w:divBdr>
        <w:top w:val="none" w:sz="0" w:space="0" w:color="auto"/>
        <w:left w:val="none" w:sz="0" w:space="0" w:color="auto"/>
        <w:bottom w:val="none" w:sz="0" w:space="0" w:color="auto"/>
        <w:right w:val="none" w:sz="0" w:space="0" w:color="auto"/>
      </w:divBdr>
      <w:divsChild>
        <w:div w:id="1914967414">
          <w:marLeft w:val="0"/>
          <w:marRight w:val="0"/>
          <w:marTop w:val="0"/>
          <w:marBottom w:val="0"/>
          <w:divBdr>
            <w:top w:val="none" w:sz="0" w:space="0" w:color="auto"/>
            <w:left w:val="none" w:sz="0" w:space="0" w:color="auto"/>
            <w:bottom w:val="none" w:sz="0" w:space="0" w:color="auto"/>
            <w:right w:val="none" w:sz="0" w:space="0" w:color="auto"/>
          </w:divBdr>
          <w:divsChild>
            <w:div w:id="1914967405">
              <w:marLeft w:val="0"/>
              <w:marRight w:val="0"/>
              <w:marTop w:val="0"/>
              <w:marBottom w:val="0"/>
              <w:divBdr>
                <w:top w:val="none" w:sz="0" w:space="0" w:color="auto"/>
                <w:left w:val="none" w:sz="0" w:space="0" w:color="auto"/>
                <w:bottom w:val="none" w:sz="0" w:space="0" w:color="auto"/>
                <w:right w:val="none" w:sz="0" w:space="0" w:color="auto"/>
              </w:divBdr>
              <w:divsChild>
                <w:div w:id="1914967399">
                  <w:marLeft w:val="0"/>
                  <w:marRight w:val="0"/>
                  <w:marTop w:val="0"/>
                  <w:marBottom w:val="0"/>
                  <w:divBdr>
                    <w:top w:val="none" w:sz="0" w:space="0" w:color="auto"/>
                    <w:left w:val="none" w:sz="0" w:space="0" w:color="auto"/>
                    <w:bottom w:val="none" w:sz="0" w:space="0" w:color="auto"/>
                    <w:right w:val="none" w:sz="0" w:space="0" w:color="auto"/>
                  </w:divBdr>
                  <w:divsChild>
                    <w:div w:id="1914967391">
                      <w:marLeft w:val="0"/>
                      <w:marRight w:val="0"/>
                      <w:marTop w:val="0"/>
                      <w:marBottom w:val="0"/>
                      <w:divBdr>
                        <w:top w:val="none" w:sz="0" w:space="0" w:color="auto"/>
                        <w:left w:val="none" w:sz="0" w:space="0" w:color="auto"/>
                        <w:bottom w:val="none" w:sz="0" w:space="0" w:color="auto"/>
                        <w:right w:val="none" w:sz="0" w:space="0" w:color="auto"/>
                      </w:divBdr>
                      <w:divsChild>
                        <w:div w:id="1914967402">
                          <w:marLeft w:val="16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967394">
      <w:marLeft w:val="0"/>
      <w:marRight w:val="0"/>
      <w:marTop w:val="0"/>
      <w:marBottom w:val="0"/>
      <w:divBdr>
        <w:top w:val="none" w:sz="0" w:space="0" w:color="auto"/>
        <w:left w:val="none" w:sz="0" w:space="0" w:color="auto"/>
        <w:bottom w:val="none" w:sz="0" w:space="0" w:color="auto"/>
        <w:right w:val="none" w:sz="0" w:space="0" w:color="auto"/>
      </w:divBdr>
    </w:div>
    <w:div w:id="1914967406">
      <w:marLeft w:val="0"/>
      <w:marRight w:val="0"/>
      <w:marTop w:val="0"/>
      <w:marBottom w:val="0"/>
      <w:divBdr>
        <w:top w:val="none" w:sz="0" w:space="0" w:color="auto"/>
        <w:left w:val="none" w:sz="0" w:space="0" w:color="auto"/>
        <w:bottom w:val="none" w:sz="0" w:space="0" w:color="auto"/>
        <w:right w:val="none" w:sz="0" w:space="0" w:color="auto"/>
      </w:divBdr>
    </w:div>
    <w:div w:id="1914967411">
      <w:marLeft w:val="0"/>
      <w:marRight w:val="0"/>
      <w:marTop w:val="0"/>
      <w:marBottom w:val="0"/>
      <w:divBdr>
        <w:top w:val="none" w:sz="0" w:space="0" w:color="auto"/>
        <w:left w:val="none" w:sz="0" w:space="0" w:color="auto"/>
        <w:bottom w:val="none" w:sz="0" w:space="0" w:color="auto"/>
        <w:right w:val="none" w:sz="0" w:space="0" w:color="auto"/>
      </w:divBdr>
      <w:divsChild>
        <w:div w:id="1914967400">
          <w:marLeft w:val="0"/>
          <w:marRight w:val="0"/>
          <w:marTop w:val="0"/>
          <w:marBottom w:val="0"/>
          <w:divBdr>
            <w:top w:val="none" w:sz="0" w:space="0" w:color="auto"/>
            <w:left w:val="none" w:sz="0" w:space="0" w:color="auto"/>
            <w:bottom w:val="none" w:sz="0" w:space="0" w:color="auto"/>
            <w:right w:val="none" w:sz="0" w:space="0" w:color="auto"/>
          </w:divBdr>
          <w:divsChild>
            <w:div w:id="1914967407">
              <w:marLeft w:val="0"/>
              <w:marRight w:val="0"/>
              <w:marTop w:val="0"/>
              <w:marBottom w:val="0"/>
              <w:divBdr>
                <w:top w:val="none" w:sz="0" w:space="0" w:color="auto"/>
                <w:left w:val="none" w:sz="0" w:space="0" w:color="auto"/>
                <w:bottom w:val="none" w:sz="0" w:space="0" w:color="auto"/>
                <w:right w:val="none" w:sz="0" w:space="0" w:color="auto"/>
              </w:divBdr>
              <w:divsChild>
                <w:div w:id="1914967418">
                  <w:marLeft w:val="0"/>
                  <w:marRight w:val="0"/>
                  <w:marTop w:val="0"/>
                  <w:marBottom w:val="0"/>
                  <w:divBdr>
                    <w:top w:val="none" w:sz="0" w:space="0" w:color="auto"/>
                    <w:left w:val="none" w:sz="0" w:space="0" w:color="auto"/>
                    <w:bottom w:val="none" w:sz="0" w:space="0" w:color="auto"/>
                    <w:right w:val="none" w:sz="0" w:space="0" w:color="auto"/>
                  </w:divBdr>
                  <w:divsChild>
                    <w:div w:id="1914967413">
                      <w:marLeft w:val="0"/>
                      <w:marRight w:val="0"/>
                      <w:marTop w:val="0"/>
                      <w:marBottom w:val="0"/>
                      <w:divBdr>
                        <w:top w:val="none" w:sz="0" w:space="0" w:color="auto"/>
                        <w:left w:val="none" w:sz="0" w:space="0" w:color="auto"/>
                        <w:bottom w:val="none" w:sz="0" w:space="0" w:color="auto"/>
                        <w:right w:val="none" w:sz="0" w:space="0" w:color="auto"/>
                      </w:divBdr>
                      <w:divsChild>
                        <w:div w:id="1914967412">
                          <w:marLeft w:val="0"/>
                          <w:marRight w:val="0"/>
                          <w:marTop w:val="0"/>
                          <w:marBottom w:val="0"/>
                          <w:divBdr>
                            <w:top w:val="none" w:sz="0" w:space="0" w:color="auto"/>
                            <w:left w:val="none" w:sz="0" w:space="0" w:color="auto"/>
                            <w:bottom w:val="none" w:sz="0" w:space="0" w:color="auto"/>
                            <w:right w:val="none" w:sz="0" w:space="0" w:color="auto"/>
                          </w:divBdr>
                          <w:divsChild>
                            <w:div w:id="1914967398">
                              <w:marLeft w:val="0"/>
                              <w:marRight w:val="0"/>
                              <w:marTop w:val="0"/>
                              <w:marBottom w:val="0"/>
                              <w:divBdr>
                                <w:top w:val="none" w:sz="0" w:space="0" w:color="auto"/>
                                <w:left w:val="none" w:sz="0" w:space="0" w:color="auto"/>
                                <w:bottom w:val="none" w:sz="0" w:space="0" w:color="auto"/>
                                <w:right w:val="none" w:sz="0" w:space="0" w:color="auto"/>
                              </w:divBdr>
                              <w:divsChild>
                                <w:div w:id="1914967404">
                                  <w:marLeft w:val="0"/>
                                  <w:marRight w:val="0"/>
                                  <w:marTop w:val="0"/>
                                  <w:marBottom w:val="0"/>
                                  <w:divBdr>
                                    <w:top w:val="none" w:sz="0" w:space="0" w:color="auto"/>
                                    <w:left w:val="none" w:sz="0" w:space="0" w:color="auto"/>
                                    <w:bottom w:val="none" w:sz="0" w:space="0" w:color="auto"/>
                                    <w:right w:val="none" w:sz="0" w:space="0" w:color="auto"/>
                                  </w:divBdr>
                                  <w:divsChild>
                                    <w:div w:id="1914967416">
                                      <w:marLeft w:val="0"/>
                                      <w:marRight w:val="0"/>
                                      <w:marTop w:val="0"/>
                                      <w:marBottom w:val="0"/>
                                      <w:divBdr>
                                        <w:top w:val="none" w:sz="0" w:space="0" w:color="auto"/>
                                        <w:left w:val="none" w:sz="0" w:space="0" w:color="auto"/>
                                        <w:bottom w:val="none" w:sz="0" w:space="0" w:color="auto"/>
                                        <w:right w:val="none" w:sz="0" w:space="0" w:color="auto"/>
                                      </w:divBdr>
                                      <w:divsChild>
                                        <w:div w:id="1914967392">
                                          <w:marLeft w:val="0"/>
                                          <w:marRight w:val="0"/>
                                          <w:marTop w:val="0"/>
                                          <w:marBottom w:val="0"/>
                                          <w:divBdr>
                                            <w:top w:val="none" w:sz="0" w:space="0" w:color="auto"/>
                                            <w:left w:val="none" w:sz="0" w:space="0" w:color="auto"/>
                                            <w:bottom w:val="none" w:sz="0" w:space="0" w:color="auto"/>
                                            <w:right w:val="none" w:sz="0" w:space="0" w:color="auto"/>
                                          </w:divBdr>
                                          <w:divsChild>
                                            <w:div w:id="1914967396">
                                              <w:marLeft w:val="0"/>
                                              <w:marRight w:val="0"/>
                                              <w:marTop w:val="0"/>
                                              <w:marBottom w:val="0"/>
                                              <w:divBdr>
                                                <w:top w:val="none" w:sz="0" w:space="0" w:color="auto"/>
                                                <w:left w:val="none" w:sz="0" w:space="0" w:color="auto"/>
                                                <w:bottom w:val="none" w:sz="0" w:space="0" w:color="auto"/>
                                                <w:right w:val="none" w:sz="0" w:space="0" w:color="auto"/>
                                              </w:divBdr>
                                              <w:divsChild>
                                                <w:div w:id="1914967393">
                                                  <w:marLeft w:val="0"/>
                                                  <w:marRight w:val="0"/>
                                                  <w:marTop w:val="0"/>
                                                  <w:marBottom w:val="0"/>
                                                  <w:divBdr>
                                                    <w:top w:val="none" w:sz="0" w:space="0" w:color="auto"/>
                                                    <w:left w:val="none" w:sz="0" w:space="0" w:color="auto"/>
                                                    <w:bottom w:val="none" w:sz="0" w:space="0" w:color="auto"/>
                                                    <w:right w:val="none" w:sz="0" w:space="0" w:color="auto"/>
                                                  </w:divBdr>
                                                  <w:divsChild>
                                                    <w:div w:id="1914967409">
                                                      <w:marLeft w:val="0"/>
                                                      <w:marRight w:val="0"/>
                                                      <w:marTop w:val="0"/>
                                                      <w:marBottom w:val="0"/>
                                                      <w:divBdr>
                                                        <w:top w:val="none" w:sz="0" w:space="0" w:color="auto"/>
                                                        <w:left w:val="none" w:sz="0" w:space="0" w:color="auto"/>
                                                        <w:bottom w:val="none" w:sz="0" w:space="0" w:color="auto"/>
                                                        <w:right w:val="none" w:sz="0" w:space="0" w:color="auto"/>
                                                      </w:divBdr>
                                                      <w:divsChild>
                                                        <w:div w:id="1914967410">
                                                          <w:marLeft w:val="0"/>
                                                          <w:marRight w:val="0"/>
                                                          <w:marTop w:val="0"/>
                                                          <w:marBottom w:val="0"/>
                                                          <w:divBdr>
                                                            <w:top w:val="none" w:sz="0" w:space="0" w:color="auto"/>
                                                            <w:left w:val="none" w:sz="0" w:space="0" w:color="auto"/>
                                                            <w:bottom w:val="none" w:sz="0" w:space="0" w:color="auto"/>
                                                            <w:right w:val="none" w:sz="0" w:space="0" w:color="auto"/>
                                                          </w:divBdr>
                                                          <w:divsChild>
                                                            <w:div w:id="1914967403">
                                                              <w:marLeft w:val="0"/>
                                                              <w:marRight w:val="0"/>
                                                              <w:marTop w:val="0"/>
                                                              <w:marBottom w:val="0"/>
                                                              <w:divBdr>
                                                                <w:top w:val="none" w:sz="0" w:space="0" w:color="auto"/>
                                                                <w:left w:val="none" w:sz="0" w:space="0" w:color="auto"/>
                                                                <w:bottom w:val="none" w:sz="0" w:space="0" w:color="auto"/>
                                                                <w:right w:val="none" w:sz="0" w:space="0" w:color="auto"/>
                                                              </w:divBdr>
                                                              <w:divsChild>
                                                                <w:div w:id="1914967417">
                                                                  <w:marLeft w:val="0"/>
                                                                  <w:marRight w:val="0"/>
                                                                  <w:marTop w:val="225"/>
                                                                  <w:marBottom w:val="300"/>
                                                                  <w:divBdr>
                                                                    <w:top w:val="none" w:sz="0" w:space="0" w:color="auto"/>
                                                                    <w:left w:val="none" w:sz="0" w:space="0" w:color="auto"/>
                                                                    <w:bottom w:val="none" w:sz="0" w:space="0" w:color="auto"/>
                                                                    <w:right w:val="none" w:sz="0" w:space="0" w:color="auto"/>
                                                                  </w:divBdr>
                                                                  <w:divsChild>
                                                                    <w:div w:id="1914967408">
                                                                      <w:marLeft w:val="0"/>
                                                                      <w:marRight w:val="0"/>
                                                                      <w:marTop w:val="0"/>
                                                                      <w:marBottom w:val="0"/>
                                                                      <w:divBdr>
                                                                        <w:top w:val="none" w:sz="0" w:space="0" w:color="auto"/>
                                                                        <w:left w:val="none" w:sz="0" w:space="0" w:color="auto"/>
                                                                        <w:bottom w:val="none" w:sz="0" w:space="0" w:color="auto"/>
                                                                        <w:right w:val="none" w:sz="0" w:space="0" w:color="auto"/>
                                                                      </w:divBdr>
                                                                      <w:divsChild>
                                                                        <w:div w:id="1914967395">
                                                                          <w:marLeft w:val="0"/>
                                                                          <w:marRight w:val="0"/>
                                                                          <w:marTop w:val="0"/>
                                                                          <w:marBottom w:val="0"/>
                                                                          <w:divBdr>
                                                                            <w:top w:val="none" w:sz="0" w:space="0" w:color="auto"/>
                                                                            <w:left w:val="none" w:sz="0" w:space="0" w:color="auto"/>
                                                                            <w:bottom w:val="single" w:sz="6" w:space="23" w:color="DBDBDB"/>
                                                                            <w:right w:val="none" w:sz="0" w:space="0" w:color="auto"/>
                                                                          </w:divBdr>
                                                                          <w:divsChild>
                                                                            <w:div w:id="1914967397">
                                                                              <w:marLeft w:val="0"/>
                                                                              <w:marRight w:val="0"/>
                                                                              <w:marTop w:val="0"/>
                                                                              <w:marBottom w:val="0"/>
                                                                              <w:divBdr>
                                                                                <w:top w:val="none" w:sz="0" w:space="0" w:color="auto"/>
                                                                                <w:left w:val="none" w:sz="0" w:space="0" w:color="auto"/>
                                                                                <w:bottom w:val="none" w:sz="0" w:space="0" w:color="auto"/>
                                                                                <w:right w:val="none" w:sz="0" w:space="0" w:color="auto"/>
                                                                              </w:divBdr>
                                                                              <w:divsChild>
                                                                                <w:div w:id="19149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967415">
      <w:marLeft w:val="0"/>
      <w:marRight w:val="0"/>
      <w:marTop w:val="0"/>
      <w:marBottom w:val="0"/>
      <w:divBdr>
        <w:top w:val="none" w:sz="0" w:space="0" w:color="auto"/>
        <w:left w:val="none" w:sz="0" w:space="0" w:color="auto"/>
        <w:bottom w:val="none" w:sz="0" w:space="0" w:color="auto"/>
        <w:right w:val="none" w:sz="0" w:space="0" w:color="auto"/>
      </w:divBdr>
    </w:div>
    <w:div w:id="1914967419">
      <w:marLeft w:val="0"/>
      <w:marRight w:val="0"/>
      <w:marTop w:val="0"/>
      <w:marBottom w:val="0"/>
      <w:divBdr>
        <w:top w:val="none" w:sz="0" w:space="0" w:color="auto"/>
        <w:left w:val="none" w:sz="0" w:space="0" w:color="auto"/>
        <w:bottom w:val="none" w:sz="0" w:space="0" w:color="auto"/>
        <w:right w:val="none" w:sz="0" w:space="0" w:color="auto"/>
      </w:divBdr>
    </w:div>
    <w:div w:id="1914967420">
      <w:marLeft w:val="0"/>
      <w:marRight w:val="0"/>
      <w:marTop w:val="0"/>
      <w:marBottom w:val="0"/>
      <w:divBdr>
        <w:top w:val="none" w:sz="0" w:space="0" w:color="auto"/>
        <w:left w:val="none" w:sz="0" w:space="0" w:color="auto"/>
        <w:bottom w:val="none" w:sz="0" w:space="0" w:color="auto"/>
        <w:right w:val="none" w:sz="0" w:space="0" w:color="auto"/>
      </w:divBdr>
    </w:div>
    <w:div w:id="1914967421">
      <w:marLeft w:val="0"/>
      <w:marRight w:val="0"/>
      <w:marTop w:val="0"/>
      <w:marBottom w:val="0"/>
      <w:divBdr>
        <w:top w:val="none" w:sz="0" w:space="0" w:color="auto"/>
        <w:left w:val="none" w:sz="0" w:space="0" w:color="auto"/>
        <w:bottom w:val="none" w:sz="0" w:space="0" w:color="auto"/>
        <w:right w:val="none" w:sz="0" w:space="0" w:color="auto"/>
      </w:divBdr>
    </w:div>
    <w:div w:id="1914967422">
      <w:marLeft w:val="0"/>
      <w:marRight w:val="0"/>
      <w:marTop w:val="0"/>
      <w:marBottom w:val="0"/>
      <w:divBdr>
        <w:top w:val="none" w:sz="0" w:space="0" w:color="auto"/>
        <w:left w:val="none" w:sz="0" w:space="0" w:color="auto"/>
        <w:bottom w:val="none" w:sz="0" w:space="0" w:color="auto"/>
        <w:right w:val="none" w:sz="0" w:space="0" w:color="auto"/>
      </w:divBdr>
    </w:div>
    <w:div w:id="1914967423">
      <w:marLeft w:val="0"/>
      <w:marRight w:val="0"/>
      <w:marTop w:val="0"/>
      <w:marBottom w:val="0"/>
      <w:divBdr>
        <w:top w:val="none" w:sz="0" w:space="0" w:color="auto"/>
        <w:left w:val="none" w:sz="0" w:space="0" w:color="auto"/>
        <w:bottom w:val="none" w:sz="0" w:space="0" w:color="auto"/>
        <w:right w:val="none" w:sz="0" w:space="0" w:color="auto"/>
      </w:divBdr>
    </w:div>
    <w:div w:id="1914967424">
      <w:marLeft w:val="0"/>
      <w:marRight w:val="0"/>
      <w:marTop w:val="0"/>
      <w:marBottom w:val="0"/>
      <w:divBdr>
        <w:top w:val="none" w:sz="0" w:space="0" w:color="auto"/>
        <w:left w:val="none" w:sz="0" w:space="0" w:color="auto"/>
        <w:bottom w:val="none" w:sz="0" w:space="0" w:color="auto"/>
        <w:right w:val="none" w:sz="0" w:space="0" w:color="auto"/>
      </w:divBdr>
    </w:div>
    <w:div w:id="1914967425">
      <w:marLeft w:val="0"/>
      <w:marRight w:val="0"/>
      <w:marTop w:val="0"/>
      <w:marBottom w:val="0"/>
      <w:divBdr>
        <w:top w:val="none" w:sz="0" w:space="0" w:color="auto"/>
        <w:left w:val="none" w:sz="0" w:space="0" w:color="auto"/>
        <w:bottom w:val="none" w:sz="0" w:space="0" w:color="auto"/>
        <w:right w:val="none" w:sz="0" w:space="0" w:color="auto"/>
      </w:divBdr>
    </w:div>
    <w:div w:id="1914967429">
      <w:marLeft w:val="0"/>
      <w:marRight w:val="0"/>
      <w:marTop w:val="0"/>
      <w:marBottom w:val="0"/>
      <w:divBdr>
        <w:top w:val="none" w:sz="0" w:space="0" w:color="auto"/>
        <w:left w:val="none" w:sz="0" w:space="0" w:color="auto"/>
        <w:bottom w:val="none" w:sz="0" w:space="0" w:color="auto"/>
        <w:right w:val="none" w:sz="0" w:space="0" w:color="auto"/>
      </w:divBdr>
      <w:divsChild>
        <w:div w:id="1914967430">
          <w:marLeft w:val="0"/>
          <w:marRight w:val="0"/>
          <w:marTop w:val="0"/>
          <w:marBottom w:val="0"/>
          <w:divBdr>
            <w:top w:val="none" w:sz="0" w:space="0" w:color="auto"/>
            <w:left w:val="none" w:sz="0" w:space="0" w:color="auto"/>
            <w:bottom w:val="none" w:sz="0" w:space="0" w:color="auto"/>
            <w:right w:val="none" w:sz="0" w:space="0" w:color="auto"/>
          </w:divBdr>
        </w:div>
      </w:divsChild>
    </w:div>
    <w:div w:id="1914967433">
      <w:marLeft w:val="0"/>
      <w:marRight w:val="0"/>
      <w:marTop w:val="0"/>
      <w:marBottom w:val="0"/>
      <w:divBdr>
        <w:top w:val="none" w:sz="0" w:space="0" w:color="auto"/>
        <w:left w:val="none" w:sz="0" w:space="0" w:color="auto"/>
        <w:bottom w:val="none" w:sz="0" w:space="0" w:color="auto"/>
        <w:right w:val="none" w:sz="0" w:space="0" w:color="auto"/>
      </w:divBdr>
      <w:divsChild>
        <w:div w:id="1914967426">
          <w:marLeft w:val="0"/>
          <w:marRight w:val="0"/>
          <w:marTop w:val="0"/>
          <w:marBottom w:val="0"/>
          <w:divBdr>
            <w:top w:val="none" w:sz="0" w:space="0" w:color="auto"/>
            <w:left w:val="none" w:sz="0" w:space="0" w:color="auto"/>
            <w:bottom w:val="none" w:sz="0" w:space="0" w:color="auto"/>
            <w:right w:val="none" w:sz="0" w:space="0" w:color="auto"/>
          </w:divBdr>
          <w:divsChild>
            <w:div w:id="1914967432">
              <w:marLeft w:val="0"/>
              <w:marRight w:val="0"/>
              <w:marTop w:val="0"/>
              <w:marBottom w:val="100"/>
              <w:divBdr>
                <w:top w:val="none" w:sz="0" w:space="0" w:color="auto"/>
                <w:left w:val="none" w:sz="0" w:space="0" w:color="auto"/>
                <w:bottom w:val="none" w:sz="0" w:space="0" w:color="auto"/>
                <w:right w:val="none" w:sz="0" w:space="0" w:color="auto"/>
              </w:divBdr>
              <w:divsChild>
                <w:div w:id="1914967431">
                  <w:marLeft w:val="0"/>
                  <w:marRight w:val="0"/>
                  <w:marTop w:val="100"/>
                  <w:marBottom w:val="100"/>
                  <w:divBdr>
                    <w:top w:val="none" w:sz="0" w:space="0" w:color="auto"/>
                    <w:left w:val="none" w:sz="0" w:space="0" w:color="auto"/>
                    <w:bottom w:val="none" w:sz="0" w:space="0" w:color="auto"/>
                    <w:right w:val="none" w:sz="0" w:space="0" w:color="auto"/>
                  </w:divBdr>
                  <w:divsChild>
                    <w:div w:id="19149674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967434">
      <w:marLeft w:val="0"/>
      <w:marRight w:val="0"/>
      <w:marTop w:val="0"/>
      <w:marBottom w:val="0"/>
      <w:divBdr>
        <w:top w:val="none" w:sz="0" w:space="0" w:color="auto"/>
        <w:left w:val="none" w:sz="0" w:space="0" w:color="auto"/>
        <w:bottom w:val="none" w:sz="0" w:space="0" w:color="auto"/>
        <w:right w:val="none" w:sz="0" w:space="0" w:color="auto"/>
      </w:divBdr>
      <w:divsChild>
        <w:div w:id="1914967428">
          <w:marLeft w:val="0"/>
          <w:marRight w:val="0"/>
          <w:marTop w:val="0"/>
          <w:marBottom w:val="0"/>
          <w:divBdr>
            <w:top w:val="none" w:sz="0" w:space="0" w:color="auto"/>
            <w:left w:val="none" w:sz="0" w:space="0" w:color="auto"/>
            <w:bottom w:val="none" w:sz="0" w:space="0" w:color="auto"/>
            <w:right w:val="none" w:sz="0" w:space="0" w:color="auto"/>
          </w:divBdr>
        </w:div>
      </w:divsChild>
    </w:div>
    <w:div w:id="1914967435">
      <w:marLeft w:val="0"/>
      <w:marRight w:val="0"/>
      <w:marTop w:val="0"/>
      <w:marBottom w:val="0"/>
      <w:divBdr>
        <w:top w:val="none" w:sz="0" w:space="0" w:color="auto"/>
        <w:left w:val="none" w:sz="0" w:space="0" w:color="auto"/>
        <w:bottom w:val="none" w:sz="0" w:space="0" w:color="auto"/>
        <w:right w:val="none" w:sz="0" w:space="0" w:color="auto"/>
      </w:divBdr>
    </w:div>
    <w:div w:id="1914967436">
      <w:marLeft w:val="0"/>
      <w:marRight w:val="0"/>
      <w:marTop w:val="0"/>
      <w:marBottom w:val="0"/>
      <w:divBdr>
        <w:top w:val="none" w:sz="0" w:space="0" w:color="auto"/>
        <w:left w:val="none" w:sz="0" w:space="0" w:color="auto"/>
        <w:bottom w:val="none" w:sz="0" w:space="0" w:color="auto"/>
        <w:right w:val="none" w:sz="0" w:space="0" w:color="auto"/>
      </w:divBdr>
    </w:div>
    <w:div w:id="1914967439">
      <w:marLeft w:val="0"/>
      <w:marRight w:val="0"/>
      <w:marTop w:val="0"/>
      <w:marBottom w:val="0"/>
      <w:divBdr>
        <w:top w:val="none" w:sz="0" w:space="0" w:color="auto"/>
        <w:left w:val="none" w:sz="0" w:space="0" w:color="auto"/>
        <w:bottom w:val="none" w:sz="0" w:space="0" w:color="auto"/>
        <w:right w:val="none" w:sz="0" w:space="0" w:color="auto"/>
      </w:divBdr>
      <w:divsChild>
        <w:div w:id="1914967291">
          <w:marLeft w:val="547"/>
          <w:marRight w:val="0"/>
          <w:marTop w:val="0"/>
          <w:marBottom w:val="0"/>
          <w:divBdr>
            <w:top w:val="none" w:sz="0" w:space="0" w:color="auto"/>
            <w:left w:val="none" w:sz="0" w:space="0" w:color="auto"/>
            <w:bottom w:val="none" w:sz="0" w:space="0" w:color="auto"/>
            <w:right w:val="none" w:sz="0" w:space="0" w:color="auto"/>
          </w:divBdr>
        </w:div>
        <w:div w:id="1914967293">
          <w:marLeft w:val="547"/>
          <w:marRight w:val="0"/>
          <w:marTop w:val="0"/>
          <w:marBottom w:val="0"/>
          <w:divBdr>
            <w:top w:val="none" w:sz="0" w:space="0" w:color="auto"/>
            <w:left w:val="none" w:sz="0" w:space="0" w:color="auto"/>
            <w:bottom w:val="none" w:sz="0" w:space="0" w:color="auto"/>
            <w:right w:val="none" w:sz="0" w:space="0" w:color="auto"/>
          </w:divBdr>
        </w:div>
        <w:div w:id="1914967295">
          <w:marLeft w:val="547"/>
          <w:marRight w:val="0"/>
          <w:marTop w:val="0"/>
          <w:marBottom w:val="0"/>
          <w:divBdr>
            <w:top w:val="none" w:sz="0" w:space="0" w:color="auto"/>
            <w:left w:val="none" w:sz="0" w:space="0" w:color="auto"/>
            <w:bottom w:val="none" w:sz="0" w:space="0" w:color="auto"/>
            <w:right w:val="none" w:sz="0" w:space="0" w:color="auto"/>
          </w:divBdr>
        </w:div>
        <w:div w:id="1914967296">
          <w:marLeft w:val="547"/>
          <w:marRight w:val="0"/>
          <w:marTop w:val="0"/>
          <w:marBottom w:val="0"/>
          <w:divBdr>
            <w:top w:val="none" w:sz="0" w:space="0" w:color="auto"/>
            <w:left w:val="none" w:sz="0" w:space="0" w:color="auto"/>
            <w:bottom w:val="none" w:sz="0" w:space="0" w:color="auto"/>
            <w:right w:val="none" w:sz="0" w:space="0" w:color="auto"/>
          </w:divBdr>
        </w:div>
        <w:div w:id="1914967441">
          <w:marLeft w:val="547"/>
          <w:marRight w:val="0"/>
          <w:marTop w:val="0"/>
          <w:marBottom w:val="0"/>
          <w:divBdr>
            <w:top w:val="none" w:sz="0" w:space="0" w:color="auto"/>
            <w:left w:val="none" w:sz="0" w:space="0" w:color="auto"/>
            <w:bottom w:val="none" w:sz="0" w:space="0" w:color="auto"/>
            <w:right w:val="none" w:sz="0" w:space="0" w:color="auto"/>
          </w:divBdr>
        </w:div>
        <w:div w:id="1914967443">
          <w:marLeft w:val="547"/>
          <w:marRight w:val="0"/>
          <w:marTop w:val="0"/>
          <w:marBottom w:val="0"/>
          <w:divBdr>
            <w:top w:val="none" w:sz="0" w:space="0" w:color="auto"/>
            <w:left w:val="none" w:sz="0" w:space="0" w:color="auto"/>
            <w:bottom w:val="none" w:sz="0" w:space="0" w:color="auto"/>
            <w:right w:val="none" w:sz="0" w:space="0" w:color="auto"/>
          </w:divBdr>
        </w:div>
        <w:div w:id="1914967444">
          <w:marLeft w:val="547"/>
          <w:marRight w:val="0"/>
          <w:marTop w:val="0"/>
          <w:marBottom w:val="0"/>
          <w:divBdr>
            <w:top w:val="none" w:sz="0" w:space="0" w:color="auto"/>
            <w:left w:val="none" w:sz="0" w:space="0" w:color="auto"/>
            <w:bottom w:val="none" w:sz="0" w:space="0" w:color="auto"/>
            <w:right w:val="none" w:sz="0" w:space="0" w:color="auto"/>
          </w:divBdr>
        </w:div>
      </w:divsChild>
    </w:div>
    <w:div w:id="1914967440">
      <w:marLeft w:val="0"/>
      <w:marRight w:val="0"/>
      <w:marTop w:val="0"/>
      <w:marBottom w:val="0"/>
      <w:divBdr>
        <w:top w:val="none" w:sz="0" w:space="0" w:color="auto"/>
        <w:left w:val="none" w:sz="0" w:space="0" w:color="auto"/>
        <w:bottom w:val="none" w:sz="0" w:space="0" w:color="auto"/>
        <w:right w:val="none" w:sz="0" w:space="0" w:color="auto"/>
      </w:divBdr>
    </w:div>
    <w:div w:id="1914967442">
      <w:marLeft w:val="0"/>
      <w:marRight w:val="0"/>
      <w:marTop w:val="0"/>
      <w:marBottom w:val="0"/>
      <w:divBdr>
        <w:top w:val="none" w:sz="0" w:space="0" w:color="auto"/>
        <w:left w:val="none" w:sz="0" w:space="0" w:color="auto"/>
        <w:bottom w:val="none" w:sz="0" w:space="0" w:color="auto"/>
        <w:right w:val="none" w:sz="0" w:space="0" w:color="auto"/>
      </w:divBdr>
      <w:divsChild>
        <w:div w:id="1914967285">
          <w:marLeft w:val="547"/>
          <w:marRight w:val="0"/>
          <w:marTop w:val="0"/>
          <w:marBottom w:val="0"/>
          <w:divBdr>
            <w:top w:val="none" w:sz="0" w:space="0" w:color="auto"/>
            <w:left w:val="none" w:sz="0" w:space="0" w:color="auto"/>
            <w:bottom w:val="none" w:sz="0" w:space="0" w:color="auto"/>
            <w:right w:val="none" w:sz="0" w:space="0" w:color="auto"/>
          </w:divBdr>
        </w:div>
        <w:div w:id="1914967286">
          <w:marLeft w:val="547"/>
          <w:marRight w:val="0"/>
          <w:marTop w:val="0"/>
          <w:marBottom w:val="0"/>
          <w:divBdr>
            <w:top w:val="none" w:sz="0" w:space="0" w:color="auto"/>
            <w:left w:val="none" w:sz="0" w:space="0" w:color="auto"/>
            <w:bottom w:val="none" w:sz="0" w:space="0" w:color="auto"/>
            <w:right w:val="none" w:sz="0" w:space="0" w:color="auto"/>
          </w:divBdr>
        </w:div>
        <w:div w:id="1914967287">
          <w:marLeft w:val="547"/>
          <w:marRight w:val="0"/>
          <w:marTop w:val="0"/>
          <w:marBottom w:val="0"/>
          <w:divBdr>
            <w:top w:val="none" w:sz="0" w:space="0" w:color="auto"/>
            <w:left w:val="none" w:sz="0" w:space="0" w:color="auto"/>
            <w:bottom w:val="none" w:sz="0" w:space="0" w:color="auto"/>
            <w:right w:val="none" w:sz="0" w:space="0" w:color="auto"/>
          </w:divBdr>
        </w:div>
        <w:div w:id="1914967288">
          <w:marLeft w:val="547"/>
          <w:marRight w:val="0"/>
          <w:marTop w:val="0"/>
          <w:marBottom w:val="0"/>
          <w:divBdr>
            <w:top w:val="none" w:sz="0" w:space="0" w:color="auto"/>
            <w:left w:val="none" w:sz="0" w:space="0" w:color="auto"/>
            <w:bottom w:val="none" w:sz="0" w:space="0" w:color="auto"/>
            <w:right w:val="none" w:sz="0" w:space="0" w:color="auto"/>
          </w:divBdr>
        </w:div>
        <w:div w:id="1914967297">
          <w:marLeft w:val="547"/>
          <w:marRight w:val="0"/>
          <w:marTop w:val="0"/>
          <w:marBottom w:val="0"/>
          <w:divBdr>
            <w:top w:val="none" w:sz="0" w:space="0" w:color="auto"/>
            <w:left w:val="none" w:sz="0" w:space="0" w:color="auto"/>
            <w:bottom w:val="none" w:sz="0" w:space="0" w:color="auto"/>
            <w:right w:val="none" w:sz="0" w:space="0" w:color="auto"/>
          </w:divBdr>
        </w:div>
        <w:div w:id="1914967299">
          <w:marLeft w:val="547"/>
          <w:marRight w:val="0"/>
          <w:marTop w:val="0"/>
          <w:marBottom w:val="0"/>
          <w:divBdr>
            <w:top w:val="none" w:sz="0" w:space="0" w:color="auto"/>
            <w:left w:val="none" w:sz="0" w:space="0" w:color="auto"/>
            <w:bottom w:val="none" w:sz="0" w:space="0" w:color="auto"/>
            <w:right w:val="none" w:sz="0" w:space="0" w:color="auto"/>
          </w:divBdr>
        </w:div>
        <w:div w:id="1914967300">
          <w:marLeft w:val="547"/>
          <w:marRight w:val="0"/>
          <w:marTop w:val="0"/>
          <w:marBottom w:val="0"/>
          <w:divBdr>
            <w:top w:val="none" w:sz="0" w:space="0" w:color="auto"/>
            <w:left w:val="none" w:sz="0" w:space="0" w:color="auto"/>
            <w:bottom w:val="none" w:sz="0" w:space="0" w:color="auto"/>
            <w:right w:val="none" w:sz="0" w:space="0" w:color="auto"/>
          </w:divBdr>
        </w:div>
        <w:div w:id="1914967437">
          <w:marLeft w:val="547"/>
          <w:marRight w:val="0"/>
          <w:marTop w:val="0"/>
          <w:marBottom w:val="0"/>
          <w:divBdr>
            <w:top w:val="none" w:sz="0" w:space="0" w:color="auto"/>
            <w:left w:val="none" w:sz="0" w:space="0" w:color="auto"/>
            <w:bottom w:val="none" w:sz="0" w:space="0" w:color="auto"/>
            <w:right w:val="none" w:sz="0" w:space="0" w:color="auto"/>
          </w:divBdr>
        </w:div>
        <w:div w:id="1914967438">
          <w:marLeft w:val="547"/>
          <w:marRight w:val="0"/>
          <w:marTop w:val="0"/>
          <w:marBottom w:val="0"/>
          <w:divBdr>
            <w:top w:val="none" w:sz="0" w:space="0" w:color="auto"/>
            <w:left w:val="none" w:sz="0" w:space="0" w:color="auto"/>
            <w:bottom w:val="none" w:sz="0" w:space="0" w:color="auto"/>
            <w:right w:val="none" w:sz="0" w:space="0" w:color="auto"/>
          </w:divBdr>
        </w:div>
        <w:div w:id="1914967445">
          <w:marLeft w:val="547"/>
          <w:marRight w:val="0"/>
          <w:marTop w:val="0"/>
          <w:marBottom w:val="0"/>
          <w:divBdr>
            <w:top w:val="none" w:sz="0" w:space="0" w:color="auto"/>
            <w:left w:val="none" w:sz="0" w:space="0" w:color="auto"/>
            <w:bottom w:val="none" w:sz="0" w:space="0" w:color="auto"/>
            <w:right w:val="none" w:sz="0" w:space="0" w:color="auto"/>
          </w:divBdr>
        </w:div>
        <w:div w:id="1914967446">
          <w:marLeft w:val="547"/>
          <w:marRight w:val="0"/>
          <w:marTop w:val="0"/>
          <w:marBottom w:val="0"/>
          <w:divBdr>
            <w:top w:val="none" w:sz="0" w:space="0" w:color="auto"/>
            <w:left w:val="none" w:sz="0" w:space="0" w:color="auto"/>
            <w:bottom w:val="none" w:sz="0" w:space="0" w:color="auto"/>
            <w:right w:val="none" w:sz="0" w:space="0" w:color="auto"/>
          </w:divBdr>
        </w:div>
        <w:div w:id="1914967447">
          <w:marLeft w:val="547"/>
          <w:marRight w:val="0"/>
          <w:marTop w:val="0"/>
          <w:marBottom w:val="0"/>
          <w:divBdr>
            <w:top w:val="none" w:sz="0" w:space="0" w:color="auto"/>
            <w:left w:val="none" w:sz="0" w:space="0" w:color="auto"/>
            <w:bottom w:val="none" w:sz="0" w:space="0" w:color="auto"/>
            <w:right w:val="none" w:sz="0" w:space="0" w:color="auto"/>
          </w:divBdr>
        </w:div>
        <w:div w:id="1914967448">
          <w:marLeft w:val="562"/>
          <w:marRight w:val="0"/>
          <w:marTop w:val="0"/>
          <w:marBottom w:val="0"/>
          <w:divBdr>
            <w:top w:val="none" w:sz="0" w:space="0" w:color="auto"/>
            <w:left w:val="none" w:sz="0" w:space="0" w:color="auto"/>
            <w:bottom w:val="none" w:sz="0" w:space="0" w:color="auto"/>
            <w:right w:val="none" w:sz="0" w:space="0" w:color="auto"/>
          </w:divBdr>
        </w:div>
        <w:div w:id="1914967449">
          <w:marLeft w:val="547"/>
          <w:marRight w:val="0"/>
          <w:marTop w:val="0"/>
          <w:marBottom w:val="0"/>
          <w:divBdr>
            <w:top w:val="none" w:sz="0" w:space="0" w:color="auto"/>
            <w:left w:val="none" w:sz="0" w:space="0" w:color="auto"/>
            <w:bottom w:val="none" w:sz="0" w:space="0" w:color="auto"/>
            <w:right w:val="none" w:sz="0" w:space="0" w:color="auto"/>
          </w:divBdr>
        </w:div>
      </w:divsChild>
    </w:div>
    <w:div w:id="1914967450">
      <w:marLeft w:val="0"/>
      <w:marRight w:val="0"/>
      <w:marTop w:val="0"/>
      <w:marBottom w:val="0"/>
      <w:divBdr>
        <w:top w:val="none" w:sz="0" w:space="0" w:color="auto"/>
        <w:left w:val="none" w:sz="0" w:space="0" w:color="auto"/>
        <w:bottom w:val="none" w:sz="0" w:space="0" w:color="auto"/>
        <w:right w:val="none" w:sz="0" w:space="0" w:color="auto"/>
      </w:divBdr>
      <w:divsChild>
        <w:div w:id="1914967284">
          <w:marLeft w:val="547"/>
          <w:marRight w:val="0"/>
          <w:marTop w:val="0"/>
          <w:marBottom w:val="0"/>
          <w:divBdr>
            <w:top w:val="none" w:sz="0" w:space="0" w:color="auto"/>
            <w:left w:val="none" w:sz="0" w:space="0" w:color="auto"/>
            <w:bottom w:val="none" w:sz="0" w:space="0" w:color="auto"/>
            <w:right w:val="none" w:sz="0" w:space="0" w:color="auto"/>
          </w:divBdr>
        </w:div>
        <w:div w:id="1914967290">
          <w:marLeft w:val="547"/>
          <w:marRight w:val="0"/>
          <w:marTop w:val="0"/>
          <w:marBottom w:val="0"/>
          <w:divBdr>
            <w:top w:val="none" w:sz="0" w:space="0" w:color="auto"/>
            <w:left w:val="none" w:sz="0" w:space="0" w:color="auto"/>
            <w:bottom w:val="none" w:sz="0" w:space="0" w:color="auto"/>
            <w:right w:val="none" w:sz="0" w:space="0" w:color="auto"/>
          </w:divBdr>
        </w:div>
      </w:divsChild>
    </w:div>
    <w:div w:id="1914967451">
      <w:marLeft w:val="0"/>
      <w:marRight w:val="0"/>
      <w:marTop w:val="0"/>
      <w:marBottom w:val="0"/>
      <w:divBdr>
        <w:top w:val="none" w:sz="0" w:space="0" w:color="auto"/>
        <w:left w:val="none" w:sz="0" w:space="0" w:color="auto"/>
        <w:bottom w:val="none" w:sz="0" w:space="0" w:color="auto"/>
        <w:right w:val="none" w:sz="0" w:space="0" w:color="auto"/>
      </w:divBdr>
    </w:div>
    <w:div w:id="1923366528">
      <w:bodyDiv w:val="1"/>
      <w:marLeft w:val="0"/>
      <w:marRight w:val="0"/>
      <w:marTop w:val="0"/>
      <w:marBottom w:val="0"/>
      <w:divBdr>
        <w:top w:val="none" w:sz="0" w:space="0" w:color="auto"/>
        <w:left w:val="none" w:sz="0" w:space="0" w:color="auto"/>
        <w:bottom w:val="none" w:sz="0" w:space="0" w:color="auto"/>
        <w:right w:val="none" w:sz="0" w:space="0" w:color="auto"/>
      </w:divBdr>
    </w:div>
    <w:div w:id="2025545068">
      <w:bodyDiv w:val="1"/>
      <w:marLeft w:val="0"/>
      <w:marRight w:val="0"/>
      <w:marTop w:val="0"/>
      <w:marBottom w:val="0"/>
      <w:divBdr>
        <w:top w:val="none" w:sz="0" w:space="0" w:color="auto"/>
        <w:left w:val="none" w:sz="0" w:space="0" w:color="auto"/>
        <w:bottom w:val="none" w:sz="0" w:space="0" w:color="auto"/>
        <w:right w:val="none" w:sz="0" w:space="0" w:color="auto"/>
      </w:divBdr>
    </w:div>
    <w:div w:id="2026785971">
      <w:bodyDiv w:val="1"/>
      <w:marLeft w:val="0"/>
      <w:marRight w:val="0"/>
      <w:marTop w:val="0"/>
      <w:marBottom w:val="0"/>
      <w:divBdr>
        <w:top w:val="none" w:sz="0" w:space="0" w:color="auto"/>
        <w:left w:val="none" w:sz="0" w:space="0" w:color="auto"/>
        <w:bottom w:val="none" w:sz="0" w:space="0" w:color="auto"/>
        <w:right w:val="none" w:sz="0" w:space="0" w:color="auto"/>
      </w:divBdr>
    </w:div>
    <w:div w:id="2103526182">
      <w:bodyDiv w:val="1"/>
      <w:marLeft w:val="0"/>
      <w:marRight w:val="0"/>
      <w:marTop w:val="0"/>
      <w:marBottom w:val="0"/>
      <w:divBdr>
        <w:top w:val="none" w:sz="0" w:space="0" w:color="auto"/>
        <w:left w:val="none" w:sz="0" w:space="0" w:color="auto"/>
        <w:bottom w:val="none" w:sz="0" w:space="0" w:color="auto"/>
        <w:right w:val="none" w:sz="0" w:space="0" w:color="auto"/>
      </w:divBdr>
    </w:div>
    <w:div w:id="2115587695">
      <w:bodyDiv w:val="1"/>
      <w:marLeft w:val="0"/>
      <w:marRight w:val="0"/>
      <w:marTop w:val="0"/>
      <w:marBottom w:val="0"/>
      <w:divBdr>
        <w:top w:val="none" w:sz="0" w:space="0" w:color="auto"/>
        <w:left w:val="none" w:sz="0" w:space="0" w:color="auto"/>
        <w:bottom w:val="none" w:sz="0" w:space="0" w:color="auto"/>
        <w:right w:val="none" w:sz="0" w:space="0" w:color="auto"/>
      </w:divBdr>
    </w:div>
    <w:div w:id="212291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jpeg"/><Relationship Id="rId42" Type="http://schemas.openxmlformats.org/officeDocument/2006/relationships/oleObject" Target="embeddings/oleObject1.bin"/><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image" Target="media/image21.wmf"/><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3.emf"/><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31.emf"/><Relationship Id="rId48" Type="http://schemas.openxmlformats.org/officeDocument/2006/relationships/image" Target="media/image36.png"/><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4.emf"/><Relationship Id="rId20" Type="http://schemas.openxmlformats.org/officeDocument/2006/relationships/image" Target="media/image9.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customXml" Target="../customXml/item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EBD475-C253-4822-AEDA-C08F9967AF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F3E162-9211-4165-BB6A-E52A703BA715}">
  <ds:schemaRefs>
    <ds:schemaRef ds:uri="http://schemas.microsoft.com/sharepoint/v3/contenttype/forms"/>
  </ds:schemaRefs>
</ds:datastoreItem>
</file>

<file path=customXml/itemProps3.xml><?xml version="1.0" encoding="utf-8"?>
<ds:datastoreItem xmlns:ds="http://schemas.openxmlformats.org/officeDocument/2006/customXml" ds:itemID="{08D3AF96-26AF-474C-91FB-06D9D9FC3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32EC590-E1E8-47CD-9F4B-B65AB47EA6D5}">
  <ds:schemaRefs>
    <ds:schemaRef ds:uri="http://schemas.openxmlformats.org/officeDocument/2006/bibliography"/>
  </ds:schemaRefs>
</ds:datastoreItem>
</file>

<file path=customXml/itemProps5.xml><?xml version="1.0" encoding="utf-8"?>
<ds:datastoreItem xmlns:ds="http://schemas.openxmlformats.org/officeDocument/2006/customXml" ds:itemID="{84E88375-C0D6-4841-B8B5-A33D4FBD7B89}">
  <ds:schemaRefs>
    <ds:schemaRef ds:uri="http://schemas.openxmlformats.org/officeDocument/2006/bibliography"/>
  </ds:schemaRefs>
</ds:datastoreItem>
</file>

<file path=customXml/itemProps6.xml><?xml version="1.0" encoding="utf-8"?>
<ds:datastoreItem xmlns:ds="http://schemas.openxmlformats.org/officeDocument/2006/customXml" ds:itemID="{A6715589-3C65-493C-B0B7-9A5E4E051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88742</Words>
  <Characters>488087</Characters>
  <Application>Microsoft Office Word</Application>
  <DocSecurity>0</DocSecurity>
  <Lines>4067</Lines>
  <Paragraphs>1151</Paragraphs>
  <ScaleCrop>false</ScaleCrop>
  <HeadingPairs>
    <vt:vector size="2" baseType="variant">
      <vt:variant>
        <vt:lpstr>Título</vt:lpstr>
      </vt:variant>
      <vt:variant>
        <vt:i4>1</vt:i4>
      </vt:variant>
    </vt:vector>
  </HeadingPairs>
  <TitlesOfParts>
    <vt:vector size="1" baseType="lpstr">
      <vt:lpstr>ORCI 2018 documento de trabajo final</vt:lpstr>
    </vt:vector>
  </TitlesOfParts>
  <Manager>J.M. Acevedo</Manager>
  <Company>Teléfonos de México S.A.</Company>
  <LinksUpToDate>false</LinksUpToDate>
  <CharactersWithSpaces>575678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ORCI 2018 documento de trabajo final</dc:title>
  <dc:creator>dgrocha</dc:creator>
  <cp:lastModifiedBy>Maria del Consuelo Gonzalez Moreno</cp:lastModifiedBy>
  <cp:revision>13</cp:revision>
  <cp:lastPrinted>2017-10-12T21:49:00Z</cp:lastPrinted>
  <dcterms:created xsi:type="dcterms:W3CDTF">2017-11-07T18:50:00Z</dcterms:created>
  <dcterms:modified xsi:type="dcterms:W3CDTF">2018-03-06T18:32:00Z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