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6BC4" w14:textId="77777777" w:rsidR="005C065D" w:rsidRDefault="00BB0F7B" w:rsidP="005C065D">
      <w:pPr>
        <w:pStyle w:val="Ttulo1"/>
        <w:spacing w:before="0" w:after="240"/>
        <w:jc w:val="both"/>
        <w:rPr>
          <w:rFonts w:ascii="ITC Avant Garde" w:hAnsi="ITC Avant Garde" w:cs="Helvetica"/>
          <w:b/>
          <w:color w:val="auto"/>
          <w:sz w:val="22"/>
          <w:szCs w:val="22"/>
          <w:lang w:eastAsia="es-MX"/>
        </w:rPr>
      </w:pPr>
      <w:r w:rsidRPr="005C065D">
        <w:rPr>
          <w:rFonts w:ascii="ITC Avant Garde" w:eastAsia="Times New Roman" w:hAnsi="ITC Avant Garde"/>
          <w:b/>
          <w:color w:val="auto"/>
          <w:sz w:val="22"/>
          <w:szCs w:val="22"/>
          <w:lang w:val="es-ES" w:eastAsia="es-ES"/>
        </w:rPr>
        <w:t xml:space="preserve">RESOLUCIÓN MEDIANTE LA CUAL EL PLENO DEL INSTITUTO FEDERAL DE TELECOMUNICACIONES DETERMINA LAS CONDICIONES DE INTERCONEXIÓN NO CONVENIDAS ENTRE LAS EMPRESAS </w:t>
      </w:r>
      <w:r w:rsidR="00FE3B1C" w:rsidRPr="005C065D">
        <w:rPr>
          <w:rFonts w:ascii="ITC Avant Garde" w:hAnsi="ITC Avant Garde" w:cs="Helvetica"/>
          <w:b/>
          <w:color w:val="auto"/>
          <w:sz w:val="22"/>
          <w:szCs w:val="22"/>
          <w:lang w:eastAsia="es-MX"/>
        </w:rPr>
        <w:t xml:space="preserve">AXTEL, S.A.B. DE C.V., </w:t>
      </w:r>
      <w:r w:rsidRPr="005C065D">
        <w:rPr>
          <w:rFonts w:ascii="ITC Avant Garde" w:hAnsi="ITC Avant Garde" w:cs="Helvetica"/>
          <w:b/>
          <w:color w:val="auto"/>
          <w:sz w:val="22"/>
          <w:szCs w:val="22"/>
          <w:lang w:eastAsia="es-MX"/>
        </w:rPr>
        <w:t>AVANTEL, S. DE R.L. DE C.V. Y LA EMPRESA TALKTEL, S.A. DE C.V., APLICABLES DEL 1 DE ENERO AL 31 DE DICIEMBRE DE 2018.</w:t>
      </w:r>
    </w:p>
    <w:p w14:paraId="6225D285" w14:textId="1C4B8CAC" w:rsidR="005C065D" w:rsidRDefault="00BB0F7B" w:rsidP="005C065D">
      <w:pPr>
        <w:pStyle w:val="Ttulo2"/>
        <w:spacing w:before="0" w:after="240"/>
        <w:jc w:val="center"/>
        <w:rPr>
          <w:rFonts w:ascii="ITC Avant Garde" w:eastAsia="Times New Roman" w:hAnsi="ITC Avant Garde"/>
          <w:b/>
          <w:color w:val="auto"/>
          <w:sz w:val="22"/>
          <w:szCs w:val="22"/>
          <w:lang w:val="es-ES" w:eastAsia="es-ES"/>
        </w:rPr>
      </w:pPr>
      <w:r w:rsidRPr="005C065D">
        <w:rPr>
          <w:rFonts w:ascii="ITC Avant Garde" w:eastAsia="Times New Roman" w:hAnsi="ITC Avant Garde"/>
          <w:b/>
          <w:color w:val="auto"/>
          <w:sz w:val="22"/>
          <w:szCs w:val="22"/>
          <w:lang w:val="es-ES" w:eastAsia="es-ES"/>
        </w:rPr>
        <w:t>ANTECEDENTES</w:t>
      </w:r>
    </w:p>
    <w:p w14:paraId="012D2EC1" w14:textId="77777777" w:rsidR="005C065D" w:rsidRDefault="00BB0F7B" w:rsidP="005C065D">
      <w:pPr>
        <w:numPr>
          <w:ilvl w:val="0"/>
          <w:numId w:val="1"/>
        </w:numPr>
        <w:tabs>
          <w:tab w:val="clear" w:pos="1106"/>
          <w:tab w:val="left" w:pos="142"/>
        </w:tabs>
        <w:spacing w:after="240"/>
        <w:ind w:left="426" w:right="23" w:hanging="426"/>
        <w:jc w:val="both"/>
        <w:rPr>
          <w:rFonts w:ascii="ITC Avant Garde" w:hAnsi="ITC Avant Garde" w:cs="Arial"/>
          <w:bCs/>
        </w:rPr>
      </w:pPr>
      <w:r w:rsidRPr="00993CF3">
        <w:rPr>
          <w:rFonts w:ascii="ITC Avant Garde" w:hAnsi="ITC Avant Garde" w:cs="Arial"/>
          <w:b/>
          <w:bCs/>
        </w:rPr>
        <w:t xml:space="preserve">Axtel, S.A. B. de C.V. (en lo sucesivo, “Axtel”) y </w:t>
      </w:r>
      <w:proofErr w:type="spellStart"/>
      <w:r w:rsidRPr="00993CF3">
        <w:rPr>
          <w:rFonts w:ascii="ITC Avant Garde" w:hAnsi="ITC Avant Garde" w:cs="Arial"/>
          <w:b/>
          <w:bCs/>
        </w:rPr>
        <w:t>Avantel</w:t>
      </w:r>
      <w:proofErr w:type="spellEnd"/>
      <w:r w:rsidRPr="00993CF3">
        <w:rPr>
          <w:rFonts w:ascii="ITC Avant Garde" w:hAnsi="ITC Avant Garde" w:cs="Arial"/>
          <w:b/>
          <w:bCs/>
        </w:rPr>
        <w:t>, S. de R.L. de C.V. (en lo sucesivo, “</w:t>
      </w:r>
      <w:proofErr w:type="spellStart"/>
      <w:r w:rsidRPr="00993CF3">
        <w:rPr>
          <w:rFonts w:ascii="ITC Avant Garde" w:hAnsi="ITC Avant Garde" w:cs="Arial"/>
          <w:b/>
          <w:bCs/>
        </w:rPr>
        <w:t>Avantel</w:t>
      </w:r>
      <w:proofErr w:type="spellEnd"/>
      <w:r w:rsidRPr="00993CF3">
        <w:rPr>
          <w:rFonts w:ascii="ITC Avant Garde" w:hAnsi="ITC Avant Garde" w:cs="Arial"/>
          <w:b/>
          <w:bCs/>
        </w:rPr>
        <w:t xml:space="preserve">”), </w:t>
      </w:r>
      <w:r w:rsidRPr="00993CF3">
        <w:rPr>
          <w:rFonts w:ascii="ITC Avant Garde" w:hAnsi="ITC Avant Garde" w:cs="Arial"/>
          <w:bCs/>
        </w:rPr>
        <w:t>son concesionarios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3FB01A83" w14:textId="77777777" w:rsidR="005C065D" w:rsidRDefault="00BB0F7B" w:rsidP="005C065D">
      <w:pPr>
        <w:numPr>
          <w:ilvl w:val="0"/>
          <w:numId w:val="1"/>
        </w:numPr>
        <w:tabs>
          <w:tab w:val="clear" w:pos="1106"/>
          <w:tab w:val="left" w:pos="142"/>
        </w:tabs>
        <w:spacing w:after="240"/>
        <w:ind w:left="426" w:right="23" w:hanging="426"/>
        <w:jc w:val="both"/>
        <w:rPr>
          <w:rFonts w:ascii="ITC Avant Garde" w:hAnsi="ITC Avant Garde" w:cs="Arial"/>
          <w:bCs/>
        </w:rPr>
      </w:pPr>
      <w:proofErr w:type="spellStart"/>
      <w:r w:rsidRPr="00993CF3">
        <w:rPr>
          <w:rFonts w:ascii="ITC Avant Garde" w:hAnsi="ITC Avant Garde" w:cs="Arial"/>
          <w:b/>
          <w:bCs/>
        </w:rPr>
        <w:t>Talktel</w:t>
      </w:r>
      <w:proofErr w:type="spellEnd"/>
      <w:r w:rsidRPr="00993CF3">
        <w:rPr>
          <w:rFonts w:ascii="ITC Avant Garde" w:hAnsi="ITC Avant Garde" w:cs="Arial"/>
          <w:b/>
          <w:bCs/>
        </w:rPr>
        <w:t xml:space="preserve">, S.A. de C.V., (en lo sucesivo, “Talktel”), </w:t>
      </w:r>
      <w:r w:rsidRPr="00993CF3">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3323C0D0" w14:textId="77777777" w:rsidR="005C065D" w:rsidRDefault="00BB0F7B" w:rsidP="005C065D">
      <w:pPr>
        <w:numPr>
          <w:ilvl w:val="0"/>
          <w:numId w:val="1"/>
        </w:numPr>
        <w:tabs>
          <w:tab w:val="clear" w:pos="1106"/>
          <w:tab w:val="left" w:pos="142"/>
        </w:tabs>
        <w:spacing w:after="240"/>
        <w:ind w:left="426" w:right="23" w:hanging="426"/>
        <w:jc w:val="both"/>
        <w:rPr>
          <w:rFonts w:ascii="ITC Avant Garde" w:hAnsi="ITC Avant Garde" w:cs="Arial"/>
          <w:bCs/>
        </w:rPr>
      </w:pPr>
      <w:r w:rsidRPr="00993CF3">
        <w:rPr>
          <w:rFonts w:ascii="ITC Avant Garde" w:hAnsi="ITC Avant Garde" w:cs="Arial"/>
          <w:b/>
          <w:bCs/>
        </w:rPr>
        <w:t xml:space="preserve">Metodología para el cálculo de costos de interconexión. </w:t>
      </w:r>
      <w:r w:rsidRPr="00993CF3">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4F8CE7DF" w14:textId="77777777" w:rsidR="005C065D" w:rsidRDefault="00BB0F7B" w:rsidP="005C065D">
      <w:pPr>
        <w:numPr>
          <w:ilvl w:val="0"/>
          <w:numId w:val="1"/>
        </w:numPr>
        <w:tabs>
          <w:tab w:val="clear" w:pos="1106"/>
          <w:tab w:val="left" w:pos="142"/>
        </w:tabs>
        <w:spacing w:after="240"/>
        <w:ind w:left="426" w:right="23" w:hanging="426"/>
        <w:jc w:val="both"/>
        <w:rPr>
          <w:rFonts w:ascii="ITC Avant Garde" w:hAnsi="ITC Avant Garde"/>
          <w:bCs/>
          <w:lang w:val="es-ES" w:eastAsia="es-ES"/>
        </w:rPr>
      </w:pPr>
      <w:r w:rsidRPr="00993CF3">
        <w:rPr>
          <w:rFonts w:ascii="ITC Avant Garde" w:hAnsi="ITC Avant Garde"/>
          <w:b/>
          <w:bCs/>
          <w:lang w:val="es-ES" w:eastAsia="es-ES"/>
        </w:rPr>
        <w:t>Sistema Electrónico de Solicitudes de Interconexión.</w:t>
      </w:r>
      <w:r w:rsidRPr="00993CF3">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6650B9EE" w14:textId="7DA8CB51" w:rsidR="00BB0F7B" w:rsidRPr="00993CF3" w:rsidRDefault="00BB0F7B" w:rsidP="005C065D">
      <w:pPr>
        <w:numPr>
          <w:ilvl w:val="0"/>
          <w:numId w:val="1"/>
        </w:numPr>
        <w:tabs>
          <w:tab w:val="clear" w:pos="1106"/>
          <w:tab w:val="left" w:pos="142"/>
        </w:tabs>
        <w:spacing w:after="240"/>
        <w:ind w:left="426" w:right="23" w:hanging="426"/>
        <w:jc w:val="both"/>
        <w:rPr>
          <w:rFonts w:ascii="ITC Avant Garde" w:hAnsi="ITC Avant Garde"/>
        </w:rPr>
      </w:pPr>
      <w:r w:rsidRPr="00993CF3">
        <w:rPr>
          <w:rFonts w:ascii="ITC Avant Garde" w:hAnsi="ITC Avant Garde"/>
          <w:b/>
          <w:bCs/>
          <w:lang w:val="es-ES"/>
        </w:rPr>
        <w:t>Procedimiento de resolución de condiciones de interconexión no convenidas.</w:t>
      </w:r>
      <w:r w:rsidRPr="00993CF3">
        <w:rPr>
          <w:rFonts w:ascii="ITC Avant Garde" w:hAnsi="ITC Avant Garde"/>
          <w:lang w:val="es-ES"/>
        </w:rPr>
        <w:t xml:space="preserve"> </w:t>
      </w:r>
      <w:r w:rsidRPr="00993CF3">
        <w:rPr>
          <w:rFonts w:ascii="ITC Avant Garde" w:hAnsi="ITC Avant Garde"/>
          <w:bCs/>
          <w:lang w:val="es-ES"/>
        </w:rPr>
        <w:t xml:space="preserve">El 14 de julio de 2017, el representante legal de Axtel y </w:t>
      </w:r>
      <w:proofErr w:type="spellStart"/>
      <w:r w:rsidRPr="00993CF3">
        <w:rPr>
          <w:rFonts w:ascii="ITC Avant Garde" w:hAnsi="ITC Avant Garde"/>
          <w:bCs/>
          <w:lang w:val="es-ES"/>
        </w:rPr>
        <w:t>Avantel</w:t>
      </w:r>
      <w:proofErr w:type="spellEnd"/>
      <w:r w:rsidRPr="00993CF3">
        <w:rPr>
          <w:rFonts w:ascii="ITC Avant Garde" w:hAnsi="ITC Avant Garde"/>
          <w:bCs/>
          <w:lang w:val="es-ES"/>
        </w:rPr>
        <w:t xml:space="preserve"> presentó </w:t>
      </w:r>
      <w:r w:rsidRPr="00993CF3">
        <w:rPr>
          <w:rFonts w:ascii="ITC Avant Garde" w:hAnsi="ITC Avant Garde"/>
          <w:lang w:val="es-ES"/>
        </w:rPr>
        <w:t>ante el Instituto, escrito mediante el cual solicitó su intervención para resolver los términos, tarifas y condiciones que no pudo convenir con Talktel para la interconexión de sus respectivas redes públicas de telecomunicaciones, aplicables para el periodo 2018.</w:t>
      </w:r>
    </w:p>
    <w:p w14:paraId="31262E81" w14:textId="77777777" w:rsidR="005C065D" w:rsidRDefault="00BB0F7B" w:rsidP="005C065D">
      <w:pPr>
        <w:pStyle w:val="IFTnormal"/>
        <w:spacing w:after="240"/>
      </w:pPr>
      <w:r w:rsidRPr="00993CF3">
        <w:rPr>
          <w:rFonts w:eastAsia="Calibri"/>
          <w:iCs w:val="0"/>
          <w:lang w:val="es-MX" w:eastAsia="en-US"/>
        </w:rPr>
        <w:t xml:space="preserve">La Solicitud de Resolución se admitió a trámite, asignándole el número de expediente </w:t>
      </w:r>
      <w:r w:rsidRPr="00993CF3">
        <w:rPr>
          <w:rFonts w:eastAsia="Calibri"/>
          <w:b/>
          <w:iCs w:val="0"/>
          <w:lang w:val="es-MX" w:eastAsia="en-US"/>
        </w:rPr>
        <w:t>IFT/221/UPR/DG-RIRST/161.140717/ITX</w:t>
      </w:r>
      <w:r w:rsidRPr="00993CF3">
        <w:rPr>
          <w:rFonts w:eastAsia="Calibri"/>
          <w:iCs w:val="0"/>
          <w:lang w:val="es-MX" w:eastAsia="en-US"/>
        </w:rPr>
        <w:t xml:space="preserve">. </w:t>
      </w:r>
      <w:r w:rsidRPr="00993CF3">
        <w:rPr>
          <w:szCs w:val="24"/>
          <w:lang w:eastAsia="es-ES"/>
        </w:rPr>
        <w:t xml:space="preserve">El procedimiento fue sustanciado </w:t>
      </w:r>
      <w:r w:rsidRPr="00993CF3">
        <w:rPr>
          <w:szCs w:val="24"/>
          <w:lang w:eastAsia="es-ES"/>
        </w:rPr>
        <w:lastRenderedPageBreak/>
        <w:t>en todas y cada una de sus etapas en estricto apego a lo establecido en el artículo 129 de la</w:t>
      </w:r>
      <w:r w:rsidR="00EF54FF" w:rsidRPr="00993CF3">
        <w:rPr>
          <w:szCs w:val="24"/>
          <w:lang w:eastAsia="es-ES"/>
        </w:rPr>
        <w:t xml:space="preserve"> </w:t>
      </w:r>
      <w:r w:rsidR="00EF54FF" w:rsidRPr="00993CF3">
        <w:rPr>
          <w:lang w:eastAsia="es-ES"/>
        </w:rPr>
        <w:t>Ley Federal de Telecomunicaciones y Radiodifusión (en lo sucesivo, la “LFTR”)</w:t>
      </w:r>
      <w:r w:rsidRPr="00993CF3">
        <w:rPr>
          <w:szCs w:val="24"/>
          <w:lang w:eastAsia="es-ES"/>
        </w:rPr>
        <w:t>. Lo cual se encuentra plenamente documentado en las constancias que integran el expediente administrativo en comento, mismo que ha estado en todo momento a disposición de las partes, las cuales tienen ple</w:t>
      </w:r>
      <w:r w:rsidR="00EF54FF" w:rsidRPr="00993CF3">
        <w:rPr>
          <w:szCs w:val="24"/>
          <w:lang w:eastAsia="es-ES"/>
        </w:rPr>
        <w:t>no conocimiento de su contenido.</w:t>
      </w:r>
    </w:p>
    <w:p w14:paraId="516F4F2C" w14:textId="77777777" w:rsidR="005C065D" w:rsidRDefault="00BB0F7B" w:rsidP="005C065D">
      <w:pPr>
        <w:tabs>
          <w:tab w:val="left" w:pos="142"/>
        </w:tabs>
        <w:spacing w:after="240"/>
        <w:ind w:left="426" w:right="23"/>
        <w:jc w:val="both"/>
        <w:rPr>
          <w:rFonts w:ascii="ITC Avant Garde" w:eastAsia="Times New Roman" w:hAnsi="ITC Avant Garde"/>
          <w:szCs w:val="24"/>
          <w:lang w:eastAsia="es-ES"/>
        </w:rPr>
      </w:pPr>
      <w:r w:rsidRPr="00993CF3">
        <w:rPr>
          <w:rFonts w:ascii="ITC Avant Garde" w:eastAsia="Times New Roman" w:hAnsi="ITC Avant Garde"/>
          <w:szCs w:val="24"/>
          <w:lang w:eastAsia="es-ES"/>
        </w:rPr>
        <w:t xml:space="preserve">Es así que con fecha </w:t>
      </w:r>
      <w:r w:rsidR="00EF54FF" w:rsidRPr="00993CF3">
        <w:rPr>
          <w:rFonts w:ascii="ITC Avant Garde" w:eastAsia="Times New Roman" w:hAnsi="ITC Avant Garde"/>
          <w:szCs w:val="24"/>
          <w:lang w:eastAsia="es-ES"/>
        </w:rPr>
        <w:t>24 de octubre de 2017</w:t>
      </w:r>
      <w:r w:rsidRPr="00993CF3">
        <w:rPr>
          <w:rFonts w:ascii="ITC Avant Garde" w:eastAsia="Times New Roman" w:hAnsi="ITC Avant Garde"/>
          <w:szCs w:val="24"/>
          <w:lang w:eastAsia="es-ES"/>
        </w:rPr>
        <w:t xml:space="preserve"> el Instituto notificó a las partes, que el procedimiento guardaba estado para que el Pleno del Instituto dictase la resolución correspondiente.</w:t>
      </w:r>
    </w:p>
    <w:p w14:paraId="2C830735" w14:textId="77777777" w:rsidR="005C065D" w:rsidRDefault="004735C9" w:rsidP="005C065D">
      <w:pPr>
        <w:numPr>
          <w:ilvl w:val="0"/>
          <w:numId w:val="1"/>
        </w:numPr>
        <w:tabs>
          <w:tab w:val="clear" w:pos="1106"/>
          <w:tab w:val="left" w:pos="142"/>
        </w:tabs>
        <w:spacing w:after="240"/>
        <w:ind w:left="426" w:right="23" w:hanging="426"/>
        <w:jc w:val="both"/>
        <w:rPr>
          <w:rFonts w:ascii="ITC Avant Garde" w:hAnsi="ITC Avant Garde"/>
        </w:rPr>
      </w:pPr>
      <w:r w:rsidRPr="00993CF3">
        <w:rPr>
          <w:rFonts w:ascii="ITC Avant Garde" w:hAnsi="ITC Avant Garde"/>
          <w:b/>
          <w:bCs/>
          <w:lang w:val="es-ES" w:eastAsia="es-ES"/>
        </w:rPr>
        <w:t>Publicación de las Condiciones Técnicas Mínimas y las Tarifas de Interconexión para el año 2018</w:t>
      </w:r>
      <w:r w:rsidRPr="00993CF3">
        <w:rPr>
          <w:rFonts w:ascii="ITC Avant Garde" w:hAnsi="ITC Avant Garde"/>
          <w:bCs/>
          <w:lang w:val="es-ES" w:eastAsia="es-ES"/>
        </w:rPr>
        <w:t>. El 9 de noviembre de 2017, el Instituto publicó en el DOF el “</w:t>
      </w:r>
      <w:r w:rsidRPr="00993CF3">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993CF3">
        <w:rPr>
          <w:rFonts w:ascii="ITC Avant Garde" w:hAnsi="ITC Avant Garde"/>
          <w:bCs/>
          <w:lang w:val="es-ES" w:eastAsia="es-ES"/>
        </w:rPr>
        <w:t>”, aprobado mediante Acuerdo P/IFT/021117/657 (en lo sucesivo, el “Acuerdo de CTM y Tarifas 2018”).</w:t>
      </w:r>
    </w:p>
    <w:p w14:paraId="124CA674" w14:textId="23130A68" w:rsidR="005C065D" w:rsidRDefault="00BB0F7B" w:rsidP="005C065D">
      <w:pPr>
        <w:widowControl w:val="0"/>
        <w:spacing w:after="240"/>
        <w:jc w:val="both"/>
        <w:rPr>
          <w:rFonts w:ascii="ITC Avant Garde" w:eastAsia="Times New Roman" w:hAnsi="ITC Avant Garde"/>
          <w:lang w:eastAsia="es-ES"/>
        </w:rPr>
      </w:pPr>
      <w:r w:rsidRPr="00993CF3">
        <w:rPr>
          <w:rFonts w:ascii="ITC Avant Garde" w:eastAsia="Times New Roman" w:hAnsi="ITC Avant Garde"/>
          <w:lang w:eastAsia="es-ES"/>
        </w:rPr>
        <w:t>En virtud de los referidos Antecedentes, y</w:t>
      </w:r>
    </w:p>
    <w:p w14:paraId="3B0EF485" w14:textId="77777777" w:rsidR="005C065D" w:rsidRDefault="00BB0F7B" w:rsidP="005C065D">
      <w:pPr>
        <w:pStyle w:val="Ttulo2"/>
        <w:spacing w:before="0" w:after="240"/>
        <w:jc w:val="center"/>
        <w:rPr>
          <w:rFonts w:ascii="ITC Avant Garde" w:eastAsia="Times New Roman" w:hAnsi="ITC Avant Garde"/>
          <w:b/>
          <w:color w:val="auto"/>
          <w:sz w:val="22"/>
          <w:szCs w:val="22"/>
          <w:lang w:val="es-ES" w:eastAsia="es-ES"/>
        </w:rPr>
      </w:pPr>
      <w:bookmarkStart w:id="0" w:name="quinto"/>
      <w:bookmarkStart w:id="1" w:name="HipótesisNormativa"/>
      <w:r w:rsidRPr="005C065D">
        <w:rPr>
          <w:rFonts w:ascii="ITC Avant Garde" w:eastAsia="Times New Roman" w:hAnsi="ITC Avant Garde"/>
          <w:b/>
          <w:color w:val="auto"/>
          <w:sz w:val="22"/>
          <w:szCs w:val="22"/>
          <w:lang w:val="es-ES" w:eastAsia="es-ES"/>
        </w:rPr>
        <w:t>CONSIDERANDO</w:t>
      </w:r>
    </w:p>
    <w:p w14:paraId="46D2601F" w14:textId="77777777" w:rsidR="005C065D" w:rsidRDefault="00BB0F7B" w:rsidP="005C065D">
      <w:pPr>
        <w:pStyle w:val="Textoindependiente"/>
        <w:spacing w:after="240" w:line="276" w:lineRule="auto"/>
        <w:rPr>
          <w:rFonts w:ascii="ITC Avant Garde" w:hAnsi="ITC Avant Garde" w:cs="Arial"/>
          <w:bCs/>
          <w:lang w:val="es-ES"/>
        </w:rPr>
      </w:pPr>
      <w:r w:rsidRPr="00993CF3">
        <w:rPr>
          <w:rFonts w:ascii="ITC Avant Garde" w:hAnsi="ITC Avant Garde" w:cs="Arial"/>
          <w:b/>
          <w:bCs/>
          <w:lang w:val="es-ES"/>
        </w:rPr>
        <w:t xml:space="preserve">PRIMERO.- Competencia del Instituto. </w:t>
      </w:r>
      <w:r w:rsidRPr="00993CF3">
        <w:rPr>
          <w:rFonts w:ascii="ITC Avant Garde" w:hAnsi="ITC Avant Garde" w:cs="Arial"/>
          <w:bCs/>
          <w:lang w:val="es-ES"/>
        </w:rPr>
        <w:t>De conformidad con los artículos 6°, apartado B fracción II y 28, párrafos décimo quinto y décimo sexto de la Constitución Política de los Estados Unidos Mexicanos (en lo sucesivo, l</w:t>
      </w:r>
      <w:r w:rsidR="00EF54FF" w:rsidRPr="00993CF3">
        <w:rPr>
          <w:rFonts w:ascii="ITC Avant Garde" w:hAnsi="ITC Avant Garde" w:cs="Arial"/>
          <w:bCs/>
          <w:lang w:val="es-ES"/>
        </w:rPr>
        <w:t>a “Constitución”) y 7 de la LFT</w:t>
      </w:r>
      <w:r w:rsidRPr="00993CF3">
        <w:rPr>
          <w:rFonts w:ascii="ITC Avant Garde" w:hAnsi="ITC Avant Garde" w:cs="Arial"/>
          <w:bCs/>
          <w:lang w:val="es-ES"/>
        </w:rPr>
        <w: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w:t>
      </w:r>
      <w:r w:rsidR="00EF54FF" w:rsidRPr="00993CF3">
        <w:rPr>
          <w:rFonts w:ascii="ITC Avant Garde" w:hAnsi="ITC Avant Garde" w:cs="Arial"/>
          <w:bCs/>
          <w:lang w:val="es-ES"/>
        </w:rPr>
        <w:t>n los términos que fijan la LFT</w:t>
      </w:r>
      <w:r w:rsidRPr="00993CF3">
        <w:rPr>
          <w:rFonts w:ascii="ITC Avant Garde" w:hAnsi="ITC Avant Garde" w:cs="Arial"/>
          <w:bCs/>
          <w:lang w:val="es-ES"/>
        </w:rPr>
        <w:t xml:space="preserve">R y demás disposiciones aplicables. </w:t>
      </w:r>
    </w:p>
    <w:p w14:paraId="12A15929" w14:textId="77777777" w:rsidR="005C065D" w:rsidRDefault="00BB0F7B" w:rsidP="005C065D">
      <w:pPr>
        <w:pStyle w:val="Textoindependiente"/>
        <w:spacing w:after="240" w:line="276" w:lineRule="auto"/>
        <w:rPr>
          <w:rFonts w:ascii="ITC Avant Garde" w:hAnsi="ITC Avant Garde" w:cs="Arial"/>
          <w:bCs/>
          <w:lang w:val="es-ES"/>
        </w:rPr>
      </w:pPr>
      <w:r w:rsidRPr="00993CF3">
        <w:rPr>
          <w:rFonts w:ascii="ITC Avant Garde" w:hAnsi="ITC Avant Garde" w:cs="Arial"/>
          <w:bCs/>
          <w:lang w:val="es-ES"/>
        </w:rPr>
        <w:t xml:space="preserve">Con fundamento en los artículos 7, 15, fracción X, </w:t>
      </w:r>
      <w:r w:rsidR="00EF54FF" w:rsidRPr="00993CF3">
        <w:rPr>
          <w:rFonts w:ascii="ITC Avant Garde" w:hAnsi="ITC Avant Garde" w:cs="Arial"/>
          <w:bCs/>
          <w:lang w:val="es-ES"/>
        </w:rPr>
        <w:t>17, fracción I, y 129 de la LFT</w:t>
      </w:r>
      <w:r w:rsidRPr="00993CF3">
        <w:rPr>
          <w:rFonts w:ascii="ITC Avant Garde" w:hAnsi="ITC Avant Garde" w:cs="Arial"/>
          <w:bCs/>
          <w:lang w:val="es-ES"/>
        </w:rPr>
        <w: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62143671" w14:textId="77777777" w:rsidR="005C065D" w:rsidRDefault="00BB0F7B" w:rsidP="005C065D">
      <w:pPr>
        <w:pStyle w:val="Textoindependiente"/>
        <w:spacing w:after="240" w:line="276" w:lineRule="auto"/>
        <w:rPr>
          <w:rFonts w:ascii="ITC Avant Garde" w:hAnsi="ITC Avant Garde" w:cs="Arial"/>
          <w:bCs/>
          <w:lang w:val="es-ES"/>
        </w:rPr>
      </w:pPr>
      <w:r w:rsidRPr="00993CF3">
        <w:rPr>
          <w:rFonts w:ascii="ITC Avant Garde" w:hAnsi="ITC Avant Garde" w:cs="Arial"/>
          <w:bCs/>
          <w:lang w:val="es-ES"/>
        </w:rPr>
        <w:lastRenderedPageBreak/>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1C3E5E88" w14:textId="77777777" w:rsidR="005C065D" w:rsidRDefault="00BB0F7B" w:rsidP="005C065D">
      <w:pPr>
        <w:pStyle w:val="Textoindependiente"/>
        <w:spacing w:after="240" w:line="276" w:lineRule="auto"/>
        <w:rPr>
          <w:rFonts w:ascii="ITC Avant Garde" w:hAnsi="ITC Avant Garde" w:cs="Arial"/>
        </w:rPr>
      </w:pPr>
      <w:r w:rsidRPr="00993CF3">
        <w:rPr>
          <w:rFonts w:ascii="ITC Avant Garde" w:hAnsi="ITC Avant Garde" w:cs="Arial"/>
          <w:b/>
          <w:bCs/>
          <w:lang w:val="es-ES"/>
        </w:rPr>
        <w:t>SEGUNDO.- Importancia y obligatoriedad de la interconexión e Interés Público.-</w:t>
      </w:r>
      <w:r w:rsidRPr="00993CF3">
        <w:rPr>
          <w:rFonts w:ascii="ITC Avant Garde" w:hAnsi="ITC Avant Garde" w:cs="Arial"/>
          <w:b/>
        </w:rPr>
        <w:t xml:space="preserve"> </w:t>
      </w:r>
      <w:r w:rsidRPr="00993CF3">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3C34E2FF" w14:textId="77777777" w:rsidR="005C065D" w:rsidRDefault="00BB0F7B" w:rsidP="005C065D">
      <w:pPr>
        <w:pStyle w:val="Textoindependiente"/>
        <w:spacing w:after="240" w:line="276" w:lineRule="auto"/>
        <w:rPr>
          <w:rFonts w:ascii="ITC Avant Garde" w:hAnsi="ITC Avant Garde" w:cs="Arial"/>
        </w:rPr>
      </w:pPr>
      <w:r w:rsidRPr="00993CF3">
        <w:rPr>
          <w:rFonts w:ascii="ITC Avant Garde" w:hAnsi="ITC Avant Garde" w:cs="Arial"/>
        </w:rPr>
        <w:t>Por su</w:t>
      </w:r>
      <w:r w:rsidR="00EF54FF" w:rsidRPr="00993CF3">
        <w:rPr>
          <w:rFonts w:ascii="ITC Avant Garde" w:hAnsi="ITC Avant Garde" w:cs="Arial"/>
        </w:rPr>
        <w:t xml:space="preserve"> parte, el artículo 2 de la LFT</w:t>
      </w:r>
      <w:r w:rsidRPr="00993CF3">
        <w:rPr>
          <w:rFonts w:ascii="ITC Avant Garde" w:hAnsi="ITC Avant Garde" w:cs="Arial"/>
        </w:rPr>
        <w: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w:t>
      </w:r>
      <w:r w:rsidR="00EF54FF" w:rsidRPr="00993CF3">
        <w:rPr>
          <w:rFonts w:ascii="ITC Avant Garde" w:hAnsi="ITC Avant Garde" w:cs="Arial"/>
        </w:rPr>
        <w:t>rtículos 7, 124 y 125 de la LFT</w:t>
      </w:r>
      <w:r w:rsidRPr="00993CF3">
        <w:rPr>
          <w:rFonts w:ascii="ITC Avant Garde" w:hAnsi="ITC Avant Garde" w:cs="Arial"/>
        </w:rPr>
        <w:t>R.</w:t>
      </w:r>
    </w:p>
    <w:p w14:paraId="7C188245" w14:textId="77777777" w:rsidR="005C065D" w:rsidRDefault="00BB0F7B" w:rsidP="005C065D">
      <w:pPr>
        <w:spacing w:after="240"/>
        <w:jc w:val="both"/>
        <w:rPr>
          <w:rFonts w:ascii="ITC Avant Garde" w:eastAsiaTheme="minorHAnsi" w:hAnsi="ITC Avant Garde" w:cs="Arial"/>
        </w:rPr>
      </w:pPr>
      <w:r w:rsidRPr="00993CF3">
        <w:rPr>
          <w:rFonts w:ascii="ITC Avant Garde" w:eastAsiaTheme="minorHAnsi"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w:t>
      </w:r>
      <w:r w:rsidR="00EF54FF" w:rsidRPr="00993CF3">
        <w:rPr>
          <w:rFonts w:ascii="ITC Avant Garde" w:eastAsiaTheme="minorHAnsi" w:hAnsi="ITC Avant Garde" w:cs="Arial"/>
        </w:rPr>
        <w:t>da en el artículo 124 de la LFT</w:t>
      </w:r>
      <w:r w:rsidRPr="00993CF3">
        <w:rPr>
          <w:rFonts w:ascii="ITC Avant Garde" w:eastAsiaTheme="minorHAnsi" w:hAnsi="ITC Avant Garde" w:cs="Arial"/>
        </w:rPr>
        <w:t xml:space="preserve">R; (ii) la obligación de los concesionarios que operan redes públicas de interconectar sus redes de conformidad con lo establecido en el artículo 125 </w:t>
      </w:r>
      <w:r w:rsidR="00EF54FF" w:rsidRPr="00993CF3">
        <w:rPr>
          <w:rFonts w:ascii="ITC Avant Garde" w:eastAsiaTheme="minorHAnsi" w:hAnsi="ITC Avant Garde" w:cs="Arial"/>
        </w:rPr>
        <w:t>de la LFT</w:t>
      </w:r>
      <w:r w:rsidRPr="00993CF3">
        <w:rPr>
          <w:rFonts w:ascii="ITC Avant Garde" w:eastAsiaTheme="minorHAnsi" w:hAnsi="ITC Avant Garde" w:cs="Arial"/>
        </w:rPr>
        <w:t>R, y (iii) que dicha interconexión se realice en condiciones no discriminatorias, transparentes y basadas en criterios objetivos.</w:t>
      </w:r>
    </w:p>
    <w:p w14:paraId="6D77A409" w14:textId="77777777" w:rsidR="005C065D" w:rsidRDefault="00BB0F7B" w:rsidP="005C065D">
      <w:pPr>
        <w:spacing w:after="240"/>
        <w:jc w:val="both"/>
        <w:rPr>
          <w:rFonts w:ascii="ITC Avant Garde" w:eastAsiaTheme="minorHAnsi" w:hAnsi="ITC Avant Garde" w:cs="Arial"/>
        </w:rPr>
      </w:pPr>
      <w:r w:rsidRPr="00993CF3">
        <w:rPr>
          <w:rFonts w:ascii="ITC Avant Garde" w:eastAsiaTheme="minorHAnsi" w:hAnsi="ITC Avant Garde" w:cs="Arial"/>
        </w:rPr>
        <w:t xml:space="preserve">Ahora </w:t>
      </w:r>
      <w:r w:rsidR="00EF54FF" w:rsidRPr="00993CF3">
        <w:rPr>
          <w:rFonts w:ascii="ITC Avant Garde" w:eastAsiaTheme="minorHAnsi" w:hAnsi="ITC Avant Garde" w:cs="Arial"/>
        </w:rPr>
        <w:t>bien, el artículo 129 de la LFT</w:t>
      </w:r>
      <w:r w:rsidRPr="00993CF3">
        <w:rPr>
          <w:rFonts w:ascii="ITC Avant Garde" w:eastAsiaTheme="minorHAnsi" w:hAnsi="ITC Avant Garde" w:cs="Arial"/>
        </w:rPr>
        <w: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337AED89" w14:textId="77777777" w:rsidR="005C065D" w:rsidRDefault="00BB0F7B" w:rsidP="005C065D">
      <w:pPr>
        <w:pStyle w:val="Textoindependiente"/>
        <w:spacing w:after="240" w:line="276" w:lineRule="auto"/>
        <w:rPr>
          <w:rFonts w:ascii="ITC Avant Garde" w:hAnsi="ITC Avant Garde" w:cs="Arial"/>
        </w:rPr>
      </w:pPr>
      <w:r w:rsidRPr="00993CF3">
        <w:rPr>
          <w:rFonts w:ascii="ITC Avant Garde" w:hAnsi="ITC Avant Garde" w:cs="Arial"/>
        </w:rPr>
        <w:lastRenderedPageBreak/>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68A9358B" w14:textId="77777777" w:rsidR="005C065D" w:rsidRDefault="00BB0F7B" w:rsidP="005C065D">
      <w:pPr>
        <w:pStyle w:val="Textoindependiente"/>
        <w:spacing w:after="240" w:line="276" w:lineRule="auto"/>
        <w:rPr>
          <w:rFonts w:ascii="ITC Avant Garde" w:hAnsi="ITC Avant Garde" w:cs="Arial"/>
        </w:rPr>
      </w:pPr>
      <w:r w:rsidRPr="00993CF3">
        <w:rPr>
          <w:rFonts w:ascii="ITC Avant Garde" w:hAnsi="ITC Avant Garde" w:cs="Arial"/>
        </w:rPr>
        <w:t xml:space="preserve">En consecuencia, en autos está acreditado que Axtel, </w:t>
      </w:r>
      <w:proofErr w:type="spellStart"/>
      <w:r w:rsidRPr="00993CF3">
        <w:rPr>
          <w:rFonts w:ascii="ITC Avant Garde" w:hAnsi="ITC Avant Garde" w:cs="Arial"/>
        </w:rPr>
        <w:t>Avantel</w:t>
      </w:r>
      <w:proofErr w:type="spellEnd"/>
      <w:r w:rsidRPr="00993CF3">
        <w:rPr>
          <w:rFonts w:ascii="ITC Avant Garde" w:hAnsi="ITC Avant Garde" w:cs="Arial"/>
        </w:rPr>
        <w:t xml:space="preserve"> y </w:t>
      </w:r>
      <w:proofErr w:type="spellStart"/>
      <w:r w:rsidR="005637ED" w:rsidRPr="00993CF3">
        <w:rPr>
          <w:rFonts w:ascii="ITC Avant Garde" w:hAnsi="ITC Avant Garde" w:cs="Arial"/>
        </w:rPr>
        <w:t>Talktel</w:t>
      </w:r>
      <w:proofErr w:type="spellEnd"/>
      <w:r w:rsidR="005637ED" w:rsidRPr="00993CF3">
        <w:rPr>
          <w:rFonts w:ascii="ITC Avant Garde" w:hAnsi="ITC Avant Garde" w:cs="Arial"/>
        </w:rPr>
        <w:t xml:space="preserve"> </w:t>
      </w:r>
      <w:r w:rsidRPr="00993CF3">
        <w:rPr>
          <w:rFonts w:ascii="ITC Avant Garde" w:hAnsi="ITC Avant Garde" w:cs="Arial"/>
        </w:rPr>
        <w:t>tienen el carácter de concesionarios que operan una red pública de telecomunicaciones y que efectivamente Axtel y</w:t>
      </w:r>
      <w:r w:rsidR="004735C9" w:rsidRPr="00993CF3">
        <w:rPr>
          <w:rFonts w:ascii="ITC Avant Garde" w:hAnsi="ITC Avant Garde" w:cs="Arial"/>
        </w:rPr>
        <w:t xml:space="preserve"> Talktel se </w:t>
      </w:r>
      <w:r w:rsidRPr="00993CF3">
        <w:rPr>
          <w:rFonts w:ascii="ITC Avant Garde" w:hAnsi="ITC Avant Garde" w:cs="Arial"/>
        </w:rPr>
        <w:t xml:space="preserve">requirieron </w:t>
      </w:r>
      <w:r w:rsidR="004735C9" w:rsidRPr="00993CF3">
        <w:rPr>
          <w:rFonts w:ascii="ITC Avant Garde" w:hAnsi="ITC Avant Garde" w:cs="Arial"/>
        </w:rPr>
        <w:t xml:space="preserve">mutuamente </w:t>
      </w:r>
      <w:r w:rsidRPr="00993CF3">
        <w:rPr>
          <w:rFonts w:ascii="ITC Avant Garde" w:hAnsi="ITC Avant Garde" w:cs="Arial"/>
        </w:rPr>
        <w:t>el inicio de negociaciones para convenir los términos, condiciones y tarifas de interconexión, según se desprende de los Antecedentes I, II y V de la presente Resolución.</w:t>
      </w:r>
    </w:p>
    <w:p w14:paraId="1BBAD5AE" w14:textId="77777777" w:rsidR="005C065D" w:rsidRDefault="00BB0F7B" w:rsidP="005C065D">
      <w:pPr>
        <w:pStyle w:val="Textoindependiente"/>
        <w:spacing w:after="240" w:line="276" w:lineRule="auto"/>
        <w:rPr>
          <w:rFonts w:ascii="ITC Avant Garde" w:hAnsi="ITC Avant Garde" w:cs="Arial"/>
          <w:szCs w:val="22"/>
        </w:rPr>
      </w:pPr>
      <w:r w:rsidRPr="00993CF3">
        <w:rPr>
          <w:rFonts w:ascii="ITC Avant Garde" w:hAnsi="ITC Avant Garde" w:cs="Arial"/>
          <w:szCs w:val="22"/>
        </w:rPr>
        <w:t>Por ello, con</w:t>
      </w:r>
      <w:r w:rsidR="005637ED" w:rsidRPr="00993CF3">
        <w:rPr>
          <w:rFonts w:ascii="ITC Avant Garde" w:hAnsi="ITC Avant Garde" w:cs="Arial"/>
          <w:szCs w:val="22"/>
        </w:rPr>
        <w:t>forme al artículo 124 de la LFT</w:t>
      </w:r>
      <w:r w:rsidRPr="00993CF3">
        <w:rPr>
          <w:rFonts w:ascii="ITC Avant Garde" w:hAnsi="ITC Avant Garde" w:cs="Arial"/>
          <w:szCs w:val="22"/>
        </w:rPr>
        <w:t xml:space="preserve">R, </w:t>
      </w:r>
      <w:r w:rsidR="005637ED" w:rsidRPr="00993CF3">
        <w:rPr>
          <w:rFonts w:ascii="ITC Avant Garde" w:hAnsi="ITC Avant Garde" w:cs="Arial"/>
          <w:szCs w:val="22"/>
        </w:rPr>
        <w:t xml:space="preserve">Axtel, </w:t>
      </w:r>
      <w:proofErr w:type="spellStart"/>
      <w:r w:rsidR="005637ED" w:rsidRPr="00993CF3">
        <w:rPr>
          <w:rFonts w:ascii="ITC Avant Garde" w:hAnsi="ITC Avant Garde" w:cs="Arial"/>
          <w:szCs w:val="22"/>
        </w:rPr>
        <w:t>Avantel</w:t>
      </w:r>
      <w:proofErr w:type="spellEnd"/>
      <w:r w:rsidR="005637ED" w:rsidRPr="00993CF3">
        <w:rPr>
          <w:rFonts w:ascii="ITC Avant Garde" w:hAnsi="ITC Avant Garde" w:cs="Arial"/>
          <w:szCs w:val="22"/>
        </w:rPr>
        <w:t xml:space="preserve"> y </w:t>
      </w:r>
      <w:proofErr w:type="spellStart"/>
      <w:r w:rsidR="005637ED" w:rsidRPr="00993CF3">
        <w:rPr>
          <w:rFonts w:ascii="ITC Avant Garde" w:hAnsi="ITC Avant Garde" w:cs="Arial"/>
          <w:szCs w:val="22"/>
        </w:rPr>
        <w:t>Talktel</w:t>
      </w:r>
      <w:proofErr w:type="spellEnd"/>
      <w:r w:rsidRPr="00993CF3">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w:t>
      </w:r>
    </w:p>
    <w:p w14:paraId="5E6A44DE" w14:textId="77777777" w:rsidR="005C065D" w:rsidRDefault="00BB0F7B" w:rsidP="005C065D">
      <w:pPr>
        <w:spacing w:after="240"/>
        <w:jc w:val="both"/>
        <w:rPr>
          <w:rFonts w:ascii="ITC Avant Garde" w:eastAsiaTheme="minorHAnsi" w:hAnsi="ITC Avant Garde" w:cstheme="minorBidi"/>
          <w:szCs w:val="24"/>
        </w:rPr>
      </w:pPr>
      <w:r w:rsidRPr="00993CF3">
        <w:rPr>
          <w:rFonts w:ascii="ITC Avant Garde" w:eastAsiaTheme="minorHAnsi" w:hAnsi="ITC Avant Garde" w:cs="Arial"/>
          <w:b/>
        </w:rPr>
        <w:t>TERCERO.- Valoración de pruebas.-</w:t>
      </w:r>
      <w:r w:rsidRPr="00993CF3">
        <w:rPr>
          <w:rFonts w:ascii="ITC Avant Garde" w:hAnsi="ITC Avant Garde"/>
          <w:b/>
          <w:szCs w:val="24"/>
        </w:rPr>
        <w:t xml:space="preserve"> </w:t>
      </w:r>
      <w:r w:rsidRPr="00993CF3">
        <w:rPr>
          <w:rFonts w:ascii="ITC Avant Garde" w:eastAsiaTheme="minorHAnsi" w:hAnsi="ITC Avant Garde" w:cstheme="minorBidi"/>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8EE896F" w14:textId="77777777" w:rsidR="005C065D" w:rsidRDefault="005637ED" w:rsidP="005C065D">
      <w:pPr>
        <w:spacing w:after="240"/>
        <w:jc w:val="both"/>
        <w:rPr>
          <w:rFonts w:ascii="ITC Avant Garde" w:hAnsi="ITC Avant Garde"/>
          <w:szCs w:val="24"/>
        </w:rPr>
      </w:pPr>
      <w:r w:rsidRPr="00993CF3">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4544979E" w14:textId="77777777" w:rsidR="005C065D" w:rsidRDefault="00BB0F7B" w:rsidP="005C065D">
      <w:pPr>
        <w:spacing w:after="240"/>
        <w:jc w:val="both"/>
        <w:rPr>
          <w:rFonts w:ascii="ITC Avant Garde" w:hAnsi="ITC Avant Garde"/>
          <w:szCs w:val="24"/>
        </w:rPr>
      </w:pPr>
      <w:r w:rsidRPr="00993CF3">
        <w:rPr>
          <w:rFonts w:ascii="ITC Avant Garde" w:hAnsi="ITC Avant Garde"/>
          <w:szCs w:val="24"/>
        </w:rPr>
        <w:t xml:space="preserve">En tal sentido, </w:t>
      </w:r>
      <w:r w:rsidR="00BB0FD9" w:rsidRPr="00993CF3">
        <w:rPr>
          <w:rFonts w:ascii="ITC Avant Garde" w:hAnsi="ITC Avant Garde"/>
          <w:szCs w:val="24"/>
        </w:rPr>
        <w:t xml:space="preserve">y toda vez que Talktel no </w:t>
      </w:r>
      <w:r w:rsidR="00FA4C33" w:rsidRPr="00993CF3">
        <w:rPr>
          <w:rFonts w:ascii="ITC Avant Garde" w:hAnsi="ITC Avant Garde"/>
          <w:szCs w:val="24"/>
        </w:rPr>
        <w:t>ofreció pruebas</w:t>
      </w:r>
      <w:r w:rsidR="00BB0FD9" w:rsidRPr="00993CF3">
        <w:rPr>
          <w:rFonts w:ascii="ITC Avant Garde" w:hAnsi="ITC Avant Garde"/>
          <w:szCs w:val="24"/>
        </w:rPr>
        <w:t xml:space="preserve">, </w:t>
      </w:r>
      <w:r w:rsidRPr="00993CF3">
        <w:rPr>
          <w:rFonts w:ascii="ITC Avant Garde" w:hAnsi="ITC Avant Garde"/>
          <w:szCs w:val="24"/>
        </w:rPr>
        <w:t xml:space="preserve">el Instituto valora las pruebas </w:t>
      </w:r>
      <w:r w:rsidR="005637ED" w:rsidRPr="00993CF3">
        <w:rPr>
          <w:rFonts w:ascii="ITC Avant Garde" w:hAnsi="ITC Avant Garde"/>
          <w:szCs w:val="24"/>
        </w:rPr>
        <w:t xml:space="preserve">ofrecidas </w:t>
      </w:r>
      <w:r w:rsidR="00BB0FD9" w:rsidRPr="00993CF3">
        <w:rPr>
          <w:rFonts w:ascii="ITC Avant Garde" w:hAnsi="ITC Avant Garde"/>
          <w:szCs w:val="24"/>
        </w:rPr>
        <w:t xml:space="preserve">por Axtel y </w:t>
      </w:r>
      <w:proofErr w:type="spellStart"/>
      <w:r w:rsidR="00BB0FD9" w:rsidRPr="00993CF3">
        <w:rPr>
          <w:rFonts w:ascii="ITC Avant Garde" w:hAnsi="ITC Avant Garde"/>
          <w:szCs w:val="24"/>
        </w:rPr>
        <w:t>Avantel</w:t>
      </w:r>
      <w:proofErr w:type="spellEnd"/>
      <w:r w:rsidR="005637ED" w:rsidRPr="00993CF3">
        <w:rPr>
          <w:rFonts w:ascii="ITC Avant Garde" w:hAnsi="ITC Avant Garde"/>
          <w:szCs w:val="24"/>
        </w:rPr>
        <w:t xml:space="preserve">, </w:t>
      </w:r>
      <w:r w:rsidRPr="00993CF3">
        <w:rPr>
          <w:rFonts w:ascii="ITC Avant Garde" w:hAnsi="ITC Avant Garde"/>
          <w:szCs w:val="24"/>
        </w:rPr>
        <w:t>en los siguientes términos:</w:t>
      </w:r>
    </w:p>
    <w:p w14:paraId="140AE0B4" w14:textId="77777777" w:rsidR="005C065D" w:rsidRDefault="00BB0F7B" w:rsidP="005C065D">
      <w:pPr>
        <w:pStyle w:val="Prrafodelista"/>
        <w:numPr>
          <w:ilvl w:val="1"/>
          <w:numId w:val="8"/>
        </w:numPr>
        <w:tabs>
          <w:tab w:val="left" w:pos="4850"/>
        </w:tabs>
        <w:spacing w:after="240"/>
        <w:rPr>
          <w:rFonts w:ascii="ITC Avant Garde" w:hAnsi="ITC Avant Garde"/>
          <w:b/>
        </w:rPr>
      </w:pPr>
      <w:r w:rsidRPr="00993CF3">
        <w:rPr>
          <w:rFonts w:ascii="ITC Avant Garde" w:hAnsi="ITC Avant Garde"/>
          <w:b/>
        </w:rPr>
        <w:t xml:space="preserve">Pruebas ofrecidas por Axtel y </w:t>
      </w:r>
      <w:proofErr w:type="spellStart"/>
      <w:r w:rsidRPr="00993CF3">
        <w:rPr>
          <w:rFonts w:ascii="ITC Avant Garde" w:hAnsi="ITC Avant Garde"/>
          <w:b/>
        </w:rPr>
        <w:t>Avantel</w:t>
      </w:r>
      <w:proofErr w:type="spellEnd"/>
    </w:p>
    <w:p w14:paraId="42765663" w14:textId="77777777" w:rsidR="005C065D" w:rsidRDefault="00BB0F7B" w:rsidP="005C065D">
      <w:pPr>
        <w:pStyle w:val="Prrafodelista"/>
        <w:numPr>
          <w:ilvl w:val="0"/>
          <w:numId w:val="3"/>
        </w:numPr>
        <w:spacing w:after="240" w:line="276" w:lineRule="auto"/>
        <w:ind w:left="567" w:right="45"/>
        <w:rPr>
          <w:rFonts w:ascii="ITC Avant Garde" w:hAnsi="ITC Avant Garde"/>
        </w:rPr>
      </w:pPr>
      <w:r w:rsidRPr="00993CF3">
        <w:rPr>
          <w:rFonts w:ascii="ITC Avant Garde" w:hAnsi="ITC Avant Garde"/>
        </w:rPr>
        <w:t>Respecto de las documentales consis</w:t>
      </w:r>
      <w:r w:rsidR="00BB0FD9" w:rsidRPr="00993CF3">
        <w:rPr>
          <w:rFonts w:ascii="ITC Avant Garde" w:hAnsi="ITC Avant Garde"/>
        </w:rPr>
        <w:t xml:space="preserve">tentes en </w:t>
      </w:r>
      <w:r w:rsidRPr="00993CF3">
        <w:rPr>
          <w:rFonts w:ascii="ITC Avant Garde" w:hAnsi="ITC Avant Garde"/>
        </w:rPr>
        <w:t>copia simple</w:t>
      </w:r>
      <w:r w:rsidR="00FE524E" w:rsidRPr="00993CF3">
        <w:rPr>
          <w:rFonts w:ascii="ITC Avant Garde" w:hAnsi="ITC Avant Garde"/>
        </w:rPr>
        <w:t xml:space="preserve"> de los escritos de fechas 15 de mayo de 2017, a través de los cuales Axtel </w:t>
      </w:r>
      <w:r w:rsidR="00C768B0" w:rsidRPr="00993CF3">
        <w:rPr>
          <w:rFonts w:ascii="ITC Avant Garde" w:hAnsi="ITC Avant Garde"/>
        </w:rPr>
        <w:t>notificó</w:t>
      </w:r>
      <w:r w:rsidR="00FE524E" w:rsidRPr="00993CF3">
        <w:rPr>
          <w:rFonts w:ascii="ITC Avant Garde" w:hAnsi="ITC Avant Garde"/>
        </w:rPr>
        <w:t xml:space="preserve"> a Talktel a través </w:t>
      </w:r>
      <w:r w:rsidR="00FE524E" w:rsidRPr="00993CF3">
        <w:rPr>
          <w:rFonts w:ascii="ITC Avant Garde" w:hAnsi="ITC Avant Garde"/>
        </w:rPr>
        <w:lastRenderedPageBreak/>
        <w:t>del SESI, la solicitud de inicio de negociaciones para determinar las tarifas de interconexión aplicables para el 2018, así como la copia simple de</w:t>
      </w:r>
      <w:r w:rsidR="008428F4" w:rsidRPr="00993CF3">
        <w:rPr>
          <w:rFonts w:ascii="ITC Avant Garde" w:hAnsi="ITC Avant Garde"/>
        </w:rPr>
        <w:t xml:space="preserve">l </w:t>
      </w:r>
      <w:r w:rsidR="00FE524E" w:rsidRPr="00993CF3">
        <w:rPr>
          <w:rFonts w:ascii="ITC Avant Garde" w:hAnsi="ITC Avant Garde"/>
        </w:rPr>
        <w:t>escrito</w:t>
      </w:r>
      <w:r w:rsidR="00C768B0" w:rsidRPr="00993CF3">
        <w:rPr>
          <w:rFonts w:ascii="ITC Avant Garde" w:hAnsi="ITC Avant Garde"/>
        </w:rPr>
        <w:t xml:space="preserve"> de fecha 12 de mayo</w:t>
      </w:r>
      <w:r w:rsidR="008428F4" w:rsidRPr="00993CF3">
        <w:rPr>
          <w:rFonts w:ascii="ITC Avant Garde" w:hAnsi="ITC Avant Garde"/>
        </w:rPr>
        <w:t xml:space="preserve"> de 2017 a través del cual </w:t>
      </w:r>
      <w:proofErr w:type="spellStart"/>
      <w:r w:rsidR="008428F4" w:rsidRPr="00993CF3">
        <w:rPr>
          <w:rFonts w:ascii="ITC Avant Garde" w:hAnsi="ITC Avant Garde"/>
        </w:rPr>
        <w:t>Talktel</w:t>
      </w:r>
      <w:proofErr w:type="spellEnd"/>
      <w:r w:rsidR="008428F4" w:rsidRPr="00993CF3">
        <w:rPr>
          <w:rFonts w:ascii="ITC Avant Garde" w:hAnsi="ITC Avant Garde"/>
        </w:rPr>
        <w:t xml:space="preserve"> notificó a </w:t>
      </w:r>
      <w:proofErr w:type="spellStart"/>
      <w:r w:rsidR="008428F4" w:rsidRPr="00993CF3">
        <w:rPr>
          <w:rFonts w:ascii="ITC Avant Garde" w:hAnsi="ITC Avant Garde"/>
        </w:rPr>
        <w:t>Avantel</w:t>
      </w:r>
      <w:proofErr w:type="spellEnd"/>
      <w:r w:rsidR="008428F4" w:rsidRPr="00993CF3">
        <w:rPr>
          <w:rFonts w:ascii="ITC Avant Garde" w:hAnsi="ITC Avant Garde"/>
        </w:rPr>
        <w:t xml:space="preserve"> a través del SESI el formal inicio de negociaciones </w:t>
      </w:r>
      <w:r w:rsidR="00C768B0" w:rsidRPr="00993CF3">
        <w:rPr>
          <w:rFonts w:ascii="ITC Avant Garde" w:hAnsi="ITC Avant Garde"/>
        </w:rPr>
        <w:t xml:space="preserve">y </w:t>
      </w:r>
      <w:r w:rsidR="008428F4" w:rsidRPr="00993CF3">
        <w:rPr>
          <w:rFonts w:ascii="ITC Avant Garde" w:hAnsi="ITC Avant Garde"/>
        </w:rPr>
        <w:t>la copia simple del escrito</w:t>
      </w:r>
      <w:r w:rsidR="0011302E" w:rsidRPr="00993CF3">
        <w:rPr>
          <w:rFonts w:ascii="ITC Avant Garde" w:hAnsi="ITC Avant Garde"/>
        </w:rPr>
        <w:t xml:space="preserve"> de fecha 10 de julio de 2017</w:t>
      </w:r>
      <w:r w:rsidR="008428F4" w:rsidRPr="00993CF3">
        <w:rPr>
          <w:rFonts w:ascii="ITC Avant Garde" w:hAnsi="ITC Avant Garde"/>
        </w:rPr>
        <w:t xml:space="preserve"> con el cual </w:t>
      </w:r>
      <w:proofErr w:type="spellStart"/>
      <w:r w:rsidR="0011302E" w:rsidRPr="00993CF3">
        <w:rPr>
          <w:rFonts w:ascii="ITC Avant Garde" w:hAnsi="ITC Avant Garde"/>
        </w:rPr>
        <w:t>Avantel</w:t>
      </w:r>
      <w:proofErr w:type="spellEnd"/>
      <w:r w:rsidR="0011302E" w:rsidRPr="00993CF3">
        <w:rPr>
          <w:rFonts w:ascii="ITC Avant Garde" w:hAnsi="ITC Avant Garde"/>
        </w:rPr>
        <w:t xml:space="preserve"> da respuesta a la solicitud de Talktel</w:t>
      </w:r>
      <w:r w:rsidR="00C768B0" w:rsidRPr="00993CF3">
        <w:rPr>
          <w:rFonts w:ascii="ITC Avant Garde" w:hAnsi="ITC Avant Garde"/>
        </w:rPr>
        <w:t xml:space="preserve">, </w:t>
      </w:r>
      <w:r w:rsidRPr="00993CF3">
        <w:rPr>
          <w:rFonts w:ascii="ITC Avant Garde" w:hAnsi="ITC Avant Garde"/>
        </w:rPr>
        <w:t>registrados en el SESI</w:t>
      </w:r>
      <w:r w:rsidRPr="00993CF3">
        <w:rPr>
          <w:rFonts w:ascii="ITC Avant Garde" w:hAnsi="ITC Avant Garde"/>
          <w:shd w:val="clear" w:color="auto" w:fill="FFFFFF" w:themeFill="background1"/>
        </w:rPr>
        <w:t>,</w:t>
      </w:r>
      <w:r w:rsidRPr="00993CF3">
        <w:rPr>
          <w:rFonts w:ascii="ITC Avant Garde" w:hAnsi="ITC Avant Garde"/>
        </w:rPr>
        <w:t xml:space="preserve"> se les otorga valor probatorio en términos de lo establecido en l</w:t>
      </w:r>
      <w:r w:rsidR="00E517DB" w:rsidRPr="00993CF3">
        <w:rPr>
          <w:rFonts w:ascii="ITC Avant Garde" w:hAnsi="ITC Avant Garde"/>
        </w:rPr>
        <w:t>os</w:t>
      </w:r>
      <w:r w:rsidRPr="00993CF3">
        <w:rPr>
          <w:rFonts w:ascii="ITC Avant Garde" w:hAnsi="ITC Avant Garde"/>
        </w:rPr>
        <w:t xml:space="preserve"> artículo</w:t>
      </w:r>
      <w:r w:rsidR="00E517DB" w:rsidRPr="00993CF3">
        <w:rPr>
          <w:rFonts w:ascii="ITC Avant Garde" w:hAnsi="ITC Avant Garde"/>
        </w:rPr>
        <w:t>s</w:t>
      </w:r>
      <w:r w:rsidRPr="00993CF3">
        <w:rPr>
          <w:rFonts w:ascii="ITC Avant Garde" w:hAnsi="ITC Avant Garde"/>
        </w:rPr>
        <w:t xml:space="preserve"> 197, 203, 210-A y 217 del CFPC, lo anterior por causar convicción respecto de que las negociaciones materia de la presente Resolución inici</w:t>
      </w:r>
      <w:r w:rsidR="0011302E" w:rsidRPr="00993CF3">
        <w:rPr>
          <w:rFonts w:ascii="ITC Avant Garde" w:hAnsi="ITC Avant Garde"/>
        </w:rPr>
        <w:t xml:space="preserve">aron </w:t>
      </w:r>
      <w:r w:rsidR="00E517DB" w:rsidRPr="00993CF3">
        <w:rPr>
          <w:rFonts w:ascii="ITC Avant Garde" w:hAnsi="ITC Avant Garde"/>
        </w:rPr>
        <w:t>y se tramitaron dentro</w:t>
      </w:r>
      <w:r w:rsidR="0011302E" w:rsidRPr="00993CF3">
        <w:rPr>
          <w:rFonts w:ascii="ITC Avant Garde" w:hAnsi="ITC Avant Garde"/>
        </w:rPr>
        <w:t xml:space="preserve"> del SESI.</w:t>
      </w:r>
    </w:p>
    <w:p w14:paraId="455FA61F" w14:textId="77777777" w:rsidR="005C065D" w:rsidRDefault="00EA50B7" w:rsidP="005C065D">
      <w:pPr>
        <w:pStyle w:val="Prrafodelista"/>
        <w:numPr>
          <w:ilvl w:val="0"/>
          <w:numId w:val="3"/>
        </w:numPr>
        <w:spacing w:after="240" w:line="276" w:lineRule="auto"/>
        <w:ind w:left="567" w:right="45"/>
        <w:rPr>
          <w:rFonts w:ascii="ITC Avant Garde" w:hAnsi="ITC Avant Garde"/>
        </w:rPr>
      </w:pPr>
      <w:r w:rsidRPr="00993CF3">
        <w:rPr>
          <w:rFonts w:ascii="ITC Avant Garde" w:hAnsi="ITC Avant Garde"/>
        </w:rPr>
        <w:t>Respecto de la instrumental de actuaciones, consistente en todas y cada una de las actuaciones que resulten con motivo del presente procedimiento administrativo y todo aquello que obre en los archivos y que se relacione con el mismo, se les da valor probatorio al constituirse dicha prueba con las constancias que obran en el sumario y en términos del principio ontológico de la prueba, conforme al cual lo ordinario se presume.</w:t>
      </w:r>
    </w:p>
    <w:p w14:paraId="7715C553" w14:textId="77777777" w:rsidR="005C065D" w:rsidRDefault="00BB0F7B" w:rsidP="005C065D">
      <w:pPr>
        <w:pStyle w:val="Prrafodelista"/>
        <w:numPr>
          <w:ilvl w:val="0"/>
          <w:numId w:val="3"/>
        </w:numPr>
        <w:spacing w:after="240" w:line="276" w:lineRule="auto"/>
        <w:ind w:left="567" w:right="45"/>
        <w:rPr>
          <w:rFonts w:ascii="ITC Avant Garde" w:hAnsi="ITC Avant Garde" w:cs="Arial"/>
          <w:lang w:val="es-ES_tradnl"/>
        </w:rPr>
      </w:pPr>
      <w:r w:rsidRPr="00993CF3">
        <w:rPr>
          <w:rFonts w:ascii="ITC Avant Garde" w:hAnsi="ITC Avant Garde" w:cs="Arial"/>
        </w:rPr>
        <w:t>En relación con la presuncional, en su</w:t>
      </w:r>
      <w:r w:rsidR="00EA50B7" w:rsidRPr="00993CF3">
        <w:rPr>
          <w:rFonts w:ascii="ITC Avant Garde" w:hAnsi="ITC Avant Garde" w:cs="Arial"/>
        </w:rPr>
        <w:t xml:space="preserve"> doble aspecto, legal y humana</w:t>
      </w:r>
      <w:r w:rsidRPr="00993CF3">
        <w:rPr>
          <w:rFonts w:ascii="ITC Avant Garde" w:hAnsi="ITC Avant Garde" w:cs="Arial"/>
        </w:rPr>
        <w:t>, se le da valor probatorio en términos del artículo 218 del CFPC al ser ésta la consecuencia lógica y natural de hechos conocidos y probados al momento de hacer la deducción respectiva.</w:t>
      </w:r>
    </w:p>
    <w:bookmarkEnd w:id="0"/>
    <w:p w14:paraId="2827A559" w14:textId="77777777" w:rsidR="005C065D" w:rsidRDefault="00BB0F7B" w:rsidP="005C065D">
      <w:pPr>
        <w:spacing w:after="240"/>
        <w:jc w:val="both"/>
        <w:rPr>
          <w:rFonts w:ascii="ITC Avant Garde" w:eastAsia="Times New Roman" w:hAnsi="ITC Avant Garde"/>
        </w:rPr>
      </w:pPr>
      <w:r w:rsidRPr="00993CF3">
        <w:rPr>
          <w:rFonts w:ascii="ITC Avant Garde" w:hAnsi="ITC Avant Garde"/>
          <w:b/>
          <w:szCs w:val="24"/>
        </w:rPr>
        <w:t>CUARTO.-</w:t>
      </w:r>
      <w:r w:rsidRPr="00993CF3">
        <w:rPr>
          <w:rFonts w:ascii="ITC Avant Garde" w:eastAsia="Times New Roman" w:hAnsi="ITC Avant Garde"/>
          <w:b/>
          <w:lang w:eastAsia="es-ES"/>
        </w:rPr>
        <w:t xml:space="preserve"> </w:t>
      </w:r>
      <w:bookmarkEnd w:id="1"/>
      <w:r w:rsidRPr="00993CF3">
        <w:rPr>
          <w:rFonts w:ascii="ITC Avant Garde" w:eastAsia="Times New Roman" w:hAnsi="ITC Avant Garde"/>
          <w:b/>
          <w:lang w:eastAsia="es-ES"/>
        </w:rPr>
        <w:t>Condiciones no convenidas sujetas a resolución</w:t>
      </w:r>
      <w:r w:rsidRPr="00993CF3">
        <w:rPr>
          <w:rFonts w:ascii="ITC Avant Garde" w:eastAsia="Times New Roman" w:hAnsi="ITC Avant Garde"/>
          <w:lang w:eastAsia="es-ES"/>
        </w:rPr>
        <w:t xml:space="preserve">.- </w:t>
      </w:r>
      <w:r w:rsidR="009B3756" w:rsidRPr="00993CF3">
        <w:rPr>
          <w:rFonts w:ascii="ITC Avant Garde" w:eastAsia="Times New Roman" w:hAnsi="ITC Avant Garde"/>
          <w:lang w:eastAsia="es-ES"/>
        </w:rPr>
        <w:t xml:space="preserve">En </w:t>
      </w:r>
      <w:r w:rsidR="00E517DB" w:rsidRPr="00993CF3">
        <w:rPr>
          <w:rFonts w:ascii="ITC Avant Garde" w:eastAsia="Times New Roman" w:hAnsi="ITC Avant Garde"/>
          <w:lang w:eastAsia="es-ES"/>
        </w:rPr>
        <w:t xml:space="preserve">la Solicitud de Resolución y en </w:t>
      </w:r>
      <w:r w:rsidR="00243259" w:rsidRPr="00993CF3">
        <w:rPr>
          <w:rFonts w:ascii="ITC Avant Garde" w:eastAsia="Times New Roman" w:hAnsi="ITC Avant Garde"/>
          <w:lang w:eastAsia="es-ES"/>
        </w:rPr>
        <w:t xml:space="preserve">el escrito </w:t>
      </w:r>
      <w:r w:rsidR="00E517DB" w:rsidRPr="00993CF3">
        <w:rPr>
          <w:rFonts w:ascii="ITC Avant Garde" w:eastAsia="Times New Roman" w:hAnsi="ITC Avant Garde"/>
          <w:lang w:eastAsia="es-ES"/>
        </w:rPr>
        <w:t xml:space="preserve">de desahogo de prevención, Axtel y </w:t>
      </w:r>
      <w:proofErr w:type="spellStart"/>
      <w:r w:rsidR="00E517DB" w:rsidRPr="00993CF3">
        <w:rPr>
          <w:rFonts w:ascii="ITC Avant Garde" w:eastAsia="Times New Roman" w:hAnsi="ITC Avant Garde"/>
          <w:lang w:eastAsia="es-ES"/>
        </w:rPr>
        <w:t>Avantel</w:t>
      </w:r>
      <w:proofErr w:type="spellEnd"/>
      <w:r w:rsidR="00E517DB" w:rsidRPr="00993CF3">
        <w:rPr>
          <w:rFonts w:ascii="ITC Avant Garde" w:eastAsia="Times New Roman" w:hAnsi="ITC Avant Garde"/>
          <w:lang w:eastAsia="es-ES"/>
        </w:rPr>
        <w:t xml:space="preserve"> </w:t>
      </w:r>
      <w:r w:rsidRPr="00993CF3">
        <w:rPr>
          <w:rFonts w:ascii="ITC Avant Garde" w:eastAsia="Times New Roman" w:hAnsi="ITC Avant Garde"/>
        </w:rPr>
        <w:t xml:space="preserve">plantearon los siguientes términos, condiciones </w:t>
      </w:r>
      <w:r w:rsidRPr="00993CF3">
        <w:rPr>
          <w:rFonts w:ascii="ITC Avant Garde" w:eastAsia="Times New Roman" w:hAnsi="ITC Avant Garde"/>
          <w:lang w:eastAsia="es-ES"/>
        </w:rPr>
        <w:t xml:space="preserve">y tarifas de interconexión que no pudieron convenir con </w:t>
      </w:r>
      <w:proofErr w:type="spellStart"/>
      <w:r w:rsidR="009B3756" w:rsidRPr="00993CF3">
        <w:rPr>
          <w:rFonts w:ascii="ITC Avant Garde" w:eastAsia="Times New Roman" w:hAnsi="ITC Avant Garde"/>
          <w:lang w:eastAsia="es-ES"/>
        </w:rPr>
        <w:t>Talktel</w:t>
      </w:r>
      <w:proofErr w:type="spellEnd"/>
      <w:r w:rsidRPr="00993CF3">
        <w:rPr>
          <w:rFonts w:ascii="ITC Avant Garde" w:eastAsia="Times New Roman" w:hAnsi="ITC Avant Garde"/>
        </w:rPr>
        <w:t>:</w:t>
      </w:r>
    </w:p>
    <w:p w14:paraId="384D4458" w14:textId="77777777" w:rsidR="005C065D" w:rsidRDefault="00E517DB" w:rsidP="005C065D">
      <w:pPr>
        <w:pStyle w:val="Prrafodelista"/>
        <w:widowControl w:val="0"/>
        <w:numPr>
          <w:ilvl w:val="0"/>
          <w:numId w:val="2"/>
        </w:numPr>
        <w:tabs>
          <w:tab w:val="center" w:pos="4419"/>
          <w:tab w:val="right" w:pos="8838"/>
        </w:tabs>
        <w:spacing w:after="240" w:line="276" w:lineRule="auto"/>
        <w:rPr>
          <w:rFonts w:ascii="ITC Avant Garde" w:hAnsi="ITC Avant Garde"/>
        </w:rPr>
      </w:pPr>
      <w:r w:rsidRPr="00993CF3">
        <w:rPr>
          <w:rFonts w:ascii="ITC Avant Garde" w:hAnsi="ITC Avant Garde"/>
        </w:rPr>
        <w:t>La t</w:t>
      </w:r>
      <w:r w:rsidR="00243259" w:rsidRPr="00993CF3">
        <w:rPr>
          <w:rFonts w:ascii="ITC Avant Garde" w:hAnsi="ITC Avant Garde"/>
        </w:rPr>
        <w:t xml:space="preserve">arifa que Axtel y </w:t>
      </w:r>
      <w:proofErr w:type="spellStart"/>
      <w:r w:rsidR="00243259" w:rsidRPr="00993CF3">
        <w:rPr>
          <w:rFonts w:ascii="ITC Avant Garde" w:hAnsi="ITC Avant Garde"/>
        </w:rPr>
        <w:t>Avantel</w:t>
      </w:r>
      <w:proofErr w:type="spellEnd"/>
      <w:r w:rsidR="00243259" w:rsidRPr="00993CF3">
        <w:rPr>
          <w:rFonts w:ascii="ITC Avant Garde" w:hAnsi="ITC Avant Garde"/>
        </w:rPr>
        <w:t xml:space="preserve"> deben pagarle a Talktel, por terminación del Servicio Local en usuarios fijos</w:t>
      </w:r>
      <w:r w:rsidR="003B0526" w:rsidRPr="00993CF3">
        <w:rPr>
          <w:rFonts w:ascii="ITC Avant Garde" w:hAnsi="ITC Avant Garde"/>
        </w:rPr>
        <w:t xml:space="preserve"> para el periodo 2018.</w:t>
      </w:r>
    </w:p>
    <w:p w14:paraId="4E25D0BD" w14:textId="77777777" w:rsidR="005C065D" w:rsidRDefault="003B0526" w:rsidP="005C065D">
      <w:pPr>
        <w:pStyle w:val="Prrafodelista"/>
        <w:widowControl w:val="0"/>
        <w:numPr>
          <w:ilvl w:val="0"/>
          <w:numId w:val="2"/>
        </w:numPr>
        <w:tabs>
          <w:tab w:val="center" w:pos="4419"/>
          <w:tab w:val="right" w:pos="8838"/>
        </w:tabs>
        <w:spacing w:after="240" w:line="276" w:lineRule="auto"/>
        <w:rPr>
          <w:rFonts w:ascii="ITC Avant Garde" w:hAnsi="ITC Avant Garde"/>
        </w:rPr>
      </w:pPr>
      <w:r w:rsidRPr="00993CF3">
        <w:rPr>
          <w:rFonts w:ascii="ITC Avant Garde" w:hAnsi="ITC Avant Garde"/>
        </w:rPr>
        <w:t xml:space="preserve">La tarifa que </w:t>
      </w:r>
      <w:proofErr w:type="spellStart"/>
      <w:r w:rsidRPr="00993CF3">
        <w:rPr>
          <w:rFonts w:ascii="ITC Avant Garde" w:hAnsi="ITC Avant Garde"/>
        </w:rPr>
        <w:t>Talktel</w:t>
      </w:r>
      <w:proofErr w:type="spellEnd"/>
      <w:r w:rsidRPr="00993CF3">
        <w:rPr>
          <w:rFonts w:ascii="ITC Avant Garde" w:hAnsi="ITC Avant Garde"/>
        </w:rPr>
        <w:t xml:space="preserve"> debe pagarle a </w:t>
      </w:r>
      <w:r w:rsidR="00243259" w:rsidRPr="00993CF3">
        <w:rPr>
          <w:rFonts w:ascii="ITC Avant Garde" w:hAnsi="ITC Avant Garde"/>
        </w:rPr>
        <w:t xml:space="preserve">Axtel y </w:t>
      </w:r>
      <w:proofErr w:type="spellStart"/>
      <w:r w:rsidR="00243259" w:rsidRPr="00993CF3">
        <w:rPr>
          <w:rFonts w:ascii="ITC Avant Garde" w:hAnsi="ITC Avant Garde"/>
        </w:rPr>
        <w:t>Avantel</w:t>
      </w:r>
      <w:proofErr w:type="spellEnd"/>
      <w:r w:rsidR="00243259" w:rsidRPr="00993CF3">
        <w:rPr>
          <w:rFonts w:ascii="ITC Avant Garde" w:hAnsi="ITC Avant Garde"/>
        </w:rPr>
        <w:t xml:space="preserve"> por terminación del Servicio Local en usuarios fijos para el periodo 2018</w:t>
      </w:r>
      <w:r w:rsidR="00472CD1" w:rsidRPr="00993CF3">
        <w:rPr>
          <w:rFonts w:ascii="ITC Avant Garde" w:hAnsi="ITC Avant Garde"/>
        </w:rPr>
        <w:t>.</w:t>
      </w:r>
    </w:p>
    <w:p w14:paraId="0E47505F" w14:textId="77777777" w:rsidR="005C065D" w:rsidRDefault="00472CD1" w:rsidP="005C065D">
      <w:pPr>
        <w:spacing w:after="240"/>
        <w:jc w:val="both"/>
        <w:rPr>
          <w:rFonts w:ascii="ITC Avant Garde" w:hAnsi="ITC Avant Garde"/>
        </w:rPr>
      </w:pPr>
      <w:r w:rsidRPr="00993CF3">
        <w:rPr>
          <w:rFonts w:ascii="ITC Avant Garde" w:hAnsi="ITC Avant Garde"/>
        </w:rPr>
        <w:t xml:space="preserve">Por su parte, </w:t>
      </w:r>
      <w:proofErr w:type="spellStart"/>
      <w:r w:rsidRPr="00993CF3">
        <w:rPr>
          <w:rFonts w:ascii="ITC Avant Garde" w:hAnsi="ITC Avant Garde"/>
        </w:rPr>
        <w:t>Talktel</w:t>
      </w:r>
      <w:proofErr w:type="spellEnd"/>
      <w:r w:rsidRPr="00993CF3">
        <w:rPr>
          <w:rFonts w:ascii="ITC Avant Garde" w:hAnsi="ITC Avant Garde"/>
        </w:rPr>
        <w:t xml:space="preserve"> no adicionó </w:t>
      </w:r>
      <w:r w:rsidR="00FA4C33" w:rsidRPr="00993CF3">
        <w:rPr>
          <w:rFonts w:ascii="ITC Avant Garde" w:hAnsi="ITC Avant Garde"/>
        </w:rPr>
        <w:t xml:space="preserve">ninguna condición no convenida con </w:t>
      </w:r>
      <w:r w:rsidR="00FE3B1C" w:rsidRPr="00993CF3">
        <w:rPr>
          <w:rFonts w:ascii="ITC Avant Garde" w:hAnsi="ITC Avant Garde"/>
        </w:rPr>
        <w:t xml:space="preserve">Axtel y </w:t>
      </w:r>
      <w:proofErr w:type="spellStart"/>
      <w:r w:rsidR="00FE3B1C" w:rsidRPr="00993CF3">
        <w:rPr>
          <w:rFonts w:ascii="ITC Avant Garde" w:hAnsi="ITC Avant Garde"/>
        </w:rPr>
        <w:t>Avantel</w:t>
      </w:r>
      <w:proofErr w:type="spellEnd"/>
      <w:r w:rsidR="00FE3B1C" w:rsidRPr="00993CF3">
        <w:rPr>
          <w:rFonts w:ascii="ITC Avant Garde" w:hAnsi="ITC Avant Garde"/>
        </w:rPr>
        <w:t>, en virtud de que no presentó escrito de respuesta en el presente procedimiento.</w:t>
      </w:r>
    </w:p>
    <w:p w14:paraId="7EE545B1" w14:textId="77777777" w:rsidR="005C065D" w:rsidRDefault="00BB0F7B" w:rsidP="005C065D">
      <w:pPr>
        <w:spacing w:after="240"/>
        <w:jc w:val="both"/>
        <w:rPr>
          <w:rFonts w:ascii="ITC Avant Garde" w:hAnsi="ITC Avant Garde" w:cs="Arial"/>
          <w:lang w:val="es-ES"/>
        </w:rPr>
      </w:pPr>
      <w:r w:rsidRPr="00993CF3">
        <w:rPr>
          <w:rFonts w:ascii="ITC Avant Garde" w:eastAsia="Times New Roman" w:hAnsi="ITC Avant Garde"/>
        </w:rPr>
        <w:t xml:space="preserve">Previamente al análisis de las condiciones no convenidas, el Instituto procede, en primera instancia, a analizar específicamente las argumentaciones generales de Axtel y </w:t>
      </w:r>
      <w:proofErr w:type="spellStart"/>
      <w:r w:rsidRPr="00993CF3">
        <w:rPr>
          <w:rFonts w:ascii="ITC Avant Garde" w:eastAsia="Times New Roman" w:hAnsi="ITC Avant Garde"/>
        </w:rPr>
        <w:t>Avantel</w:t>
      </w:r>
      <w:proofErr w:type="spellEnd"/>
      <w:r w:rsidRPr="00993CF3">
        <w:rPr>
          <w:rFonts w:ascii="ITC Avant Garde" w:eastAsia="Times New Roman" w:hAnsi="ITC Avant Garde"/>
        </w:rPr>
        <w:t xml:space="preserve"> en relación con el presente procedimiento, para posteriormente resolver sobre </w:t>
      </w:r>
      <w:r w:rsidRPr="00993CF3">
        <w:rPr>
          <w:rFonts w:ascii="ITC Avant Garde" w:hAnsi="ITC Avant Garde" w:cs="Arial"/>
          <w:lang w:val="es-ES"/>
        </w:rPr>
        <w:t>aquellos puntos de desacuerdo que en materia de interconexión fueron sometidos por las partes.</w:t>
      </w:r>
    </w:p>
    <w:p w14:paraId="36BBA88A" w14:textId="77777777" w:rsidR="005C065D" w:rsidRDefault="00705C84" w:rsidP="005C065D">
      <w:pPr>
        <w:widowControl w:val="0"/>
        <w:tabs>
          <w:tab w:val="center" w:pos="4419"/>
          <w:tab w:val="right" w:pos="8838"/>
        </w:tabs>
        <w:spacing w:after="240"/>
        <w:rPr>
          <w:rFonts w:ascii="ITC Avant Garde" w:hAnsi="ITC Avant Garde"/>
          <w:b/>
        </w:rPr>
      </w:pPr>
      <w:r w:rsidRPr="00993CF3">
        <w:rPr>
          <w:rFonts w:ascii="ITC Avant Garde" w:hAnsi="ITC Avant Garde"/>
          <w:b/>
        </w:rPr>
        <w:lastRenderedPageBreak/>
        <w:t xml:space="preserve">A. Comentarios sobre el Modelo de Costos del Instituto. </w:t>
      </w:r>
    </w:p>
    <w:p w14:paraId="4D0B3227" w14:textId="77777777" w:rsidR="005C065D" w:rsidRDefault="00705C84" w:rsidP="005C065D">
      <w:pPr>
        <w:spacing w:after="240"/>
        <w:jc w:val="both"/>
        <w:rPr>
          <w:rFonts w:ascii="ITC Avant Garde" w:eastAsia="Times New Roman" w:hAnsi="ITC Avant Garde"/>
          <w:szCs w:val="24"/>
          <w:lang w:eastAsia="es-ES"/>
        </w:rPr>
      </w:pPr>
      <w:r w:rsidRPr="00993CF3">
        <w:rPr>
          <w:rFonts w:ascii="ITC Avant Garde" w:eastAsia="Times New Roman" w:hAnsi="ITC Avant Garde"/>
          <w:b/>
          <w:szCs w:val="24"/>
          <w:lang w:eastAsia="es-ES"/>
        </w:rPr>
        <w:t xml:space="preserve">Argumentos de Axtel y </w:t>
      </w:r>
      <w:proofErr w:type="spellStart"/>
      <w:r w:rsidRPr="00993CF3">
        <w:rPr>
          <w:rFonts w:ascii="ITC Avant Garde" w:eastAsia="Times New Roman" w:hAnsi="ITC Avant Garde"/>
          <w:b/>
          <w:szCs w:val="24"/>
          <w:lang w:eastAsia="es-ES"/>
        </w:rPr>
        <w:t>Avantel</w:t>
      </w:r>
      <w:proofErr w:type="spellEnd"/>
    </w:p>
    <w:p w14:paraId="49F1C820" w14:textId="77777777" w:rsidR="005C065D" w:rsidRDefault="00705C84" w:rsidP="005C065D">
      <w:pPr>
        <w:spacing w:after="240"/>
        <w:jc w:val="both"/>
        <w:rPr>
          <w:rFonts w:ascii="ITC Avant Garde" w:eastAsia="Times New Roman" w:hAnsi="ITC Avant Garde"/>
          <w:szCs w:val="24"/>
          <w:lang w:eastAsia="es-ES"/>
        </w:rPr>
      </w:pPr>
      <w:r w:rsidRPr="00993CF3">
        <w:rPr>
          <w:rFonts w:ascii="ITC Avant Garde" w:eastAsia="Times New Roman" w:hAnsi="ITC Avant Garde"/>
          <w:szCs w:val="24"/>
          <w:lang w:eastAsia="es-ES"/>
        </w:rPr>
        <w:t xml:space="preserve">En la Solicitud de Resolución y en el escrito de alegatos de Axtel y </w:t>
      </w:r>
      <w:proofErr w:type="spellStart"/>
      <w:r w:rsidRPr="00993CF3">
        <w:rPr>
          <w:rFonts w:ascii="ITC Avant Garde" w:eastAsia="Times New Roman" w:hAnsi="ITC Avant Garde"/>
          <w:szCs w:val="24"/>
          <w:lang w:eastAsia="es-ES"/>
        </w:rPr>
        <w:t>Avantel</w:t>
      </w:r>
      <w:proofErr w:type="spellEnd"/>
      <w:r w:rsidRPr="00993CF3">
        <w:rPr>
          <w:rFonts w:ascii="ITC Avant Garde" w:eastAsia="Times New Roman" w:hAnsi="ITC Avant Garde"/>
          <w:szCs w:val="24"/>
          <w:lang w:eastAsia="es-ES"/>
        </w:rPr>
        <w:t>, dichos concesionarios plantean las consideraciones y argumentos jurídicos y económicos que deberán ser tomados en cuenta por el Instituto, para efecto de resolver el desacuerdo entre las partes.</w:t>
      </w:r>
    </w:p>
    <w:p w14:paraId="59831D5F" w14:textId="77777777" w:rsidR="005C065D" w:rsidRDefault="00705C84" w:rsidP="005C065D">
      <w:pPr>
        <w:pStyle w:val="Prrafodelista"/>
        <w:numPr>
          <w:ilvl w:val="0"/>
          <w:numId w:val="15"/>
        </w:numPr>
        <w:spacing w:after="240"/>
        <w:rPr>
          <w:rFonts w:ascii="ITC Avant Garde" w:hAnsi="ITC Avant Garde"/>
          <w:b/>
        </w:rPr>
      </w:pPr>
      <w:r w:rsidRPr="00993CF3">
        <w:rPr>
          <w:rFonts w:ascii="ITC Avant Garde" w:hAnsi="ITC Avant Garde"/>
          <w:b/>
        </w:rPr>
        <w:t>Consideraciones Económicas.</w:t>
      </w:r>
    </w:p>
    <w:p w14:paraId="32535D10" w14:textId="77777777" w:rsidR="005C065D" w:rsidRDefault="00705C84" w:rsidP="005C065D">
      <w:pPr>
        <w:spacing w:after="240"/>
        <w:jc w:val="both"/>
        <w:rPr>
          <w:rFonts w:ascii="ITC Avant Garde" w:eastAsia="Times New Roman" w:hAnsi="ITC Avant Garde"/>
          <w:szCs w:val="24"/>
          <w:lang w:eastAsia="es-ES"/>
        </w:rPr>
      </w:pPr>
      <w:r w:rsidRPr="00993CF3">
        <w:rPr>
          <w:rFonts w:ascii="ITC Avant Garde" w:eastAsia="Times New Roman" w:hAnsi="ITC Avant Garde"/>
          <w:szCs w:val="24"/>
          <w:lang w:eastAsia="es-ES"/>
        </w:rPr>
        <w:t xml:space="preserve">Axtel y </w:t>
      </w:r>
      <w:proofErr w:type="spellStart"/>
      <w:r w:rsidRPr="00993CF3">
        <w:rPr>
          <w:rFonts w:ascii="ITC Avant Garde" w:eastAsia="Times New Roman" w:hAnsi="ITC Avant Garde"/>
          <w:szCs w:val="24"/>
          <w:lang w:eastAsia="es-ES"/>
        </w:rPr>
        <w:t>Avantel</w:t>
      </w:r>
      <w:proofErr w:type="spellEnd"/>
      <w:r w:rsidRPr="00993CF3">
        <w:rPr>
          <w:rFonts w:ascii="ITC Avant Garde" w:eastAsia="Times New Roman" w:hAnsi="ITC Avant Garde"/>
          <w:szCs w:val="24"/>
          <w:lang w:eastAsia="es-ES"/>
        </w:rPr>
        <w:t xml:space="preserve"> detallan las condiciones que podrían revisarse en el modelo de costos a fin de contar con una herramienta apropiada para determinar las tarifas de interconexión en un contexto competitivo, y sin generar condiciones discriminatorias o inequitativas en el propio ejercicio del mercado, a saber:</w:t>
      </w:r>
    </w:p>
    <w:p w14:paraId="25DBD832" w14:textId="77777777" w:rsidR="005C065D" w:rsidRDefault="00705C84" w:rsidP="005C065D">
      <w:pPr>
        <w:pStyle w:val="Prrafodelista"/>
        <w:numPr>
          <w:ilvl w:val="0"/>
          <w:numId w:val="14"/>
        </w:numPr>
        <w:spacing w:after="240" w:line="276" w:lineRule="auto"/>
        <w:rPr>
          <w:rFonts w:ascii="ITC Avant Garde" w:hAnsi="ITC Avant Garde"/>
        </w:rPr>
      </w:pPr>
      <w:r w:rsidRPr="00993CF3">
        <w:rPr>
          <w:rFonts w:ascii="ITC Avant Garde" w:hAnsi="ITC Avant Garde"/>
        </w:rPr>
        <w:t xml:space="preserve">Demanda de los servicios.- Derivado de la evolución del mercado y de los avances tecnológicos que se han desarrollado en los últimos años, consideramos adecuado que el modelo de interconexión incluya tecnologías de nueva generación, en particular tecnología </w:t>
      </w:r>
      <w:proofErr w:type="spellStart"/>
      <w:r w:rsidRPr="00993CF3">
        <w:rPr>
          <w:rFonts w:ascii="ITC Avant Garde" w:hAnsi="ITC Avant Garde"/>
        </w:rPr>
        <w:t>VoLTE</w:t>
      </w:r>
      <w:proofErr w:type="spellEnd"/>
      <w:r w:rsidRPr="00993CF3">
        <w:rPr>
          <w:rFonts w:ascii="ITC Avant Garde" w:hAnsi="ITC Avant Garde"/>
        </w:rPr>
        <w:t xml:space="preserve"> en el cálculo de los costos de interconexión. Adicionalmente sugerimos que el modelo refleje la disminución de los precios de los servicios por la adopción de tecnologías más eficientes, con lo cual el costo de interconexión debe disminuir.</w:t>
      </w:r>
    </w:p>
    <w:p w14:paraId="221A9BA3" w14:textId="77777777" w:rsidR="005C065D" w:rsidRDefault="00705C84" w:rsidP="005C065D">
      <w:pPr>
        <w:pStyle w:val="Prrafodelista"/>
        <w:numPr>
          <w:ilvl w:val="0"/>
          <w:numId w:val="14"/>
        </w:numPr>
        <w:spacing w:after="240" w:line="276" w:lineRule="auto"/>
        <w:rPr>
          <w:rFonts w:ascii="ITC Avant Garde" w:hAnsi="ITC Avant Garde"/>
        </w:rPr>
      </w:pPr>
      <w:r w:rsidRPr="00993CF3">
        <w:rPr>
          <w:rFonts w:ascii="ITC Avant Garde" w:hAnsi="ITC Avant Garde"/>
        </w:rPr>
        <w:t xml:space="preserve">Tipo de cambio.- Debido a la dificultad de pronosticar el tipo de cambio lo más conveniente es actualizar el valor del tipo de cambio utilizado en el modelo, de acuerdo con la encuesta sobre las expectativas de los especialistas en economía que publica en Banco de México, el cual sugiere que para el año 2018 la expectativa se ubicara en 18.46 por dólar. </w:t>
      </w:r>
    </w:p>
    <w:p w14:paraId="0F9BF297" w14:textId="77777777" w:rsidR="005C065D" w:rsidRDefault="00705C84" w:rsidP="005C065D">
      <w:pPr>
        <w:pStyle w:val="Prrafodelista"/>
        <w:numPr>
          <w:ilvl w:val="0"/>
          <w:numId w:val="14"/>
        </w:numPr>
        <w:spacing w:after="240" w:line="276" w:lineRule="auto"/>
        <w:rPr>
          <w:rFonts w:ascii="ITC Avant Garde" w:hAnsi="ITC Avant Garde"/>
        </w:rPr>
      </w:pPr>
      <w:r w:rsidRPr="00993CF3">
        <w:rPr>
          <w:rFonts w:ascii="ITC Avant Garde" w:hAnsi="ITC Avant Garde"/>
        </w:rPr>
        <w:t>Precio de los insumos.- Si bien sugieren considerar la inclusión de nuevas tecnologías en el modelo de costos esto no debe representar incremento alguno de precios de los insumos, ya que las tecnologías son más eficientes de las que se han considerado en modelos previos.</w:t>
      </w:r>
    </w:p>
    <w:p w14:paraId="27680A35" w14:textId="77777777" w:rsidR="005C065D" w:rsidRDefault="00705C84" w:rsidP="005C065D">
      <w:pPr>
        <w:pStyle w:val="Prrafodelista"/>
        <w:numPr>
          <w:ilvl w:val="0"/>
          <w:numId w:val="15"/>
        </w:numPr>
        <w:spacing w:after="240"/>
        <w:rPr>
          <w:rFonts w:ascii="ITC Avant Garde" w:hAnsi="ITC Avant Garde"/>
          <w:b/>
        </w:rPr>
      </w:pPr>
      <w:r w:rsidRPr="00993CF3">
        <w:rPr>
          <w:rFonts w:ascii="ITC Avant Garde" w:hAnsi="ITC Avant Garde"/>
          <w:b/>
        </w:rPr>
        <w:t>Consideraciones Jurídicas.</w:t>
      </w:r>
    </w:p>
    <w:p w14:paraId="3A5CAB39" w14:textId="77777777" w:rsidR="005C065D" w:rsidRDefault="00705C84" w:rsidP="005C065D">
      <w:pPr>
        <w:spacing w:after="240"/>
        <w:jc w:val="both"/>
        <w:rPr>
          <w:rFonts w:ascii="ITC Avant Garde" w:hAnsi="ITC Avant Garde"/>
        </w:rPr>
      </w:pPr>
      <w:r w:rsidRPr="00993CF3">
        <w:rPr>
          <w:rFonts w:ascii="ITC Avant Garde" w:hAnsi="ITC Avant Garde"/>
        </w:rPr>
        <w:t xml:space="preserve">Axtel y </w:t>
      </w:r>
      <w:proofErr w:type="spellStart"/>
      <w:r w:rsidRPr="00993CF3">
        <w:rPr>
          <w:rFonts w:ascii="ITC Avant Garde" w:hAnsi="ITC Avant Garde"/>
        </w:rPr>
        <w:t>Avantel</w:t>
      </w:r>
      <w:proofErr w:type="spellEnd"/>
      <w:r w:rsidRPr="00993CF3">
        <w:rPr>
          <w:rFonts w:ascii="ITC Avant Garde" w:hAnsi="ITC Avant Garde"/>
        </w:rPr>
        <w:t xml:space="preserve"> señalan la obligación del Instituto de fijar tarifas de interconexión basadas en el costo de prestar el servicio con fundamento en los artículos 131de la LFTR, 95, fracción I, del Reglamento de Telecomunicaciones, las Reglas 52 y 53 de las Reglas del Servicio de Larga Distancia, artículo Noveno Transitorio de las Reglas del Servicio Local, punto III.6 del Plan de Interconexión con Redes de Larga Distancia de 1994, y los artículos </w:t>
      </w:r>
      <w:r w:rsidRPr="00993CF3">
        <w:rPr>
          <w:rFonts w:ascii="ITC Avant Garde" w:hAnsi="ITC Avant Garde"/>
        </w:rPr>
        <w:lastRenderedPageBreak/>
        <w:t>3, fracción VII, 31 y Tercero Transitorio del Plan Técnico Fundamental de Interconexión e Interoperabilidad.</w:t>
      </w:r>
    </w:p>
    <w:p w14:paraId="712D9E9D" w14:textId="77777777" w:rsidR="005C065D" w:rsidRDefault="00705C84" w:rsidP="005C065D">
      <w:pPr>
        <w:pStyle w:val="Textoindependiente"/>
        <w:spacing w:after="240" w:line="276" w:lineRule="auto"/>
        <w:rPr>
          <w:rFonts w:ascii="ITC Avant Garde" w:hAnsi="ITC Avant Garde"/>
          <w:szCs w:val="24"/>
          <w:lang w:eastAsia="es-ES"/>
        </w:rPr>
      </w:pPr>
      <w:r w:rsidRPr="00993CF3">
        <w:rPr>
          <w:rFonts w:ascii="ITC Avant Garde" w:hAnsi="ITC Avant Garde"/>
          <w:szCs w:val="24"/>
          <w:lang w:eastAsia="es-ES"/>
        </w:rPr>
        <w:t xml:space="preserve">Asimismo, manifiestan que la legislación vigente obliga al Instituto a resolver un desacuerdo de interconexión como el que nos ocupa, debiendo establecer tarifas de interconexión basadas en los siguientes criterios: </w:t>
      </w:r>
    </w:p>
    <w:p w14:paraId="4F52151D" w14:textId="77777777" w:rsidR="005C065D" w:rsidRDefault="00705C84" w:rsidP="005C065D">
      <w:pPr>
        <w:pStyle w:val="Textoindependiente"/>
        <w:numPr>
          <w:ilvl w:val="0"/>
          <w:numId w:val="10"/>
        </w:numPr>
        <w:spacing w:after="240" w:line="276" w:lineRule="auto"/>
        <w:rPr>
          <w:rFonts w:ascii="ITC Avant Garde" w:hAnsi="ITC Avant Garde"/>
          <w:szCs w:val="24"/>
          <w:lang w:eastAsia="es-ES"/>
        </w:rPr>
      </w:pPr>
      <w:r w:rsidRPr="00993CF3">
        <w:rPr>
          <w:rFonts w:ascii="ITC Avant Garde" w:hAnsi="ITC Avant Garde"/>
          <w:szCs w:val="24"/>
          <w:lang w:eastAsia="es-ES"/>
        </w:rPr>
        <w:t>La tarifa de interconexión que el concesionario fijo aplica a sí mismo por la terminación de llamadas locales de sus usuarios con destino a números locales deberá ofrecerse y aplicarse a los operadores de telecomunicaciones que se lo soliciten;</w:t>
      </w:r>
    </w:p>
    <w:p w14:paraId="0B9CC5D3" w14:textId="77777777" w:rsidR="005C065D" w:rsidRDefault="00705C84" w:rsidP="005C065D">
      <w:pPr>
        <w:pStyle w:val="Textoindependiente"/>
        <w:numPr>
          <w:ilvl w:val="0"/>
          <w:numId w:val="10"/>
        </w:numPr>
        <w:spacing w:after="240" w:line="276" w:lineRule="auto"/>
        <w:rPr>
          <w:rFonts w:ascii="ITC Avant Garde" w:hAnsi="ITC Avant Garde"/>
          <w:szCs w:val="24"/>
          <w:lang w:eastAsia="es-ES"/>
        </w:rPr>
      </w:pPr>
      <w:r w:rsidRPr="00993CF3">
        <w:rPr>
          <w:rFonts w:ascii="ITC Avant Garde" w:hAnsi="ITC Avant Garde"/>
          <w:szCs w:val="24"/>
          <w:lang w:eastAsia="es-ES"/>
        </w:rPr>
        <w:t>Deberán establecer tarifas de interconexión conforme al costo atribuible a dicha función.</w:t>
      </w:r>
    </w:p>
    <w:p w14:paraId="6488FE8A" w14:textId="77777777" w:rsidR="005C065D" w:rsidRDefault="00705C84" w:rsidP="005C065D">
      <w:pPr>
        <w:pStyle w:val="Textoindependiente"/>
        <w:numPr>
          <w:ilvl w:val="0"/>
          <w:numId w:val="10"/>
        </w:numPr>
        <w:spacing w:after="240" w:line="276" w:lineRule="auto"/>
        <w:rPr>
          <w:rFonts w:ascii="ITC Avant Garde" w:hAnsi="ITC Avant Garde"/>
          <w:szCs w:val="24"/>
          <w:lang w:eastAsia="es-ES"/>
        </w:rPr>
      </w:pPr>
      <w:r w:rsidRPr="00993CF3">
        <w:rPr>
          <w:rFonts w:ascii="ITC Avant Garde" w:hAnsi="ITC Avant Garde"/>
          <w:szCs w:val="24"/>
          <w:lang w:eastAsia="es-ES"/>
        </w:rPr>
        <w:t>Se deberá promover una sana competencia entre los prestadores de servicios de telecomunicaciones.</w:t>
      </w:r>
    </w:p>
    <w:p w14:paraId="06B60D2A" w14:textId="77777777" w:rsidR="005C065D" w:rsidRDefault="00705C84" w:rsidP="005C065D">
      <w:pPr>
        <w:pStyle w:val="Textoindependiente"/>
        <w:numPr>
          <w:ilvl w:val="0"/>
          <w:numId w:val="10"/>
        </w:numPr>
        <w:spacing w:after="240" w:line="276" w:lineRule="auto"/>
        <w:rPr>
          <w:rFonts w:ascii="ITC Avant Garde" w:hAnsi="ITC Avant Garde"/>
          <w:szCs w:val="24"/>
          <w:lang w:eastAsia="es-ES"/>
        </w:rPr>
      </w:pPr>
      <w:r w:rsidRPr="00993CF3">
        <w:rPr>
          <w:rFonts w:ascii="ITC Avant Garde" w:hAnsi="ITC Avant Garde"/>
          <w:szCs w:val="24"/>
          <w:lang w:eastAsia="es-ES"/>
        </w:rPr>
        <w:t>Debe tomarse en cuenta que cuando los precios de interconexión son elevados, estos implican mayores precios para los usuarios finales y barreras para que estos puedan disminuir como resultado de la dinámica de la competencia.</w:t>
      </w:r>
    </w:p>
    <w:p w14:paraId="6D2546E9" w14:textId="77777777" w:rsidR="005C065D" w:rsidRDefault="00705C84" w:rsidP="005C065D">
      <w:pPr>
        <w:pStyle w:val="Textoindependiente"/>
        <w:numPr>
          <w:ilvl w:val="0"/>
          <w:numId w:val="10"/>
        </w:numPr>
        <w:spacing w:after="240" w:line="276" w:lineRule="auto"/>
        <w:rPr>
          <w:rFonts w:ascii="ITC Avant Garde" w:hAnsi="ITC Avant Garde"/>
          <w:szCs w:val="24"/>
          <w:lang w:eastAsia="es-ES"/>
        </w:rPr>
      </w:pPr>
      <w:r w:rsidRPr="00993CF3">
        <w:rPr>
          <w:rFonts w:ascii="ITC Avant Garde" w:hAnsi="ITC Avant Garde"/>
          <w:szCs w:val="24"/>
          <w:lang w:eastAsia="es-ES"/>
        </w:rPr>
        <w:t>Los costos de la red se deben recuperar a través de los servicios prestados a los usuarios y no a través de la interconexión, ya que de lo contrario se estaría frente a un doble cobro.</w:t>
      </w:r>
    </w:p>
    <w:p w14:paraId="209234FC" w14:textId="39B84469" w:rsidR="005C065D" w:rsidRDefault="00705C84" w:rsidP="005C065D">
      <w:pPr>
        <w:spacing w:after="240"/>
        <w:jc w:val="both"/>
        <w:rPr>
          <w:rFonts w:ascii="ITC Avant Garde" w:eastAsia="Times New Roman" w:hAnsi="ITC Avant Garde"/>
          <w:b/>
        </w:rPr>
      </w:pPr>
      <w:r w:rsidRPr="00993CF3">
        <w:rPr>
          <w:rFonts w:ascii="ITC Avant Garde" w:eastAsia="Times New Roman" w:hAnsi="ITC Avant Garde"/>
          <w:b/>
        </w:rPr>
        <w:t>Consideraciones del Instituto</w:t>
      </w:r>
    </w:p>
    <w:p w14:paraId="4A7AD87F" w14:textId="77777777" w:rsidR="005C065D" w:rsidRDefault="00705C84" w:rsidP="005C065D">
      <w:pPr>
        <w:spacing w:after="240"/>
        <w:jc w:val="both"/>
        <w:rPr>
          <w:rFonts w:ascii="ITC Avant Garde" w:eastAsia="Times New Roman" w:hAnsi="ITC Avant Garde"/>
        </w:rPr>
      </w:pPr>
      <w:r w:rsidRPr="00993CF3">
        <w:rPr>
          <w:rFonts w:ascii="ITC Avant Garde" w:eastAsia="Times New Roman" w:hAnsi="ITC Avant Garde"/>
        </w:rPr>
        <w:t xml:space="preserve">Con relación a las manifestaciones realizadas en el numeral I, </w:t>
      </w:r>
      <w:r w:rsidR="00B15F47" w:rsidRPr="00993CF3">
        <w:rPr>
          <w:rFonts w:ascii="ITC Avant Garde" w:eastAsia="Times New Roman" w:hAnsi="ITC Avant Garde"/>
        </w:rPr>
        <w:t xml:space="preserve">y no obstante que el presente procedimiento no versa sobre la tarifa de terminación en redes móviles, </w:t>
      </w:r>
      <w:r w:rsidRPr="00993CF3">
        <w:rPr>
          <w:rFonts w:ascii="ITC Avant Garde" w:eastAsia="Times New Roman" w:hAnsi="ITC Avant Garde"/>
        </w:rPr>
        <w:t>este Instituto señala que el modelo de costos utilizado para resolver el presente desacuerdo ha sido actualizado en su construcción con lo cual para la determinación de tarifas en las redes móviles se considera la tecnología más reciente, esto es LTE.</w:t>
      </w:r>
    </w:p>
    <w:p w14:paraId="0577793A" w14:textId="77777777" w:rsidR="005C065D" w:rsidRDefault="00705C84" w:rsidP="005C065D">
      <w:pPr>
        <w:spacing w:after="240"/>
        <w:jc w:val="both"/>
        <w:rPr>
          <w:rFonts w:ascii="ITC Avant Garde" w:eastAsia="Times New Roman" w:hAnsi="ITC Avant Garde"/>
        </w:rPr>
      </w:pPr>
      <w:r w:rsidRPr="00993CF3">
        <w:rPr>
          <w:rFonts w:ascii="ITC Avant Garde" w:eastAsia="Times New Roman" w:hAnsi="ITC Avant Garde"/>
        </w:rPr>
        <w:t>Por otra parte, el lineamiento Décimo Tercero de la Metodología de Costos, establece que:</w:t>
      </w:r>
    </w:p>
    <w:p w14:paraId="676EA42C" w14:textId="77777777" w:rsidR="005C065D" w:rsidRDefault="00705C84" w:rsidP="005C065D">
      <w:pPr>
        <w:spacing w:after="240"/>
        <w:ind w:left="567" w:right="899"/>
        <w:jc w:val="both"/>
        <w:rPr>
          <w:rFonts w:ascii="ITC Avant Garde" w:eastAsia="Times New Roman" w:hAnsi="ITC Avant Garde"/>
          <w:i/>
          <w:sz w:val="18"/>
          <w:szCs w:val="18"/>
        </w:rPr>
      </w:pPr>
      <w:r w:rsidRPr="00993CF3">
        <w:rPr>
          <w:rFonts w:ascii="ITC Avant Garde" w:eastAsia="Times New Roman" w:hAnsi="ITC Avant Garde"/>
          <w:i/>
          <w:sz w:val="18"/>
          <w:szCs w:val="18"/>
        </w:rPr>
        <w:t>“</w:t>
      </w:r>
      <w:r w:rsidRPr="00993CF3">
        <w:rPr>
          <w:rFonts w:ascii="ITC Avant Garde" w:eastAsia="Times New Roman" w:hAnsi="ITC Avant Garde"/>
          <w:b/>
          <w:i/>
          <w:sz w:val="18"/>
          <w:szCs w:val="18"/>
        </w:rPr>
        <w:t>DÉCIMO TERCERO.-</w:t>
      </w:r>
      <w:r w:rsidRPr="00993CF3">
        <w:rPr>
          <w:rFonts w:ascii="ITC Avant Garde" w:eastAsia="Times New Roman" w:hAnsi="ITC Avant Garde"/>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186D795D" w14:textId="77777777" w:rsidR="005C065D" w:rsidRDefault="00705C84" w:rsidP="005C065D">
      <w:pPr>
        <w:spacing w:after="240"/>
        <w:jc w:val="both"/>
        <w:rPr>
          <w:rFonts w:ascii="ITC Avant Garde" w:hAnsi="ITC Avant Garde"/>
          <w:i/>
        </w:rPr>
      </w:pPr>
      <w:r w:rsidRPr="00993CF3">
        <w:rPr>
          <w:rFonts w:ascii="ITC Avant Garde" w:eastAsia="Times New Roman" w:hAnsi="ITC Avant Garde"/>
        </w:rPr>
        <w:lastRenderedPageBreak/>
        <w:t>En este sentido, el lineamiento antes citado señala que el Instituto podrá actualizar anualmente la información del Modelo de Costos, por lo que en apego al mismo y además tratándose de un nuevo modelo de costos se han actualizado diversos parámetros de información como son precios de los insumos, demanda de los servicios y en particular el tipo de cambio, para lo cual se utilizó la Encuesta sobre las Expectativas de los Especialistas en Economía del Sector Privado: octubre de 2017, publicada por el Banco de México el 1 de noviembre de 2017.</w:t>
      </w:r>
    </w:p>
    <w:p w14:paraId="33D0FF61" w14:textId="77777777" w:rsidR="005C065D" w:rsidRDefault="00705C84" w:rsidP="005C065D">
      <w:pPr>
        <w:spacing w:after="240"/>
        <w:jc w:val="both"/>
        <w:rPr>
          <w:rFonts w:ascii="ITC Avant Garde" w:eastAsia="Times New Roman" w:hAnsi="ITC Avant Garde"/>
          <w:szCs w:val="24"/>
          <w:lang w:eastAsia="es-ES"/>
        </w:rPr>
      </w:pPr>
      <w:r w:rsidRPr="00993CF3">
        <w:rPr>
          <w:rFonts w:ascii="ITC Avant Garde" w:eastAsia="Times New Roman" w:hAnsi="ITC Avant Garde"/>
          <w:szCs w:val="24"/>
          <w:lang w:eastAsia="es-ES"/>
        </w:rPr>
        <w:t xml:space="preserve">Ahora bien, con relación a lo manifestado por Axtel y </w:t>
      </w:r>
      <w:proofErr w:type="spellStart"/>
      <w:r w:rsidRPr="00993CF3">
        <w:rPr>
          <w:rFonts w:ascii="ITC Avant Garde" w:eastAsia="Times New Roman" w:hAnsi="ITC Avant Garde"/>
          <w:szCs w:val="24"/>
          <w:lang w:eastAsia="es-ES"/>
        </w:rPr>
        <w:t>Avantel</w:t>
      </w:r>
      <w:proofErr w:type="spellEnd"/>
      <w:r w:rsidRPr="00993CF3">
        <w:rPr>
          <w:rFonts w:ascii="ITC Avant Garde" w:eastAsia="Times New Roman" w:hAnsi="ITC Avant Garde"/>
          <w:szCs w:val="24"/>
          <w:lang w:eastAsia="es-ES"/>
        </w:rPr>
        <w:t xml:space="preserve"> en el numeral II, se señala que las tarifas de terminación en las redes de dichos concesionarios se han determinado de conformidad con la Metodología de Costos, es decir, en estricto apego a lo señalado en el artículo 137 de la LFTR.</w:t>
      </w:r>
    </w:p>
    <w:p w14:paraId="3CDA0F6F" w14:textId="77777777" w:rsidR="005C065D" w:rsidRDefault="00705C84" w:rsidP="005C065D">
      <w:pPr>
        <w:spacing w:after="240"/>
        <w:jc w:val="both"/>
        <w:rPr>
          <w:rFonts w:ascii="ITC Avant Garde" w:eastAsia="Times New Roman" w:hAnsi="ITC Avant Garde"/>
          <w:szCs w:val="24"/>
          <w:lang w:eastAsia="es-ES"/>
        </w:rPr>
      </w:pPr>
      <w:r w:rsidRPr="00993CF3">
        <w:rPr>
          <w:rFonts w:ascii="ITC Avant Garde" w:eastAsia="Times New Roman" w:hAnsi="ITC Avant Garde"/>
          <w:szCs w:val="24"/>
          <w:lang w:eastAsia="es-ES"/>
        </w:rPr>
        <w:t>La Metodología de Costos se ha definido en concordancia con la LFTR, con el propósito de promover una mayor competencia en la provisión de servicios finales, que no se trasladen elevados márgenes de las tarifas de interconexión a los precios de los usuarios de los servicios de telecomunicaciones, y que se promueva una estructura tarifaria más eficiente con menores precios que incentive el crecimiento de la demanda del servicio.</w:t>
      </w:r>
    </w:p>
    <w:p w14:paraId="4C0C5DD3" w14:textId="77777777" w:rsidR="005C065D" w:rsidRDefault="00705C84" w:rsidP="005C065D">
      <w:pPr>
        <w:spacing w:after="240"/>
        <w:jc w:val="both"/>
        <w:rPr>
          <w:rFonts w:ascii="ITC Avant Garde" w:eastAsia="Times New Roman" w:hAnsi="ITC Avant Garde"/>
          <w:lang w:eastAsia="es-ES"/>
        </w:rPr>
      </w:pPr>
      <w:r w:rsidRPr="00993CF3">
        <w:rPr>
          <w:rFonts w:ascii="ITC Avant Garde" w:eastAsia="Times New Roman" w:hAnsi="ITC Avant Garde"/>
          <w:lang w:eastAsia="es-ES"/>
        </w:rPr>
        <w:t xml:space="preserve">Una vez analizadas las manifestaciones generales de Axtel y </w:t>
      </w:r>
      <w:proofErr w:type="spellStart"/>
      <w:r w:rsidRPr="00993CF3">
        <w:rPr>
          <w:rFonts w:ascii="ITC Avant Garde" w:eastAsia="Times New Roman" w:hAnsi="ITC Avant Garde"/>
          <w:lang w:eastAsia="es-ES"/>
        </w:rPr>
        <w:t>Avantel</w:t>
      </w:r>
      <w:proofErr w:type="spellEnd"/>
      <w:r w:rsidRPr="00993CF3">
        <w:rPr>
          <w:rFonts w:ascii="ITC Avant Garde" w:eastAsia="Times New Roman" w:hAnsi="ITC Avant Garde"/>
          <w:lang w:eastAsia="es-ES"/>
        </w:rPr>
        <w:t>, en términos del artículo 129 de la LFTR se procede a resolver sobre las condiciones no convenidas.</w:t>
      </w:r>
    </w:p>
    <w:p w14:paraId="4D2A93CF" w14:textId="77777777" w:rsidR="005C065D" w:rsidRDefault="00BB0F7B" w:rsidP="005C065D">
      <w:pPr>
        <w:pStyle w:val="Prrafodelista"/>
        <w:numPr>
          <w:ilvl w:val="0"/>
          <w:numId w:val="7"/>
        </w:numPr>
        <w:spacing w:after="240" w:line="276" w:lineRule="auto"/>
        <w:jc w:val="left"/>
        <w:rPr>
          <w:rFonts w:ascii="ITC Avant Garde" w:hAnsi="ITC Avant Garde"/>
        </w:rPr>
      </w:pPr>
      <w:r w:rsidRPr="00993CF3">
        <w:rPr>
          <w:rFonts w:ascii="ITC Avant Garde" w:hAnsi="ITC Avant Garde"/>
          <w:b/>
          <w:lang w:val="es-ES"/>
        </w:rPr>
        <w:t>Tarifas de Interconexión</w:t>
      </w:r>
    </w:p>
    <w:p w14:paraId="2DCACDCA" w14:textId="77777777" w:rsidR="005C065D" w:rsidRDefault="00BB0F7B" w:rsidP="005C065D">
      <w:pPr>
        <w:spacing w:after="240"/>
        <w:jc w:val="both"/>
        <w:rPr>
          <w:rFonts w:ascii="ITC Avant Garde" w:eastAsia="Times New Roman" w:hAnsi="ITC Avant Garde"/>
          <w:b/>
          <w:szCs w:val="24"/>
          <w:lang w:eastAsia="es-ES"/>
        </w:rPr>
      </w:pPr>
      <w:r w:rsidRPr="00993CF3">
        <w:rPr>
          <w:rFonts w:ascii="ITC Avant Garde" w:eastAsia="Times New Roman" w:hAnsi="ITC Avant Garde"/>
          <w:b/>
          <w:szCs w:val="24"/>
          <w:lang w:eastAsia="es-ES"/>
        </w:rPr>
        <w:t xml:space="preserve">Argumentos de </w:t>
      </w:r>
      <w:r w:rsidR="00705C84" w:rsidRPr="00993CF3">
        <w:rPr>
          <w:rFonts w:ascii="ITC Avant Garde" w:eastAsia="Times New Roman" w:hAnsi="ITC Avant Garde"/>
          <w:b/>
          <w:szCs w:val="24"/>
          <w:lang w:eastAsia="es-ES"/>
        </w:rPr>
        <w:t xml:space="preserve">Axtel y </w:t>
      </w:r>
      <w:proofErr w:type="spellStart"/>
      <w:r w:rsidR="00705C84" w:rsidRPr="00993CF3">
        <w:rPr>
          <w:rFonts w:ascii="ITC Avant Garde" w:eastAsia="Times New Roman" w:hAnsi="ITC Avant Garde"/>
          <w:b/>
          <w:szCs w:val="24"/>
          <w:lang w:eastAsia="es-ES"/>
        </w:rPr>
        <w:t>Avantel</w:t>
      </w:r>
      <w:proofErr w:type="spellEnd"/>
    </w:p>
    <w:p w14:paraId="011012D5" w14:textId="77777777" w:rsidR="005C065D" w:rsidRDefault="002B6355" w:rsidP="005C065D">
      <w:pPr>
        <w:pStyle w:val="Textoindependiente"/>
        <w:spacing w:after="240" w:line="276" w:lineRule="auto"/>
        <w:rPr>
          <w:rFonts w:ascii="ITC Avant Garde" w:hAnsi="ITC Avant Garde"/>
          <w:szCs w:val="24"/>
          <w:lang w:eastAsia="es-ES"/>
        </w:rPr>
      </w:pPr>
      <w:r w:rsidRPr="00993CF3">
        <w:rPr>
          <w:rFonts w:ascii="ITC Avant Garde" w:hAnsi="ITC Avant Garde"/>
          <w:szCs w:val="24"/>
          <w:lang w:eastAsia="es-ES"/>
        </w:rPr>
        <w:t xml:space="preserve">Axtel y </w:t>
      </w:r>
      <w:proofErr w:type="spellStart"/>
      <w:r w:rsidRPr="00993CF3">
        <w:rPr>
          <w:rFonts w:ascii="ITC Avant Garde" w:hAnsi="ITC Avant Garde"/>
          <w:szCs w:val="24"/>
          <w:lang w:eastAsia="es-ES"/>
        </w:rPr>
        <w:t>Avantel</w:t>
      </w:r>
      <w:proofErr w:type="spellEnd"/>
      <w:r w:rsidRPr="00993CF3">
        <w:rPr>
          <w:rFonts w:ascii="ITC Avant Garde" w:hAnsi="ITC Avant Garde"/>
          <w:szCs w:val="24"/>
          <w:lang w:eastAsia="es-ES"/>
        </w:rPr>
        <w:t xml:space="preserve"> </w:t>
      </w:r>
      <w:r w:rsidR="00705C84" w:rsidRPr="00993CF3">
        <w:rPr>
          <w:rFonts w:ascii="ITC Avant Garde" w:hAnsi="ITC Avant Garde"/>
          <w:szCs w:val="24"/>
          <w:lang w:eastAsia="es-ES"/>
        </w:rPr>
        <w:t>solicitan en su Solicitud de Resolución y en su escrito de desahogo de prevención, la intervención del Instituto para que dentro de su ámbito de competencia resuelva el desacuerdo y determine las tarifas de interconexión aplicables del 1 de enero al 31 de diciembre de 2018.</w:t>
      </w:r>
    </w:p>
    <w:p w14:paraId="39047F26" w14:textId="77777777" w:rsidR="005C065D" w:rsidRDefault="00BB0F7B" w:rsidP="005C065D">
      <w:pPr>
        <w:spacing w:after="240"/>
        <w:ind w:right="48"/>
        <w:jc w:val="both"/>
        <w:rPr>
          <w:rFonts w:ascii="ITC Avant Garde" w:hAnsi="ITC Avant Garde"/>
          <w:b/>
        </w:rPr>
      </w:pPr>
      <w:r w:rsidRPr="00993CF3">
        <w:rPr>
          <w:rFonts w:ascii="ITC Avant Garde" w:hAnsi="ITC Avant Garde"/>
          <w:b/>
        </w:rPr>
        <w:t xml:space="preserve">Consideraciones del Instituto </w:t>
      </w:r>
    </w:p>
    <w:p w14:paraId="07D4ACDE" w14:textId="77777777" w:rsidR="005C065D" w:rsidRDefault="00BB0F7B" w:rsidP="005C065D">
      <w:pPr>
        <w:spacing w:after="240"/>
        <w:jc w:val="both"/>
        <w:rPr>
          <w:rFonts w:ascii="ITC Avant Garde" w:eastAsiaTheme="minorHAnsi" w:hAnsi="ITC Avant Garde" w:cs="Arial"/>
        </w:rPr>
      </w:pPr>
      <w:r w:rsidRPr="00993CF3">
        <w:rPr>
          <w:rFonts w:ascii="ITC Avant Garde" w:eastAsiaTheme="minorHAnsi" w:hAnsi="ITC Avant Garde" w:cs="Arial"/>
        </w:rPr>
        <w:t xml:space="preserve">Para la determinación de las tarifas de interconexión en las redes públicas de telecomunicaciones de </w:t>
      </w:r>
      <w:r w:rsidR="00EC3FFC" w:rsidRPr="00993CF3">
        <w:rPr>
          <w:rFonts w:ascii="ITC Avant Garde" w:eastAsiaTheme="minorHAnsi" w:hAnsi="ITC Avant Garde" w:cs="Arial"/>
        </w:rPr>
        <w:t xml:space="preserve">Axtel, </w:t>
      </w:r>
      <w:proofErr w:type="spellStart"/>
      <w:r w:rsidR="00EC3FFC" w:rsidRPr="00993CF3">
        <w:rPr>
          <w:rFonts w:ascii="ITC Avant Garde" w:eastAsiaTheme="minorHAnsi" w:hAnsi="ITC Avant Garde" w:cs="Arial"/>
        </w:rPr>
        <w:t>Avantel</w:t>
      </w:r>
      <w:proofErr w:type="spellEnd"/>
      <w:r w:rsidR="00EC3FFC" w:rsidRPr="00993CF3">
        <w:rPr>
          <w:rFonts w:ascii="ITC Avant Garde" w:eastAsiaTheme="minorHAnsi" w:hAnsi="ITC Avant Garde" w:cs="Arial"/>
        </w:rPr>
        <w:t xml:space="preserve"> y </w:t>
      </w:r>
      <w:proofErr w:type="spellStart"/>
      <w:r w:rsidR="00EC3FFC" w:rsidRPr="00993CF3">
        <w:rPr>
          <w:rFonts w:ascii="ITC Avant Garde" w:eastAsiaTheme="minorHAnsi" w:hAnsi="ITC Avant Garde" w:cs="Arial"/>
        </w:rPr>
        <w:t>Talktel</w:t>
      </w:r>
      <w:proofErr w:type="spellEnd"/>
      <w:r w:rsidRPr="00993CF3">
        <w:rPr>
          <w:rFonts w:ascii="ITC Avant Garde" w:eastAsiaTheme="minorHAnsi" w:hAnsi="ITC Avant Garde" w:cs="Arial"/>
        </w:rPr>
        <w:t>, se debe con</w:t>
      </w:r>
      <w:r w:rsidR="00EC3FFC" w:rsidRPr="00993CF3">
        <w:rPr>
          <w:rFonts w:ascii="ITC Avant Garde" w:eastAsiaTheme="minorHAnsi" w:hAnsi="ITC Avant Garde" w:cs="Arial"/>
        </w:rPr>
        <w:t>siderar que la propia LFT</w:t>
      </w:r>
      <w:r w:rsidRPr="00993CF3">
        <w:rPr>
          <w:rFonts w:ascii="ITC Avant Garde" w:eastAsiaTheme="minorHAnsi" w:hAnsi="ITC Avant Garde" w:cs="Arial"/>
        </w:rPr>
        <w:t>R establece el marco normativo y regulatorio aplicable para la fijación de las tarifas de interconexión.</w:t>
      </w:r>
    </w:p>
    <w:p w14:paraId="0577BA4B" w14:textId="77777777" w:rsidR="005C065D" w:rsidRDefault="00BB0F7B" w:rsidP="005C065D">
      <w:pPr>
        <w:widowControl w:val="0"/>
        <w:spacing w:after="240"/>
        <w:jc w:val="both"/>
        <w:rPr>
          <w:rFonts w:ascii="ITC Avant Garde" w:eastAsia="Times New Roman" w:hAnsi="ITC Avant Garde" w:cs="Arial"/>
        </w:rPr>
      </w:pPr>
      <w:r w:rsidRPr="00993CF3">
        <w:rPr>
          <w:rFonts w:ascii="ITC Avant Garde" w:eastAsia="Times New Roman" w:hAnsi="ITC Avant Garde" w:cs="Arial"/>
        </w:rPr>
        <w:t xml:space="preserve">A tal efecto, </w:t>
      </w:r>
      <w:r w:rsidR="00EC3FFC" w:rsidRPr="00993CF3">
        <w:rPr>
          <w:rFonts w:ascii="ITC Avant Garde" w:eastAsia="Times New Roman" w:hAnsi="ITC Avant Garde" w:cs="Arial"/>
        </w:rPr>
        <w:t>el artículo 131 de la LFT</w:t>
      </w:r>
      <w:r w:rsidRPr="00993CF3">
        <w:rPr>
          <w:rFonts w:ascii="ITC Avant Garde" w:eastAsia="Times New Roman" w:hAnsi="ITC Avant Garde" w:cs="Arial"/>
        </w:rPr>
        <w:t>R dispone lo siguiente:</w:t>
      </w:r>
    </w:p>
    <w:p w14:paraId="77666319" w14:textId="4A1E3F85" w:rsidR="005C065D" w:rsidRDefault="00BB0F7B" w:rsidP="005C065D">
      <w:pPr>
        <w:spacing w:after="240"/>
        <w:ind w:left="567" w:right="615"/>
        <w:jc w:val="both"/>
        <w:rPr>
          <w:rFonts w:ascii="ITC Avant Garde" w:eastAsiaTheme="minorHAnsi" w:hAnsi="ITC Avant Garde" w:cs="Arial"/>
          <w:i/>
          <w:sz w:val="18"/>
          <w:szCs w:val="18"/>
        </w:rPr>
      </w:pPr>
      <w:r w:rsidRPr="00993CF3">
        <w:rPr>
          <w:rFonts w:ascii="ITC Avant Garde" w:eastAsiaTheme="minorHAnsi" w:hAnsi="ITC Avant Garde" w:cs="Arial"/>
          <w:i/>
          <w:sz w:val="18"/>
          <w:szCs w:val="18"/>
        </w:rPr>
        <w:t>“Artículo 131. […]</w:t>
      </w:r>
    </w:p>
    <w:p w14:paraId="1F1BEA9D" w14:textId="77777777" w:rsidR="005C065D" w:rsidRDefault="00BB0F7B" w:rsidP="005C065D">
      <w:pPr>
        <w:spacing w:after="240"/>
        <w:ind w:left="567" w:right="615"/>
        <w:jc w:val="both"/>
        <w:rPr>
          <w:rFonts w:ascii="ITC Avant Garde" w:eastAsiaTheme="minorHAnsi" w:hAnsi="ITC Avant Garde" w:cs="Arial"/>
          <w:i/>
          <w:sz w:val="18"/>
          <w:szCs w:val="18"/>
        </w:rPr>
      </w:pPr>
      <w:r w:rsidRPr="00993CF3">
        <w:rPr>
          <w:rFonts w:ascii="ITC Avant Garde" w:eastAsiaTheme="minorHAnsi" w:hAnsi="ITC Avant Garde" w:cs="Arial"/>
          <w:i/>
          <w:sz w:val="18"/>
          <w:szCs w:val="18"/>
        </w:rPr>
        <w:lastRenderedPageBreak/>
        <w:t>[…]</w:t>
      </w:r>
    </w:p>
    <w:p w14:paraId="7AF62CB1" w14:textId="77777777" w:rsidR="005C065D" w:rsidRDefault="00BB0F7B" w:rsidP="005C065D">
      <w:pPr>
        <w:spacing w:after="240"/>
        <w:ind w:left="567" w:right="615"/>
        <w:jc w:val="both"/>
        <w:rPr>
          <w:rFonts w:ascii="ITC Avant Garde" w:eastAsiaTheme="minorHAnsi" w:hAnsi="ITC Avant Garde" w:cs="Arial"/>
          <w:i/>
          <w:sz w:val="18"/>
          <w:szCs w:val="18"/>
        </w:rPr>
      </w:pPr>
      <w:r w:rsidRPr="00993CF3">
        <w:rPr>
          <w:rFonts w:ascii="ITC Avant Garde" w:eastAsiaTheme="minorHAnsi" w:hAnsi="ITC Avant Garde" w:cs="Arial"/>
          <w:i/>
          <w:sz w:val="18"/>
          <w:szCs w:val="18"/>
        </w:rPr>
        <w:t>b) Para el tráfico que termine en la red de los demás concesionarios, la tarifa de interconexión será negociada libremente.</w:t>
      </w:r>
    </w:p>
    <w:p w14:paraId="74104170" w14:textId="77777777" w:rsidR="005C065D" w:rsidRDefault="00BB0F7B" w:rsidP="005C065D">
      <w:pPr>
        <w:spacing w:after="240"/>
        <w:ind w:left="567" w:right="615"/>
        <w:jc w:val="both"/>
        <w:rPr>
          <w:rFonts w:ascii="ITC Avant Garde" w:eastAsiaTheme="minorHAnsi" w:hAnsi="ITC Avant Garde" w:cs="Arial"/>
          <w:i/>
          <w:sz w:val="18"/>
          <w:szCs w:val="18"/>
        </w:rPr>
      </w:pPr>
      <w:r w:rsidRPr="00993CF3">
        <w:rPr>
          <w:rFonts w:ascii="ITC Avant Garde" w:eastAsiaTheme="minorHAnsi"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EF25ED9" w14:textId="77777777" w:rsidR="005C065D" w:rsidRDefault="00BB0F7B" w:rsidP="005C065D">
      <w:pPr>
        <w:spacing w:after="240"/>
        <w:ind w:left="567" w:right="615"/>
        <w:jc w:val="both"/>
        <w:rPr>
          <w:rFonts w:ascii="ITC Avant Garde" w:eastAsiaTheme="minorHAnsi" w:hAnsi="ITC Avant Garde" w:cs="Arial"/>
          <w:i/>
          <w:sz w:val="18"/>
          <w:szCs w:val="18"/>
        </w:rPr>
      </w:pPr>
      <w:r w:rsidRPr="00993CF3">
        <w:rPr>
          <w:rFonts w:ascii="ITC Avant Garde" w:eastAsiaTheme="minorHAnsi"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7F38203" w14:textId="77777777" w:rsidR="005C065D" w:rsidRDefault="00BB0F7B" w:rsidP="005C065D">
      <w:pPr>
        <w:spacing w:after="240"/>
        <w:ind w:left="567" w:right="615"/>
        <w:jc w:val="both"/>
        <w:rPr>
          <w:rFonts w:ascii="ITC Avant Garde" w:eastAsiaTheme="minorHAnsi" w:hAnsi="ITC Avant Garde" w:cs="Arial"/>
          <w:i/>
          <w:sz w:val="18"/>
          <w:szCs w:val="18"/>
        </w:rPr>
      </w:pPr>
      <w:r w:rsidRPr="00993CF3">
        <w:rPr>
          <w:rFonts w:ascii="ITC Avant Garde" w:eastAsiaTheme="minorHAnsi"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62827932" w14:textId="77777777" w:rsidR="005C065D" w:rsidRDefault="00BB0F7B" w:rsidP="005C065D">
      <w:pPr>
        <w:spacing w:after="240"/>
        <w:ind w:left="567" w:right="615"/>
        <w:jc w:val="both"/>
        <w:rPr>
          <w:rFonts w:ascii="ITC Avant Garde" w:eastAsiaTheme="minorHAnsi" w:hAnsi="ITC Avant Garde" w:cs="Arial"/>
          <w:i/>
          <w:sz w:val="18"/>
          <w:szCs w:val="18"/>
        </w:rPr>
      </w:pPr>
      <w:r w:rsidRPr="00993CF3">
        <w:rPr>
          <w:rFonts w:ascii="ITC Avant Garde" w:eastAsiaTheme="minorHAnsi" w:hAnsi="ITC Avant Garde" w:cs="Arial"/>
          <w:i/>
          <w:sz w:val="18"/>
          <w:szCs w:val="18"/>
        </w:rPr>
        <w:t>[…]”</w:t>
      </w:r>
    </w:p>
    <w:p w14:paraId="6944112A" w14:textId="77777777" w:rsidR="005C065D" w:rsidRDefault="00BB0F7B" w:rsidP="005C065D">
      <w:pPr>
        <w:spacing w:after="240"/>
        <w:ind w:right="20"/>
        <w:jc w:val="both"/>
        <w:rPr>
          <w:rFonts w:ascii="ITC Avant Garde" w:eastAsiaTheme="minorHAnsi" w:hAnsi="ITC Avant Garde" w:cs="Arial"/>
        </w:rPr>
      </w:pPr>
      <w:r w:rsidRPr="00993CF3">
        <w:rPr>
          <w:rFonts w:ascii="ITC Avant Garde" w:eastAsiaTheme="minorHAnsi"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5F0E346A" w14:textId="77777777" w:rsidR="005C065D" w:rsidRDefault="00BB0F7B" w:rsidP="005C065D">
      <w:pPr>
        <w:spacing w:after="240"/>
        <w:ind w:right="20"/>
        <w:jc w:val="both"/>
        <w:rPr>
          <w:rFonts w:ascii="ITC Avant Garde" w:eastAsiaTheme="minorHAnsi" w:hAnsi="ITC Avant Garde" w:cs="Arial"/>
        </w:rPr>
      </w:pPr>
      <w:r w:rsidRPr="00993CF3">
        <w:rPr>
          <w:rFonts w:ascii="ITC Avant Garde" w:eastAsiaTheme="minorHAnsi" w:hAnsi="ITC Avant Garde" w:cs="Arial"/>
        </w:rPr>
        <w:t>En este orden de i</w:t>
      </w:r>
      <w:r w:rsidR="00C33F01" w:rsidRPr="00993CF3">
        <w:rPr>
          <w:rFonts w:ascii="ITC Avant Garde" w:eastAsiaTheme="minorHAnsi" w:hAnsi="ITC Avant Garde" w:cs="Arial"/>
        </w:rPr>
        <w:t>deas, el artículo 137 de la LFT</w:t>
      </w:r>
      <w:r w:rsidRPr="00993CF3">
        <w:rPr>
          <w:rFonts w:ascii="ITC Avant Garde" w:eastAsiaTheme="minorHAnsi" w:hAnsi="ITC Avant Garde" w:cs="Arial"/>
        </w:rPr>
        <w:t>R señala a la letra lo siguiente:</w:t>
      </w:r>
    </w:p>
    <w:p w14:paraId="272A97E6" w14:textId="77777777" w:rsidR="005C065D" w:rsidRDefault="00BB0F7B" w:rsidP="005C065D">
      <w:pPr>
        <w:tabs>
          <w:tab w:val="left" w:pos="4678"/>
        </w:tabs>
        <w:spacing w:after="240"/>
        <w:ind w:left="567" w:right="615"/>
        <w:jc w:val="both"/>
        <w:rPr>
          <w:rFonts w:ascii="ITC Avant Garde" w:eastAsiaTheme="minorHAnsi" w:hAnsi="ITC Avant Garde" w:cs="Arial"/>
          <w:i/>
          <w:sz w:val="18"/>
          <w:szCs w:val="18"/>
        </w:rPr>
      </w:pPr>
      <w:r w:rsidRPr="00993CF3">
        <w:rPr>
          <w:rFonts w:ascii="ITC Avant Garde" w:eastAsiaTheme="minorHAnsi" w:hAnsi="ITC Avant Garde" w:cs="Arial"/>
          <w:i/>
          <w:sz w:val="18"/>
          <w:szCs w:val="18"/>
        </w:rPr>
        <w:t>“</w:t>
      </w:r>
      <w:r w:rsidRPr="00993CF3">
        <w:rPr>
          <w:rFonts w:ascii="ITC Avant Garde" w:eastAsiaTheme="minorHAnsi" w:hAnsi="ITC Avant Garde" w:cs="Arial"/>
          <w:b/>
          <w:i/>
          <w:sz w:val="18"/>
          <w:szCs w:val="18"/>
        </w:rPr>
        <w:t>Artículo 137.</w:t>
      </w:r>
      <w:r w:rsidRPr="00993CF3">
        <w:rPr>
          <w:rFonts w:ascii="ITC Avant Garde" w:eastAsiaTheme="minorHAnsi"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6A670C4" w14:textId="77777777" w:rsidR="005C065D" w:rsidRDefault="003B0526" w:rsidP="005C065D">
      <w:pPr>
        <w:spacing w:after="240"/>
        <w:ind w:right="20"/>
        <w:jc w:val="both"/>
        <w:rPr>
          <w:rFonts w:ascii="ITC Avant Garde" w:eastAsia="Times New Roman" w:hAnsi="ITC Avant Garde" w:cs="Arial"/>
        </w:rPr>
      </w:pPr>
      <w:r w:rsidRPr="00993CF3">
        <w:rPr>
          <w:rFonts w:ascii="ITC Avant Garde" w:eastAsia="Times New Roman" w:hAnsi="ITC Avant Garde" w:cs="Arial"/>
        </w:rPr>
        <w:t>En apego a dicha metodología y en cumplimiento a lo establecido en el artículo 137,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 2018.</w:t>
      </w:r>
    </w:p>
    <w:p w14:paraId="3A01FC99" w14:textId="77777777" w:rsidR="005C065D" w:rsidRDefault="00BB0F7B" w:rsidP="005C065D">
      <w:pPr>
        <w:spacing w:after="240"/>
        <w:ind w:right="20"/>
        <w:jc w:val="both"/>
        <w:rPr>
          <w:rFonts w:ascii="ITC Avant Garde" w:eastAsia="Times New Roman" w:hAnsi="ITC Avant Garde" w:cs="Arial"/>
        </w:rPr>
      </w:pPr>
      <w:r w:rsidRPr="00993CF3">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9F7EC1" w:rsidRPr="00993CF3">
        <w:rPr>
          <w:rFonts w:ascii="ITC Avant Garde" w:eastAsia="Times New Roman" w:hAnsi="ITC Avant Garde" w:cs="Arial"/>
        </w:rPr>
        <w:t xml:space="preserve">el Acuerdo </w:t>
      </w:r>
      <w:r w:rsidR="003B0526" w:rsidRPr="00993CF3">
        <w:rPr>
          <w:rFonts w:ascii="ITC Avant Garde" w:eastAsia="Times New Roman" w:hAnsi="ITC Avant Garde" w:cs="Arial"/>
        </w:rPr>
        <w:t xml:space="preserve">de </w:t>
      </w:r>
      <w:r w:rsidR="009F7EC1" w:rsidRPr="00993CF3">
        <w:rPr>
          <w:rFonts w:ascii="ITC Avant Garde" w:eastAsia="Times New Roman" w:hAnsi="ITC Avant Garde" w:cs="Arial"/>
        </w:rPr>
        <w:t>CTM y Tarifas 2018</w:t>
      </w:r>
      <w:r w:rsidRPr="00993CF3">
        <w:rPr>
          <w:rFonts w:ascii="ITC Avant Garde" w:eastAsia="Times New Roman" w:hAnsi="ITC Avant Garde" w:cs="Arial"/>
        </w:rPr>
        <w:t>.</w:t>
      </w:r>
    </w:p>
    <w:p w14:paraId="4981131A" w14:textId="77777777" w:rsidR="005C065D" w:rsidRDefault="00BB0F7B" w:rsidP="005C065D">
      <w:pPr>
        <w:spacing w:after="240"/>
        <w:ind w:right="20"/>
        <w:jc w:val="both"/>
        <w:rPr>
          <w:rFonts w:ascii="ITC Avant Garde" w:eastAsia="Times New Roman" w:hAnsi="ITC Avant Garde" w:cs="Arial"/>
        </w:rPr>
      </w:pPr>
      <w:r w:rsidRPr="00993CF3">
        <w:rPr>
          <w:rFonts w:ascii="ITC Avant Garde" w:eastAsia="Times New Roman" w:hAnsi="ITC Avant Garde" w:cs="Arial"/>
        </w:rPr>
        <w:lastRenderedPageBreak/>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88E0531" w14:textId="77777777" w:rsidR="005C065D" w:rsidRDefault="003B0526" w:rsidP="005C065D">
      <w:pPr>
        <w:spacing w:after="240"/>
        <w:jc w:val="both"/>
        <w:rPr>
          <w:rFonts w:ascii="ITC Avant Garde" w:eastAsia="Times New Roman" w:hAnsi="ITC Avant Garde" w:cs="Arial"/>
        </w:rPr>
      </w:pPr>
      <w:bookmarkStart w:id="2" w:name="vitalimportancia"/>
      <w:r w:rsidRPr="00993CF3">
        <w:rPr>
          <w:rFonts w:ascii="ITC Avant Garde" w:hAnsi="ITC Avant Garde"/>
          <w:spacing w:val="-4"/>
          <w:lang w:val="es-ES"/>
        </w:rPr>
        <w:t xml:space="preserve">En tal virtud, </w:t>
      </w:r>
      <w:r w:rsidRPr="00993CF3">
        <w:rPr>
          <w:rFonts w:ascii="ITC Avant Garde" w:hAnsi="ITC Avant Garde" w:cs="Arial"/>
        </w:rPr>
        <w:t xml:space="preserve">la tarifa de interconexión que Axtel, </w:t>
      </w:r>
      <w:proofErr w:type="spellStart"/>
      <w:r w:rsidRPr="00993CF3">
        <w:rPr>
          <w:rFonts w:ascii="ITC Avant Garde" w:hAnsi="ITC Avant Garde" w:cs="Arial"/>
        </w:rPr>
        <w:t>Avantel</w:t>
      </w:r>
      <w:proofErr w:type="spellEnd"/>
      <w:r w:rsidRPr="00993CF3">
        <w:rPr>
          <w:rFonts w:ascii="ITC Avant Garde" w:eastAsia="Times New Roman" w:hAnsi="ITC Avant Garde"/>
          <w:bCs/>
          <w:lang w:val="es-ES" w:eastAsia="es-ES"/>
        </w:rPr>
        <w:t xml:space="preserve"> y </w:t>
      </w:r>
      <w:proofErr w:type="spellStart"/>
      <w:r w:rsidRPr="00993CF3">
        <w:rPr>
          <w:rFonts w:ascii="ITC Avant Garde" w:eastAsia="Times New Roman" w:hAnsi="ITC Avant Garde"/>
          <w:bCs/>
          <w:lang w:val="es-ES" w:eastAsia="es-ES"/>
        </w:rPr>
        <w:t>Talktel</w:t>
      </w:r>
      <w:proofErr w:type="spellEnd"/>
      <w:r w:rsidRPr="00993CF3">
        <w:rPr>
          <w:rFonts w:ascii="ITC Avant Garde" w:eastAsia="Times New Roman" w:hAnsi="ITC Avant Garde"/>
          <w:bCs/>
          <w:lang w:val="es-ES" w:eastAsia="es-ES"/>
        </w:rPr>
        <w:t xml:space="preserve"> </w:t>
      </w:r>
      <w:r w:rsidRPr="00993CF3">
        <w:rPr>
          <w:rFonts w:ascii="ITC Avant Garde" w:hAnsi="ITC Avant Garde" w:cs="Arial"/>
        </w:rPr>
        <w:t>deberán pagarse de manera recíproca</w:t>
      </w:r>
      <w:r w:rsidRPr="00993CF3">
        <w:rPr>
          <w:rFonts w:ascii="ITC Avant Garde" w:eastAsia="Times New Roman" w:hAnsi="ITC Avant Garde"/>
          <w:lang w:val="es-ES" w:eastAsia="es-ES"/>
        </w:rPr>
        <w:t xml:space="preserve"> </w:t>
      </w:r>
      <w:r w:rsidRPr="00993CF3">
        <w:rPr>
          <w:rFonts w:ascii="ITC Avant Garde" w:eastAsia="Times New Roman" w:hAnsi="ITC Avant Garde" w:cs="Arial"/>
        </w:rPr>
        <w:t>por servicios de terminación del servicio local en usuarios fijos, será la siguiente:</w:t>
      </w:r>
    </w:p>
    <w:bookmarkEnd w:id="2"/>
    <w:p w14:paraId="364A9201" w14:textId="77777777" w:rsidR="005C065D" w:rsidRDefault="003B0526" w:rsidP="005C065D">
      <w:pPr>
        <w:pStyle w:val="Prrafodelista"/>
        <w:numPr>
          <w:ilvl w:val="0"/>
          <w:numId w:val="12"/>
        </w:numPr>
        <w:spacing w:after="240" w:line="276" w:lineRule="auto"/>
        <w:rPr>
          <w:rFonts w:ascii="ITC Avant Garde" w:hAnsi="ITC Avant Garde"/>
          <w:b/>
          <w:spacing w:val="-4"/>
          <w:lang w:val="es-ES_tradnl"/>
        </w:rPr>
      </w:pPr>
      <w:r w:rsidRPr="00993CF3">
        <w:rPr>
          <w:rFonts w:ascii="ITC Avant Garde" w:hAnsi="ITC Avant Garde"/>
          <w:b/>
          <w:spacing w:val="-4"/>
          <w:lang w:val="es-ES_tradnl"/>
        </w:rPr>
        <w:t xml:space="preserve">Del 1 de enero al 31 de diciembre de 2018, $0.002836 pesos M.N. por minuto de interconexión. </w:t>
      </w:r>
    </w:p>
    <w:p w14:paraId="6FCF909A" w14:textId="6CBD53F3" w:rsidR="00BB0F7B" w:rsidRPr="00993CF3" w:rsidRDefault="00BB0F7B" w:rsidP="005C065D">
      <w:pPr>
        <w:spacing w:after="240"/>
        <w:jc w:val="both"/>
        <w:rPr>
          <w:rFonts w:ascii="ITC Avant Garde" w:hAnsi="ITC Avant Garde" w:cs="Arial"/>
        </w:rPr>
      </w:pPr>
      <w:r w:rsidRPr="00993CF3">
        <w:rPr>
          <w:rFonts w:ascii="ITC Avant Garde" w:hAnsi="ITC Avant Garde" w:cs="Arial"/>
        </w:rPr>
        <w:t>La tarifa anterior ya incluye el costo correspondiente a los puertos necesarios para la interconexión.</w:t>
      </w:r>
    </w:p>
    <w:p w14:paraId="5EF55953" w14:textId="77777777" w:rsidR="005C065D" w:rsidRDefault="00BB0F7B" w:rsidP="005C065D">
      <w:pPr>
        <w:spacing w:after="240"/>
        <w:jc w:val="both"/>
        <w:rPr>
          <w:rFonts w:ascii="ITC Avant Garde" w:hAnsi="ITC Avant Garde" w:cs="Arial"/>
        </w:rPr>
      </w:pPr>
      <w:r w:rsidRPr="00993CF3">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5019BF35" w14:textId="77777777" w:rsidR="005C065D" w:rsidRDefault="00DB74E8" w:rsidP="005C065D">
      <w:pPr>
        <w:spacing w:after="240"/>
        <w:jc w:val="both"/>
        <w:rPr>
          <w:rFonts w:ascii="ITC Avant Garde" w:hAnsi="ITC Avant Garde" w:cs="Arial"/>
        </w:rPr>
      </w:pPr>
      <w:r w:rsidRPr="00993CF3">
        <w:rPr>
          <w:rFonts w:ascii="ITC Avant Garde" w:hAnsi="ITC Avant Garde" w:cs="Arial"/>
          <w:lang w:val="es-ES"/>
        </w:rPr>
        <w:t>En virtud de lo anterior</w:t>
      </w:r>
      <w:r w:rsidR="003A726C" w:rsidRPr="00993CF3">
        <w:rPr>
          <w:rFonts w:ascii="ITC Avant Garde" w:hAnsi="ITC Avant Garde" w:cs="Arial"/>
        </w:rPr>
        <w:t xml:space="preserve"> </w:t>
      </w:r>
      <w:r w:rsidR="00BB0F7B" w:rsidRPr="00993CF3">
        <w:rPr>
          <w:rFonts w:ascii="ITC Avant Garde" w:hAnsi="ITC Avant Garde" w:cs="Arial"/>
        </w:rPr>
        <w:t>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w:t>
      </w:r>
      <w:r w:rsidR="003A726C" w:rsidRPr="00993CF3">
        <w:rPr>
          <w:rFonts w:ascii="ITC Avant Garde" w:hAnsi="ITC Avant Garde" w:cs="Arial"/>
        </w:rPr>
        <w:t>77, fracción XV y 178 de la LFT</w:t>
      </w:r>
      <w:r w:rsidR="00BB0F7B" w:rsidRPr="00993CF3">
        <w:rPr>
          <w:rFonts w:ascii="ITC Avant Garde" w:hAnsi="ITC Avant Garde" w:cs="Arial"/>
        </w:rPr>
        <w:t>R, la presente Resolución será inscrita en el Registro Público de Telecomunicaciones a cargo del propio Instituto.</w:t>
      </w:r>
    </w:p>
    <w:p w14:paraId="6FD7766E" w14:textId="77777777" w:rsidR="005C065D" w:rsidRDefault="00BB0F7B" w:rsidP="005C065D">
      <w:pPr>
        <w:spacing w:after="240"/>
        <w:jc w:val="both"/>
        <w:rPr>
          <w:rFonts w:ascii="ITC Avant Garde" w:hAnsi="ITC Avant Garde" w:cs="Arial"/>
        </w:rPr>
      </w:pPr>
      <w:r w:rsidRPr="00993CF3">
        <w:rPr>
          <w:rFonts w:ascii="ITC Avant Garde" w:hAnsi="ITC Avant Garde" w:cs="Arial"/>
        </w:rPr>
        <w:t>Lo anterior, sin perjuicio d</w:t>
      </w:r>
      <w:r w:rsidR="003A726C" w:rsidRPr="00993CF3">
        <w:rPr>
          <w:rFonts w:ascii="ITC Avant Garde" w:hAnsi="ITC Avant Garde" w:cs="Arial"/>
        </w:rPr>
        <w:t xml:space="preserve">e que Axtel, </w:t>
      </w:r>
      <w:proofErr w:type="spellStart"/>
      <w:r w:rsidR="003A726C" w:rsidRPr="00993CF3">
        <w:rPr>
          <w:rFonts w:ascii="ITC Avant Garde" w:hAnsi="ITC Avant Garde" w:cs="Arial"/>
        </w:rPr>
        <w:t>Avantel</w:t>
      </w:r>
      <w:proofErr w:type="spellEnd"/>
      <w:r w:rsidR="003A726C" w:rsidRPr="00993CF3">
        <w:rPr>
          <w:rFonts w:ascii="ITC Avant Garde" w:hAnsi="ITC Avant Garde" w:cs="Arial"/>
        </w:rPr>
        <w:t xml:space="preserve"> y </w:t>
      </w:r>
      <w:proofErr w:type="spellStart"/>
      <w:r w:rsidR="003A726C" w:rsidRPr="00993CF3">
        <w:rPr>
          <w:rFonts w:ascii="ITC Avant Garde" w:hAnsi="ITC Avant Garde" w:cs="Arial"/>
        </w:rPr>
        <w:t>Talktel</w:t>
      </w:r>
      <w:proofErr w:type="spellEnd"/>
      <w:r w:rsidRPr="00993CF3">
        <w:rPr>
          <w:rFonts w:ascii="ITC Avant Garde" w:hAnsi="ITC Avant Garde" w:cs="Arial"/>
        </w:rPr>
        <w:t xml:space="preserve"> </w:t>
      </w:r>
      <w:r w:rsidRPr="00993CF3">
        <w:rPr>
          <w:rFonts w:ascii="ITC Avant Garde" w:eastAsia="Times New Roman" w:hAnsi="ITC Avant Garde"/>
          <w:lang w:val="es-ES" w:eastAsia="es-ES"/>
        </w:rPr>
        <w:t>formalicen</w:t>
      </w:r>
      <w:r w:rsidRPr="00993CF3">
        <w:rPr>
          <w:rFonts w:ascii="ITC Avant Garde" w:hAnsi="ITC Avant Garde" w:cs="Arial"/>
        </w:rPr>
        <w:t xml:space="preserve"> los términos, condiciones y tarifas de interconexión que se ordenan a través de la presente Resoluc</w:t>
      </w:r>
      <w:r w:rsidR="003A726C" w:rsidRPr="00993CF3">
        <w:rPr>
          <w:rFonts w:ascii="ITC Avant Garde" w:hAnsi="ITC Avant Garde" w:cs="Arial"/>
        </w:rPr>
        <w:t>ión y a tal efecto suscriban el convenio correspondiente</w:t>
      </w:r>
      <w:r w:rsidRPr="00993CF3">
        <w:rPr>
          <w:rFonts w:ascii="ITC Avant Garde" w:hAnsi="ITC Avant Garde" w:cs="Arial"/>
        </w:rPr>
        <w:t>. En tal sentido, dichos concesionarios, conjunta o separadamente, deberán inscribir el convenio de interconexión en el Registro Público de Telecomunicaciones, de conformidad con lo dis</w:t>
      </w:r>
      <w:r w:rsidR="00DB74E8" w:rsidRPr="00993CF3">
        <w:rPr>
          <w:rFonts w:ascii="ITC Avant Garde" w:hAnsi="ITC Avant Garde" w:cs="Arial"/>
        </w:rPr>
        <w:t>puesto por los artículos 128</w:t>
      </w:r>
      <w:r w:rsidR="003A726C" w:rsidRPr="00993CF3">
        <w:rPr>
          <w:rFonts w:ascii="ITC Avant Garde" w:hAnsi="ITC Avant Garde" w:cs="Arial"/>
        </w:rPr>
        <w:t xml:space="preserve"> y 177, fracción VII de la LFT</w:t>
      </w:r>
      <w:r w:rsidRPr="00993CF3">
        <w:rPr>
          <w:rFonts w:ascii="ITC Avant Garde" w:hAnsi="ITC Avant Garde" w:cs="Arial"/>
        </w:rPr>
        <w:t>R.</w:t>
      </w:r>
    </w:p>
    <w:p w14:paraId="79803A6C" w14:textId="77777777" w:rsidR="005C065D" w:rsidRDefault="00DB74E8" w:rsidP="005C065D">
      <w:pPr>
        <w:spacing w:after="240"/>
        <w:jc w:val="both"/>
        <w:rPr>
          <w:rFonts w:ascii="ITC Avant Garde" w:hAnsi="ITC Avant Garde" w:cs="Arial"/>
        </w:rPr>
      </w:pPr>
      <w:r w:rsidRPr="00993CF3">
        <w:rPr>
          <w:rFonts w:ascii="ITC Avant Garde" w:hAnsi="ITC Avant Garde" w:cs="Arial"/>
        </w:rPr>
        <w:t xml:space="preserve">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w:t>
      </w:r>
      <w:r w:rsidRPr="00993CF3">
        <w:rPr>
          <w:rFonts w:ascii="ITC Avant Garde" w:hAnsi="ITC Avant Garde" w:cs="Arial"/>
        </w:rPr>
        <w:lastRenderedPageBreak/>
        <w:t>fracción I, 36, 38, 39 y 57 de la Ley Federal de Procedimiento Administrativo; 143, 197 y 218 del Código Federal de Procedimientos Civiles y 4 fracción I y 6 fracción XXXVII del Estatuto Orgánico del Instituto Federal de Telecomunicaciones, el Pleno del Instituto Federal de Telecomunicaciones emite los siguientes:</w:t>
      </w:r>
    </w:p>
    <w:p w14:paraId="731434CC" w14:textId="65D00C99" w:rsidR="005C065D" w:rsidRDefault="00BB0F7B" w:rsidP="005C065D">
      <w:pPr>
        <w:pStyle w:val="Ttulo2"/>
        <w:spacing w:before="0" w:after="240"/>
        <w:jc w:val="center"/>
        <w:rPr>
          <w:rFonts w:ascii="ITC Avant Garde" w:eastAsia="Times New Roman" w:hAnsi="ITC Avant Garde"/>
          <w:b/>
          <w:color w:val="auto"/>
          <w:sz w:val="22"/>
          <w:szCs w:val="22"/>
          <w:lang w:val="es-ES" w:eastAsia="es-ES"/>
        </w:rPr>
      </w:pPr>
      <w:r w:rsidRPr="005C065D">
        <w:rPr>
          <w:rFonts w:ascii="ITC Avant Garde" w:eastAsia="Times New Roman" w:hAnsi="ITC Avant Garde"/>
          <w:b/>
          <w:color w:val="auto"/>
          <w:sz w:val="22"/>
          <w:szCs w:val="22"/>
          <w:lang w:val="es-ES" w:eastAsia="es-ES"/>
        </w:rPr>
        <w:t>RESOLUTIVOS</w:t>
      </w:r>
    </w:p>
    <w:p w14:paraId="02A30F32" w14:textId="77777777" w:rsidR="005C065D" w:rsidRDefault="00BB0F7B" w:rsidP="005C065D">
      <w:pPr>
        <w:spacing w:after="240"/>
        <w:jc w:val="both"/>
        <w:rPr>
          <w:rFonts w:ascii="ITC Avant Garde" w:hAnsi="ITC Avant Garde"/>
          <w:bCs/>
          <w:lang w:val="es-ES" w:eastAsia="es-ES"/>
        </w:rPr>
      </w:pPr>
      <w:r w:rsidRPr="00993CF3">
        <w:rPr>
          <w:rFonts w:ascii="ITC Avant Garde" w:hAnsi="ITC Avant Garde" w:cs="Arial"/>
          <w:b/>
        </w:rPr>
        <w:t>PRIMERO</w:t>
      </w:r>
      <w:r w:rsidRPr="00993CF3">
        <w:rPr>
          <w:rFonts w:ascii="ITC Avant Garde" w:hAnsi="ITC Avant Garde" w:cs="Arial"/>
        </w:rPr>
        <w:t xml:space="preserve">.- La tarifa de interconexión que las empresas </w:t>
      </w:r>
      <w:r w:rsidRPr="00993CF3">
        <w:rPr>
          <w:rFonts w:ascii="ITC Avant Garde" w:eastAsia="Times New Roman" w:hAnsi="ITC Avant Garde"/>
          <w:bCs/>
          <w:lang w:val="es-ES" w:eastAsia="es-ES"/>
        </w:rPr>
        <w:t xml:space="preserve">Axtel, S.A.B. de C.V. y </w:t>
      </w:r>
      <w:proofErr w:type="spellStart"/>
      <w:r w:rsidRPr="00993CF3">
        <w:rPr>
          <w:rFonts w:ascii="ITC Avant Garde" w:eastAsia="Times New Roman" w:hAnsi="ITC Avant Garde"/>
          <w:bCs/>
          <w:lang w:val="es-ES" w:eastAsia="es-ES"/>
        </w:rPr>
        <w:t>Avantel</w:t>
      </w:r>
      <w:proofErr w:type="spellEnd"/>
      <w:r w:rsidRPr="00993CF3">
        <w:rPr>
          <w:rFonts w:ascii="ITC Avant Garde" w:eastAsia="Times New Roman" w:hAnsi="ITC Avant Garde"/>
          <w:bCs/>
          <w:lang w:val="es-ES" w:eastAsia="es-ES"/>
        </w:rPr>
        <w:t>, S. de R.L. de C.V. deberán pagarse de manera recíproca con la empresa</w:t>
      </w:r>
      <w:r w:rsidR="003A726C" w:rsidRPr="00993CF3">
        <w:rPr>
          <w:rFonts w:ascii="ITC Avant Garde" w:eastAsia="Times New Roman" w:hAnsi="ITC Avant Garde"/>
          <w:bCs/>
          <w:lang w:val="es-ES" w:eastAsia="es-ES"/>
        </w:rPr>
        <w:t xml:space="preserve"> Talktel</w:t>
      </w:r>
      <w:r w:rsidRPr="00993CF3">
        <w:rPr>
          <w:rFonts w:ascii="ITC Avant Garde" w:hAnsi="ITC Avant Garde" w:cs="Helvetica"/>
          <w:lang w:eastAsia="es-MX"/>
        </w:rPr>
        <w:t xml:space="preserve">, S.A. de C.V., </w:t>
      </w:r>
      <w:r w:rsidRPr="00993CF3">
        <w:rPr>
          <w:rFonts w:ascii="ITC Avant Garde" w:hAnsi="ITC Avant Garde"/>
          <w:bCs/>
          <w:lang w:val="es-ES" w:eastAsia="es-ES"/>
        </w:rPr>
        <w:t>por servicios de terminación del Servicio Local en usuarios fijos será la siguiente:</w:t>
      </w:r>
    </w:p>
    <w:p w14:paraId="16061751" w14:textId="77777777" w:rsidR="005C065D" w:rsidRDefault="003B0526" w:rsidP="005C065D">
      <w:pPr>
        <w:pStyle w:val="Prrafodelista"/>
        <w:numPr>
          <w:ilvl w:val="0"/>
          <w:numId w:val="13"/>
        </w:numPr>
        <w:spacing w:after="240" w:line="276" w:lineRule="auto"/>
        <w:rPr>
          <w:rFonts w:ascii="ITC Avant Garde" w:hAnsi="ITC Avant Garde"/>
          <w:b/>
          <w:spacing w:val="-4"/>
          <w:lang w:val="es-ES_tradnl"/>
        </w:rPr>
      </w:pPr>
      <w:r w:rsidRPr="00993CF3">
        <w:rPr>
          <w:rFonts w:ascii="ITC Avant Garde" w:hAnsi="ITC Avant Garde"/>
          <w:b/>
          <w:spacing w:val="-4"/>
          <w:lang w:val="es-ES_tradnl"/>
        </w:rPr>
        <w:t xml:space="preserve">Del 1 de enero al 31 de diciembre de 2018, $0.002836 pesos M.N. por minuto de interconexión. </w:t>
      </w:r>
    </w:p>
    <w:p w14:paraId="1599BE25" w14:textId="77777777" w:rsidR="005C065D" w:rsidRDefault="00BB0F7B" w:rsidP="005C065D">
      <w:pPr>
        <w:spacing w:after="240"/>
        <w:jc w:val="both"/>
        <w:rPr>
          <w:rFonts w:ascii="ITC Avant Garde" w:eastAsia="Times New Roman" w:hAnsi="ITC Avant Garde"/>
          <w:lang w:eastAsia="es-ES"/>
        </w:rPr>
      </w:pPr>
      <w:r w:rsidRPr="00993CF3">
        <w:rPr>
          <w:rFonts w:ascii="ITC Avant Garde" w:eastAsia="Times New Roman" w:hAnsi="ITC Avant Garde"/>
          <w:lang w:eastAsia="es-ES"/>
        </w:rPr>
        <w:t>La tarifa anterior ya incluye el costo correspondiente a los puertos necesarios para la interconexión.</w:t>
      </w:r>
    </w:p>
    <w:p w14:paraId="1D9C152F" w14:textId="77777777" w:rsidR="005C065D" w:rsidRDefault="00BB0F7B" w:rsidP="005C065D">
      <w:pPr>
        <w:spacing w:after="240"/>
        <w:jc w:val="both"/>
        <w:rPr>
          <w:rFonts w:ascii="ITC Avant Garde" w:hAnsi="ITC Avant Garde" w:cs="Arial"/>
          <w:b/>
        </w:rPr>
      </w:pPr>
      <w:r w:rsidRPr="00993CF3">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04DA5E0C" w14:textId="77777777" w:rsidR="005C065D" w:rsidRDefault="00BB0F7B" w:rsidP="005C065D">
      <w:pPr>
        <w:spacing w:after="240"/>
        <w:jc w:val="both"/>
        <w:rPr>
          <w:rFonts w:ascii="ITC Avant Garde" w:hAnsi="ITC Avant Garde" w:cs="Arial"/>
        </w:rPr>
      </w:pPr>
      <w:r w:rsidRPr="00993CF3">
        <w:rPr>
          <w:rFonts w:ascii="ITC Avant Garde" w:hAnsi="ITC Avant Garde"/>
          <w:b/>
        </w:rPr>
        <w:t>SEGUNDO.-</w:t>
      </w:r>
      <w:r w:rsidRPr="00993CF3">
        <w:rPr>
          <w:rFonts w:ascii="ITC Avant Garde" w:hAnsi="ITC Avant Garde"/>
        </w:rPr>
        <w:t xml:space="preserve"> </w:t>
      </w:r>
      <w:r w:rsidRPr="00993CF3">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w:t>
      </w:r>
      <w:r w:rsidRPr="00993CF3">
        <w:rPr>
          <w:rFonts w:ascii="ITC Avant Garde" w:eastAsia="Times New Roman" w:hAnsi="ITC Avant Garde"/>
          <w:bCs/>
          <w:lang w:val="es-ES" w:eastAsia="es-ES"/>
        </w:rPr>
        <w:t xml:space="preserve">Axtel, S.A.B. de C.V., </w:t>
      </w:r>
      <w:proofErr w:type="spellStart"/>
      <w:r w:rsidRPr="00993CF3">
        <w:rPr>
          <w:rFonts w:ascii="ITC Avant Garde" w:eastAsia="Times New Roman" w:hAnsi="ITC Avant Garde"/>
          <w:bCs/>
          <w:lang w:val="es-ES" w:eastAsia="es-ES"/>
        </w:rPr>
        <w:t>Avantel</w:t>
      </w:r>
      <w:proofErr w:type="spellEnd"/>
      <w:r w:rsidRPr="00993CF3">
        <w:rPr>
          <w:rFonts w:ascii="ITC Avant Garde" w:eastAsia="Times New Roman" w:hAnsi="ITC Avant Garde"/>
          <w:bCs/>
          <w:lang w:val="es-ES" w:eastAsia="es-ES"/>
        </w:rPr>
        <w:t xml:space="preserve">, S. de R.L. de C.V. y </w:t>
      </w:r>
      <w:r w:rsidR="003B0526" w:rsidRPr="00993CF3">
        <w:rPr>
          <w:rFonts w:ascii="ITC Avant Garde" w:eastAsia="Times New Roman" w:hAnsi="ITC Avant Garde"/>
          <w:bCs/>
          <w:lang w:val="es-ES" w:eastAsia="es-ES"/>
        </w:rPr>
        <w:t xml:space="preserve">la empresa </w:t>
      </w:r>
      <w:r w:rsidR="003A726C" w:rsidRPr="00993CF3">
        <w:rPr>
          <w:rFonts w:ascii="ITC Avant Garde" w:hAnsi="ITC Avant Garde" w:cs="Helvetica"/>
          <w:lang w:eastAsia="es-MX"/>
        </w:rPr>
        <w:t>Talktel</w:t>
      </w:r>
      <w:r w:rsidRPr="00993CF3">
        <w:rPr>
          <w:rFonts w:ascii="ITC Avant Garde" w:hAnsi="ITC Avant Garde" w:cs="Helvetica"/>
          <w:lang w:eastAsia="es-MX"/>
        </w:rPr>
        <w:t>, S.A. de C.V.</w:t>
      </w:r>
      <w:r w:rsidRPr="00993CF3">
        <w:rPr>
          <w:rFonts w:ascii="ITC Avant Garde" w:eastAsia="Times New Roman" w:hAnsi="ITC Avant Garde"/>
          <w:bCs/>
          <w:lang w:val="es-ES" w:eastAsia="es-ES"/>
        </w:rPr>
        <w:t xml:space="preserve">, </w:t>
      </w:r>
      <w:r w:rsidRPr="00993CF3">
        <w:rPr>
          <w:rFonts w:ascii="ITC Avant Garde" w:hAnsi="ITC Avant Garde" w:cs="Arial"/>
        </w:rPr>
        <w:t xml:space="preserve">deberán </w:t>
      </w:r>
      <w:r w:rsidRPr="00993CF3">
        <w:rPr>
          <w:rFonts w:ascii="ITC Avant Garde" w:eastAsia="Times New Roman" w:hAnsi="ITC Avant Garde" w:cs="Arial"/>
        </w:rPr>
        <w:t xml:space="preserve">suscribir </w:t>
      </w:r>
      <w:r w:rsidRPr="00993CF3">
        <w:rPr>
          <w:rFonts w:ascii="ITC Avant Garde" w:hAnsi="ITC Avant Garde" w:cs="Arial"/>
        </w:rPr>
        <w:t>los convenios de interconexión de sus redes públicas de telecomunicaciones conforme a los términos y</w:t>
      </w:r>
      <w:r w:rsidR="003A726C" w:rsidRPr="00993CF3">
        <w:rPr>
          <w:rFonts w:ascii="ITC Avant Garde" w:hAnsi="ITC Avant Garde" w:cs="Arial"/>
        </w:rPr>
        <w:t xml:space="preserve"> condiciones determinados en el Resolutivo PRIMERO </w:t>
      </w:r>
      <w:r w:rsidRPr="00993CF3">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A2DB990" w14:textId="07E55AD5" w:rsidR="005C065D" w:rsidRDefault="003A726C" w:rsidP="005C065D">
      <w:pPr>
        <w:spacing w:after="240"/>
        <w:jc w:val="both"/>
        <w:rPr>
          <w:rFonts w:ascii="ITC Avant Garde" w:hAnsi="ITC Avant Garde"/>
          <w:shd w:val="clear" w:color="auto" w:fill="FFFFFF"/>
        </w:rPr>
      </w:pPr>
      <w:r w:rsidRPr="00993CF3">
        <w:rPr>
          <w:rFonts w:ascii="ITC Avant Garde" w:hAnsi="ITC Avant Garde"/>
          <w:b/>
          <w:shd w:val="clear" w:color="auto" w:fill="FFFFFF"/>
        </w:rPr>
        <w:t>TERCERO</w:t>
      </w:r>
      <w:r w:rsidR="00BB0F7B" w:rsidRPr="00993CF3">
        <w:rPr>
          <w:rFonts w:ascii="ITC Avant Garde" w:hAnsi="ITC Avant Garde"/>
          <w:b/>
          <w:shd w:val="clear" w:color="auto" w:fill="FFFFFF"/>
        </w:rPr>
        <w:t xml:space="preserve">.- </w:t>
      </w:r>
      <w:r w:rsidR="00BB0F7B" w:rsidRPr="00993CF3">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las empresas </w:t>
      </w:r>
      <w:r w:rsidR="00BB0F7B" w:rsidRPr="00993CF3">
        <w:rPr>
          <w:rFonts w:ascii="ITC Avant Garde" w:eastAsia="Times New Roman" w:hAnsi="ITC Avant Garde"/>
          <w:bCs/>
          <w:lang w:val="es-ES" w:eastAsia="es-ES"/>
        </w:rPr>
        <w:t xml:space="preserve">Axtel, S.A.B. de C.V., </w:t>
      </w:r>
      <w:proofErr w:type="spellStart"/>
      <w:r w:rsidR="00BB0F7B" w:rsidRPr="00993CF3">
        <w:rPr>
          <w:rFonts w:ascii="ITC Avant Garde" w:eastAsia="Times New Roman" w:hAnsi="ITC Avant Garde"/>
          <w:bCs/>
          <w:lang w:val="es-ES" w:eastAsia="es-ES"/>
        </w:rPr>
        <w:t>Avantel</w:t>
      </w:r>
      <w:proofErr w:type="spellEnd"/>
      <w:r w:rsidR="00BB0F7B" w:rsidRPr="00993CF3">
        <w:rPr>
          <w:rFonts w:ascii="ITC Avant Garde" w:eastAsia="Times New Roman" w:hAnsi="ITC Avant Garde"/>
          <w:bCs/>
          <w:lang w:val="es-ES" w:eastAsia="es-ES"/>
        </w:rPr>
        <w:t xml:space="preserve">, S. de R.L. de C.V. y </w:t>
      </w:r>
      <w:r w:rsidR="003B0526" w:rsidRPr="00993CF3">
        <w:rPr>
          <w:rFonts w:ascii="ITC Avant Garde" w:eastAsia="Times New Roman" w:hAnsi="ITC Avant Garde"/>
          <w:bCs/>
          <w:lang w:val="es-ES" w:eastAsia="es-ES"/>
        </w:rPr>
        <w:t xml:space="preserve">de la empresa </w:t>
      </w:r>
      <w:r w:rsidRPr="00993CF3">
        <w:rPr>
          <w:rFonts w:ascii="ITC Avant Garde" w:hAnsi="ITC Avant Garde" w:cs="Helvetica"/>
          <w:lang w:eastAsia="es-MX"/>
        </w:rPr>
        <w:t>Talktel</w:t>
      </w:r>
      <w:r w:rsidR="00BB0F7B" w:rsidRPr="00993CF3">
        <w:rPr>
          <w:rFonts w:ascii="ITC Avant Garde" w:hAnsi="ITC Avant Garde" w:cs="Helvetica"/>
          <w:lang w:eastAsia="es-MX"/>
        </w:rPr>
        <w:t>, S.A. de C.V.</w:t>
      </w:r>
      <w:r w:rsidR="00BB0F7B" w:rsidRPr="00993CF3">
        <w:rPr>
          <w:rFonts w:ascii="ITC Avant Garde" w:eastAsia="Times New Roman" w:hAnsi="ITC Avant Garde"/>
          <w:bCs/>
          <w:lang w:val="es-ES" w:eastAsia="es-ES"/>
        </w:rPr>
        <w:t xml:space="preserve">, </w:t>
      </w:r>
      <w:r w:rsidR="00BB0F7B" w:rsidRPr="00993CF3">
        <w:rPr>
          <w:rFonts w:ascii="ITC Avant Garde" w:hAnsi="ITC Avant Garde"/>
          <w:shd w:val="clear" w:color="auto" w:fill="FFFFFF"/>
        </w:rPr>
        <w:t xml:space="preserve">que la presente Resolución constituye un acto administrativo definitivo y por lo tanto, procede ante los Juzgados de Distrito Especializados en Materia de Competencia </w:t>
      </w:r>
      <w:r w:rsidR="00BB0F7B" w:rsidRPr="00993CF3">
        <w:rPr>
          <w:rFonts w:ascii="ITC Avant Garde" w:hAnsi="ITC Avant Garde"/>
          <w:shd w:val="clear" w:color="auto" w:fill="FFFFFF"/>
        </w:rPr>
        <w:lastRenderedPageBreak/>
        <w:t>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AF0EA54" w14:textId="77777777" w:rsidR="005C065D" w:rsidRDefault="003A726C" w:rsidP="005C065D">
      <w:pPr>
        <w:spacing w:after="240"/>
        <w:ind w:right="20"/>
        <w:jc w:val="both"/>
        <w:rPr>
          <w:rFonts w:ascii="ITC Avant Garde" w:eastAsia="Times New Roman" w:hAnsi="ITC Avant Garde" w:cs="Arial"/>
        </w:rPr>
      </w:pPr>
      <w:r w:rsidRPr="00993CF3">
        <w:rPr>
          <w:rFonts w:ascii="ITC Avant Garde" w:eastAsia="Times New Roman" w:hAnsi="ITC Avant Garde"/>
          <w:b/>
          <w:bCs/>
          <w:lang w:eastAsia="es-ES"/>
        </w:rPr>
        <w:t>CUARTO</w:t>
      </w:r>
      <w:r w:rsidR="00BB0F7B" w:rsidRPr="00993CF3">
        <w:rPr>
          <w:rFonts w:ascii="ITC Avant Garde" w:eastAsia="Times New Roman" w:hAnsi="ITC Avant Garde"/>
          <w:b/>
          <w:bCs/>
          <w:lang w:eastAsia="es-ES"/>
        </w:rPr>
        <w:t>.-</w:t>
      </w:r>
      <w:r w:rsidR="00BB0F7B" w:rsidRPr="00993CF3">
        <w:rPr>
          <w:rFonts w:ascii="ITC Avant Garde" w:hAnsi="ITC Avant Garde"/>
        </w:rPr>
        <w:t xml:space="preserve"> </w:t>
      </w:r>
      <w:r w:rsidR="00BB0F7B" w:rsidRPr="00993CF3">
        <w:rPr>
          <w:rFonts w:ascii="ITC Avant Garde" w:hAnsi="ITC Avant Garde" w:cs="Arial"/>
        </w:rPr>
        <w:t xml:space="preserve">Notifíquese personalmente a los representantes legales de </w:t>
      </w:r>
      <w:r w:rsidR="00BB0F7B" w:rsidRPr="00993CF3">
        <w:rPr>
          <w:rFonts w:ascii="ITC Avant Garde" w:hAnsi="ITC Avant Garde"/>
        </w:rPr>
        <w:t xml:space="preserve">las empresas </w:t>
      </w:r>
      <w:r w:rsidR="00BB0F7B" w:rsidRPr="00993CF3">
        <w:rPr>
          <w:rFonts w:ascii="ITC Avant Garde" w:eastAsia="Times New Roman" w:hAnsi="ITC Avant Garde"/>
          <w:bCs/>
          <w:lang w:val="es-ES" w:eastAsia="es-ES"/>
        </w:rPr>
        <w:t xml:space="preserve">Axtel, S.A.B. de C.V., </w:t>
      </w:r>
      <w:proofErr w:type="spellStart"/>
      <w:r w:rsidR="00BB0F7B" w:rsidRPr="00993CF3">
        <w:rPr>
          <w:rFonts w:ascii="ITC Avant Garde" w:eastAsia="Times New Roman" w:hAnsi="ITC Avant Garde"/>
          <w:bCs/>
          <w:lang w:val="es-ES" w:eastAsia="es-ES"/>
        </w:rPr>
        <w:t>Avantel</w:t>
      </w:r>
      <w:proofErr w:type="spellEnd"/>
      <w:r w:rsidR="00BB0F7B" w:rsidRPr="00993CF3">
        <w:rPr>
          <w:rFonts w:ascii="ITC Avant Garde" w:eastAsia="Times New Roman" w:hAnsi="ITC Avant Garde"/>
          <w:bCs/>
          <w:lang w:val="es-ES" w:eastAsia="es-ES"/>
        </w:rPr>
        <w:t xml:space="preserve">, S. de R.L. de C.V. y </w:t>
      </w:r>
      <w:r w:rsidRPr="00993CF3">
        <w:rPr>
          <w:rFonts w:ascii="ITC Avant Garde" w:hAnsi="ITC Avant Garde" w:cs="Helvetica"/>
          <w:lang w:eastAsia="es-MX"/>
        </w:rPr>
        <w:t>Talktel</w:t>
      </w:r>
      <w:r w:rsidR="00BB0F7B" w:rsidRPr="00993CF3">
        <w:rPr>
          <w:rFonts w:ascii="ITC Avant Garde" w:hAnsi="ITC Avant Garde" w:cs="Helvetica"/>
          <w:lang w:eastAsia="es-MX"/>
        </w:rPr>
        <w:t>, S.A. de C.V.</w:t>
      </w:r>
      <w:r w:rsidR="00BB0F7B" w:rsidRPr="00993CF3">
        <w:rPr>
          <w:rFonts w:ascii="ITC Avant Garde" w:eastAsia="Times New Roman" w:hAnsi="ITC Avant Garde"/>
          <w:bCs/>
          <w:lang w:val="es-ES" w:eastAsia="es-ES"/>
        </w:rPr>
        <w:t xml:space="preserve">, </w:t>
      </w:r>
      <w:r w:rsidR="00BB0F7B" w:rsidRPr="00993CF3">
        <w:rPr>
          <w:rFonts w:ascii="ITC Avant Garde" w:hAnsi="ITC Avant Garde" w:cs="Arial"/>
          <w:bCs/>
        </w:rPr>
        <w:t>el</w:t>
      </w:r>
      <w:r w:rsidR="00BB0F7B" w:rsidRPr="00993CF3">
        <w:rPr>
          <w:rFonts w:ascii="ITC Avant Garde" w:hAnsi="ITC Avant Garde" w:cs="Arial"/>
        </w:rPr>
        <w:t xml:space="preserve"> contenido de la presente Resolución, en términos de lo establecido en el artículo 129, fracción VIII de la Ley Federal de Telecomunicaciones y Radiodifusión.</w:t>
      </w:r>
    </w:p>
    <w:p w14:paraId="51944038" w14:textId="19EAACB9" w:rsidR="0050303F" w:rsidRDefault="0050303F" w:rsidP="005C065D">
      <w:pPr>
        <w:spacing w:after="240"/>
        <w:jc w:val="both"/>
        <w:rPr>
          <w:rFonts w:ascii="ITC Avant Garde" w:hAnsi="ITC Avant Garde" w:cs="Arial"/>
          <w:b/>
          <w:sz w:val="20"/>
        </w:rPr>
      </w:pPr>
    </w:p>
    <w:p w14:paraId="2E38763B" w14:textId="77777777" w:rsidR="005C065D" w:rsidRDefault="000A4E0C" w:rsidP="005C065D">
      <w:pPr>
        <w:pStyle w:val="Prrafodelista"/>
        <w:spacing w:after="240"/>
        <w:ind w:left="0"/>
        <w:rPr>
          <w:rFonts w:ascii="ITC Avant Garde" w:hAnsi="ITC Avant Garde"/>
          <w:sz w:val="12"/>
          <w:lang w:eastAsia="en-US"/>
        </w:rPr>
      </w:pPr>
      <w:r w:rsidRPr="000A4E0C">
        <w:rPr>
          <w:rFonts w:ascii="ITC Avant Garde" w:hAnsi="ITC Avant Garde"/>
          <w:sz w:val="12"/>
        </w:rPr>
        <w:t xml:space="preserve">La presente Resolución fue aprobada por el Pleno del Instituto Federal de Telecomunicaciones en su XLVIII Sesión Ordinaria celebrada el 22 de noviembre de 2017, </w:t>
      </w:r>
      <w:r w:rsidRPr="000A4E0C">
        <w:rPr>
          <w:rFonts w:ascii="ITC Avant Garde" w:hAnsi="ITC Avant Garde"/>
          <w:bCs/>
          <w:sz w:val="12"/>
        </w:rPr>
        <w:t>por unanimidad</w:t>
      </w:r>
      <w:r w:rsidRPr="000A4E0C">
        <w:rPr>
          <w:rFonts w:ascii="ITC Avant Garde" w:hAnsi="ITC Avant Garde"/>
          <w:sz w:val="12"/>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P/IFT/221117/721.</w:t>
      </w:r>
    </w:p>
    <w:p w14:paraId="64EBA089" w14:textId="466D6A01" w:rsidR="000A4E0C" w:rsidRPr="00993CF3" w:rsidRDefault="000A4E0C" w:rsidP="00617272">
      <w:pPr>
        <w:pStyle w:val="N1IFT"/>
        <w:spacing w:after="240"/>
        <w:rPr>
          <w:rFonts w:cs="Arial"/>
          <w:sz w:val="21"/>
          <w:szCs w:val="21"/>
        </w:rPr>
      </w:pPr>
      <w:r w:rsidRPr="000A4E0C">
        <w:rPr>
          <w:sz w:val="12"/>
          <w:lang w:val="es-ES"/>
        </w:rPr>
        <w:t>La Comisionada Adriana Sofía Labardini Inzunza</w:t>
      </w:r>
      <w:r w:rsidRPr="000A4E0C">
        <w:rPr>
          <w:bCs/>
          <w:sz w:val="12"/>
          <w:lang w:val="es-ES"/>
        </w:rPr>
        <w:t xml:space="preserve"> </w:t>
      </w:r>
      <w:r w:rsidRPr="000A4E0C">
        <w:rPr>
          <w:sz w:val="12"/>
          <w:lang w:val="es-ES"/>
        </w:rPr>
        <w:t>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3" w:name="_GoBack"/>
      <w:bookmarkEnd w:id="3"/>
    </w:p>
    <w:sectPr w:rsidR="000A4E0C" w:rsidRPr="00993CF3" w:rsidSect="0050303F">
      <w:headerReference w:type="even" r:id="rId11"/>
      <w:footerReference w:type="default" r:id="rId12"/>
      <w:headerReference w:type="first" r:id="rId13"/>
      <w:pgSz w:w="12240" w:h="15840"/>
      <w:pgMar w:top="204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33BD3" w14:textId="77777777" w:rsidR="007E025D" w:rsidRDefault="007E025D">
      <w:pPr>
        <w:spacing w:after="0" w:line="240" w:lineRule="auto"/>
      </w:pPr>
      <w:r>
        <w:separator/>
      </w:r>
    </w:p>
  </w:endnote>
  <w:endnote w:type="continuationSeparator" w:id="0">
    <w:p w14:paraId="44AEDB9A" w14:textId="77777777" w:rsidR="007E025D" w:rsidRDefault="007E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altName w:val="Verdana"/>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4787462B" w14:textId="77777777" w:rsidR="00A33C4A" w:rsidRPr="00874E04" w:rsidRDefault="009F7EC1">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617272" w:rsidRPr="00617272">
          <w:rPr>
            <w:rFonts w:ascii="ITC Avant Garde" w:hAnsi="ITC Avant Garde"/>
            <w:noProof/>
            <w:sz w:val="20"/>
            <w:szCs w:val="20"/>
            <w:lang w:val="es-ES"/>
          </w:rPr>
          <w:t>11</w:t>
        </w:r>
        <w:r w:rsidRPr="00874E04">
          <w:rPr>
            <w:rFonts w:ascii="ITC Avant Garde" w:hAnsi="ITC Avant Garde"/>
            <w:sz w:val="20"/>
            <w:szCs w:val="20"/>
          </w:rPr>
          <w:fldChar w:fldCharType="end"/>
        </w:r>
      </w:p>
    </w:sdtContent>
  </w:sdt>
  <w:p w14:paraId="2B9BC4A0" w14:textId="77777777" w:rsidR="00A33C4A" w:rsidRPr="00DB22C1" w:rsidRDefault="007E025D">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F6BDC" w14:textId="77777777" w:rsidR="007E025D" w:rsidRDefault="007E025D">
      <w:pPr>
        <w:spacing w:after="0" w:line="240" w:lineRule="auto"/>
      </w:pPr>
      <w:r>
        <w:separator/>
      </w:r>
    </w:p>
  </w:footnote>
  <w:footnote w:type="continuationSeparator" w:id="0">
    <w:p w14:paraId="321B839B" w14:textId="77777777" w:rsidR="007E025D" w:rsidRDefault="007E0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0B4DB" w14:textId="77777777" w:rsidR="00A33C4A" w:rsidRDefault="007E025D">
    <w:pPr>
      <w:pStyle w:val="Encabezado"/>
    </w:pPr>
    <w:r>
      <w:rPr>
        <w:noProof/>
        <w:lang w:eastAsia="es-MX"/>
      </w:rPr>
      <w:pict w14:anchorId="40724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EA3B" w14:textId="77777777" w:rsidR="00A33C4A" w:rsidRDefault="007E025D">
    <w:pPr>
      <w:pStyle w:val="Encabezado"/>
    </w:pPr>
    <w:r>
      <w:rPr>
        <w:noProof/>
        <w:lang w:eastAsia="es-MX"/>
      </w:rPr>
      <w:pict w14:anchorId="7A19D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B50"/>
    <w:multiLevelType w:val="hybridMultilevel"/>
    <w:tmpl w:val="0060DD02"/>
    <w:lvl w:ilvl="0" w:tplc="54141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326363"/>
    <w:multiLevelType w:val="hybridMultilevel"/>
    <w:tmpl w:val="B4220AB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A54490"/>
    <w:multiLevelType w:val="hybridMultilevel"/>
    <w:tmpl w:val="FAE4B8FE"/>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DB23A2"/>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CD09A6"/>
    <w:multiLevelType w:val="multilevel"/>
    <w:tmpl w:val="9A424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EE47B51"/>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F6F49D9"/>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30B396C"/>
    <w:multiLevelType w:val="hybridMultilevel"/>
    <w:tmpl w:val="C434B7E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8E45C5"/>
    <w:multiLevelType w:val="hybridMultilevel"/>
    <w:tmpl w:val="1AE045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9C22B9"/>
    <w:multiLevelType w:val="multilevel"/>
    <w:tmpl w:val="77403728"/>
    <w:lvl w:ilvl="0">
      <w:start w:val="1"/>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num w:numId="1">
    <w:abstractNumId w:val="8"/>
  </w:num>
  <w:num w:numId="2">
    <w:abstractNumId w:val="1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
  </w:num>
  <w:num w:numId="8">
    <w:abstractNumId w:val="9"/>
  </w:num>
  <w:num w:numId="9">
    <w:abstractNumId w:val="6"/>
  </w:num>
  <w:num w:numId="10">
    <w:abstractNumId w:val="13"/>
  </w:num>
  <w:num w:numId="11">
    <w:abstractNumId w:val="2"/>
  </w:num>
  <w:num w:numId="12">
    <w:abstractNumId w:val="7"/>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7B"/>
    <w:rsid w:val="00020490"/>
    <w:rsid w:val="00044FA8"/>
    <w:rsid w:val="000A4E0C"/>
    <w:rsid w:val="0011302E"/>
    <w:rsid w:val="001978E2"/>
    <w:rsid w:val="001A3033"/>
    <w:rsid w:val="001A7CC4"/>
    <w:rsid w:val="001D618B"/>
    <w:rsid w:val="00226E86"/>
    <w:rsid w:val="00243259"/>
    <w:rsid w:val="0025462C"/>
    <w:rsid w:val="002B6355"/>
    <w:rsid w:val="002C0BD1"/>
    <w:rsid w:val="00326EBE"/>
    <w:rsid w:val="00362FAA"/>
    <w:rsid w:val="00381C51"/>
    <w:rsid w:val="003A726C"/>
    <w:rsid w:val="003B0526"/>
    <w:rsid w:val="0045031E"/>
    <w:rsid w:val="00472CD1"/>
    <w:rsid w:val="004735C9"/>
    <w:rsid w:val="0048075C"/>
    <w:rsid w:val="004B0137"/>
    <w:rsid w:val="004C0544"/>
    <w:rsid w:val="004C5910"/>
    <w:rsid w:val="0050303F"/>
    <w:rsid w:val="00557868"/>
    <w:rsid w:val="005637ED"/>
    <w:rsid w:val="00582BEE"/>
    <w:rsid w:val="005C065D"/>
    <w:rsid w:val="00617272"/>
    <w:rsid w:val="00636ACC"/>
    <w:rsid w:val="006C6855"/>
    <w:rsid w:val="00705C84"/>
    <w:rsid w:val="007145F6"/>
    <w:rsid w:val="007660FB"/>
    <w:rsid w:val="007E025D"/>
    <w:rsid w:val="007E164A"/>
    <w:rsid w:val="008428F4"/>
    <w:rsid w:val="009525BF"/>
    <w:rsid w:val="00993CF3"/>
    <w:rsid w:val="009B3756"/>
    <w:rsid w:val="009E2367"/>
    <w:rsid w:val="009F7EC1"/>
    <w:rsid w:val="00A4352C"/>
    <w:rsid w:val="00A90A28"/>
    <w:rsid w:val="00A9353B"/>
    <w:rsid w:val="00B15F47"/>
    <w:rsid w:val="00BA0F50"/>
    <w:rsid w:val="00BB0F7B"/>
    <w:rsid w:val="00BB0FD9"/>
    <w:rsid w:val="00BE0322"/>
    <w:rsid w:val="00C0650D"/>
    <w:rsid w:val="00C33F01"/>
    <w:rsid w:val="00C768B0"/>
    <w:rsid w:val="00C86F16"/>
    <w:rsid w:val="00D20BA6"/>
    <w:rsid w:val="00DB458A"/>
    <w:rsid w:val="00DB72CF"/>
    <w:rsid w:val="00DB74E8"/>
    <w:rsid w:val="00E019F6"/>
    <w:rsid w:val="00E517DB"/>
    <w:rsid w:val="00EA50B7"/>
    <w:rsid w:val="00EC3FFC"/>
    <w:rsid w:val="00EF54FF"/>
    <w:rsid w:val="00F5777B"/>
    <w:rsid w:val="00FA4C33"/>
    <w:rsid w:val="00FD53C2"/>
    <w:rsid w:val="00FE3B1C"/>
    <w:rsid w:val="00FE52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8DB796"/>
  <w15:chartTrackingRefBased/>
  <w15:docId w15:val="{C5FA30F2-665A-4898-B44C-7C23FD37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F7B"/>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C06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06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0F7B"/>
    <w:rPr>
      <w:rFonts w:ascii="Calibri" w:eastAsia="Calibri" w:hAnsi="Calibri" w:cs="Times New Roman"/>
    </w:rPr>
  </w:style>
  <w:style w:type="paragraph" w:styleId="Piedepgina">
    <w:name w:val="footer"/>
    <w:basedOn w:val="Normal"/>
    <w:link w:val="PiedepginaCar"/>
    <w:uiPriority w:val="99"/>
    <w:unhideWhenUsed/>
    <w:rsid w:val="00BB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0F7B"/>
    <w:rPr>
      <w:rFonts w:ascii="Calibri" w:eastAsia="Calibri" w:hAnsi="Calibri" w:cs="Times New Roman"/>
    </w:rPr>
  </w:style>
  <w:style w:type="paragraph" w:styleId="Textoindependiente">
    <w:name w:val="Body Text"/>
    <w:basedOn w:val="Normal"/>
    <w:link w:val="TextoindependienteCar"/>
    <w:rsid w:val="00BB0F7B"/>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BB0F7B"/>
    <w:rPr>
      <w:rFonts w:ascii="Arial" w:eastAsia="Times New Roman" w:hAnsi="Arial" w:cs="Times New Roman"/>
      <w:szCs w:val="20"/>
    </w:rPr>
  </w:style>
  <w:style w:type="paragraph" w:customStyle="1" w:styleId="TEXT">
    <w:name w:val="TEXT"/>
    <w:basedOn w:val="Normal"/>
    <w:rsid w:val="00BB0F7B"/>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BB0F7B"/>
    <w:pPr>
      <w:spacing w:after="0" w:line="240" w:lineRule="auto"/>
      <w:ind w:left="708"/>
      <w:jc w:val="both"/>
    </w:pPr>
    <w:rPr>
      <w:rFonts w:ascii="Arial" w:eastAsia="Times New Roman" w:hAnsi="Arial"/>
      <w:szCs w:val="24"/>
      <w:lang w:eastAsia="es-ES"/>
    </w:rPr>
  </w:style>
  <w:style w:type="paragraph" w:customStyle="1" w:styleId="Texto">
    <w:name w:val="Texto"/>
    <w:basedOn w:val="Normal"/>
    <w:rsid w:val="00BB0F7B"/>
    <w:pPr>
      <w:spacing w:after="101" w:line="216" w:lineRule="exact"/>
      <w:ind w:firstLine="288"/>
      <w:jc w:val="both"/>
    </w:pPr>
    <w:rPr>
      <w:rFonts w:ascii="Arial" w:eastAsia="Times New Roman" w:hAnsi="Arial" w:cs="Arial"/>
      <w:sz w:val="18"/>
      <w:szCs w:val="18"/>
      <w:lang w:val="es-ES"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BB0F7B"/>
    <w:rPr>
      <w:rFonts w:ascii="Arial" w:eastAsia="Times New Roman" w:hAnsi="Arial" w:cs="Times New Roman"/>
      <w:szCs w:val="24"/>
      <w:lang w:eastAsia="es-ES"/>
    </w:rPr>
  </w:style>
  <w:style w:type="paragraph" w:customStyle="1" w:styleId="IFTnormal">
    <w:name w:val="IFT normal"/>
    <w:basedOn w:val="Normal"/>
    <w:link w:val="IFTnormalCar"/>
    <w:qFormat/>
    <w:rsid w:val="00BB0F7B"/>
    <w:pPr>
      <w:ind w:left="426"/>
      <w:jc w:val="both"/>
    </w:pPr>
    <w:rPr>
      <w:rFonts w:ascii="ITC Avant Garde" w:eastAsia="Times New Roman" w:hAnsi="ITC Avant Garde"/>
      <w:iCs/>
      <w:lang w:val="es-ES" w:eastAsia="es-MX"/>
    </w:rPr>
  </w:style>
  <w:style w:type="character" w:customStyle="1" w:styleId="IFTnormalCar">
    <w:name w:val="IFT normal Car"/>
    <w:basedOn w:val="Fuentedeprrafopredeter"/>
    <w:link w:val="IFTnormal"/>
    <w:locked/>
    <w:rsid w:val="00BB0F7B"/>
    <w:rPr>
      <w:rFonts w:ascii="ITC Avant Garde" w:eastAsia="Times New Roman" w:hAnsi="ITC Avant Garde" w:cs="Times New Roman"/>
      <w:iCs/>
      <w:lang w:val="es-ES" w:eastAsia="es-MX"/>
    </w:rPr>
  </w:style>
  <w:style w:type="character" w:styleId="Refdecomentario">
    <w:name w:val="annotation reference"/>
    <w:basedOn w:val="Fuentedeprrafopredeter"/>
    <w:uiPriority w:val="99"/>
    <w:unhideWhenUsed/>
    <w:rsid w:val="00BB0F7B"/>
    <w:rPr>
      <w:sz w:val="16"/>
      <w:szCs w:val="16"/>
    </w:rPr>
  </w:style>
  <w:style w:type="paragraph" w:styleId="Textocomentario">
    <w:name w:val="annotation text"/>
    <w:basedOn w:val="Normal"/>
    <w:link w:val="TextocomentarioCar"/>
    <w:uiPriority w:val="99"/>
    <w:unhideWhenUsed/>
    <w:rsid w:val="00BB0F7B"/>
    <w:pPr>
      <w:spacing w:line="240" w:lineRule="auto"/>
    </w:pPr>
    <w:rPr>
      <w:sz w:val="20"/>
      <w:szCs w:val="20"/>
    </w:rPr>
  </w:style>
  <w:style w:type="character" w:customStyle="1" w:styleId="TextocomentarioCar">
    <w:name w:val="Texto comentario Car"/>
    <w:basedOn w:val="Fuentedeprrafopredeter"/>
    <w:link w:val="Textocomentario"/>
    <w:uiPriority w:val="99"/>
    <w:rsid w:val="00BB0F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B0F7B"/>
    <w:rPr>
      <w:b/>
      <w:bCs/>
    </w:rPr>
  </w:style>
  <w:style w:type="character" w:customStyle="1" w:styleId="AsuntodelcomentarioCar">
    <w:name w:val="Asunto del comentario Car"/>
    <w:basedOn w:val="TextocomentarioCar"/>
    <w:link w:val="Asuntodelcomentario"/>
    <w:uiPriority w:val="99"/>
    <w:semiHidden/>
    <w:rsid w:val="00BB0F7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B0F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F7B"/>
    <w:rPr>
      <w:rFonts w:ascii="Segoe UI" w:eastAsia="Calibri" w:hAnsi="Segoe UI" w:cs="Segoe UI"/>
      <w:sz w:val="18"/>
      <w:szCs w:val="18"/>
    </w:rPr>
  </w:style>
  <w:style w:type="table" w:styleId="Tablaconcuadrcula">
    <w:name w:val="Table Grid"/>
    <w:basedOn w:val="Tablanormal"/>
    <w:uiPriority w:val="59"/>
    <w:rsid w:val="0050303F"/>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0A4E0C"/>
    <w:rPr>
      <w:rFonts w:ascii="ITC Avant Garde" w:hAnsi="ITC Avant Garde"/>
      <w:color w:val="000000"/>
      <w:lang w:eastAsia="es-ES"/>
    </w:rPr>
  </w:style>
  <w:style w:type="paragraph" w:customStyle="1" w:styleId="N1IFT">
    <w:name w:val="N1 IFT"/>
    <w:basedOn w:val="Normal"/>
    <w:link w:val="N1IFTCar"/>
    <w:rsid w:val="000A4E0C"/>
    <w:pPr>
      <w:snapToGrid w:val="0"/>
      <w:spacing w:after="0" w:line="240" w:lineRule="auto"/>
      <w:jc w:val="both"/>
    </w:pPr>
    <w:rPr>
      <w:rFonts w:ascii="ITC Avant Garde" w:eastAsiaTheme="minorHAnsi" w:hAnsi="ITC Avant Garde" w:cstheme="minorBidi"/>
      <w:color w:val="000000"/>
      <w:lang w:eastAsia="es-ES"/>
    </w:rPr>
  </w:style>
  <w:style w:type="character" w:customStyle="1" w:styleId="Ttulo1Car">
    <w:name w:val="Título 1 Car"/>
    <w:basedOn w:val="Fuentedeprrafopredeter"/>
    <w:link w:val="Ttulo1"/>
    <w:uiPriority w:val="9"/>
    <w:rsid w:val="005C065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C06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40750">
      <w:bodyDiv w:val="1"/>
      <w:marLeft w:val="0"/>
      <w:marRight w:val="0"/>
      <w:marTop w:val="0"/>
      <w:marBottom w:val="0"/>
      <w:divBdr>
        <w:top w:val="none" w:sz="0" w:space="0" w:color="auto"/>
        <w:left w:val="none" w:sz="0" w:space="0" w:color="auto"/>
        <w:bottom w:val="none" w:sz="0" w:space="0" w:color="auto"/>
        <w:right w:val="none" w:sz="0" w:space="0" w:color="auto"/>
      </w:divBdr>
    </w:div>
    <w:div w:id="10093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D671392FB8144DBE8C962A260A6E1D" ma:contentTypeVersion="0" ma:contentTypeDescription="Crear nuevo documento." ma:contentTypeScope="" ma:versionID="68bfd4a2646644a356bc2b796405ec4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FF29-DFA2-4007-A1F4-DAF053DFC5E5}">
  <ds:schemaRefs>
    <ds:schemaRef ds:uri="http://schemas.microsoft.com/sharepoint/v3/contenttype/forms"/>
  </ds:schemaRefs>
</ds:datastoreItem>
</file>

<file path=customXml/itemProps2.xml><?xml version="1.0" encoding="utf-8"?>
<ds:datastoreItem xmlns:ds="http://schemas.openxmlformats.org/officeDocument/2006/customXml" ds:itemID="{FBCF57ED-F4F5-4C89-8762-9E1E67BE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CC58AB-F398-40A2-BFBD-7D3C0A108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97986B-8C1A-49E1-BAA6-C10DC99A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4455</Words>
  <Characters>24503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 Diaz Garcia</dc:creator>
  <cp:keywords/>
  <dc:description/>
  <cp:lastModifiedBy>Mario Alonso Cruz</cp:lastModifiedBy>
  <cp:revision>7</cp:revision>
  <dcterms:created xsi:type="dcterms:W3CDTF">2017-11-22T02:42:00Z</dcterms:created>
  <dcterms:modified xsi:type="dcterms:W3CDTF">2017-12-05T00:52:00Z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0x010100FFD671392FB8144DBE8C962A260A6E1D</vt:lpwstr>
  </property>
</Properties>
</file>