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59C41" w14:textId="17722524" w:rsidR="005A0586" w:rsidRPr="003B2E09" w:rsidRDefault="007957CA" w:rsidP="00175A95">
      <w:pPr>
        <w:pStyle w:val="Ttulo3"/>
        <w:spacing w:before="360" w:after="480" w:line="240" w:lineRule="auto"/>
        <w:jc w:val="both"/>
        <w:rPr>
          <w:rFonts w:ascii="ITC Avant Garde" w:hAnsi="ITC Avant Garde"/>
          <w:b/>
          <w:color w:val="auto"/>
          <w:sz w:val="22"/>
          <w:szCs w:val="22"/>
          <w:lang w:eastAsia="ar-SA"/>
        </w:rPr>
      </w:pPr>
      <w:r w:rsidRPr="003B2E09">
        <w:rPr>
          <w:rFonts w:ascii="ITC Avant Garde" w:hAnsi="ITC Avant Garde"/>
          <w:b/>
          <w:color w:val="auto"/>
          <w:sz w:val="22"/>
          <w:szCs w:val="22"/>
          <w:lang w:eastAsia="ar-SA"/>
        </w:rPr>
        <w:t xml:space="preserve">ACUERDO POR EL QUE EL PLENO DEL INSTITUTO FEDERAL DE TELECOMUNICACIONES ACTUALIZA </w:t>
      </w:r>
      <w:r w:rsidR="00EB5BFC" w:rsidRPr="003B2E09">
        <w:rPr>
          <w:rFonts w:ascii="ITC Avant Garde" w:hAnsi="ITC Avant Garde"/>
          <w:b/>
          <w:color w:val="auto"/>
          <w:sz w:val="22"/>
          <w:szCs w:val="22"/>
          <w:lang w:eastAsia="ar-SA"/>
        </w:rPr>
        <w:t xml:space="preserve">EL </w:t>
      </w:r>
      <w:r w:rsidRPr="003B2E09">
        <w:rPr>
          <w:rFonts w:ascii="ITC Avant Garde" w:hAnsi="ITC Avant Garde"/>
          <w:b/>
          <w:color w:val="auto"/>
          <w:sz w:val="22"/>
          <w:szCs w:val="22"/>
          <w:lang w:eastAsia="ar-SA"/>
        </w:rPr>
        <w:t>LISTA</w:t>
      </w:r>
      <w:r w:rsidR="00EB5BFC" w:rsidRPr="003B2E09">
        <w:rPr>
          <w:rFonts w:ascii="ITC Avant Garde" w:hAnsi="ITC Avant Garde"/>
          <w:b/>
          <w:color w:val="auto"/>
          <w:sz w:val="22"/>
          <w:szCs w:val="22"/>
          <w:lang w:eastAsia="ar-SA"/>
        </w:rPr>
        <w:t>DO</w:t>
      </w:r>
      <w:r w:rsidRPr="003B2E09">
        <w:rPr>
          <w:rFonts w:ascii="ITC Avant Garde" w:hAnsi="ITC Avant Garde"/>
          <w:b/>
          <w:color w:val="auto"/>
          <w:sz w:val="22"/>
          <w:szCs w:val="22"/>
          <w:lang w:eastAsia="ar-SA"/>
        </w:rPr>
        <w:t xml:space="preserve"> DE LOS CONTENIDOS AUDIOVISUALES RELEVANTES </w:t>
      </w:r>
      <w:r w:rsidR="00EB5BFC" w:rsidRPr="003B2E09">
        <w:rPr>
          <w:rFonts w:ascii="ITC Avant Garde" w:hAnsi="ITC Avant Garde"/>
          <w:b/>
          <w:color w:val="auto"/>
          <w:sz w:val="22"/>
          <w:szCs w:val="22"/>
          <w:lang w:eastAsia="ar-SA"/>
        </w:rPr>
        <w:t xml:space="preserve">EN TÉRMINOS Y </w:t>
      </w:r>
      <w:r w:rsidRPr="003B2E09">
        <w:rPr>
          <w:rFonts w:ascii="ITC Avant Garde" w:hAnsi="ITC Avant Garde"/>
          <w:b/>
          <w:color w:val="auto"/>
          <w:sz w:val="22"/>
          <w:szCs w:val="22"/>
          <w:lang w:eastAsia="ar-SA"/>
        </w:rPr>
        <w:t xml:space="preserve">PARA LOS EFECTOS DE LA MEDIDA CUARTA DEL ANEXO 4 DE LA </w:t>
      </w:r>
      <w:r w:rsidR="006C5C9B" w:rsidRPr="003B2E09">
        <w:rPr>
          <w:rFonts w:ascii="ITC Avant Garde" w:hAnsi="ITC Avant Garde"/>
          <w:b/>
          <w:color w:val="auto"/>
          <w:sz w:val="22"/>
          <w:szCs w:val="22"/>
          <w:lang w:eastAsia="ar-SA"/>
        </w:rPr>
        <w:t>“</w:t>
      </w:r>
      <w:r w:rsidR="0042589F" w:rsidRPr="003B2E09">
        <w:rPr>
          <w:rFonts w:ascii="ITC Avant Garde" w:hAnsi="ITC Avant Garde"/>
          <w:b/>
          <w:color w:val="auto"/>
          <w:sz w:val="22"/>
          <w:szCs w:val="22"/>
          <w:lang w:eastAsia="ar-SA"/>
        </w:rPr>
        <w:t xml:space="preserve">RESOLUCIÓN MEDIANTE LA CUAL EL PLENO DEL INSTITUTO FEDERAL DE TELECOMUNICACIONES DETERMINA AL GRUPO DE INTERÉS ECONÓMICO DEL QUE FORMAN PARTE AMÉRICA MÓVIL, S.A.B. DE C.V., TELÉFONOS DE MÉXICO, S.A.B. DE C.V., TELÉFONOS DEL NOROESTE, S.A. DE C.V., RADIOMÓVIL DIPSA, S.A. DE C.V., GRUPO CARSO, S.A.B. DE C.V., Y GRUPO FINANCIERO INBURSA, S.A.B. DE C.V., COMO AGENTE ECONÓMICO PREPONDERANTE EN EL SECTOR DE TELECOMUNICACIONES Y LE IMPONE LAS MEDIDAS NECESARIAS PARA EVITAR QUE SE AFECTE LA COMPETENCIA Y LA LIBRE CONCURRENCIA” </w:t>
      </w:r>
      <w:r w:rsidRPr="003B2E09">
        <w:rPr>
          <w:rFonts w:ascii="ITC Avant Garde" w:hAnsi="ITC Avant Garde"/>
          <w:b/>
          <w:color w:val="auto"/>
          <w:sz w:val="22"/>
          <w:szCs w:val="22"/>
          <w:lang w:eastAsia="ar-SA"/>
        </w:rPr>
        <w:t>Y LA MEDIDA DÉCIMO OCTAVA D</w:t>
      </w:r>
      <w:bookmarkStart w:id="0" w:name="_GoBack"/>
      <w:bookmarkEnd w:id="0"/>
      <w:r w:rsidRPr="003B2E09">
        <w:rPr>
          <w:rFonts w:ascii="ITC Avant Garde" w:hAnsi="ITC Avant Garde"/>
          <w:b/>
          <w:color w:val="auto"/>
          <w:sz w:val="22"/>
          <w:szCs w:val="22"/>
          <w:lang w:eastAsia="ar-SA"/>
        </w:rPr>
        <w:t>E</w:t>
      </w:r>
      <w:r w:rsidR="006C5C9B" w:rsidRPr="003B2E09">
        <w:rPr>
          <w:rFonts w:ascii="ITC Avant Garde" w:hAnsi="ITC Avant Garde"/>
          <w:b/>
          <w:color w:val="auto"/>
          <w:sz w:val="22"/>
          <w:szCs w:val="22"/>
          <w:lang w:eastAsia="ar-SA"/>
        </w:rPr>
        <w:t>L ANEXO 1 DE</w:t>
      </w:r>
      <w:r w:rsidRPr="003B2E09">
        <w:rPr>
          <w:rFonts w:ascii="ITC Avant Garde" w:hAnsi="ITC Avant Garde"/>
          <w:b/>
          <w:color w:val="auto"/>
          <w:sz w:val="22"/>
          <w:szCs w:val="22"/>
          <w:lang w:eastAsia="ar-SA"/>
        </w:rPr>
        <w:t xml:space="preserve"> LA </w:t>
      </w:r>
      <w:r w:rsidR="000D7CFF" w:rsidRPr="003B2E09">
        <w:rPr>
          <w:rFonts w:ascii="ITC Avant Garde" w:hAnsi="ITC Avant Garde"/>
          <w:b/>
          <w:color w:val="auto"/>
          <w:sz w:val="22"/>
          <w:szCs w:val="22"/>
          <w:lang w:eastAsia="ar-SA"/>
        </w:rPr>
        <w:t xml:space="preserve">“RESOLUCIÓN MEDIANTE LA CUAL EL PLENO DEL INSTITUTO FEDERAL DE TELECOMUNICACIONES SUPRIME, MODIFICA Y ADICIONA LAS MEDIDAS IMPUESTAS AL AGENTE ECONÓMICO PREPONDERANTE EN EL SECTOR DE </w:t>
      </w:r>
      <w:r w:rsidR="000D7CFF" w:rsidRPr="003B2E09">
        <w:rPr>
          <w:rFonts w:ascii="ITC Avant Garde" w:hAnsi="ITC Avant Garde"/>
          <w:b/>
          <w:color w:val="auto"/>
          <w:sz w:val="22"/>
          <w:szCs w:val="22"/>
          <w:lang w:eastAsia="es-MX"/>
        </w:rPr>
        <w:t>RADIODIFUSIÓN</w:t>
      </w:r>
      <w:r w:rsidR="000D7CFF" w:rsidRPr="003B2E09">
        <w:rPr>
          <w:rFonts w:ascii="ITC Avant Garde" w:hAnsi="ITC Avant Garde"/>
          <w:b/>
          <w:color w:val="auto"/>
          <w:sz w:val="22"/>
          <w:szCs w:val="22"/>
          <w:lang w:eastAsia="ar-SA"/>
        </w:rPr>
        <w:t xml:space="preserve"> MEDIANTE RESOLUCIÓN DE FECHA 6 DE MARZO DE 2014, APROBADA MEDIANTE ACUERDO P/IFT/EXT/060314/77”, CON NÚMERO P/IFT/EXT/270217/120</w:t>
      </w:r>
      <w:r w:rsidRPr="003B2E09">
        <w:rPr>
          <w:rFonts w:ascii="ITC Avant Garde" w:hAnsi="ITC Avant Garde"/>
          <w:b/>
          <w:color w:val="auto"/>
          <w:sz w:val="22"/>
          <w:szCs w:val="22"/>
          <w:lang w:eastAsia="ar-SA"/>
        </w:rPr>
        <w:t>.</w:t>
      </w:r>
    </w:p>
    <w:p w14:paraId="06B482BA" w14:textId="77777777" w:rsidR="00AE3795" w:rsidRPr="003B2E09" w:rsidRDefault="00AE3795" w:rsidP="00AA3F31">
      <w:pPr>
        <w:pStyle w:val="Ttulo4"/>
        <w:spacing w:before="360" w:after="480" w:line="240" w:lineRule="auto"/>
        <w:jc w:val="center"/>
        <w:rPr>
          <w:rFonts w:ascii="ITC Avant Garde" w:hAnsi="ITC Avant Garde"/>
          <w:b/>
          <w:i w:val="0"/>
          <w:color w:val="auto"/>
          <w:lang w:eastAsia="ar-SA"/>
        </w:rPr>
      </w:pPr>
      <w:r w:rsidRPr="003B2E09">
        <w:rPr>
          <w:rFonts w:ascii="ITC Avant Garde" w:hAnsi="ITC Avant Garde"/>
          <w:b/>
          <w:i w:val="0"/>
          <w:color w:val="auto"/>
          <w:lang w:eastAsia="ar-SA"/>
        </w:rPr>
        <w:t>ANTECEDENTES</w:t>
      </w:r>
    </w:p>
    <w:p w14:paraId="0F850DDE" w14:textId="77777777" w:rsidR="00175A95" w:rsidRPr="00175A95" w:rsidRDefault="004B61A8" w:rsidP="00AA3F31">
      <w:pPr>
        <w:pStyle w:val="Prrafodelista"/>
        <w:numPr>
          <w:ilvl w:val="0"/>
          <w:numId w:val="20"/>
        </w:numPr>
        <w:tabs>
          <w:tab w:val="left" w:pos="567"/>
        </w:tabs>
        <w:spacing w:after="360"/>
        <w:ind w:left="357" w:hanging="357"/>
        <w:jc w:val="both"/>
        <w:rPr>
          <w:rFonts w:ascii="ITC Avant Garde" w:hAnsi="ITC Avant Garde"/>
          <w:kern w:val="2"/>
          <w:sz w:val="22"/>
          <w:szCs w:val="22"/>
          <w:lang w:val="es-ES" w:eastAsia="ar-SA"/>
        </w:rPr>
      </w:pPr>
      <w:r w:rsidRPr="00175A95">
        <w:rPr>
          <w:rFonts w:ascii="ITC Avant Garde" w:hAnsi="ITC Avant Garde"/>
          <w:b/>
          <w:kern w:val="2"/>
          <w:sz w:val="22"/>
          <w:szCs w:val="22"/>
          <w:lang w:eastAsia="ar-SA"/>
        </w:rPr>
        <w:t xml:space="preserve">Decreto de Reforma Constitucional.- </w:t>
      </w:r>
      <w:r w:rsidR="007B32DA" w:rsidRPr="00175A95">
        <w:rPr>
          <w:rFonts w:ascii="ITC Avant Garde" w:hAnsi="ITC Avant Garde"/>
          <w:kern w:val="2"/>
          <w:sz w:val="22"/>
          <w:szCs w:val="22"/>
          <w:lang w:val="es-ES" w:eastAsia="ar-SA"/>
        </w:rPr>
        <w:t>El 11 de junio de 2013</w:t>
      </w:r>
      <w:r w:rsidRPr="00175A95">
        <w:rPr>
          <w:rFonts w:ascii="ITC Avant Garde" w:hAnsi="ITC Avant Garde"/>
          <w:kern w:val="2"/>
          <w:sz w:val="22"/>
          <w:szCs w:val="22"/>
          <w:lang w:val="es-ES" w:eastAsia="ar-SA"/>
        </w:rPr>
        <w:t>,</w:t>
      </w:r>
      <w:r w:rsidR="007B32DA" w:rsidRPr="00175A95">
        <w:rPr>
          <w:rFonts w:ascii="ITC Avant Garde" w:hAnsi="ITC Avant Garde"/>
          <w:kern w:val="2"/>
          <w:sz w:val="22"/>
          <w:szCs w:val="22"/>
          <w:lang w:val="es-ES" w:eastAsia="ar-SA"/>
        </w:rPr>
        <w:t xml:space="preserve"> se publicó en el Diario</w:t>
      </w:r>
      <w:r w:rsidR="00641249" w:rsidRPr="00175A95">
        <w:rPr>
          <w:rFonts w:ascii="ITC Avant Garde" w:hAnsi="ITC Avant Garde"/>
          <w:kern w:val="2"/>
          <w:sz w:val="22"/>
          <w:szCs w:val="22"/>
          <w:lang w:val="es-ES" w:eastAsia="ar-SA"/>
        </w:rPr>
        <w:t xml:space="preserve"> Oficial de la Federación (DOF)</w:t>
      </w:r>
      <w:r w:rsidR="007B32DA" w:rsidRPr="00175A95">
        <w:rPr>
          <w:rFonts w:ascii="ITC Avant Garde" w:hAnsi="ITC Avant Garde"/>
          <w:kern w:val="2"/>
          <w:sz w:val="22"/>
          <w:szCs w:val="22"/>
          <w:lang w:val="es-ES" w:eastAsia="ar-SA"/>
        </w:rPr>
        <w:t xml:space="preserve"> el </w:t>
      </w:r>
      <w:r w:rsidR="0006079D" w:rsidRPr="00175A95">
        <w:rPr>
          <w:rFonts w:ascii="ITC Avant Garde" w:hAnsi="ITC Avant Garde"/>
          <w:kern w:val="2"/>
          <w:sz w:val="22"/>
          <w:szCs w:val="22"/>
          <w:lang w:eastAsia="ar-SA"/>
        </w:rPr>
        <w:t>“</w:t>
      </w:r>
      <w:r w:rsidR="0006079D" w:rsidRPr="00175A95">
        <w:rPr>
          <w:rFonts w:ascii="ITC Avant Garde" w:hAnsi="ITC Avant Garde"/>
          <w:i/>
          <w:kern w:val="2"/>
          <w:sz w:val="22"/>
          <w:szCs w:val="22"/>
          <w:lang w:eastAsia="ar-SA"/>
        </w:rPr>
        <w:t>Decreto por el que se reforman y adicionan diversas disposiciones de los artículos 6o., 7o., 27, 28, 73, 78, 94 y 105 de la Constitución Política de los Estados Unidos Mexicanos, en materia de telecomunicaciones</w:t>
      </w:r>
      <w:r w:rsidR="0006079D" w:rsidRPr="00175A95">
        <w:rPr>
          <w:rFonts w:ascii="ITC Avant Garde" w:hAnsi="ITC Avant Garde"/>
          <w:kern w:val="2"/>
          <w:sz w:val="22"/>
          <w:szCs w:val="22"/>
          <w:lang w:eastAsia="ar-SA"/>
        </w:rPr>
        <w:t>” (Decreto de Reforma Constitucional), mediante el cual se creó el Instituto Federal de Telecomunicaciones (Instituto), como un órgano autónomo que tiene por objeto el desarrollo eficiente de la radiodifusión y las telecomunicaciones;</w:t>
      </w:r>
    </w:p>
    <w:p w14:paraId="2F4A448F" w14:textId="1C5F4FCC" w:rsidR="00BD7562" w:rsidRPr="00175A95" w:rsidRDefault="00BD7562" w:rsidP="00AA3F31">
      <w:pPr>
        <w:pStyle w:val="Prrafodelista"/>
        <w:numPr>
          <w:ilvl w:val="0"/>
          <w:numId w:val="20"/>
        </w:numPr>
        <w:tabs>
          <w:tab w:val="left" w:pos="567"/>
        </w:tabs>
        <w:spacing w:after="360"/>
        <w:ind w:left="357" w:hanging="357"/>
        <w:jc w:val="both"/>
        <w:rPr>
          <w:rFonts w:ascii="ITC Avant Garde" w:hAnsi="ITC Avant Garde"/>
          <w:kern w:val="2"/>
          <w:sz w:val="22"/>
          <w:szCs w:val="22"/>
          <w:lang w:val="es-ES" w:eastAsia="ar-SA"/>
        </w:rPr>
      </w:pPr>
      <w:r w:rsidRPr="00175A95">
        <w:rPr>
          <w:rFonts w:ascii="ITC Avant Garde" w:hAnsi="ITC Avant Garde"/>
          <w:b/>
          <w:kern w:val="2"/>
          <w:sz w:val="22"/>
          <w:szCs w:val="22"/>
          <w:lang w:eastAsia="ar-SA"/>
        </w:rPr>
        <w:t>Resolución de Preponderancia en Telecomunicaciones.-</w:t>
      </w:r>
      <w:r w:rsidRPr="00175A95">
        <w:rPr>
          <w:rFonts w:ascii="ITC Avant Garde" w:hAnsi="ITC Avant Garde"/>
          <w:kern w:val="2"/>
          <w:sz w:val="22"/>
          <w:szCs w:val="22"/>
          <w:lang w:eastAsia="ar-SA"/>
        </w:rPr>
        <w:t xml:space="preserve"> El 6 de marzo de 2014</w:t>
      </w:r>
      <w:r w:rsidR="00761C3F" w:rsidRPr="00175A95">
        <w:rPr>
          <w:rFonts w:ascii="ITC Avant Garde" w:hAnsi="ITC Avant Garde"/>
          <w:kern w:val="2"/>
          <w:sz w:val="22"/>
          <w:szCs w:val="22"/>
          <w:lang w:eastAsia="ar-SA"/>
        </w:rPr>
        <w:t>,</w:t>
      </w:r>
      <w:r w:rsidRPr="00175A95">
        <w:rPr>
          <w:rFonts w:ascii="ITC Avant Garde" w:hAnsi="ITC Avant Garde"/>
          <w:kern w:val="2"/>
          <w:sz w:val="22"/>
          <w:szCs w:val="22"/>
          <w:lang w:eastAsia="ar-SA"/>
        </w:rPr>
        <w:t xml:space="preserve"> el Pleno del Instituto, a través del acuerdo P/IFT/EXT/060314/76, emitió la </w:t>
      </w:r>
      <w:r w:rsidRPr="00175A95">
        <w:rPr>
          <w:rFonts w:ascii="ITC Avant Garde" w:hAnsi="ITC Avant Garde"/>
          <w:i/>
          <w:kern w:val="2"/>
          <w:sz w:val="22"/>
          <w:szCs w:val="22"/>
          <w:lang w:eastAsia="ar-SA"/>
        </w:rPr>
        <w:t>RESOLUCIÓN MEDIANTE LA CUAL EL PLENO DEL INSTITUTO FEDERAL DE TELECOMUNICACIONES DETERMINA AL GRUPO DE INTERÉS ECONÓMICO DEL QUE FORMAN PARTE AMÉRICA MÓVIL, S.A.B. DE C.V., TELÉFONOS DE MÉXICO, S.A.B. DE C.V., TELÉFONOS DEL NOROESTE, S.A. DE C.V., RADIOMÓVIL DIPSA, S.A. DE C.V., GRUPO CARSO, S.A.B. DE C.V., Y GRUPO FINANCIERO INBURSA, S.A.B. DE C.V., COMO AGENTE ECONÓMICO PREPONDERANTE EN EL SECTOR DE TELECOMUNICACIONES Y LE IMPONE LAS MEDIDAS NECESARIAS PARA EVITAR QUE SE AFECTE LA COMPETENCIA Y LA LIBRE CONCURRENCIA</w:t>
      </w:r>
      <w:r w:rsidRPr="00175A95">
        <w:rPr>
          <w:rFonts w:ascii="ITC Avant Garde" w:hAnsi="ITC Avant Garde"/>
          <w:kern w:val="2"/>
          <w:sz w:val="22"/>
          <w:szCs w:val="22"/>
          <w:lang w:eastAsia="ar-SA"/>
        </w:rPr>
        <w:t xml:space="preserve"> (Resolución P/IFT/EXT/060314/76)</w:t>
      </w:r>
      <w:r w:rsidR="006C5C9B" w:rsidRPr="00175A95">
        <w:rPr>
          <w:rFonts w:ascii="ITC Avant Garde" w:hAnsi="ITC Avant Garde"/>
          <w:kern w:val="2"/>
          <w:sz w:val="22"/>
          <w:szCs w:val="22"/>
          <w:lang w:eastAsia="ar-SA"/>
        </w:rPr>
        <w:t>;</w:t>
      </w:r>
    </w:p>
    <w:p w14:paraId="0419B5A9" w14:textId="77777777" w:rsidR="00706BB9" w:rsidRPr="00706BB9" w:rsidRDefault="00BD7562" w:rsidP="00AA3F31">
      <w:pPr>
        <w:pStyle w:val="Prrafodelista"/>
        <w:numPr>
          <w:ilvl w:val="0"/>
          <w:numId w:val="20"/>
        </w:numPr>
        <w:tabs>
          <w:tab w:val="left" w:pos="567"/>
        </w:tabs>
        <w:jc w:val="both"/>
        <w:rPr>
          <w:rFonts w:ascii="ITC Avant Garde" w:hAnsi="ITC Avant Garde"/>
          <w:kern w:val="2"/>
          <w:sz w:val="22"/>
          <w:szCs w:val="22"/>
          <w:lang w:val="es-ES" w:eastAsia="ar-SA"/>
        </w:rPr>
      </w:pPr>
      <w:r w:rsidRPr="00846B42">
        <w:rPr>
          <w:rFonts w:ascii="ITC Avant Garde" w:hAnsi="ITC Avant Garde"/>
          <w:b/>
          <w:kern w:val="2"/>
          <w:sz w:val="22"/>
          <w:szCs w:val="22"/>
          <w:lang w:eastAsia="ar-SA"/>
        </w:rPr>
        <w:t xml:space="preserve">Resolución de Preponderancia en Radiodifusión.- </w:t>
      </w:r>
      <w:r w:rsidRPr="00846B42">
        <w:rPr>
          <w:rFonts w:ascii="ITC Avant Garde" w:hAnsi="ITC Avant Garde"/>
          <w:kern w:val="2"/>
          <w:sz w:val="22"/>
          <w:szCs w:val="22"/>
          <w:lang w:eastAsia="ar-SA"/>
        </w:rPr>
        <w:t xml:space="preserve">El 6 de marzo de 2014, el Pleno del Instituto, a través del acuerdo P/IFT/EXT/060314/77, emitió la </w:t>
      </w:r>
      <w:r w:rsidRPr="00846B42">
        <w:rPr>
          <w:rFonts w:ascii="ITC Avant Garde" w:hAnsi="ITC Avant Garde"/>
          <w:i/>
          <w:kern w:val="2"/>
          <w:sz w:val="22"/>
          <w:szCs w:val="22"/>
          <w:lang w:eastAsia="ar-SA"/>
        </w:rPr>
        <w:t xml:space="preserve">RESOLUCIÓN MEDIANTE LA CUAL EL PLENO DEL INSTITUTO FEDERAL DE TELECOMUNICACIONES DETERMINA AL </w:t>
      </w:r>
    </w:p>
    <w:p w14:paraId="3E0E2D2B" w14:textId="48C0942F" w:rsidR="00BD7562" w:rsidRPr="00846B42" w:rsidRDefault="00BD7562" w:rsidP="00AA3F31">
      <w:pPr>
        <w:pStyle w:val="Prrafodelista"/>
        <w:tabs>
          <w:tab w:val="left" w:pos="567"/>
        </w:tabs>
        <w:spacing w:after="360"/>
        <w:ind w:left="357"/>
        <w:jc w:val="both"/>
        <w:rPr>
          <w:rFonts w:ascii="ITC Avant Garde" w:hAnsi="ITC Avant Garde"/>
          <w:kern w:val="2"/>
          <w:sz w:val="22"/>
          <w:szCs w:val="22"/>
          <w:lang w:val="es-ES" w:eastAsia="ar-SA"/>
        </w:rPr>
      </w:pPr>
      <w:r w:rsidRPr="00846B42">
        <w:rPr>
          <w:rFonts w:ascii="ITC Avant Garde" w:hAnsi="ITC Avant Garde"/>
          <w:i/>
          <w:kern w:val="2"/>
          <w:sz w:val="22"/>
          <w:szCs w:val="22"/>
          <w:lang w:eastAsia="ar-SA"/>
        </w:rPr>
        <w:lastRenderedPageBreak/>
        <w:t>GRUPO DE INTERÉS ECONÓMICO DEL QUE FORMAN PARTE GRUPO TELEVISA S.A.B., CANALES DE TELEVISIÓN POPULARES, S.A. DE C.V., RADIO TELEVISIÓN, S.A. DE C.V., RADIOTELEVISORA DE MÉXICO NORTE S.A. DE C.V., T.V. DE LOS MOCHIS, S.A. DE C.V., TELEIMAGEN DEL NOROESTE, S.A. DE C.V., TELEVIMEX, S.A. DE C.V., TELEVISIÓN DE PUEBLA, S.A. DE C.V., TELEVISORA DE MEXICALI, S.A. DE C.V., TELEVISORA DE NAVOJOA, S.A., TELEVISORA DE OCCIDENTE, S.A. DE C.V., TELEVISORA PENINSULAR, S.A. DE C.V., MARIO ENRIQUE MAYANS CONCHA, TELEVISIÓN LA PAZ, S.A., TELEVISIÓN DE LA FRONTERA, S.A., PEDRO LUIS FITZMAURICE MENESES, TELEMISIÓN, S.A. DE C.V., COMUNICACIÓN DEL SURESTE, S.A. DE C.V., JOSÉ DE JESÚS PARTIDA VILLANUEVA, HILDA GRACIELA RIVERA FLORES, ROBERTO CASIMIRO GONZÁLEZ TREVIÑO, TV DIEZ DURANGO, S.A. DE C.V., TELEVISORA DE DURANGO, S.A. DE C.V., CORPORACIÓN TAPATÍA DE TELEVISIÓN, S.A. DE C.V., TELEVISIÓN DE MICHOACÁN, S.A. DE C.V., JOSÉ HUMBERTO Y LOUCILLE, MARTÍNEZ MORALES, CANAL 13 DE MICHOACÁN, S.A. DE C.V., TELEVISORA XHBO, S.A. DE C.V., TV OCHO, S.A. DE C.V., TELEVISORA POTOSINA, S.A. DE C.V</w:t>
      </w:r>
      <w:r w:rsidRPr="00162C6E">
        <w:rPr>
          <w:rFonts w:ascii="ITC Avant Garde" w:hAnsi="ITC Avant Garde"/>
          <w:i/>
          <w:kern w:val="2"/>
          <w:sz w:val="22"/>
          <w:szCs w:val="22"/>
          <w:lang w:eastAsia="ar-SA"/>
        </w:rPr>
        <w:t>., T.V.</w:t>
      </w:r>
      <w:r w:rsidRPr="00846B42">
        <w:rPr>
          <w:rFonts w:ascii="ITC Avant Garde" w:hAnsi="ITC Avant Garde"/>
          <w:i/>
          <w:kern w:val="2"/>
          <w:sz w:val="22"/>
          <w:szCs w:val="22"/>
          <w:lang w:eastAsia="ar-SA"/>
        </w:rPr>
        <w:t xml:space="preserve"> DE CULIACÁN, S.A. DE C.V., TELEVISIÓN DEL PACÍFICO, S.A. DE C.V., TELE-EMISORAS DEL SURESTE, S.A. DE C.V., TELEVISIÓN DE TABASCO, S.A. Y RAMONA ESPARZA GONZÁLEZ, COMO AGENTE ECONÓMICO PREPONDERANTE EN EL SECTOR DE RADIODIFUSIÓN Y LE IMPONE LAS MEDIDAS NECESARIAS PARA EVITAR QUE SE AFECTE LA COMPETENCIA Y LA LIBRE CONCURRENCIA</w:t>
      </w:r>
      <w:r w:rsidRPr="00846B42">
        <w:rPr>
          <w:rFonts w:ascii="ITC Avant Garde" w:hAnsi="ITC Avant Garde"/>
          <w:kern w:val="2"/>
          <w:sz w:val="22"/>
          <w:szCs w:val="22"/>
          <w:lang w:eastAsia="ar-SA"/>
        </w:rPr>
        <w:t xml:space="preserve"> (Resolución P/IFT/EXT/060314/77)</w:t>
      </w:r>
      <w:r w:rsidR="006C5C9B">
        <w:rPr>
          <w:rFonts w:ascii="ITC Avant Garde" w:hAnsi="ITC Avant Garde"/>
          <w:kern w:val="2"/>
          <w:sz w:val="22"/>
          <w:szCs w:val="22"/>
          <w:lang w:eastAsia="ar-SA"/>
        </w:rPr>
        <w:t>;</w:t>
      </w:r>
    </w:p>
    <w:p w14:paraId="1104BB66" w14:textId="69583E39" w:rsidR="00BD7562" w:rsidRPr="00846B42" w:rsidRDefault="002F737B" w:rsidP="00AA3F31">
      <w:pPr>
        <w:pStyle w:val="Prrafodelista"/>
        <w:numPr>
          <w:ilvl w:val="0"/>
          <w:numId w:val="20"/>
        </w:numPr>
        <w:tabs>
          <w:tab w:val="left" w:pos="567"/>
        </w:tabs>
        <w:spacing w:after="360"/>
        <w:ind w:left="357"/>
        <w:jc w:val="both"/>
        <w:rPr>
          <w:rFonts w:ascii="ITC Avant Garde" w:hAnsi="ITC Avant Garde"/>
          <w:kern w:val="2"/>
          <w:sz w:val="22"/>
          <w:szCs w:val="22"/>
          <w:lang w:val="es-ES" w:eastAsia="ar-SA"/>
        </w:rPr>
      </w:pPr>
      <w:r w:rsidRPr="00846B42">
        <w:rPr>
          <w:rFonts w:ascii="ITC Avant Garde" w:hAnsi="ITC Avant Garde"/>
          <w:b/>
          <w:kern w:val="2"/>
          <w:sz w:val="22"/>
          <w:szCs w:val="22"/>
          <w:lang w:eastAsia="ar-SA"/>
        </w:rPr>
        <w:t>Acuerdo</w:t>
      </w:r>
      <w:r w:rsidR="00BD7562" w:rsidRPr="00846B42">
        <w:rPr>
          <w:rFonts w:ascii="ITC Avant Garde" w:hAnsi="ITC Avant Garde"/>
          <w:b/>
          <w:kern w:val="2"/>
          <w:sz w:val="22"/>
          <w:szCs w:val="22"/>
          <w:lang w:eastAsia="ar-SA"/>
        </w:rPr>
        <w:t xml:space="preserve"> de Contenidos Audiovisuales Relevantes.- </w:t>
      </w:r>
      <w:r w:rsidR="00BD7562" w:rsidRPr="00846B42">
        <w:rPr>
          <w:rFonts w:ascii="ITC Avant Garde" w:hAnsi="ITC Avant Garde"/>
          <w:kern w:val="2"/>
          <w:sz w:val="22"/>
          <w:szCs w:val="22"/>
          <w:lang w:eastAsia="ar-SA"/>
        </w:rPr>
        <w:t>El 29 de mayo de 2014, el Pleno del Instituto, a través del acuerdo P/IFT/EXT/290514/105, identific</w:t>
      </w:r>
      <w:r w:rsidRPr="00846B42">
        <w:rPr>
          <w:rFonts w:ascii="ITC Avant Garde" w:hAnsi="ITC Avant Garde"/>
          <w:kern w:val="2"/>
          <w:sz w:val="22"/>
          <w:szCs w:val="22"/>
          <w:lang w:eastAsia="ar-SA"/>
        </w:rPr>
        <w:t>ó</w:t>
      </w:r>
      <w:r w:rsidR="00BD7562" w:rsidRPr="00846B42">
        <w:rPr>
          <w:rFonts w:ascii="ITC Avant Garde" w:hAnsi="ITC Avant Garde"/>
          <w:kern w:val="2"/>
          <w:sz w:val="22"/>
          <w:szCs w:val="22"/>
          <w:lang w:eastAsia="ar-SA"/>
        </w:rPr>
        <w:t xml:space="preserve"> los contenidos audiovisuales relevantes en términos y para los efectos de la Medida Cuarta y el artículo Segundo Transitorio del Anexo 4 de la resolución número P/IFT/EXT/060314/76 y la Medida Décimo Octava y el artículo Tercero Transitorio del Anexo 1 de la resolución número P/IFT/EXT/060314/77 </w:t>
      </w:r>
      <w:r w:rsidR="002F55D5" w:rsidRPr="00846B42">
        <w:rPr>
          <w:rFonts w:ascii="ITC Avant Garde" w:hAnsi="ITC Avant Garde"/>
          <w:kern w:val="2"/>
          <w:sz w:val="22"/>
          <w:szCs w:val="22"/>
          <w:lang w:eastAsia="ar-SA"/>
        </w:rPr>
        <w:t>(</w:t>
      </w:r>
      <w:r w:rsidRPr="00846B42">
        <w:rPr>
          <w:rFonts w:ascii="ITC Avant Garde" w:hAnsi="ITC Avant Garde"/>
          <w:kern w:val="2"/>
          <w:sz w:val="22"/>
          <w:szCs w:val="22"/>
          <w:lang w:eastAsia="ar-SA"/>
        </w:rPr>
        <w:t>Acuerdo de Contenidos Audiovisuales Relevantes)</w:t>
      </w:r>
      <w:r w:rsidR="006C5C9B">
        <w:rPr>
          <w:rFonts w:ascii="ITC Avant Garde" w:hAnsi="ITC Avant Garde"/>
          <w:kern w:val="2"/>
          <w:sz w:val="22"/>
          <w:szCs w:val="22"/>
          <w:lang w:eastAsia="ar-SA"/>
        </w:rPr>
        <w:t>;</w:t>
      </w:r>
    </w:p>
    <w:p w14:paraId="4B10768D" w14:textId="3EE75659" w:rsidR="0006079D" w:rsidRPr="00846B42" w:rsidRDefault="0006079D" w:rsidP="00AA3F31">
      <w:pPr>
        <w:numPr>
          <w:ilvl w:val="0"/>
          <w:numId w:val="20"/>
        </w:numPr>
        <w:spacing w:after="360" w:line="240" w:lineRule="auto"/>
        <w:ind w:left="357" w:hanging="357"/>
        <w:jc w:val="both"/>
        <w:rPr>
          <w:rFonts w:ascii="ITC Avant Garde" w:eastAsia="ITC Avant Garde" w:hAnsi="ITC Avant Garde" w:cs="ITC Avant Garde"/>
        </w:rPr>
      </w:pPr>
      <w:r w:rsidRPr="00846B42">
        <w:rPr>
          <w:rFonts w:ascii="ITC Avant Garde" w:eastAsia="ITC Avant Garde" w:hAnsi="ITC Avant Garde" w:cs="ITC Avant Garde"/>
          <w:b/>
        </w:rPr>
        <w:t>Ley</w:t>
      </w:r>
      <w:r w:rsidR="008A73FD">
        <w:rPr>
          <w:rFonts w:ascii="ITC Avant Garde" w:eastAsia="ITC Avant Garde" w:hAnsi="ITC Avant Garde" w:cs="ITC Avant Garde"/>
          <w:b/>
        </w:rPr>
        <w:t xml:space="preserve"> Federal de Telecomunicaciones y Radiodifusión</w:t>
      </w:r>
      <w:r w:rsidRPr="00846B42">
        <w:rPr>
          <w:rFonts w:ascii="ITC Avant Garde" w:eastAsia="ITC Avant Garde" w:hAnsi="ITC Avant Garde" w:cs="ITC Avant Garde"/>
          <w:b/>
        </w:rPr>
        <w:t>.-</w:t>
      </w:r>
      <w:r w:rsidRPr="00846B42">
        <w:rPr>
          <w:rFonts w:ascii="ITC Avant Garde" w:eastAsia="ITC Avant Garde" w:hAnsi="ITC Avant Garde" w:cs="ITC Avant Garde"/>
        </w:rPr>
        <w:t xml:space="preserve"> El 14 de julio de 2014, se publicó en el DOF el “</w:t>
      </w:r>
      <w:r w:rsidRPr="00846B42">
        <w:rPr>
          <w:rFonts w:ascii="ITC Avant Garde" w:eastAsia="ITC Avant Garde" w:hAnsi="ITC Avant Garde" w:cs="ITC Avant Garde"/>
          <w:i/>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846B42">
        <w:rPr>
          <w:rFonts w:ascii="ITC Avant Garde" w:eastAsia="ITC Avant Garde" w:hAnsi="ITC Avant Garde" w:cs="ITC Avant Garde"/>
        </w:rPr>
        <w:t>” (Ley), el cual entró e</w:t>
      </w:r>
      <w:r w:rsidR="00BD7562" w:rsidRPr="00846B42">
        <w:rPr>
          <w:rFonts w:ascii="ITC Avant Garde" w:eastAsia="ITC Avant Garde" w:hAnsi="ITC Avant Garde" w:cs="ITC Avant Garde"/>
        </w:rPr>
        <w:t>n vigor el 13 de agosto de 2014</w:t>
      </w:r>
      <w:r w:rsidR="00EA5020" w:rsidRPr="00846B42">
        <w:rPr>
          <w:rFonts w:ascii="ITC Avant Garde" w:eastAsia="ITC Avant Garde" w:hAnsi="ITC Avant Garde" w:cs="ITC Avant Garde"/>
        </w:rPr>
        <w:t>;</w:t>
      </w:r>
    </w:p>
    <w:p w14:paraId="5FD4E657" w14:textId="77777777" w:rsidR="006C5C9B" w:rsidRPr="005262ED" w:rsidRDefault="0006079D" w:rsidP="00AA3F31">
      <w:pPr>
        <w:pStyle w:val="Prrafodelista"/>
        <w:numPr>
          <w:ilvl w:val="0"/>
          <w:numId w:val="20"/>
        </w:numPr>
        <w:tabs>
          <w:tab w:val="left" w:pos="567"/>
        </w:tabs>
        <w:spacing w:after="600"/>
        <w:ind w:left="357" w:hanging="357"/>
        <w:jc w:val="both"/>
        <w:rPr>
          <w:rFonts w:ascii="ITC Avant Garde" w:hAnsi="ITC Avant Garde"/>
          <w:kern w:val="2"/>
          <w:sz w:val="22"/>
          <w:szCs w:val="22"/>
          <w:lang w:val="es-ES" w:eastAsia="ar-SA"/>
        </w:rPr>
      </w:pPr>
      <w:r w:rsidRPr="00846B42">
        <w:rPr>
          <w:rFonts w:ascii="ITC Avant Garde" w:eastAsia="ITC Avant Garde" w:hAnsi="ITC Avant Garde" w:cs="ITC Avant Garde"/>
          <w:b/>
          <w:sz w:val="22"/>
          <w:szCs w:val="22"/>
        </w:rPr>
        <w:t xml:space="preserve">Estatuto Orgánico.- </w:t>
      </w:r>
      <w:r w:rsidRPr="00846B42">
        <w:rPr>
          <w:rFonts w:ascii="ITC Avant Garde" w:eastAsia="ITC Avant Garde" w:hAnsi="ITC Avant Garde" w:cs="ITC Avant Garde"/>
          <w:sz w:val="22"/>
          <w:szCs w:val="22"/>
        </w:rPr>
        <w:t xml:space="preserve">El 04 de septiembre de 2014, se publicó en el DOF el </w:t>
      </w:r>
      <w:r w:rsidRPr="00846B42">
        <w:rPr>
          <w:rFonts w:ascii="ITC Avant Garde" w:eastAsia="ITC Avant Garde" w:hAnsi="ITC Avant Garde" w:cs="ITC Avant Garde"/>
          <w:i/>
          <w:sz w:val="22"/>
          <w:szCs w:val="22"/>
        </w:rPr>
        <w:t>“Estatuto Orgánico del Instituto Federal de Telecomunicaciones”</w:t>
      </w:r>
      <w:r w:rsidRPr="00846B42">
        <w:rPr>
          <w:rFonts w:ascii="ITC Avant Garde" w:eastAsia="ITC Avant Garde" w:hAnsi="ITC Avant Garde" w:cs="ITC Avant Garde"/>
          <w:sz w:val="22"/>
          <w:szCs w:val="22"/>
        </w:rPr>
        <w:t xml:space="preserve"> (Estatuto Orgánico), mismo que entró en vigor el 26 del mismo mes y año, el cual se modificó por última vez el 13 de julio de 2018</w:t>
      </w:r>
      <w:r w:rsidR="006C5C9B">
        <w:rPr>
          <w:rFonts w:ascii="ITC Avant Garde" w:eastAsia="ITC Avant Garde" w:hAnsi="ITC Avant Garde" w:cs="ITC Avant Garde"/>
          <w:sz w:val="22"/>
          <w:szCs w:val="22"/>
        </w:rPr>
        <w:t>;</w:t>
      </w:r>
    </w:p>
    <w:p w14:paraId="6CBDF06F" w14:textId="4C9FBDA3" w:rsidR="00402F2D" w:rsidRPr="005262ED" w:rsidRDefault="00EA5020" w:rsidP="00AA3F31">
      <w:pPr>
        <w:pStyle w:val="Prrafodelista"/>
        <w:numPr>
          <w:ilvl w:val="0"/>
          <w:numId w:val="20"/>
        </w:numPr>
        <w:tabs>
          <w:tab w:val="left" w:pos="567"/>
        </w:tabs>
        <w:spacing w:after="360"/>
        <w:ind w:left="357" w:hanging="357"/>
        <w:jc w:val="both"/>
        <w:rPr>
          <w:rFonts w:ascii="ITC Avant Garde" w:hAnsi="ITC Avant Garde"/>
          <w:i/>
          <w:kern w:val="2"/>
          <w:sz w:val="22"/>
          <w:szCs w:val="22"/>
          <w:lang w:val="es-ES" w:eastAsia="ar-SA"/>
        </w:rPr>
      </w:pPr>
      <w:r w:rsidRPr="00846B42">
        <w:rPr>
          <w:rFonts w:ascii="ITC Avant Garde" w:hAnsi="ITC Avant Garde"/>
          <w:b/>
          <w:kern w:val="2"/>
          <w:sz w:val="22"/>
          <w:szCs w:val="22"/>
          <w:lang w:eastAsia="ar-SA"/>
        </w:rPr>
        <w:lastRenderedPageBreak/>
        <w:t xml:space="preserve">Modificación a la Resolución de Preponderancia en Telecomunicaciones.- </w:t>
      </w:r>
      <w:r w:rsidRPr="00846B42">
        <w:rPr>
          <w:rFonts w:ascii="ITC Avant Garde" w:hAnsi="ITC Avant Garde"/>
          <w:kern w:val="2"/>
          <w:sz w:val="22"/>
          <w:szCs w:val="22"/>
          <w:lang w:eastAsia="ar-SA"/>
        </w:rPr>
        <w:t xml:space="preserve">El </w:t>
      </w:r>
      <w:r w:rsidR="00761C3F" w:rsidRPr="00846B42">
        <w:rPr>
          <w:rFonts w:ascii="ITC Avant Garde" w:hAnsi="ITC Avant Garde"/>
          <w:kern w:val="2"/>
          <w:sz w:val="22"/>
          <w:szCs w:val="22"/>
          <w:lang w:eastAsia="ar-SA"/>
        </w:rPr>
        <w:t>27</w:t>
      </w:r>
      <w:r w:rsidRPr="00846B42">
        <w:rPr>
          <w:rFonts w:ascii="ITC Avant Garde" w:hAnsi="ITC Avant Garde"/>
          <w:kern w:val="2"/>
          <w:sz w:val="22"/>
          <w:szCs w:val="22"/>
          <w:lang w:eastAsia="ar-SA"/>
        </w:rPr>
        <w:t xml:space="preserve"> de </w:t>
      </w:r>
      <w:r w:rsidR="00761C3F" w:rsidRPr="00846B42">
        <w:rPr>
          <w:rFonts w:ascii="ITC Avant Garde" w:hAnsi="ITC Avant Garde"/>
          <w:kern w:val="2"/>
          <w:sz w:val="22"/>
          <w:szCs w:val="22"/>
          <w:lang w:eastAsia="ar-SA"/>
        </w:rPr>
        <w:t>febrero</w:t>
      </w:r>
      <w:r w:rsidRPr="00846B42">
        <w:rPr>
          <w:rFonts w:ascii="ITC Avant Garde" w:hAnsi="ITC Avant Garde"/>
          <w:kern w:val="2"/>
          <w:sz w:val="22"/>
          <w:szCs w:val="22"/>
          <w:lang w:eastAsia="ar-SA"/>
        </w:rPr>
        <w:t xml:space="preserve"> de 201</w:t>
      </w:r>
      <w:r w:rsidR="00761C3F" w:rsidRPr="00846B42">
        <w:rPr>
          <w:rFonts w:ascii="ITC Avant Garde" w:hAnsi="ITC Avant Garde"/>
          <w:kern w:val="2"/>
          <w:sz w:val="22"/>
          <w:szCs w:val="22"/>
          <w:lang w:eastAsia="ar-SA"/>
        </w:rPr>
        <w:t>7,</w:t>
      </w:r>
      <w:r w:rsidRPr="00846B42">
        <w:rPr>
          <w:rFonts w:ascii="ITC Avant Garde" w:hAnsi="ITC Avant Garde"/>
          <w:kern w:val="2"/>
          <w:sz w:val="22"/>
          <w:szCs w:val="22"/>
          <w:lang w:eastAsia="ar-SA"/>
        </w:rPr>
        <w:t xml:space="preserve"> el Pleno del Instituto, a través del acuerdo P/IFT/EXT/</w:t>
      </w:r>
      <w:r w:rsidR="00761C3F" w:rsidRPr="00846B42">
        <w:rPr>
          <w:rFonts w:ascii="ITC Avant Garde" w:hAnsi="ITC Avant Garde"/>
          <w:kern w:val="2"/>
          <w:sz w:val="22"/>
          <w:szCs w:val="22"/>
          <w:lang w:eastAsia="ar-SA"/>
        </w:rPr>
        <w:t>270217</w:t>
      </w:r>
      <w:r w:rsidRPr="00846B42">
        <w:rPr>
          <w:rFonts w:ascii="ITC Avant Garde" w:hAnsi="ITC Avant Garde"/>
          <w:kern w:val="2"/>
          <w:sz w:val="22"/>
          <w:szCs w:val="22"/>
          <w:lang w:eastAsia="ar-SA"/>
        </w:rPr>
        <w:t>/</w:t>
      </w:r>
      <w:r w:rsidR="00761C3F" w:rsidRPr="00846B42">
        <w:rPr>
          <w:rFonts w:ascii="ITC Avant Garde" w:hAnsi="ITC Avant Garde"/>
          <w:kern w:val="2"/>
          <w:sz w:val="22"/>
          <w:szCs w:val="22"/>
          <w:lang w:eastAsia="ar-SA"/>
        </w:rPr>
        <w:t>119</w:t>
      </w:r>
      <w:r w:rsidRPr="00846B42">
        <w:rPr>
          <w:rFonts w:ascii="ITC Avant Garde" w:hAnsi="ITC Avant Garde"/>
          <w:kern w:val="2"/>
          <w:sz w:val="22"/>
          <w:szCs w:val="22"/>
          <w:lang w:eastAsia="ar-SA"/>
        </w:rPr>
        <w:t xml:space="preserve">, emitió la </w:t>
      </w:r>
      <w:r w:rsidR="00761C3F" w:rsidRPr="00846B42">
        <w:rPr>
          <w:rFonts w:ascii="ITC Avant Garde" w:hAnsi="ITC Avant Garde"/>
          <w:i/>
          <w:kern w:val="2"/>
          <w:sz w:val="22"/>
          <w:szCs w:val="22"/>
          <w:lang w:eastAsia="ar-SA"/>
        </w:rPr>
        <w:t xml:space="preserve">RESOLUCIÓN MEDIANTE LA CUAL EL PLENO DEL INSTITUTO FEDERAL DE TELECOMUNICACIONES SUPRIME, MODIFICA Y ADICIONA LAS MEDIDAS IMPUESTAS AL AGENTE ECONÓMICO PREPONDERANTE EN EL SECTOR DE TELECOMUNICACIONES MEDIANTE RESOLUCIÓN DE FECHA 6 DE MARZO DE 2014, APROBADA MEDIANTE ACUERDO </w:t>
      </w:r>
      <w:r w:rsidRPr="00846B42">
        <w:rPr>
          <w:rFonts w:ascii="ITC Avant Garde" w:hAnsi="ITC Avant Garde"/>
          <w:i/>
          <w:kern w:val="2"/>
          <w:sz w:val="22"/>
          <w:szCs w:val="22"/>
          <w:lang w:eastAsia="ar-SA"/>
        </w:rPr>
        <w:t>P/IFT/EXT/060314/76</w:t>
      </w:r>
      <w:r w:rsidR="00240747" w:rsidRPr="00846B42">
        <w:rPr>
          <w:rFonts w:ascii="ITC Avant Garde" w:hAnsi="ITC Avant Garde"/>
          <w:i/>
          <w:kern w:val="2"/>
          <w:sz w:val="22"/>
          <w:szCs w:val="22"/>
          <w:lang w:eastAsia="ar-SA"/>
        </w:rPr>
        <w:t xml:space="preserve"> </w:t>
      </w:r>
      <w:r w:rsidR="00240747" w:rsidRPr="00846B42">
        <w:rPr>
          <w:rFonts w:ascii="ITC Avant Garde" w:hAnsi="ITC Avant Garde"/>
          <w:kern w:val="2"/>
          <w:sz w:val="22"/>
          <w:szCs w:val="22"/>
          <w:lang w:eastAsia="ar-SA"/>
        </w:rPr>
        <w:t>(Resolución P/IFT/EXT/270217/119)</w:t>
      </w:r>
      <w:r w:rsidR="00761C3F" w:rsidRPr="00846B42">
        <w:rPr>
          <w:rFonts w:ascii="ITC Avant Garde" w:hAnsi="ITC Avant Garde"/>
          <w:kern w:val="2"/>
          <w:sz w:val="22"/>
          <w:szCs w:val="22"/>
          <w:lang w:eastAsia="ar-SA"/>
        </w:rPr>
        <w:t>,</w:t>
      </w:r>
      <w:r w:rsidR="00761C3F" w:rsidRPr="00846B42">
        <w:rPr>
          <w:rFonts w:ascii="ITC Avant Garde" w:hAnsi="ITC Avant Garde"/>
          <w:i/>
          <w:kern w:val="2"/>
          <w:sz w:val="22"/>
          <w:szCs w:val="22"/>
          <w:lang w:eastAsia="ar-SA"/>
        </w:rPr>
        <w:t xml:space="preserve"> </w:t>
      </w:r>
      <w:r w:rsidR="0042589F">
        <w:rPr>
          <w:rFonts w:ascii="ITC Avant Garde" w:hAnsi="ITC Avant Garde"/>
          <w:kern w:val="2"/>
          <w:sz w:val="22"/>
          <w:szCs w:val="22"/>
          <w:lang w:eastAsia="ar-SA"/>
        </w:rPr>
        <w:t>siendo importante mencionar qu</w:t>
      </w:r>
      <w:r w:rsidR="00402F2D">
        <w:rPr>
          <w:rFonts w:ascii="ITC Avant Garde" w:hAnsi="ITC Avant Garde"/>
          <w:kern w:val="2"/>
          <w:sz w:val="22"/>
          <w:szCs w:val="22"/>
          <w:lang w:eastAsia="ar-SA"/>
        </w:rPr>
        <w:t>e el Anexo 4 no fue modificado;</w:t>
      </w:r>
    </w:p>
    <w:p w14:paraId="023451D2" w14:textId="2310F958" w:rsidR="00761C3F" w:rsidRPr="00EB2F80" w:rsidRDefault="00761C3F" w:rsidP="00AA3F31">
      <w:pPr>
        <w:pStyle w:val="Prrafodelista"/>
        <w:numPr>
          <w:ilvl w:val="0"/>
          <w:numId w:val="20"/>
        </w:numPr>
        <w:tabs>
          <w:tab w:val="left" w:pos="567"/>
        </w:tabs>
        <w:spacing w:after="360"/>
        <w:ind w:left="357" w:hanging="357"/>
        <w:jc w:val="both"/>
        <w:rPr>
          <w:rFonts w:ascii="ITC Avant Garde" w:hAnsi="ITC Avant Garde"/>
          <w:i/>
          <w:kern w:val="2"/>
          <w:sz w:val="22"/>
          <w:szCs w:val="22"/>
          <w:lang w:val="es-ES" w:eastAsia="ar-SA"/>
        </w:rPr>
      </w:pPr>
      <w:r w:rsidRPr="00846B42">
        <w:rPr>
          <w:rFonts w:ascii="ITC Avant Garde" w:hAnsi="ITC Avant Garde"/>
          <w:b/>
          <w:kern w:val="2"/>
          <w:sz w:val="22"/>
          <w:szCs w:val="22"/>
          <w:lang w:eastAsia="ar-SA"/>
        </w:rPr>
        <w:t xml:space="preserve">Modificación a la Resolución de Preponderancia en Radiodifusión.- </w:t>
      </w:r>
      <w:r w:rsidRPr="00846B42">
        <w:rPr>
          <w:rFonts w:ascii="ITC Avant Garde" w:hAnsi="ITC Avant Garde"/>
          <w:kern w:val="2"/>
          <w:sz w:val="22"/>
          <w:szCs w:val="22"/>
          <w:lang w:eastAsia="ar-SA"/>
        </w:rPr>
        <w:t xml:space="preserve">El 27 de febrero de 2017, el Pleno del Instituto, a través del acuerdo P/IFT/EXT/270217/120, emitió la </w:t>
      </w:r>
      <w:r w:rsidRPr="00846B42">
        <w:rPr>
          <w:rFonts w:ascii="ITC Avant Garde" w:hAnsi="ITC Avant Garde"/>
          <w:i/>
          <w:kern w:val="2"/>
          <w:sz w:val="22"/>
          <w:szCs w:val="22"/>
          <w:lang w:eastAsia="ar-SA"/>
        </w:rPr>
        <w:t>RESOLUCIÓN MEDIANTE LA CUAL EL PLENO DEL INSTITUTO FEDERAL DE TELECOMUNICACIONES SUPRIME, MODIFICA Y ADICIONA LAS MEDIDAS IMPUESTAS AL AGENTE ECONÓMICO PREPONDERANTE EN EL SECTOR DE RADIODIFUSIÓN MEDIANTE RESOLUCIÓN DE FECHA 6 DE MARZO DE 2014, APROBADA MEDIANTE ACUERDO P/IFT/EXT/060314/77</w:t>
      </w:r>
      <w:r w:rsidR="00240747" w:rsidRPr="00846B42">
        <w:rPr>
          <w:rFonts w:ascii="ITC Avant Garde" w:hAnsi="ITC Avant Garde"/>
          <w:i/>
          <w:kern w:val="2"/>
          <w:sz w:val="22"/>
          <w:szCs w:val="22"/>
          <w:lang w:eastAsia="ar-SA"/>
        </w:rPr>
        <w:t xml:space="preserve"> </w:t>
      </w:r>
      <w:r w:rsidR="00240747" w:rsidRPr="00846B42">
        <w:rPr>
          <w:rFonts w:ascii="ITC Avant Garde" w:hAnsi="ITC Avant Garde"/>
          <w:kern w:val="2"/>
          <w:sz w:val="22"/>
          <w:szCs w:val="22"/>
          <w:lang w:eastAsia="ar-SA"/>
        </w:rPr>
        <w:t>(Resolución P/IFT/EXT/270217/120)</w:t>
      </w:r>
      <w:r w:rsidR="00EB2F80">
        <w:rPr>
          <w:rFonts w:ascii="ITC Avant Garde" w:hAnsi="ITC Avant Garde"/>
          <w:i/>
          <w:kern w:val="2"/>
          <w:sz w:val="22"/>
          <w:szCs w:val="22"/>
          <w:lang w:eastAsia="ar-SA"/>
        </w:rPr>
        <w:t>, y</w:t>
      </w:r>
    </w:p>
    <w:p w14:paraId="78E8A557" w14:textId="3AEB3DAF" w:rsidR="00EB2F80" w:rsidRPr="00846B42" w:rsidRDefault="00EB2F80" w:rsidP="003827C4">
      <w:pPr>
        <w:pStyle w:val="Prrafodelista"/>
        <w:numPr>
          <w:ilvl w:val="0"/>
          <w:numId w:val="20"/>
        </w:numPr>
        <w:tabs>
          <w:tab w:val="left" w:pos="567"/>
        </w:tabs>
        <w:spacing w:after="480"/>
        <w:ind w:left="357" w:hanging="357"/>
        <w:jc w:val="both"/>
        <w:rPr>
          <w:rFonts w:ascii="ITC Avant Garde" w:hAnsi="ITC Avant Garde"/>
          <w:i/>
          <w:kern w:val="2"/>
          <w:sz w:val="22"/>
          <w:szCs w:val="22"/>
          <w:lang w:val="es-ES" w:eastAsia="ar-SA"/>
        </w:rPr>
      </w:pPr>
      <w:r>
        <w:rPr>
          <w:rFonts w:ascii="ITC Avant Garde" w:hAnsi="ITC Avant Garde"/>
          <w:b/>
          <w:kern w:val="2"/>
          <w:sz w:val="22"/>
          <w:szCs w:val="22"/>
          <w:lang w:eastAsia="ar-SA"/>
        </w:rPr>
        <w:t>Informe de la Unidad de Medios y Contenidos Audiovisuales</w:t>
      </w:r>
      <w:r>
        <w:rPr>
          <w:rFonts w:ascii="ITC Avant Garde" w:hAnsi="ITC Avant Garde"/>
          <w:kern w:val="2"/>
          <w:sz w:val="22"/>
          <w:szCs w:val="22"/>
          <w:lang w:eastAsia="ar-SA"/>
        </w:rPr>
        <w:t xml:space="preserve">.- El </w:t>
      </w:r>
      <w:r w:rsidR="0072201C">
        <w:rPr>
          <w:rFonts w:ascii="ITC Avant Garde" w:hAnsi="ITC Avant Garde"/>
          <w:kern w:val="2"/>
          <w:sz w:val="22"/>
          <w:szCs w:val="22"/>
          <w:lang w:eastAsia="ar-SA"/>
        </w:rPr>
        <w:t>28</w:t>
      </w:r>
      <w:r>
        <w:rPr>
          <w:rFonts w:ascii="ITC Avant Garde" w:hAnsi="ITC Avant Garde"/>
          <w:kern w:val="2"/>
          <w:sz w:val="22"/>
          <w:szCs w:val="22"/>
          <w:lang w:eastAsia="ar-SA"/>
        </w:rPr>
        <w:t xml:space="preserve"> de agosto de 2018, a través del oficio </w:t>
      </w:r>
      <w:r w:rsidRPr="00E343A5">
        <w:rPr>
          <w:rFonts w:ascii="ITC Avant Garde" w:hAnsi="ITC Avant Garde"/>
          <w:kern w:val="2"/>
          <w:sz w:val="22"/>
          <w:szCs w:val="22"/>
          <w:lang w:eastAsia="ar-SA"/>
        </w:rPr>
        <w:t>IFT/224/UMCA/</w:t>
      </w:r>
      <w:r w:rsidR="008C0855">
        <w:rPr>
          <w:rFonts w:ascii="ITC Avant Garde" w:hAnsi="ITC Avant Garde"/>
          <w:kern w:val="2"/>
          <w:sz w:val="22"/>
          <w:szCs w:val="22"/>
          <w:lang w:eastAsia="ar-SA"/>
        </w:rPr>
        <w:t>643</w:t>
      </w:r>
      <w:r w:rsidRPr="00E343A5">
        <w:rPr>
          <w:rFonts w:ascii="ITC Avant Garde" w:hAnsi="ITC Avant Garde"/>
          <w:kern w:val="2"/>
          <w:sz w:val="22"/>
          <w:szCs w:val="22"/>
          <w:lang w:eastAsia="ar-SA"/>
        </w:rPr>
        <w:t>/2018</w:t>
      </w:r>
      <w:r>
        <w:rPr>
          <w:rFonts w:ascii="ITC Avant Garde" w:hAnsi="ITC Avant Garde"/>
          <w:kern w:val="2"/>
          <w:sz w:val="22"/>
          <w:szCs w:val="22"/>
          <w:lang w:eastAsia="ar-SA"/>
        </w:rPr>
        <w:t>, la Unidad de Medios y Contenidos Audiovisuales (UMCA) presentó ante la Secretaría Técnica del Pleno el Informe que contiene el análisis sobre Contenidos Audiovisuales Relevantes (Informe).</w:t>
      </w:r>
    </w:p>
    <w:p w14:paraId="7F56F28B" w14:textId="77777777" w:rsidR="00BD7562" w:rsidRPr="00846B42" w:rsidRDefault="00BD7562" w:rsidP="00D755E1">
      <w:pPr>
        <w:autoSpaceDE w:val="0"/>
        <w:autoSpaceDN w:val="0"/>
        <w:adjustRightInd w:val="0"/>
        <w:spacing w:after="0" w:line="240" w:lineRule="auto"/>
        <w:jc w:val="both"/>
        <w:rPr>
          <w:rFonts w:ascii="ITC Avant Garde" w:hAnsi="ITC Avant Garde"/>
          <w:kern w:val="2"/>
          <w:lang w:val="es-ES" w:eastAsia="ar-SA"/>
        </w:rPr>
      </w:pPr>
      <w:r w:rsidRPr="00846B42">
        <w:rPr>
          <w:rFonts w:ascii="ITC Avant Garde" w:hAnsi="ITC Avant Garde"/>
          <w:kern w:val="2"/>
          <w:lang w:val="es-ES" w:eastAsia="ar-SA"/>
        </w:rPr>
        <w:t>En virtud de los Antecedentes referidos y,</w:t>
      </w:r>
    </w:p>
    <w:p w14:paraId="5ACBF734" w14:textId="5E281C64" w:rsidR="00AE3795" w:rsidRPr="003B2E09" w:rsidRDefault="00AE3795" w:rsidP="003827C4">
      <w:pPr>
        <w:pStyle w:val="Ttulo4"/>
        <w:spacing w:before="480" w:after="480"/>
        <w:jc w:val="center"/>
        <w:rPr>
          <w:rFonts w:ascii="ITC Avant Garde" w:hAnsi="ITC Avant Garde"/>
          <w:b/>
          <w:i w:val="0"/>
          <w:color w:val="auto"/>
          <w:lang w:eastAsia="ar-SA"/>
        </w:rPr>
      </w:pPr>
      <w:r w:rsidRPr="003B2E09">
        <w:rPr>
          <w:rFonts w:ascii="ITC Avant Garde" w:hAnsi="ITC Avant Garde"/>
          <w:b/>
          <w:i w:val="0"/>
          <w:color w:val="auto"/>
          <w:lang w:eastAsia="ar-SA"/>
        </w:rPr>
        <w:t>CONSIDERANDO</w:t>
      </w:r>
    </w:p>
    <w:p w14:paraId="23CBE4B8" w14:textId="1E2CA2A7" w:rsidR="00A352AB" w:rsidRPr="00846B42" w:rsidRDefault="00E01E46" w:rsidP="003827C4">
      <w:pPr>
        <w:suppressAutoHyphens/>
        <w:spacing w:after="240" w:line="240" w:lineRule="auto"/>
        <w:ind w:right="-62"/>
        <w:jc w:val="both"/>
        <w:rPr>
          <w:rFonts w:ascii="ITC Avant Garde" w:eastAsia="Times New Roman" w:hAnsi="ITC Avant Garde"/>
          <w:kern w:val="2"/>
          <w:lang w:val="es-ES" w:eastAsia="ar-SA"/>
        </w:rPr>
      </w:pPr>
      <w:r w:rsidRPr="00846B42">
        <w:rPr>
          <w:rFonts w:ascii="ITC Avant Garde" w:eastAsia="Times New Roman" w:hAnsi="ITC Avant Garde" w:cstheme="minorHAnsi"/>
          <w:b/>
          <w:bCs/>
          <w:lang w:val="es-ES" w:eastAsia="es-ES"/>
        </w:rPr>
        <w:t>PRIMERO</w:t>
      </w:r>
      <w:r w:rsidR="00AE3795" w:rsidRPr="00846B42">
        <w:rPr>
          <w:rFonts w:ascii="ITC Avant Garde" w:eastAsia="Times New Roman" w:hAnsi="ITC Avant Garde" w:cstheme="minorHAnsi"/>
          <w:b/>
          <w:bCs/>
          <w:lang w:val="es-ES" w:eastAsia="es-ES"/>
        </w:rPr>
        <w:t>. Competencia del I</w:t>
      </w:r>
      <w:r w:rsidR="00C00EF3" w:rsidRPr="00846B42">
        <w:rPr>
          <w:rFonts w:ascii="ITC Avant Garde" w:eastAsia="Times New Roman" w:hAnsi="ITC Avant Garde" w:cstheme="minorHAnsi"/>
          <w:b/>
          <w:bCs/>
          <w:lang w:val="es-ES" w:eastAsia="es-ES"/>
        </w:rPr>
        <w:t>nstituto</w:t>
      </w:r>
      <w:r w:rsidR="00AE3795" w:rsidRPr="00846B42">
        <w:rPr>
          <w:rFonts w:ascii="ITC Avant Garde" w:eastAsia="Times New Roman" w:hAnsi="ITC Avant Garde" w:cstheme="minorHAnsi"/>
          <w:b/>
          <w:bCs/>
          <w:lang w:val="es-ES" w:eastAsia="es-ES"/>
        </w:rPr>
        <w:t xml:space="preserve">. </w:t>
      </w:r>
      <w:r w:rsidR="00AE3795" w:rsidRPr="00846B42">
        <w:rPr>
          <w:rFonts w:ascii="ITC Avant Garde" w:eastAsia="Times New Roman" w:hAnsi="ITC Avant Garde"/>
          <w:kern w:val="2"/>
          <w:lang w:val="es-ES" w:eastAsia="ar-SA"/>
        </w:rPr>
        <w:t>De conformidad con el artículo 28</w:t>
      </w:r>
      <w:r w:rsidR="000F0E0E" w:rsidRPr="00846B42">
        <w:rPr>
          <w:rFonts w:ascii="ITC Avant Garde" w:eastAsia="Times New Roman" w:hAnsi="ITC Avant Garde"/>
          <w:kern w:val="2"/>
          <w:lang w:val="es-ES" w:eastAsia="ar-SA"/>
        </w:rPr>
        <w:t>, párrafo</w:t>
      </w:r>
      <w:r w:rsidR="00D73950" w:rsidRPr="00846B42">
        <w:rPr>
          <w:rFonts w:ascii="ITC Avant Garde" w:eastAsia="Times New Roman" w:hAnsi="ITC Avant Garde"/>
          <w:kern w:val="2"/>
          <w:lang w:val="es-ES" w:eastAsia="ar-SA"/>
        </w:rPr>
        <w:t>s</w:t>
      </w:r>
      <w:r w:rsidR="000F0E0E" w:rsidRPr="00846B42">
        <w:rPr>
          <w:rFonts w:ascii="ITC Avant Garde" w:eastAsia="Times New Roman" w:hAnsi="ITC Avant Garde"/>
          <w:kern w:val="2"/>
          <w:lang w:val="es-ES" w:eastAsia="ar-SA"/>
        </w:rPr>
        <w:t xml:space="preserve"> décimo quinto</w:t>
      </w:r>
      <w:r w:rsidR="00D73950" w:rsidRPr="00846B42">
        <w:rPr>
          <w:rFonts w:ascii="ITC Avant Garde" w:eastAsia="Times New Roman" w:hAnsi="ITC Avant Garde"/>
          <w:kern w:val="2"/>
          <w:lang w:val="es-ES" w:eastAsia="ar-SA"/>
        </w:rPr>
        <w:t xml:space="preserve"> </w:t>
      </w:r>
      <w:r w:rsidR="00D73950" w:rsidRPr="00846B42">
        <w:rPr>
          <w:rFonts w:ascii="ITC Avant Garde" w:hAnsi="ITC Avant Garde"/>
          <w:bCs/>
        </w:rPr>
        <w:t>y décimo sexto</w:t>
      </w:r>
      <w:r w:rsidR="0072182E" w:rsidRPr="00846B42">
        <w:rPr>
          <w:rFonts w:ascii="ITC Avant Garde" w:eastAsia="Times New Roman" w:hAnsi="ITC Avant Garde"/>
          <w:kern w:val="2"/>
          <w:lang w:val="es-ES" w:eastAsia="ar-SA"/>
        </w:rPr>
        <w:t>,</w:t>
      </w:r>
      <w:r w:rsidR="00AE3795" w:rsidRPr="00846B42">
        <w:rPr>
          <w:rFonts w:ascii="ITC Avant Garde" w:eastAsia="Times New Roman" w:hAnsi="ITC Avant Garde"/>
          <w:kern w:val="2"/>
          <w:lang w:val="es-ES" w:eastAsia="ar-SA"/>
        </w:rPr>
        <w:t xml:space="preserve"> de la </w:t>
      </w:r>
      <w:r w:rsidR="00AE3795" w:rsidRPr="00846B42">
        <w:rPr>
          <w:rFonts w:ascii="ITC Avant Garde" w:hAnsi="ITC Avant Garde"/>
          <w:kern w:val="2"/>
          <w:lang w:val="es-ES" w:eastAsia="ar-SA"/>
        </w:rPr>
        <w:t>Constitución</w:t>
      </w:r>
      <w:r w:rsidR="0072182E" w:rsidRPr="00846B42">
        <w:rPr>
          <w:rFonts w:ascii="ITC Avant Garde" w:hAnsi="ITC Avant Garde"/>
          <w:kern w:val="2"/>
          <w:lang w:val="es-ES" w:eastAsia="ar-SA"/>
        </w:rPr>
        <w:t xml:space="preserve"> Política de los Estados Unidos Mexicanos (Constitución)</w:t>
      </w:r>
      <w:r w:rsidR="00AE3795" w:rsidRPr="00846B42">
        <w:rPr>
          <w:rFonts w:ascii="ITC Avant Garde" w:eastAsia="Times New Roman" w:hAnsi="ITC Avant Garde"/>
          <w:kern w:val="2"/>
          <w:lang w:val="es-ES" w:eastAsia="ar-SA"/>
        </w:rPr>
        <w:t xml:space="preserve">, el </w:t>
      </w:r>
      <w:r w:rsidR="00AE3795" w:rsidRPr="00846B42">
        <w:rPr>
          <w:rFonts w:ascii="ITC Avant Garde" w:hAnsi="ITC Avant Garde"/>
          <w:kern w:val="2"/>
          <w:lang w:val="es-ES" w:eastAsia="ar-SA"/>
        </w:rPr>
        <w:t>I</w:t>
      </w:r>
      <w:r w:rsidR="00C00EF3" w:rsidRPr="00846B42">
        <w:rPr>
          <w:rFonts w:ascii="ITC Avant Garde" w:hAnsi="ITC Avant Garde"/>
          <w:kern w:val="2"/>
          <w:lang w:val="es-ES" w:eastAsia="ar-SA"/>
        </w:rPr>
        <w:t>nstituto</w:t>
      </w:r>
      <w:r w:rsidR="006F5D4E" w:rsidRPr="00846B42">
        <w:rPr>
          <w:rFonts w:ascii="ITC Avant Garde" w:hAnsi="ITC Avant Garde"/>
          <w:kern w:val="2"/>
          <w:lang w:val="es-ES" w:eastAsia="ar-SA"/>
        </w:rPr>
        <w:t xml:space="preserve"> </w:t>
      </w:r>
      <w:r w:rsidR="00AE3795" w:rsidRPr="00846B42">
        <w:rPr>
          <w:rFonts w:ascii="ITC Avant Garde" w:eastAsia="Times New Roman" w:hAnsi="ITC Avant Garde"/>
          <w:kern w:val="2"/>
          <w:lang w:val="es-ES" w:eastAsia="ar-SA"/>
        </w:rPr>
        <w:t>es un órgano autónomo</w:t>
      </w:r>
      <w:r w:rsidR="00D73950" w:rsidRPr="00846B42">
        <w:rPr>
          <w:rFonts w:ascii="ITC Avant Garde" w:eastAsia="Times New Roman" w:hAnsi="ITC Avant Garde"/>
          <w:kern w:val="2"/>
          <w:lang w:val="es-ES" w:eastAsia="ar-SA"/>
        </w:rPr>
        <w:t>,</w:t>
      </w:r>
      <w:r w:rsidR="00AE3795" w:rsidRPr="00846B42">
        <w:rPr>
          <w:rFonts w:ascii="ITC Avant Garde" w:eastAsia="Times New Roman" w:hAnsi="ITC Avant Garde"/>
          <w:kern w:val="2"/>
          <w:lang w:val="es-ES" w:eastAsia="ar-SA"/>
        </w:rPr>
        <w:t xml:space="preserve"> con personalidad jurídica y patrimonio propio, que tiene por objeto el desarrollo eficiente de la radiodifusión y las telecomunicaciones</w:t>
      </w:r>
      <w:r w:rsidR="00D73950" w:rsidRPr="00846B42">
        <w:rPr>
          <w:rFonts w:ascii="ITC Avant Garde" w:eastAsia="Times New Roman" w:hAnsi="ITC Avant Garde"/>
          <w:kern w:val="2"/>
          <w:lang w:val="es-ES" w:eastAsia="ar-SA"/>
        </w:rPr>
        <w:t xml:space="preserve">. </w:t>
      </w:r>
      <w:r w:rsidR="00AE3795" w:rsidRPr="00846B42">
        <w:rPr>
          <w:rFonts w:ascii="ITC Avant Garde" w:eastAsia="Times New Roman" w:hAnsi="ITC Avant Garde"/>
          <w:kern w:val="2"/>
          <w:lang w:val="es-ES" w:eastAsia="ar-SA"/>
        </w:rPr>
        <w:t>Para tal efecto, tiene a su cargo la regulación, promoción y supervisión del uso, aprovechamiento y explotación del espectro radioeléctrico,</w:t>
      </w:r>
      <w:r w:rsidR="00D73950" w:rsidRPr="00846B42">
        <w:rPr>
          <w:rFonts w:ascii="ITC Avant Garde" w:eastAsia="Times New Roman" w:hAnsi="ITC Avant Garde"/>
          <w:kern w:val="2"/>
          <w:lang w:val="es-ES" w:eastAsia="ar-SA"/>
        </w:rPr>
        <w:t xml:space="preserve"> las redes y la </w:t>
      </w:r>
      <w:r w:rsidR="006F5D4E" w:rsidRPr="00846B42">
        <w:rPr>
          <w:rFonts w:ascii="ITC Avant Garde" w:eastAsia="Times New Roman" w:hAnsi="ITC Avant Garde"/>
          <w:kern w:val="2"/>
          <w:lang w:val="es-ES" w:eastAsia="ar-SA"/>
        </w:rPr>
        <w:t xml:space="preserve">prestación de los servicios de radiodifusión y de telecomunicaciones, </w:t>
      </w:r>
      <w:r w:rsidR="004D6949" w:rsidRPr="00846B42">
        <w:rPr>
          <w:rFonts w:ascii="ITC Avant Garde" w:eastAsia="Times New Roman" w:hAnsi="ITC Avant Garde"/>
          <w:kern w:val="2"/>
          <w:lang w:val="es-ES" w:eastAsia="ar-SA"/>
        </w:rPr>
        <w:t>así como el acceso a la infra</w:t>
      </w:r>
      <w:r w:rsidR="00AE3795" w:rsidRPr="00846B42">
        <w:rPr>
          <w:rFonts w:ascii="ITC Avant Garde" w:eastAsia="Times New Roman" w:hAnsi="ITC Avant Garde"/>
          <w:kern w:val="2"/>
          <w:lang w:val="es-ES" w:eastAsia="ar-SA"/>
        </w:rPr>
        <w:t>estructura activa, pasiva y otros insumos esenciales,</w:t>
      </w:r>
      <w:r w:rsidR="006F5D4E" w:rsidRPr="00846B42">
        <w:rPr>
          <w:rFonts w:ascii="ITC Avant Garde" w:eastAsia="Times New Roman" w:hAnsi="ITC Avant Garde"/>
          <w:kern w:val="2"/>
          <w:lang w:val="es-ES" w:eastAsia="ar-SA"/>
        </w:rPr>
        <w:t xml:space="preserve"> </w:t>
      </w:r>
      <w:r w:rsidR="00AE3795" w:rsidRPr="00846B42">
        <w:rPr>
          <w:rFonts w:ascii="ITC Avant Garde" w:eastAsia="Times New Roman" w:hAnsi="ITC Avant Garde"/>
          <w:kern w:val="2"/>
          <w:lang w:val="es-ES" w:eastAsia="ar-SA"/>
        </w:rPr>
        <w:t xml:space="preserve">garantizando lo establecido en los artículos </w:t>
      </w:r>
      <w:r w:rsidR="0006226D" w:rsidRPr="00846B42">
        <w:rPr>
          <w:rFonts w:ascii="ITC Avant Garde" w:eastAsia="Times New Roman" w:hAnsi="ITC Avant Garde"/>
          <w:bCs/>
          <w:kern w:val="2"/>
          <w:lang w:eastAsia="ar-SA"/>
        </w:rPr>
        <w:t>6o. y 7o.</w:t>
      </w:r>
      <w:r w:rsidR="00AE3795" w:rsidRPr="00846B42">
        <w:rPr>
          <w:rFonts w:ascii="ITC Avant Garde" w:eastAsia="Times New Roman" w:hAnsi="ITC Avant Garde"/>
          <w:kern w:val="2"/>
          <w:lang w:val="es-ES" w:eastAsia="ar-SA"/>
        </w:rPr>
        <w:t xml:space="preserve"> de la </w:t>
      </w:r>
      <w:r w:rsidR="0006226D" w:rsidRPr="00846B42">
        <w:rPr>
          <w:rFonts w:ascii="ITC Avant Garde" w:eastAsia="Times New Roman" w:hAnsi="ITC Avant Garde"/>
          <w:kern w:val="2"/>
          <w:lang w:val="es-ES" w:eastAsia="ar-SA"/>
        </w:rPr>
        <w:t xml:space="preserve">propia </w:t>
      </w:r>
      <w:r w:rsidR="00AE3795" w:rsidRPr="00846B42">
        <w:rPr>
          <w:rFonts w:ascii="ITC Avant Garde" w:eastAsia="Times New Roman" w:hAnsi="ITC Avant Garde"/>
          <w:kern w:val="2"/>
          <w:lang w:val="es-ES" w:eastAsia="ar-SA"/>
        </w:rPr>
        <w:t>Constitución.</w:t>
      </w:r>
      <w:r w:rsidR="00C40134" w:rsidRPr="00846B42">
        <w:rPr>
          <w:rFonts w:ascii="ITC Avant Garde" w:eastAsia="Times New Roman" w:hAnsi="ITC Avant Garde"/>
          <w:kern w:val="2"/>
          <w:lang w:val="es-ES" w:eastAsia="ar-SA"/>
        </w:rPr>
        <w:t xml:space="preserve"> </w:t>
      </w:r>
    </w:p>
    <w:p w14:paraId="2B93B0D1" w14:textId="77777777" w:rsidR="005B5420" w:rsidRDefault="00A352AB" w:rsidP="00AA3F31">
      <w:pPr>
        <w:suppressAutoHyphens/>
        <w:spacing w:after="360" w:line="240" w:lineRule="auto"/>
        <w:ind w:right="-62"/>
        <w:jc w:val="both"/>
        <w:rPr>
          <w:rFonts w:ascii="ITC Avant Garde" w:eastAsia="Times New Roman" w:hAnsi="ITC Avant Garde"/>
          <w:bCs/>
          <w:kern w:val="2"/>
          <w:lang w:eastAsia="ar-SA"/>
        </w:rPr>
      </w:pPr>
      <w:r w:rsidRPr="00846B42">
        <w:rPr>
          <w:rFonts w:ascii="ITC Avant Garde" w:eastAsia="Times New Roman" w:hAnsi="ITC Avant Garde"/>
          <w:kern w:val="2"/>
          <w:lang w:val="es-ES" w:eastAsia="ar-SA"/>
        </w:rPr>
        <w:t xml:space="preserve">Asimismo, el Instituto </w:t>
      </w:r>
      <w:r w:rsidR="009F764F" w:rsidRPr="00846B42">
        <w:rPr>
          <w:rFonts w:ascii="ITC Avant Garde" w:eastAsia="Times New Roman" w:hAnsi="ITC Avant Garde"/>
          <w:kern w:val="2"/>
          <w:lang w:val="es-ES" w:eastAsia="ar-SA"/>
        </w:rPr>
        <w:t>es</w:t>
      </w:r>
      <w:r w:rsidRPr="00846B42">
        <w:rPr>
          <w:rFonts w:ascii="ITC Avant Garde" w:eastAsia="Times New Roman" w:hAnsi="ITC Avant Garde"/>
          <w:kern w:val="2"/>
          <w:lang w:val="es-ES" w:eastAsia="ar-SA"/>
        </w:rPr>
        <w:t xml:space="preserve"> </w:t>
      </w:r>
      <w:r w:rsidR="0006226D" w:rsidRPr="00846B42">
        <w:rPr>
          <w:rFonts w:ascii="ITC Avant Garde" w:eastAsia="Times New Roman" w:hAnsi="ITC Avant Garde"/>
          <w:kern w:val="2"/>
          <w:lang w:val="es-ES" w:eastAsia="ar-SA"/>
        </w:rPr>
        <w:t xml:space="preserve">la </w:t>
      </w:r>
      <w:r w:rsidRPr="00846B42">
        <w:rPr>
          <w:rFonts w:ascii="ITC Avant Garde" w:eastAsia="Times New Roman" w:hAnsi="ITC Avant Garde"/>
          <w:kern w:val="2"/>
          <w:lang w:val="es-ES" w:eastAsia="ar-SA"/>
        </w:rPr>
        <w:t>autoridad en materia de competencia económica de los sectores de radiodifusión y telecomunicaciones, por lo que</w:t>
      </w:r>
      <w:r w:rsidR="0006226D" w:rsidRPr="00846B42">
        <w:rPr>
          <w:rFonts w:ascii="ITC Avant Garde" w:eastAsia="Times New Roman" w:hAnsi="ITC Avant Garde"/>
          <w:kern w:val="2"/>
          <w:lang w:val="es-ES" w:eastAsia="ar-SA"/>
        </w:rPr>
        <w:t xml:space="preserve"> entre otros aspectos, </w:t>
      </w:r>
      <w:r w:rsidR="0006226D" w:rsidRPr="00846B42">
        <w:rPr>
          <w:rFonts w:ascii="ITC Avant Garde" w:eastAsia="Times New Roman" w:hAnsi="ITC Avant Garde"/>
          <w:bCs/>
          <w:kern w:val="2"/>
          <w:lang w:eastAsia="ar-SA"/>
        </w:rPr>
        <w:t xml:space="preserve">regulará de forma asimétrica a los participantes en estos mercados con el objeto de eliminar </w:t>
      </w:r>
      <w:r w:rsidR="005B5420">
        <w:rPr>
          <w:rFonts w:ascii="ITC Avant Garde" w:eastAsia="Times New Roman" w:hAnsi="ITC Avant Garde"/>
          <w:bCs/>
          <w:kern w:val="2"/>
          <w:lang w:eastAsia="ar-SA"/>
        </w:rPr>
        <w:t xml:space="preserve"> </w:t>
      </w:r>
    </w:p>
    <w:p w14:paraId="31F2E8AD" w14:textId="65488E9B" w:rsidR="00A352AB" w:rsidRPr="005B5420" w:rsidRDefault="0006226D" w:rsidP="00AA3F31">
      <w:pPr>
        <w:suppressAutoHyphens/>
        <w:spacing w:after="360" w:line="240" w:lineRule="auto"/>
        <w:ind w:right="-62"/>
        <w:jc w:val="both"/>
        <w:rPr>
          <w:rFonts w:ascii="ITC Avant Garde" w:eastAsia="Times New Roman" w:hAnsi="ITC Avant Garde"/>
          <w:bCs/>
          <w:kern w:val="2"/>
          <w:lang w:eastAsia="ar-SA"/>
        </w:rPr>
      </w:pPr>
      <w:r w:rsidRPr="00846B42">
        <w:rPr>
          <w:rFonts w:ascii="ITC Avant Garde" w:eastAsia="Times New Roman" w:hAnsi="ITC Avant Garde"/>
          <w:bCs/>
          <w:kern w:val="2"/>
          <w:lang w:eastAsia="ar-SA"/>
        </w:rPr>
        <w:lastRenderedPageBreak/>
        <w:t>eficazmente las barreras a la competencia y la libre concurrencia e impondrá límites al concesionamiento y a la propiedad cruzada que controle varios medios de comunicación que sean concesionarios de radiodifusión y telecomunicaciones que sirvan a un mismo mercado o zona de cobertura geográfica.</w:t>
      </w:r>
    </w:p>
    <w:p w14:paraId="5EB566B4" w14:textId="7666771F" w:rsidR="00A753BB" w:rsidRPr="00846B42" w:rsidRDefault="000621D5" w:rsidP="00AA3F31">
      <w:pPr>
        <w:suppressAutoHyphens/>
        <w:spacing w:after="360" w:line="240" w:lineRule="auto"/>
        <w:ind w:right="-62"/>
        <w:jc w:val="both"/>
        <w:rPr>
          <w:rFonts w:ascii="ITC Avant Garde" w:eastAsia="Times New Roman" w:hAnsi="ITC Avant Garde"/>
          <w:kern w:val="2"/>
          <w:lang w:val="es-ES" w:eastAsia="ar-SA"/>
        </w:rPr>
      </w:pPr>
      <w:r w:rsidRPr="00846B42">
        <w:rPr>
          <w:rFonts w:ascii="ITC Avant Garde" w:eastAsia="Times New Roman" w:hAnsi="ITC Avant Garde"/>
          <w:kern w:val="2"/>
          <w:lang w:val="es-ES" w:eastAsia="ar-SA"/>
        </w:rPr>
        <w:t xml:space="preserve">En el </w:t>
      </w:r>
      <w:r w:rsidR="00AB34E4" w:rsidRPr="00846B42">
        <w:rPr>
          <w:rFonts w:ascii="ITC Avant Garde" w:eastAsia="Times New Roman" w:hAnsi="ITC Avant Garde"/>
          <w:kern w:val="2"/>
          <w:lang w:val="es-ES" w:eastAsia="ar-SA"/>
        </w:rPr>
        <w:t>artículo Octavo</w:t>
      </w:r>
      <w:r w:rsidRPr="00846B42">
        <w:rPr>
          <w:rFonts w:ascii="ITC Avant Garde" w:eastAsia="Times New Roman" w:hAnsi="ITC Avant Garde"/>
          <w:kern w:val="2"/>
          <w:lang w:val="es-ES" w:eastAsia="ar-SA"/>
        </w:rPr>
        <w:t xml:space="preserve"> Transitorio, fracción III,</w:t>
      </w:r>
      <w:r w:rsidR="00AB34E4" w:rsidRPr="00846B42">
        <w:rPr>
          <w:rFonts w:ascii="ITC Avant Garde" w:eastAsia="Times New Roman" w:hAnsi="ITC Avant Garde"/>
          <w:kern w:val="2"/>
          <w:lang w:val="es-ES" w:eastAsia="ar-SA"/>
        </w:rPr>
        <w:t xml:space="preserve"> del Decreto</w:t>
      </w:r>
      <w:r w:rsidR="0006226D" w:rsidRPr="00846B42">
        <w:rPr>
          <w:rFonts w:ascii="ITC Avant Garde" w:eastAsia="Times New Roman" w:hAnsi="ITC Avant Garde"/>
          <w:kern w:val="2"/>
          <w:lang w:val="es-ES" w:eastAsia="ar-SA"/>
        </w:rPr>
        <w:t xml:space="preserve"> de Reforma Constitucional</w:t>
      </w:r>
      <w:r w:rsidR="003C343E" w:rsidRPr="00846B42">
        <w:rPr>
          <w:rFonts w:ascii="ITC Avant Garde" w:eastAsia="Times New Roman" w:hAnsi="ITC Avant Garde"/>
          <w:kern w:val="2"/>
          <w:lang w:val="es-ES" w:eastAsia="ar-SA"/>
        </w:rPr>
        <w:t>, el Constituyente</w:t>
      </w:r>
      <w:r w:rsidR="00AB34E4" w:rsidRPr="00846B42">
        <w:rPr>
          <w:rFonts w:ascii="ITC Avant Garde" w:eastAsia="Times New Roman" w:hAnsi="ITC Avant Garde"/>
          <w:kern w:val="2"/>
          <w:lang w:val="es-ES" w:eastAsia="ar-SA"/>
        </w:rPr>
        <w:t xml:space="preserve"> </w:t>
      </w:r>
      <w:r w:rsidR="001F150E" w:rsidRPr="00846B42">
        <w:rPr>
          <w:rFonts w:ascii="ITC Avant Garde" w:eastAsia="Times New Roman" w:hAnsi="ITC Avant Garde"/>
          <w:kern w:val="2"/>
          <w:lang w:val="es-ES" w:eastAsia="ar-SA"/>
        </w:rPr>
        <w:t xml:space="preserve">estableció a cargo del </w:t>
      </w:r>
      <w:r w:rsidR="00AB34E4" w:rsidRPr="00846B42">
        <w:rPr>
          <w:rFonts w:ascii="ITC Avant Garde" w:eastAsia="Times New Roman" w:hAnsi="ITC Avant Garde"/>
          <w:kern w:val="2"/>
          <w:lang w:val="es-ES" w:eastAsia="ar-SA"/>
        </w:rPr>
        <w:t>I</w:t>
      </w:r>
      <w:r w:rsidR="00C00EF3" w:rsidRPr="00846B42">
        <w:rPr>
          <w:rFonts w:ascii="ITC Avant Garde" w:eastAsia="Times New Roman" w:hAnsi="ITC Avant Garde"/>
          <w:kern w:val="2"/>
          <w:lang w:val="es-ES" w:eastAsia="ar-SA"/>
        </w:rPr>
        <w:t>nstituto</w:t>
      </w:r>
      <w:r w:rsidR="001F150E" w:rsidRPr="00846B42">
        <w:rPr>
          <w:rFonts w:ascii="ITC Avant Garde" w:eastAsia="Times New Roman" w:hAnsi="ITC Avant Garde"/>
          <w:kern w:val="2"/>
          <w:lang w:val="es-ES" w:eastAsia="ar-SA"/>
        </w:rPr>
        <w:t xml:space="preserve"> la obligación de</w:t>
      </w:r>
      <w:r w:rsidR="00C00EF3" w:rsidRPr="00846B42">
        <w:rPr>
          <w:rFonts w:ascii="ITC Avant Garde" w:eastAsia="Times New Roman" w:hAnsi="ITC Avant Garde"/>
          <w:kern w:val="2"/>
          <w:lang w:val="es-ES" w:eastAsia="ar-SA"/>
        </w:rPr>
        <w:t xml:space="preserve"> </w:t>
      </w:r>
      <w:r w:rsidR="00AB34E4" w:rsidRPr="00846B42">
        <w:rPr>
          <w:rFonts w:ascii="ITC Avant Garde" w:eastAsia="Times New Roman" w:hAnsi="ITC Avant Garde"/>
          <w:kern w:val="2"/>
          <w:lang w:val="es-ES" w:eastAsia="ar-SA"/>
        </w:rPr>
        <w:t>determinar la existencia de agentes económicos preponderantes en los sectores de radiodifusión y de telecomunicaciones, e imponer las medidas necesarias para evitar que se afecte la competencia y la libre concurrencia y, con ello, a los</w:t>
      </w:r>
      <w:r w:rsidR="00A753BB" w:rsidRPr="00846B42">
        <w:rPr>
          <w:rFonts w:ascii="ITC Avant Garde" w:eastAsia="Times New Roman" w:hAnsi="ITC Avant Garde"/>
          <w:kern w:val="2"/>
          <w:lang w:val="es-ES" w:eastAsia="ar-SA"/>
        </w:rPr>
        <w:t xml:space="preserve"> usuarios finales.</w:t>
      </w:r>
    </w:p>
    <w:p w14:paraId="2F706AA3" w14:textId="0A8F8D45" w:rsidR="00A9084C" w:rsidRDefault="005B6B8C" w:rsidP="00AA3F31">
      <w:pPr>
        <w:suppressAutoHyphens/>
        <w:spacing w:after="360" w:line="240" w:lineRule="auto"/>
        <w:ind w:right="-62"/>
        <w:jc w:val="both"/>
        <w:rPr>
          <w:rFonts w:ascii="ITC Avant Garde" w:eastAsia="Times New Roman" w:hAnsi="ITC Avant Garde"/>
          <w:kern w:val="2"/>
          <w:lang w:eastAsia="ar-SA"/>
        </w:rPr>
      </w:pPr>
      <w:r w:rsidRPr="00846B42">
        <w:rPr>
          <w:rFonts w:ascii="ITC Avant Garde" w:eastAsia="Times New Roman" w:hAnsi="ITC Avant Garde"/>
          <w:kern w:val="2"/>
          <w:lang w:val="es-ES" w:eastAsia="ar-SA"/>
        </w:rPr>
        <w:t xml:space="preserve">Al respecto, </w:t>
      </w:r>
      <w:r w:rsidRPr="00846B42">
        <w:rPr>
          <w:rFonts w:ascii="ITC Avant Garde" w:eastAsia="Times New Roman" w:hAnsi="ITC Avant Garde"/>
          <w:kern w:val="2"/>
          <w:lang w:eastAsia="ar-SA"/>
        </w:rPr>
        <w:t>e</w:t>
      </w:r>
      <w:r w:rsidR="003926FE" w:rsidRPr="00846B42">
        <w:rPr>
          <w:rFonts w:ascii="ITC Avant Garde" w:eastAsia="Times New Roman" w:hAnsi="ITC Avant Garde"/>
          <w:kern w:val="2"/>
          <w:lang w:eastAsia="ar-SA"/>
        </w:rPr>
        <w:t xml:space="preserve">n la </w:t>
      </w:r>
      <w:r w:rsidR="003926FE" w:rsidRPr="00846B42">
        <w:rPr>
          <w:rFonts w:ascii="ITC Avant Garde" w:hAnsi="ITC Avant Garde"/>
          <w:kern w:val="2"/>
          <w:lang w:eastAsia="ar-SA"/>
        </w:rPr>
        <w:t xml:space="preserve">Medida Cuarta del </w:t>
      </w:r>
      <w:r w:rsidR="003926FE" w:rsidRPr="00846B42">
        <w:rPr>
          <w:rFonts w:ascii="ITC Avant Garde" w:eastAsia="Times New Roman" w:hAnsi="ITC Avant Garde"/>
          <w:kern w:val="2"/>
          <w:lang w:val="es-ES" w:eastAsia="ar-SA"/>
        </w:rPr>
        <w:t>Anexo 4</w:t>
      </w:r>
      <w:r w:rsidR="003926FE" w:rsidRPr="00846B42">
        <w:rPr>
          <w:rFonts w:ascii="ITC Avant Garde" w:eastAsia="Times New Roman" w:hAnsi="ITC Avant Garde"/>
          <w:kern w:val="2"/>
          <w:lang w:eastAsia="ar-SA"/>
        </w:rPr>
        <w:t xml:space="preserve"> de la </w:t>
      </w:r>
      <w:r w:rsidR="00A9084C">
        <w:rPr>
          <w:rFonts w:ascii="ITC Avant Garde" w:eastAsia="Times New Roman" w:hAnsi="ITC Avant Garde"/>
          <w:kern w:val="2"/>
          <w:lang w:eastAsia="ar-SA"/>
        </w:rPr>
        <w:t>r</w:t>
      </w:r>
      <w:r w:rsidR="00727BC8" w:rsidRPr="00846B42">
        <w:rPr>
          <w:rFonts w:ascii="ITC Avant Garde" w:eastAsia="Times New Roman" w:hAnsi="ITC Avant Garde"/>
          <w:kern w:val="2"/>
          <w:lang w:eastAsia="ar-SA"/>
        </w:rPr>
        <w:t>esoluci</w:t>
      </w:r>
      <w:r w:rsidR="00A9084C">
        <w:rPr>
          <w:rFonts w:ascii="ITC Avant Garde" w:eastAsia="Times New Roman" w:hAnsi="ITC Avant Garde"/>
          <w:kern w:val="2"/>
          <w:lang w:eastAsia="ar-SA"/>
        </w:rPr>
        <w:t>ón</w:t>
      </w:r>
      <w:r w:rsidR="00727BC8" w:rsidRPr="00846B42">
        <w:rPr>
          <w:rFonts w:ascii="ITC Avant Garde" w:eastAsia="Times New Roman" w:hAnsi="ITC Avant Garde"/>
          <w:kern w:val="2"/>
          <w:lang w:eastAsia="ar-SA"/>
        </w:rPr>
        <w:t xml:space="preserve"> P/IFT/EXT/060314/76</w:t>
      </w:r>
      <w:r w:rsidR="00A9084C">
        <w:rPr>
          <w:rFonts w:ascii="ITC Avant Garde" w:eastAsia="Times New Roman" w:hAnsi="ITC Avant Garde"/>
          <w:kern w:val="2"/>
          <w:lang w:eastAsia="ar-SA"/>
        </w:rPr>
        <w:t xml:space="preserve"> (mismo que no fue modificado por la diversa </w:t>
      </w:r>
      <w:r w:rsidR="00A9084C" w:rsidRPr="00846B42">
        <w:rPr>
          <w:rFonts w:ascii="ITC Avant Garde" w:eastAsia="Times New Roman" w:hAnsi="ITC Avant Garde"/>
          <w:kern w:val="2"/>
          <w:lang w:eastAsia="ar-SA"/>
        </w:rPr>
        <w:t>P/IFT/EXT/</w:t>
      </w:r>
      <w:r w:rsidR="003C384D">
        <w:rPr>
          <w:rFonts w:ascii="ITC Avant Garde" w:eastAsia="Times New Roman" w:hAnsi="ITC Avant Garde"/>
          <w:kern w:val="2"/>
          <w:lang w:eastAsia="ar-SA"/>
        </w:rPr>
        <w:t>270217</w:t>
      </w:r>
      <w:r w:rsidR="00A9084C">
        <w:rPr>
          <w:rFonts w:ascii="ITC Avant Garde" w:eastAsia="Times New Roman" w:hAnsi="ITC Avant Garde"/>
          <w:kern w:val="2"/>
          <w:lang w:eastAsia="ar-SA"/>
        </w:rPr>
        <w:t>/119)</w:t>
      </w:r>
      <w:r w:rsidR="003926FE" w:rsidRPr="00846B42">
        <w:rPr>
          <w:rFonts w:ascii="ITC Avant Garde" w:eastAsia="Times New Roman" w:hAnsi="ITC Avant Garde"/>
          <w:kern w:val="2"/>
          <w:lang w:val="es-ES" w:eastAsia="ar-SA"/>
        </w:rPr>
        <w:t xml:space="preserve">, se </w:t>
      </w:r>
      <w:r w:rsidR="00676B32" w:rsidRPr="00846B42">
        <w:rPr>
          <w:rFonts w:ascii="ITC Avant Garde" w:eastAsia="Times New Roman" w:hAnsi="ITC Avant Garde"/>
          <w:kern w:val="2"/>
          <w:lang w:val="es-ES" w:eastAsia="ar-SA"/>
        </w:rPr>
        <w:t>determinó</w:t>
      </w:r>
      <w:r w:rsidR="003926FE" w:rsidRPr="00846B42">
        <w:rPr>
          <w:rFonts w:ascii="ITC Avant Garde" w:eastAsia="Times New Roman" w:hAnsi="ITC Avant Garde"/>
          <w:kern w:val="2"/>
          <w:lang w:val="es-ES" w:eastAsia="ar-SA"/>
        </w:rPr>
        <w:t xml:space="preserve"> que </w:t>
      </w:r>
      <w:r w:rsidR="00C33AB0" w:rsidRPr="00846B42">
        <w:rPr>
          <w:rFonts w:ascii="ITC Avant Garde" w:eastAsia="Times New Roman" w:hAnsi="ITC Avant Garde"/>
          <w:kern w:val="2"/>
          <w:lang w:eastAsia="ar-SA"/>
        </w:rPr>
        <w:t xml:space="preserve">el </w:t>
      </w:r>
      <w:r w:rsidR="00EA5020" w:rsidRPr="00846B42">
        <w:rPr>
          <w:rFonts w:ascii="ITC Avant Garde" w:eastAsia="Times New Roman" w:hAnsi="ITC Avant Garde"/>
          <w:kern w:val="2"/>
          <w:lang w:eastAsia="ar-SA"/>
        </w:rPr>
        <w:t>agente económico preponderante en el sector de telecomunicaciones</w:t>
      </w:r>
      <w:r w:rsidR="00A9084C">
        <w:rPr>
          <w:rFonts w:ascii="ITC Avant Garde" w:eastAsia="Times New Roman" w:hAnsi="ITC Avant Garde"/>
          <w:kern w:val="2"/>
          <w:lang w:eastAsia="ar-SA"/>
        </w:rPr>
        <w:t xml:space="preserve"> </w:t>
      </w:r>
      <w:r w:rsidR="00A9084C" w:rsidRPr="008A7EAE">
        <w:rPr>
          <w:rFonts w:ascii="ITC Avant Garde" w:eastAsia="Times New Roman" w:hAnsi="ITC Avant Garde"/>
          <w:kern w:val="2"/>
          <w:lang w:eastAsia="ar-SA"/>
        </w:rPr>
        <w:t>no podrá adquirir, directa o indirectamente, derechos para transmitir en exclusiva, a través de televisión radiodifundida para cualquier lugar del territorio nacional, contenidos audiovisuales relevantes, o realizar conductas con efectos similares</w:t>
      </w:r>
    </w:p>
    <w:p w14:paraId="615C78E9" w14:textId="2BA029E8" w:rsidR="008A73FD" w:rsidRPr="006D0DB4" w:rsidRDefault="008A73FD" w:rsidP="00AA3F31">
      <w:pPr>
        <w:suppressAutoHyphens/>
        <w:spacing w:after="360" w:line="240" w:lineRule="auto"/>
        <w:ind w:right="-62"/>
        <w:jc w:val="both"/>
        <w:rPr>
          <w:rFonts w:ascii="ITC Avant Garde" w:eastAsia="Times New Roman" w:hAnsi="ITC Avant Garde"/>
          <w:kern w:val="2"/>
          <w:lang w:eastAsia="ar-SA"/>
        </w:rPr>
      </w:pPr>
      <w:r w:rsidRPr="006D0DB4">
        <w:rPr>
          <w:rFonts w:ascii="ITC Avant Garde" w:eastAsia="Times New Roman" w:hAnsi="ITC Avant Garde"/>
          <w:kern w:val="2"/>
          <w:lang w:eastAsia="ar-SA"/>
        </w:rPr>
        <w:t xml:space="preserve">Por su parte, en la </w:t>
      </w:r>
      <w:r w:rsidRPr="006D0DB4">
        <w:rPr>
          <w:rFonts w:ascii="ITC Avant Garde" w:hAnsi="ITC Avant Garde"/>
          <w:kern w:val="2"/>
          <w:lang w:eastAsia="ar-SA"/>
        </w:rPr>
        <w:t>Medida Décimo Octava del Anexo 1</w:t>
      </w:r>
      <w:r w:rsidRPr="006D0DB4">
        <w:rPr>
          <w:rFonts w:ascii="ITC Avant Garde" w:eastAsia="Times New Roman" w:hAnsi="ITC Avant Garde"/>
          <w:kern w:val="2"/>
          <w:lang w:val="es-ES" w:eastAsia="ar-SA"/>
        </w:rPr>
        <w:t xml:space="preserve"> </w:t>
      </w:r>
      <w:r>
        <w:rPr>
          <w:rFonts w:ascii="ITC Avant Garde" w:hAnsi="ITC Avant Garde"/>
          <w:kern w:val="2"/>
          <w:lang w:eastAsia="ar-SA"/>
        </w:rPr>
        <w:t>de la r</w:t>
      </w:r>
      <w:r w:rsidRPr="006D0DB4">
        <w:rPr>
          <w:rFonts w:ascii="ITC Avant Garde" w:hAnsi="ITC Avant Garde"/>
          <w:kern w:val="2"/>
          <w:lang w:eastAsia="ar-SA"/>
        </w:rPr>
        <w:t>esolución P/IFT/EXT/</w:t>
      </w:r>
      <w:r w:rsidR="003C384D">
        <w:rPr>
          <w:rFonts w:ascii="ITC Avant Garde" w:hAnsi="ITC Avant Garde"/>
          <w:kern w:val="2"/>
          <w:lang w:eastAsia="ar-SA"/>
        </w:rPr>
        <w:t>270217</w:t>
      </w:r>
      <w:r w:rsidRPr="006D0DB4">
        <w:rPr>
          <w:rFonts w:ascii="ITC Avant Garde" w:hAnsi="ITC Avant Garde"/>
          <w:kern w:val="2"/>
          <w:lang w:eastAsia="ar-SA"/>
        </w:rPr>
        <w:t>/</w:t>
      </w:r>
      <w:r>
        <w:rPr>
          <w:rFonts w:ascii="ITC Avant Garde" w:hAnsi="ITC Avant Garde"/>
          <w:kern w:val="2"/>
          <w:lang w:eastAsia="ar-SA"/>
        </w:rPr>
        <w:t>120</w:t>
      </w:r>
      <w:r w:rsidRPr="006D0DB4">
        <w:rPr>
          <w:rFonts w:ascii="ITC Avant Garde" w:hAnsi="ITC Avant Garde"/>
          <w:kern w:val="2"/>
          <w:lang w:eastAsia="ar-SA"/>
        </w:rPr>
        <w:t xml:space="preserve">, </w:t>
      </w:r>
      <w:r w:rsidRPr="006D0DB4">
        <w:rPr>
          <w:rFonts w:ascii="ITC Avant Garde" w:eastAsia="Times New Roman" w:hAnsi="ITC Avant Garde"/>
          <w:kern w:val="2"/>
          <w:lang w:val="es-ES" w:eastAsia="ar-SA"/>
        </w:rPr>
        <w:t>se determin</w:t>
      </w:r>
      <w:r>
        <w:rPr>
          <w:rFonts w:ascii="ITC Avant Garde" w:eastAsia="Times New Roman" w:hAnsi="ITC Avant Garde"/>
          <w:kern w:val="2"/>
          <w:lang w:val="es-ES" w:eastAsia="ar-SA"/>
        </w:rPr>
        <w:t>ó que:</w:t>
      </w:r>
    </w:p>
    <w:p w14:paraId="12432EF6" w14:textId="10D5B2E1" w:rsidR="00A9084C" w:rsidRPr="005262ED" w:rsidRDefault="008A73FD" w:rsidP="00AA3F31">
      <w:pPr>
        <w:suppressAutoHyphens/>
        <w:spacing w:after="360" w:line="240" w:lineRule="auto"/>
        <w:ind w:left="851" w:right="1179"/>
        <w:jc w:val="both"/>
        <w:rPr>
          <w:rFonts w:ascii="ITC Avant Garde" w:eastAsia="Times New Roman" w:hAnsi="ITC Avant Garde"/>
          <w:i/>
          <w:kern w:val="2"/>
          <w:lang w:eastAsia="ar-SA"/>
        </w:rPr>
      </w:pPr>
      <w:r w:rsidRPr="005262ED">
        <w:rPr>
          <w:rFonts w:ascii="ITC Avant Garde" w:eastAsia="Times New Roman" w:hAnsi="ITC Avant Garde"/>
          <w:i/>
          <w:kern w:val="2"/>
          <w:lang w:eastAsia="ar-SA"/>
        </w:rPr>
        <w:t>“</w:t>
      </w:r>
      <w:r w:rsidR="00A9084C" w:rsidRPr="005262ED">
        <w:rPr>
          <w:rFonts w:ascii="ITC Avant Garde" w:eastAsia="Times New Roman" w:hAnsi="ITC Avant Garde"/>
          <w:i/>
          <w:kern w:val="2"/>
          <w:lang w:eastAsia="ar-SA"/>
        </w:rPr>
        <w:t>El Agente Económico Preponderante no podrá adquirir, directa o indirectamente, derechos para transmitir en exclusiva, a través de televisión radiodifundida para cualquier lugar del territorio nacional, Contenidos Audiovisuales Relevantes, o realizar conductas con efectos similares.</w:t>
      </w:r>
    </w:p>
    <w:p w14:paraId="1B20C73C" w14:textId="599207C4" w:rsidR="00A9084C" w:rsidRPr="005262ED" w:rsidRDefault="00A9084C" w:rsidP="00AA3F31">
      <w:pPr>
        <w:suppressAutoHyphens/>
        <w:spacing w:after="360" w:line="240" w:lineRule="auto"/>
        <w:ind w:left="851" w:right="1179"/>
        <w:jc w:val="both"/>
        <w:rPr>
          <w:rFonts w:ascii="ITC Avant Garde" w:eastAsia="Times New Roman" w:hAnsi="ITC Avant Garde"/>
          <w:i/>
          <w:kern w:val="2"/>
          <w:lang w:eastAsia="ar-SA"/>
        </w:rPr>
      </w:pPr>
      <w:r w:rsidRPr="005262ED">
        <w:rPr>
          <w:rFonts w:ascii="ITC Avant Garde" w:eastAsia="Times New Roman" w:hAnsi="ITC Avant Garde"/>
          <w:i/>
          <w:kern w:val="2"/>
          <w:lang w:eastAsia="ar-SA"/>
        </w:rPr>
        <w:t>En caso de que algún organismo o entidad ofrezca los derechos de transmisión de Contenidos Audiovisuales Relevantes en exclusiva o que dichos derechos estén disponibles para un solo agente en territorio nacional, el Agente Económico Preponderante, directa o indirectamente a través de las personas que se encuentren</w:t>
      </w:r>
      <w:r w:rsidR="00E86866" w:rsidRPr="005262ED">
        <w:rPr>
          <w:rFonts w:ascii="ITC Avant Garde" w:eastAsia="Times New Roman" w:hAnsi="ITC Avant Garde"/>
          <w:i/>
          <w:kern w:val="2"/>
          <w:lang w:eastAsia="ar-SA"/>
        </w:rPr>
        <w:t xml:space="preserve"> </w:t>
      </w:r>
      <w:r w:rsidRPr="005262ED">
        <w:rPr>
          <w:rFonts w:ascii="ITC Avant Garde" w:eastAsia="Times New Roman" w:hAnsi="ITC Avant Garde"/>
          <w:i/>
          <w:kern w:val="2"/>
          <w:lang w:eastAsia="ar-SA"/>
        </w:rPr>
        <w:t>bajo su control o influencia, sí podrá adquirir y mantener dichos derechos para ser</w:t>
      </w:r>
      <w:r w:rsidR="00E86866" w:rsidRPr="005262ED">
        <w:rPr>
          <w:rFonts w:ascii="ITC Avant Garde" w:eastAsia="Times New Roman" w:hAnsi="ITC Avant Garde"/>
          <w:i/>
          <w:kern w:val="2"/>
          <w:lang w:eastAsia="ar-SA"/>
        </w:rPr>
        <w:t xml:space="preserve"> </w:t>
      </w:r>
      <w:r w:rsidRPr="005262ED">
        <w:rPr>
          <w:rFonts w:ascii="ITC Avant Garde" w:eastAsia="Times New Roman" w:hAnsi="ITC Avant Garde"/>
          <w:i/>
          <w:kern w:val="2"/>
          <w:lang w:eastAsia="ar-SA"/>
        </w:rPr>
        <w:t>transmitidos a través de televisión radiodifundida, sólo si adquiere el derecho a sublicenciarlos</w:t>
      </w:r>
      <w:r w:rsidR="00E86866" w:rsidRPr="005262ED">
        <w:rPr>
          <w:rFonts w:ascii="ITC Avant Garde" w:eastAsia="Times New Roman" w:hAnsi="ITC Avant Garde"/>
          <w:i/>
          <w:kern w:val="2"/>
          <w:lang w:eastAsia="ar-SA"/>
        </w:rPr>
        <w:t xml:space="preserve"> </w:t>
      </w:r>
      <w:r w:rsidRPr="005262ED">
        <w:rPr>
          <w:rFonts w:ascii="ITC Avant Garde" w:eastAsia="Times New Roman" w:hAnsi="ITC Avant Garde"/>
          <w:i/>
          <w:kern w:val="2"/>
          <w:lang w:eastAsia="ar-SA"/>
        </w:rPr>
        <w:t>a otros prestadores del Servicio de Televisión Radiodifundida Concesionada.</w:t>
      </w:r>
      <w:r w:rsidR="008A73FD" w:rsidRPr="005262ED">
        <w:rPr>
          <w:rFonts w:ascii="ITC Avant Garde" w:eastAsia="Times New Roman" w:hAnsi="ITC Avant Garde"/>
          <w:i/>
          <w:kern w:val="2"/>
          <w:lang w:eastAsia="ar-SA"/>
        </w:rPr>
        <w:t xml:space="preserve"> </w:t>
      </w:r>
      <w:r w:rsidRPr="005262ED">
        <w:rPr>
          <w:rFonts w:ascii="ITC Avant Garde" w:eastAsia="Times New Roman" w:hAnsi="ITC Avant Garde"/>
          <w:i/>
          <w:kern w:val="2"/>
          <w:lang w:eastAsia="ar-SA"/>
        </w:rPr>
        <w:t>En estos casos, el Agente Económico Preponderante deberá poner a disposición de</w:t>
      </w:r>
      <w:r w:rsidR="00E86866" w:rsidRPr="005262ED">
        <w:rPr>
          <w:rFonts w:ascii="ITC Avant Garde" w:eastAsia="Times New Roman" w:hAnsi="ITC Avant Garde"/>
          <w:i/>
          <w:kern w:val="2"/>
          <w:lang w:eastAsia="ar-SA"/>
        </w:rPr>
        <w:t xml:space="preserve"> </w:t>
      </w:r>
      <w:r w:rsidRPr="005262ED">
        <w:rPr>
          <w:rFonts w:ascii="ITC Avant Garde" w:eastAsia="Times New Roman" w:hAnsi="ITC Avant Garde"/>
          <w:i/>
          <w:kern w:val="2"/>
          <w:lang w:eastAsia="ar-SA"/>
        </w:rPr>
        <w:t>otros prestadores del Servicio de Televisión Radiodifundida Concesionada, los derechos</w:t>
      </w:r>
      <w:r w:rsidR="00E86866" w:rsidRPr="005262ED">
        <w:rPr>
          <w:rFonts w:ascii="ITC Avant Garde" w:eastAsia="Times New Roman" w:hAnsi="ITC Avant Garde"/>
          <w:i/>
          <w:kern w:val="2"/>
          <w:lang w:eastAsia="ar-SA"/>
        </w:rPr>
        <w:t xml:space="preserve"> </w:t>
      </w:r>
      <w:r w:rsidRPr="005262ED">
        <w:rPr>
          <w:rFonts w:ascii="ITC Avant Garde" w:eastAsia="Times New Roman" w:hAnsi="ITC Avant Garde"/>
          <w:i/>
          <w:kern w:val="2"/>
          <w:lang w:eastAsia="ar-SA"/>
        </w:rPr>
        <w:t>para transmitir Contenidos Audiovisuales Relevantes sobre los que éste adquiera o tenga</w:t>
      </w:r>
      <w:r w:rsidR="00E86866" w:rsidRPr="005262ED">
        <w:rPr>
          <w:rFonts w:ascii="ITC Avant Garde" w:eastAsia="Times New Roman" w:hAnsi="ITC Avant Garde"/>
          <w:i/>
          <w:kern w:val="2"/>
          <w:lang w:eastAsia="ar-SA"/>
        </w:rPr>
        <w:t xml:space="preserve"> </w:t>
      </w:r>
      <w:r w:rsidRPr="005262ED">
        <w:rPr>
          <w:rFonts w:ascii="ITC Avant Garde" w:eastAsia="Times New Roman" w:hAnsi="ITC Avant Garde"/>
          <w:i/>
          <w:kern w:val="2"/>
          <w:lang w:eastAsia="ar-SA"/>
        </w:rPr>
        <w:t>derechos de transmisión, en condiciones no discriminatorias y que no inhiban la</w:t>
      </w:r>
      <w:r w:rsidR="00E86866" w:rsidRPr="005262ED">
        <w:rPr>
          <w:rFonts w:ascii="ITC Avant Garde" w:eastAsia="Times New Roman" w:hAnsi="ITC Avant Garde"/>
          <w:i/>
          <w:kern w:val="2"/>
          <w:lang w:eastAsia="ar-SA"/>
        </w:rPr>
        <w:t xml:space="preserve"> </w:t>
      </w:r>
      <w:r w:rsidRPr="005262ED">
        <w:rPr>
          <w:rFonts w:ascii="ITC Avant Garde" w:eastAsia="Times New Roman" w:hAnsi="ITC Avant Garde"/>
          <w:i/>
          <w:kern w:val="2"/>
          <w:lang w:eastAsia="ar-SA"/>
        </w:rPr>
        <w:t>competencia.</w:t>
      </w:r>
    </w:p>
    <w:p w14:paraId="1A8E23BF" w14:textId="73D9A88F" w:rsidR="00E86866" w:rsidRDefault="00A9084C" w:rsidP="00AA3F31">
      <w:pPr>
        <w:suppressAutoHyphens/>
        <w:spacing w:after="360" w:line="240" w:lineRule="auto"/>
        <w:ind w:left="851" w:right="1182"/>
        <w:jc w:val="both"/>
        <w:rPr>
          <w:rFonts w:ascii="ITC Avant Garde" w:eastAsia="Times New Roman" w:hAnsi="ITC Avant Garde"/>
          <w:i/>
          <w:kern w:val="2"/>
          <w:lang w:eastAsia="ar-SA"/>
        </w:rPr>
      </w:pPr>
      <w:r w:rsidRPr="005262ED">
        <w:rPr>
          <w:rFonts w:ascii="ITC Avant Garde" w:eastAsia="Times New Roman" w:hAnsi="ITC Avant Garde"/>
          <w:i/>
          <w:kern w:val="2"/>
          <w:lang w:eastAsia="ar-SA"/>
        </w:rPr>
        <w:lastRenderedPageBreak/>
        <w:t>El Agente Económico Preponderante deberá presentar al Instituto en un plazo no mayor</w:t>
      </w:r>
      <w:r w:rsidR="00E86866" w:rsidRPr="005262ED">
        <w:rPr>
          <w:rFonts w:ascii="ITC Avant Garde" w:eastAsia="Times New Roman" w:hAnsi="ITC Avant Garde"/>
          <w:i/>
          <w:kern w:val="2"/>
          <w:lang w:eastAsia="ar-SA"/>
        </w:rPr>
        <w:t xml:space="preserve"> </w:t>
      </w:r>
      <w:r w:rsidRPr="005262ED">
        <w:rPr>
          <w:rFonts w:ascii="ITC Avant Garde" w:eastAsia="Times New Roman" w:hAnsi="ITC Avant Garde"/>
          <w:i/>
          <w:kern w:val="2"/>
          <w:lang w:eastAsia="ar-SA"/>
        </w:rPr>
        <w:t>a 30 días hábiles siguientes a su suscripción, los contratos o convenios celebrados con los</w:t>
      </w:r>
      <w:r w:rsidR="00623B4F">
        <w:rPr>
          <w:rFonts w:ascii="ITC Avant Garde" w:eastAsia="Times New Roman" w:hAnsi="ITC Avant Garde"/>
          <w:i/>
          <w:kern w:val="2"/>
          <w:lang w:eastAsia="ar-SA"/>
        </w:rPr>
        <w:t xml:space="preserve"> </w:t>
      </w:r>
      <w:r w:rsidRPr="005262ED">
        <w:rPr>
          <w:rFonts w:ascii="ITC Avant Garde" w:eastAsia="Times New Roman" w:hAnsi="ITC Avant Garde"/>
          <w:i/>
          <w:kern w:val="2"/>
          <w:lang w:eastAsia="ar-SA"/>
        </w:rPr>
        <w:t>prestadores del Servicio de Televisión Radiodifundida Concesionada</w:t>
      </w:r>
      <w:r w:rsidR="00E86866" w:rsidRPr="005262ED">
        <w:rPr>
          <w:rFonts w:ascii="ITC Avant Garde" w:eastAsia="Times New Roman" w:hAnsi="ITC Avant Garde"/>
          <w:i/>
          <w:kern w:val="2"/>
          <w:lang w:eastAsia="ar-SA"/>
        </w:rPr>
        <w:t>.</w:t>
      </w:r>
      <w:r w:rsidR="008A73FD" w:rsidRPr="005262ED">
        <w:rPr>
          <w:rFonts w:ascii="ITC Avant Garde" w:eastAsia="Times New Roman" w:hAnsi="ITC Avant Garde"/>
          <w:i/>
          <w:kern w:val="2"/>
          <w:lang w:eastAsia="ar-SA"/>
        </w:rPr>
        <w:t>”</w:t>
      </w:r>
    </w:p>
    <w:p w14:paraId="6D044DE5" w14:textId="02215ADC" w:rsidR="00676B32" w:rsidRPr="006D0DB4" w:rsidRDefault="00CB398D" w:rsidP="00AA3F31">
      <w:pPr>
        <w:suppressAutoHyphens/>
        <w:spacing w:after="360" w:line="240" w:lineRule="auto"/>
        <w:ind w:right="-62"/>
        <w:jc w:val="both"/>
        <w:rPr>
          <w:rFonts w:ascii="ITC Avant Garde" w:eastAsia="Times New Roman" w:hAnsi="ITC Avant Garde"/>
          <w:kern w:val="2"/>
          <w:lang w:val="es-ES" w:eastAsia="ar-SA"/>
        </w:rPr>
      </w:pPr>
      <w:r w:rsidRPr="006D0DB4">
        <w:rPr>
          <w:rFonts w:ascii="ITC Avant Garde" w:eastAsia="Times New Roman" w:hAnsi="ITC Avant Garde"/>
          <w:kern w:val="2"/>
          <w:lang w:val="es-ES" w:eastAsia="ar-SA"/>
        </w:rPr>
        <w:t>De igual forma</w:t>
      </w:r>
      <w:r w:rsidR="00676B32" w:rsidRPr="006D0DB4">
        <w:rPr>
          <w:rFonts w:ascii="ITC Avant Garde" w:eastAsia="Times New Roman" w:hAnsi="ITC Avant Garde"/>
          <w:kern w:val="2"/>
          <w:lang w:val="es-ES" w:eastAsia="ar-SA"/>
        </w:rPr>
        <w:t xml:space="preserve">, </w:t>
      </w:r>
      <w:r w:rsidR="008A73FD">
        <w:rPr>
          <w:rFonts w:ascii="ITC Avant Garde" w:eastAsia="Times New Roman" w:hAnsi="ITC Avant Garde"/>
          <w:kern w:val="2"/>
          <w:lang w:val="es-ES" w:eastAsia="ar-SA"/>
        </w:rPr>
        <w:t>los Anexos 4 y 1</w:t>
      </w:r>
      <w:r w:rsidR="00AB07F8">
        <w:rPr>
          <w:rFonts w:ascii="ITC Avant Garde" w:eastAsia="Times New Roman" w:hAnsi="ITC Avant Garde"/>
          <w:kern w:val="2"/>
          <w:lang w:val="es-ES" w:eastAsia="ar-SA"/>
        </w:rPr>
        <w:t xml:space="preserve"> </w:t>
      </w:r>
      <w:r w:rsidR="008A73FD">
        <w:rPr>
          <w:rFonts w:ascii="ITC Avant Garde" w:eastAsia="Times New Roman" w:hAnsi="ITC Avant Garde"/>
          <w:kern w:val="2"/>
          <w:lang w:val="es-ES" w:eastAsia="ar-SA"/>
        </w:rPr>
        <w:t xml:space="preserve">de las resoluciones </w:t>
      </w:r>
      <w:r w:rsidR="008A73FD" w:rsidRPr="00846B42">
        <w:rPr>
          <w:rFonts w:ascii="ITC Avant Garde" w:eastAsia="Times New Roman" w:hAnsi="ITC Avant Garde"/>
          <w:kern w:val="2"/>
          <w:lang w:eastAsia="ar-SA"/>
        </w:rPr>
        <w:t>P/IFT/EXT/060314/76</w:t>
      </w:r>
      <w:r w:rsidR="008A73FD">
        <w:rPr>
          <w:rFonts w:ascii="ITC Avant Garde" w:eastAsia="Times New Roman" w:hAnsi="ITC Avant Garde"/>
          <w:kern w:val="2"/>
          <w:lang w:eastAsia="ar-SA"/>
        </w:rPr>
        <w:t xml:space="preserve"> y P/IFT/EXT/060314/77,</w:t>
      </w:r>
      <w:r w:rsidR="00AB07F8">
        <w:rPr>
          <w:rFonts w:ascii="ITC Avant Garde" w:eastAsia="Times New Roman" w:hAnsi="ITC Avant Garde"/>
          <w:kern w:val="2"/>
          <w:lang w:eastAsia="ar-SA"/>
        </w:rPr>
        <w:t xml:space="preserve"> </w:t>
      </w:r>
      <w:r w:rsidR="00AB07F8">
        <w:rPr>
          <w:rFonts w:ascii="ITC Avant Garde" w:eastAsia="Times New Roman" w:hAnsi="ITC Avant Garde"/>
          <w:kern w:val="2"/>
          <w:lang w:val="es-ES" w:eastAsia="ar-SA"/>
        </w:rPr>
        <w:t>respectivamente,</w:t>
      </w:r>
      <w:r w:rsidR="008A73FD">
        <w:rPr>
          <w:rFonts w:ascii="ITC Avant Garde" w:eastAsia="Times New Roman" w:hAnsi="ITC Avant Garde"/>
          <w:kern w:val="2"/>
          <w:lang w:eastAsia="ar-SA"/>
        </w:rPr>
        <w:t xml:space="preserve"> </w:t>
      </w:r>
      <w:r w:rsidR="008A73FD">
        <w:rPr>
          <w:rFonts w:ascii="ITC Avant Garde" w:eastAsia="Times New Roman" w:hAnsi="ITC Avant Garde"/>
          <w:kern w:val="2"/>
          <w:lang w:val="es-ES" w:eastAsia="ar-SA"/>
        </w:rPr>
        <w:t xml:space="preserve">señalan </w:t>
      </w:r>
      <w:r w:rsidR="00676B32" w:rsidRPr="006D0DB4">
        <w:rPr>
          <w:rFonts w:ascii="ITC Avant Garde" w:eastAsia="Times New Roman" w:hAnsi="ITC Avant Garde"/>
          <w:kern w:val="2"/>
          <w:lang w:val="es-ES" w:eastAsia="ar-SA"/>
        </w:rPr>
        <w:t xml:space="preserve">que el Instituto </w:t>
      </w:r>
      <w:r w:rsidR="008A73FD">
        <w:rPr>
          <w:rFonts w:ascii="ITC Avant Garde" w:eastAsia="Times New Roman" w:hAnsi="ITC Avant Garde"/>
          <w:kern w:val="2"/>
          <w:lang w:val="es-ES" w:eastAsia="ar-SA"/>
        </w:rPr>
        <w:t xml:space="preserve">podrá actualizar </w:t>
      </w:r>
      <w:r w:rsidR="00676B32" w:rsidRPr="006D0DB4">
        <w:rPr>
          <w:rFonts w:ascii="ITC Avant Garde" w:eastAsia="Times New Roman" w:hAnsi="ITC Avant Garde"/>
          <w:kern w:val="2"/>
          <w:lang w:val="es-ES" w:eastAsia="ar-SA"/>
        </w:rPr>
        <w:t xml:space="preserve">la lista de </w:t>
      </w:r>
      <w:r w:rsidR="00A67428" w:rsidRPr="006D0DB4">
        <w:rPr>
          <w:rFonts w:ascii="ITC Avant Garde" w:eastAsia="Times New Roman" w:hAnsi="ITC Avant Garde"/>
          <w:kern w:val="2"/>
          <w:lang w:val="es-ES" w:eastAsia="ar-SA"/>
        </w:rPr>
        <w:t xml:space="preserve">los contenidos audiovisuales relevantes </w:t>
      </w:r>
      <w:r w:rsidR="00676B32" w:rsidRPr="005262ED">
        <w:rPr>
          <w:rFonts w:ascii="ITC Avant Garde" w:eastAsia="Times New Roman" w:hAnsi="ITC Avant Garde"/>
          <w:kern w:val="2"/>
          <w:lang w:val="es-ES" w:eastAsia="ar-SA"/>
        </w:rPr>
        <w:t xml:space="preserve">cada </w:t>
      </w:r>
      <w:r w:rsidR="00092F81" w:rsidRPr="005262ED">
        <w:rPr>
          <w:rFonts w:ascii="ITC Avant Garde" w:eastAsia="Times New Roman" w:hAnsi="ITC Avant Garde"/>
          <w:kern w:val="2"/>
          <w:lang w:val="es-ES" w:eastAsia="ar-SA"/>
        </w:rPr>
        <w:t>dos</w:t>
      </w:r>
      <w:r w:rsidR="00676B32" w:rsidRPr="005262ED">
        <w:rPr>
          <w:rFonts w:ascii="ITC Avant Garde" w:eastAsia="Times New Roman" w:hAnsi="ITC Avant Garde"/>
          <w:kern w:val="2"/>
          <w:lang w:val="es-ES" w:eastAsia="ar-SA"/>
        </w:rPr>
        <w:t xml:space="preserve"> años</w:t>
      </w:r>
      <w:r w:rsidR="00676B32" w:rsidRPr="00AB07F8">
        <w:rPr>
          <w:rFonts w:ascii="ITC Avant Garde" w:eastAsia="Times New Roman" w:hAnsi="ITC Avant Garde"/>
          <w:kern w:val="2"/>
          <w:lang w:val="es-ES" w:eastAsia="ar-SA"/>
        </w:rPr>
        <w:t>.</w:t>
      </w:r>
    </w:p>
    <w:p w14:paraId="37F688C0" w14:textId="36725E59" w:rsidR="00AE3795" w:rsidRPr="00846B42" w:rsidRDefault="00AE3795" w:rsidP="00AA3F31">
      <w:pPr>
        <w:suppressAutoHyphens/>
        <w:spacing w:after="360" w:line="240" w:lineRule="auto"/>
        <w:ind w:right="-62"/>
        <w:jc w:val="both"/>
        <w:rPr>
          <w:rFonts w:ascii="ITC Avant Garde" w:eastAsia="Times New Roman" w:hAnsi="ITC Avant Garde"/>
          <w:kern w:val="2"/>
          <w:lang w:val="es-ES" w:eastAsia="ar-SA"/>
        </w:rPr>
      </w:pPr>
      <w:r w:rsidRPr="00846B42">
        <w:rPr>
          <w:rFonts w:ascii="ITC Avant Garde" w:eastAsia="Times New Roman" w:hAnsi="ITC Avant Garde"/>
          <w:kern w:val="2"/>
          <w:lang w:val="es-ES" w:eastAsia="ar-SA"/>
        </w:rPr>
        <w:t>En virtud de lo anterior y con fundamento</w:t>
      </w:r>
      <w:r w:rsidR="00BA2CBC" w:rsidRPr="00846B42">
        <w:rPr>
          <w:rFonts w:ascii="ITC Avant Garde" w:eastAsia="Times New Roman" w:hAnsi="ITC Avant Garde"/>
          <w:kern w:val="2"/>
          <w:lang w:val="es-ES" w:eastAsia="ar-SA"/>
        </w:rPr>
        <w:t xml:space="preserve"> en los artículos </w:t>
      </w:r>
      <w:r w:rsidR="0095586A" w:rsidRPr="00846B42">
        <w:rPr>
          <w:rFonts w:ascii="ITC Avant Garde" w:eastAsia="Times New Roman" w:hAnsi="ITC Avant Garde"/>
          <w:kern w:val="2"/>
          <w:lang w:val="es-ES" w:eastAsia="ar-SA"/>
        </w:rPr>
        <w:t xml:space="preserve">6° y 28, párrafos décimo quinto y décimo sexto de la Constitución, </w:t>
      </w:r>
      <w:r w:rsidR="00AD25C8" w:rsidRPr="00846B42">
        <w:rPr>
          <w:rFonts w:ascii="ITC Avant Garde" w:eastAsia="Times New Roman" w:hAnsi="ITC Avant Garde"/>
          <w:kern w:val="2"/>
          <w:lang w:val="es-ES" w:eastAsia="ar-SA"/>
        </w:rPr>
        <w:t xml:space="preserve">Octavo Transitorio, fracción III, del Decreto de Reforma Constitucional, </w:t>
      </w:r>
      <w:r w:rsidR="0095586A" w:rsidRPr="00846B42">
        <w:rPr>
          <w:rFonts w:ascii="ITC Avant Garde" w:eastAsia="Times New Roman" w:hAnsi="ITC Avant Garde"/>
          <w:kern w:val="2"/>
          <w:lang w:val="es-ES" w:eastAsia="ar-SA"/>
        </w:rPr>
        <w:t>1, 2, 7, 15, fracci</w:t>
      </w:r>
      <w:r w:rsidR="00984C01" w:rsidRPr="00846B42">
        <w:rPr>
          <w:rFonts w:ascii="ITC Avant Garde" w:eastAsia="Times New Roman" w:hAnsi="ITC Avant Garde"/>
          <w:kern w:val="2"/>
          <w:lang w:val="es-ES" w:eastAsia="ar-SA"/>
        </w:rPr>
        <w:t>o</w:t>
      </w:r>
      <w:r w:rsidR="00723179" w:rsidRPr="00846B42">
        <w:rPr>
          <w:rFonts w:ascii="ITC Avant Garde" w:eastAsia="Times New Roman" w:hAnsi="ITC Avant Garde"/>
          <w:kern w:val="2"/>
          <w:lang w:val="es-ES" w:eastAsia="ar-SA"/>
        </w:rPr>
        <w:t>nes</w:t>
      </w:r>
      <w:r w:rsidR="0095586A" w:rsidRPr="00846B42">
        <w:rPr>
          <w:rFonts w:ascii="ITC Avant Garde" w:eastAsia="Times New Roman" w:hAnsi="ITC Avant Garde"/>
          <w:kern w:val="2"/>
          <w:lang w:val="es-ES" w:eastAsia="ar-SA"/>
        </w:rPr>
        <w:t xml:space="preserve"> </w:t>
      </w:r>
      <w:r w:rsidR="00C43AF4" w:rsidRPr="00846B42">
        <w:rPr>
          <w:rFonts w:ascii="ITC Avant Garde" w:eastAsia="Times New Roman" w:hAnsi="ITC Avant Garde"/>
          <w:kern w:val="2"/>
          <w:lang w:val="es-ES" w:eastAsia="ar-SA"/>
        </w:rPr>
        <w:t>XX</w:t>
      </w:r>
      <w:r w:rsidR="00984C01" w:rsidRPr="00846B42">
        <w:rPr>
          <w:rFonts w:ascii="ITC Avant Garde" w:eastAsia="Times New Roman" w:hAnsi="ITC Avant Garde"/>
          <w:kern w:val="2"/>
          <w:lang w:val="es-ES" w:eastAsia="ar-SA"/>
        </w:rPr>
        <w:t xml:space="preserve"> y LXIII</w:t>
      </w:r>
      <w:r w:rsidR="008A73FD">
        <w:rPr>
          <w:rFonts w:ascii="ITC Avant Garde" w:eastAsia="Times New Roman" w:hAnsi="ITC Avant Garde"/>
          <w:kern w:val="2"/>
          <w:lang w:val="es-ES" w:eastAsia="ar-SA"/>
        </w:rPr>
        <w:t xml:space="preserve"> y</w:t>
      </w:r>
      <w:r w:rsidR="00984C01" w:rsidRPr="00846B42">
        <w:rPr>
          <w:rFonts w:ascii="ITC Avant Garde" w:eastAsia="Times New Roman" w:hAnsi="ITC Avant Garde"/>
          <w:kern w:val="2"/>
          <w:lang w:val="es-ES" w:eastAsia="ar-SA"/>
        </w:rPr>
        <w:t xml:space="preserve"> </w:t>
      </w:r>
      <w:r w:rsidR="0095586A" w:rsidRPr="00846B42">
        <w:rPr>
          <w:rFonts w:ascii="ITC Avant Garde" w:eastAsia="Times New Roman" w:hAnsi="ITC Avant Garde"/>
          <w:kern w:val="2"/>
          <w:lang w:val="es-ES" w:eastAsia="ar-SA"/>
        </w:rPr>
        <w:t>17, fracci</w:t>
      </w:r>
      <w:r w:rsidR="00FE311A" w:rsidRPr="00846B42">
        <w:rPr>
          <w:rFonts w:ascii="ITC Avant Garde" w:eastAsia="Times New Roman" w:hAnsi="ITC Avant Garde"/>
          <w:kern w:val="2"/>
          <w:lang w:val="es-ES" w:eastAsia="ar-SA"/>
        </w:rPr>
        <w:t>ones</w:t>
      </w:r>
      <w:r w:rsidR="0095586A" w:rsidRPr="00846B42">
        <w:rPr>
          <w:rFonts w:ascii="ITC Avant Garde" w:eastAsia="Times New Roman" w:hAnsi="ITC Avant Garde"/>
          <w:kern w:val="2"/>
          <w:lang w:val="es-ES" w:eastAsia="ar-SA"/>
        </w:rPr>
        <w:t xml:space="preserve"> I</w:t>
      </w:r>
      <w:r w:rsidR="00FE311A" w:rsidRPr="00846B42">
        <w:rPr>
          <w:rFonts w:ascii="ITC Avant Garde" w:eastAsia="Times New Roman" w:hAnsi="ITC Avant Garde"/>
          <w:kern w:val="2"/>
          <w:lang w:val="es-ES" w:eastAsia="ar-SA"/>
        </w:rPr>
        <w:t xml:space="preserve"> y</w:t>
      </w:r>
      <w:r w:rsidR="0095586A" w:rsidRPr="00846B42">
        <w:rPr>
          <w:rFonts w:ascii="ITC Avant Garde" w:eastAsia="Times New Roman" w:hAnsi="ITC Avant Garde"/>
          <w:kern w:val="2"/>
          <w:lang w:val="es-ES" w:eastAsia="ar-SA"/>
        </w:rPr>
        <w:t xml:space="preserve"> </w:t>
      </w:r>
      <w:r w:rsidR="00C66A8F" w:rsidRPr="00846B42">
        <w:rPr>
          <w:rFonts w:ascii="ITC Avant Garde" w:eastAsia="Times New Roman" w:hAnsi="ITC Avant Garde"/>
          <w:kern w:val="2"/>
          <w:lang w:val="es-ES" w:eastAsia="ar-SA"/>
        </w:rPr>
        <w:t>XV</w:t>
      </w:r>
      <w:r w:rsidR="00511826" w:rsidRPr="00846B42">
        <w:rPr>
          <w:rFonts w:ascii="ITC Avant Garde" w:eastAsia="Times New Roman" w:hAnsi="ITC Avant Garde"/>
          <w:kern w:val="2"/>
          <w:lang w:val="es-ES" w:eastAsia="ar-SA"/>
        </w:rPr>
        <w:t xml:space="preserve"> </w:t>
      </w:r>
      <w:r w:rsidR="0095586A" w:rsidRPr="00846B42">
        <w:rPr>
          <w:rFonts w:ascii="ITC Avant Garde" w:eastAsia="Times New Roman" w:hAnsi="ITC Avant Garde"/>
          <w:kern w:val="2"/>
          <w:lang w:val="es-ES" w:eastAsia="ar-SA"/>
        </w:rPr>
        <w:t>d</w:t>
      </w:r>
      <w:r w:rsidR="0018139D" w:rsidRPr="00846B42">
        <w:rPr>
          <w:rFonts w:ascii="ITC Avant Garde" w:eastAsia="Times New Roman" w:hAnsi="ITC Avant Garde"/>
          <w:kern w:val="2"/>
          <w:lang w:val="es-ES" w:eastAsia="ar-SA"/>
        </w:rPr>
        <w:t xml:space="preserve">e la </w:t>
      </w:r>
      <w:r w:rsidR="00D47521">
        <w:rPr>
          <w:rFonts w:ascii="ITC Avant Garde" w:eastAsia="Times New Roman" w:hAnsi="ITC Avant Garde"/>
          <w:kern w:val="2"/>
          <w:lang w:val="es-ES" w:eastAsia="ar-SA"/>
        </w:rPr>
        <w:t>Ley</w:t>
      </w:r>
      <w:r w:rsidR="00BA7181">
        <w:rPr>
          <w:rFonts w:ascii="ITC Avant Garde" w:eastAsia="Times New Roman" w:hAnsi="ITC Avant Garde"/>
          <w:kern w:val="2"/>
          <w:lang w:val="es-ES" w:eastAsia="ar-SA"/>
        </w:rPr>
        <w:t>, 1, 4, fracción I,</w:t>
      </w:r>
      <w:r w:rsidR="0095586A" w:rsidRPr="00846B42">
        <w:rPr>
          <w:rFonts w:ascii="ITC Avant Garde" w:eastAsia="Times New Roman" w:hAnsi="ITC Avant Garde"/>
          <w:kern w:val="2"/>
          <w:lang w:val="es-ES" w:eastAsia="ar-SA"/>
        </w:rPr>
        <w:t xml:space="preserve"> 6, fracciones I y XXXV</w:t>
      </w:r>
      <w:r w:rsidR="00984C01" w:rsidRPr="00846B42">
        <w:rPr>
          <w:rFonts w:ascii="ITC Avant Garde" w:eastAsia="Times New Roman" w:hAnsi="ITC Avant Garde"/>
          <w:kern w:val="2"/>
          <w:lang w:val="es-ES" w:eastAsia="ar-SA"/>
        </w:rPr>
        <w:t>I</w:t>
      </w:r>
      <w:r w:rsidR="0095586A" w:rsidRPr="00846B42">
        <w:rPr>
          <w:rFonts w:ascii="ITC Avant Garde" w:eastAsia="Times New Roman" w:hAnsi="ITC Avant Garde"/>
          <w:kern w:val="2"/>
          <w:lang w:val="es-ES" w:eastAsia="ar-SA"/>
        </w:rPr>
        <w:t>II</w:t>
      </w:r>
      <w:r w:rsidR="00BA7181">
        <w:rPr>
          <w:rFonts w:ascii="ITC Avant Garde" w:eastAsia="Times New Roman" w:hAnsi="ITC Avant Garde"/>
          <w:kern w:val="2"/>
          <w:lang w:val="es-ES" w:eastAsia="ar-SA"/>
        </w:rPr>
        <w:t>,</w:t>
      </w:r>
      <w:r w:rsidR="008A7EAE">
        <w:rPr>
          <w:rFonts w:ascii="ITC Avant Garde" w:eastAsia="Times New Roman" w:hAnsi="ITC Avant Garde"/>
          <w:kern w:val="2"/>
          <w:lang w:val="es-ES" w:eastAsia="ar-SA"/>
        </w:rPr>
        <w:t xml:space="preserve"> 20, fracciones VIII y X,</w:t>
      </w:r>
      <w:r w:rsidR="00BA7181">
        <w:rPr>
          <w:rFonts w:ascii="ITC Avant Garde" w:eastAsia="Times New Roman" w:hAnsi="ITC Avant Garde"/>
          <w:kern w:val="2"/>
          <w:lang w:val="es-ES" w:eastAsia="ar-SA"/>
        </w:rPr>
        <w:t xml:space="preserve"> y 3</w:t>
      </w:r>
      <w:r w:rsidR="004C1E8F">
        <w:rPr>
          <w:rFonts w:ascii="ITC Avant Garde" w:eastAsia="Times New Roman" w:hAnsi="ITC Avant Garde"/>
          <w:kern w:val="2"/>
          <w:lang w:val="es-ES" w:eastAsia="ar-SA"/>
        </w:rPr>
        <w:t>7</w:t>
      </w:r>
      <w:r w:rsidR="00BA7181">
        <w:rPr>
          <w:rFonts w:ascii="ITC Avant Garde" w:eastAsia="Times New Roman" w:hAnsi="ITC Avant Garde"/>
          <w:kern w:val="2"/>
          <w:lang w:val="es-ES" w:eastAsia="ar-SA"/>
        </w:rPr>
        <w:t xml:space="preserve"> </w:t>
      </w:r>
      <w:r w:rsidR="0095586A" w:rsidRPr="00846B42">
        <w:rPr>
          <w:rFonts w:ascii="ITC Avant Garde" w:eastAsia="Times New Roman" w:hAnsi="ITC Avant Garde"/>
          <w:kern w:val="2"/>
          <w:lang w:val="es-ES" w:eastAsia="ar-SA"/>
        </w:rPr>
        <w:t>del Estatuto</w:t>
      </w:r>
      <w:r w:rsidR="000621D5" w:rsidRPr="00846B42">
        <w:rPr>
          <w:rFonts w:ascii="ITC Avant Garde" w:eastAsia="Times New Roman" w:hAnsi="ITC Avant Garde"/>
          <w:kern w:val="2"/>
          <w:lang w:val="es-ES" w:eastAsia="ar-SA"/>
        </w:rPr>
        <w:t xml:space="preserve"> Orgánico</w:t>
      </w:r>
      <w:r w:rsidR="00092F81" w:rsidRPr="00846B42">
        <w:rPr>
          <w:rFonts w:ascii="ITC Avant Garde" w:eastAsia="Times New Roman" w:hAnsi="ITC Avant Garde"/>
          <w:kern w:val="2"/>
          <w:lang w:val="es-ES" w:eastAsia="ar-SA"/>
        </w:rPr>
        <w:t>, así como en l</w:t>
      </w:r>
      <w:r w:rsidR="00AB07F8">
        <w:rPr>
          <w:rFonts w:ascii="ITC Avant Garde" w:eastAsia="Times New Roman" w:hAnsi="ITC Avant Garde"/>
          <w:kern w:val="2"/>
          <w:lang w:val="es-ES" w:eastAsia="ar-SA"/>
        </w:rPr>
        <w:t>a medida Cuarta y</w:t>
      </w:r>
      <w:r w:rsidR="00092F81" w:rsidRPr="00846B42">
        <w:rPr>
          <w:rFonts w:ascii="ITC Avant Garde" w:eastAsia="Times New Roman" w:hAnsi="ITC Avant Garde"/>
          <w:kern w:val="2"/>
          <w:lang w:val="es-ES" w:eastAsia="ar-SA"/>
        </w:rPr>
        <w:t xml:space="preserve"> </w:t>
      </w:r>
      <w:r w:rsidR="0018139D" w:rsidRPr="006D0DB4">
        <w:rPr>
          <w:rFonts w:ascii="ITC Avant Garde" w:eastAsia="Times New Roman" w:hAnsi="ITC Avant Garde"/>
          <w:kern w:val="2"/>
          <w:lang w:val="es-ES" w:eastAsia="ar-SA"/>
        </w:rPr>
        <w:t xml:space="preserve">artículo </w:t>
      </w:r>
      <w:r w:rsidR="00092F81" w:rsidRPr="006D0DB4">
        <w:rPr>
          <w:rFonts w:ascii="ITC Avant Garde" w:eastAsia="Times New Roman" w:hAnsi="ITC Avant Garde"/>
          <w:kern w:val="2"/>
          <w:lang w:val="es-ES" w:eastAsia="ar-SA"/>
        </w:rPr>
        <w:t>Segundo Transitorio del Anexo 4</w:t>
      </w:r>
      <w:r w:rsidR="00092F81" w:rsidRPr="006D0DB4">
        <w:rPr>
          <w:rFonts w:ascii="ITC Avant Garde" w:eastAsia="Times New Roman" w:hAnsi="ITC Avant Garde"/>
          <w:kern w:val="2"/>
          <w:lang w:eastAsia="ar-SA"/>
        </w:rPr>
        <w:t xml:space="preserve"> de la </w:t>
      </w:r>
      <w:r w:rsidR="00AB07F8">
        <w:rPr>
          <w:rFonts w:ascii="ITC Avant Garde" w:eastAsia="Times New Roman" w:hAnsi="ITC Avant Garde"/>
          <w:kern w:val="2"/>
          <w:lang w:eastAsia="ar-SA"/>
        </w:rPr>
        <w:t>r</w:t>
      </w:r>
      <w:r w:rsidR="00092F81" w:rsidRPr="006D0DB4">
        <w:rPr>
          <w:rFonts w:ascii="ITC Avant Garde" w:eastAsia="Times New Roman" w:hAnsi="ITC Avant Garde"/>
          <w:kern w:val="2"/>
          <w:lang w:eastAsia="ar-SA"/>
        </w:rPr>
        <w:t>esolución P/IFT/EXT/060314/76</w:t>
      </w:r>
      <w:r w:rsidR="00AB07F8">
        <w:rPr>
          <w:rFonts w:ascii="ITC Avant Garde" w:eastAsia="Times New Roman" w:hAnsi="ITC Avant Garde"/>
          <w:kern w:val="2"/>
          <w:lang w:eastAsia="ar-SA"/>
        </w:rPr>
        <w:t>,</w:t>
      </w:r>
      <w:r w:rsidR="00092F81" w:rsidRPr="006D0DB4">
        <w:rPr>
          <w:rFonts w:ascii="ITC Avant Garde" w:eastAsia="Times New Roman" w:hAnsi="ITC Avant Garde"/>
          <w:kern w:val="2"/>
          <w:lang w:eastAsia="ar-SA"/>
        </w:rPr>
        <w:t xml:space="preserve"> </w:t>
      </w:r>
      <w:r w:rsidR="00AB07F8">
        <w:rPr>
          <w:rFonts w:ascii="ITC Avant Garde" w:eastAsia="Times New Roman" w:hAnsi="ITC Avant Garde"/>
          <w:kern w:val="2"/>
          <w:lang w:eastAsia="ar-SA"/>
        </w:rPr>
        <w:t xml:space="preserve">medida Décima Octava del Anexo 1 de la resolución </w:t>
      </w:r>
      <w:r w:rsidR="003C384D">
        <w:rPr>
          <w:rFonts w:ascii="ITC Avant Garde" w:eastAsia="Times New Roman" w:hAnsi="ITC Avant Garde"/>
          <w:kern w:val="2"/>
          <w:lang w:eastAsia="ar-SA"/>
        </w:rPr>
        <w:t>P/IFT/EXT/270217</w:t>
      </w:r>
      <w:r w:rsidR="00AB07F8">
        <w:rPr>
          <w:rFonts w:ascii="ITC Avant Garde" w:eastAsia="Times New Roman" w:hAnsi="ITC Avant Garde"/>
          <w:kern w:val="2"/>
          <w:lang w:eastAsia="ar-SA"/>
        </w:rPr>
        <w:t xml:space="preserve">/120 y artículo </w:t>
      </w:r>
      <w:r w:rsidR="00092F81" w:rsidRPr="006D0DB4">
        <w:rPr>
          <w:rFonts w:ascii="ITC Avant Garde" w:hAnsi="ITC Avant Garde"/>
          <w:kern w:val="2"/>
          <w:lang w:eastAsia="ar-SA"/>
        </w:rPr>
        <w:t xml:space="preserve">Tercero Transitorio del Anexo 1 </w:t>
      </w:r>
      <w:r w:rsidR="00092F81" w:rsidRPr="00846B42">
        <w:rPr>
          <w:rFonts w:ascii="ITC Avant Garde" w:hAnsi="ITC Avant Garde"/>
          <w:kern w:val="2"/>
          <w:lang w:eastAsia="ar-SA"/>
        </w:rPr>
        <w:t xml:space="preserve">de la </w:t>
      </w:r>
      <w:r w:rsidR="00AB07F8">
        <w:rPr>
          <w:rFonts w:ascii="ITC Avant Garde" w:hAnsi="ITC Avant Garde"/>
          <w:kern w:val="2"/>
          <w:lang w:eastAsia="ar-SA"/>
        </w:rPr>
        <w:t>r</w:t>
      </w:r>
      <w:r w:rsidR="00092F81" w:rsidRPr="00846B42">
        <w:rPr>
          <w:rFonts w:ascii="ITC Avant Garde" w:hAnsi="ITC Avant Garde"/>
          <w:kern w:val="2"/>
          <w:lang w:eastAsia="ar-SA"/>
        </w:rPr>
        <w:t xml:space="preserve">esolución P/IFT/EXT/060314/77, </w:t>
      </w:r>
      <w:r w:rsidR="0095586A" w:rsidRPr="00846B42">
        <w:rPr>
          <w:rFonts w:ascii="ITC Avant Garde" w:eastAsia="Times New Roman" w:hAnsi="ITC Avant Garde"/>
          <w:kern w:val="2"/>
          <w:lang w:val="es-ES" w:eastAsia="ar-SA"/>
        </w:rPr>
        <w:t>el Pleno del Instituto es competente para emitir el presente Acuerdo.</w:t>
      </w:r>
    </w:p>
    <w:p w14:paraId="0EF23EC4" w14:textId="009EE7ED" w:rsidR="000E3F70" w:rsidRPr="00846B42" w:rsidRDefault="000F0E0E" w:rsidP="00AA3F31">
      <w:pPr>
        <w:spacing w:before="240" w:after="360" w:line="240" w:lineRule="auto"/>
        <w:jc w:val="both"/>
        <w:rPr>
          <w:rFonts w:ascii="ITC Avant Garde" w:hAnsi="ITC Avant Garde" w:cstheme="minorHAnsi"/>
        </w:rPr>
      </w:pPr>
      <w:r w:rsidRPr="00846B42">
        <w:rPr>
          <w:rFonts w:ascii="ITC Avant Garde" w:hAnsi="ITC Avant Garde"/>
          <w:b/>
          <w:kern w:val="2"/>
          <w:lang w:val="es-ES" w:eastAsia="ar-SA"/>
        </w:rPr>
        <w:t>SEGUNDO</w:t>
      </w:r>
      <w:r w:rsidR="00AE3795" w:rsidRPr="00846B42">
        <w:rPr>
          <w:rFonts w:ascii="ITC Avant Garde" w:hAnsi="ITC Avant Garde" w:cstheme="minorHAnsi"/>
          <w:b/>
        </w:rPr>
        <w:t xml:space="preserve">. Identificación de los Contenidos Audiovisuales Relevantes. </w:t>
      </w:r>
      <w:r w:rsidR="000E3F70" w:rsidRPr="00846B42">
        <w:rPr>
          <w:rFonts w:ascii="ITC Avant Garde" w:hAnsi="ITC Avant Garde" w:cstheme="minorHAnsi"/>
        </w:rPr>
        <w:t>Una de las medid</w:t>
      </w:r>
      <w:r w:rsidR="00110A45" w:rsidRPr="00846B42">
        <w:rPr>
          <w:rFonts w:ascii="ITC Avant Garde" w:hAnsi="ITC Avant Garde" w:cstheme="minorHAnsi"/>
        </w:rPr>
        <w:t xml:space="preserve">as </w:t>
      </w:r>
      <w:r w:rsidR="007F672B" w:rsidRPr="00846B42">
        <w:rPr>
          <w:rFonts w:ascii="ITC Avant Garde" w:hAnsi="ITC Avant Garde" w:cstheme="minorHAnsi"/>
        </w:rPr>
        <w:t xml:space="preserve">impuestas </w:t>
      </w:r>
      <w:r w:rsidR="00262137" w:rsidRPr="00846B42">
        <w:rPr>
          <w:rFonts w:ascii="ITC Avant Garde" w:hAnsi="ITC Avant Garde" w:cstheme="minorHAnsi"/>
        </w:rPr>
        <w:t xml:space="preserve">en las </w:t>
      </w:r>
      <w:r w:rsidR="007F672B" w:rsidRPr="00846B42">
        <w:rPr>
          <w:rFonts w:ascii="ITC Avant Garde" w:hAnsi="ITC Avant Garde" w:cstheme="minorHAnsi"/>
        </w:rPr>
        <w:t xml:space="preserve">Resoluciones </w:t>
      </w:r>
      <w:r w:rsidR="00262137" w:rsidRPr="005262ED">
        <w:rPr>
          <w:rFonts w:ascii="ITC Avant Garde" w:hAnsi="ITC Avant Garde"/>
          <w:kern w:val="2"/>
          <w:lang w:eastAsia="ar-SA"/>
        </w:rPr>
        <w:t>P/IFT/EXT/060314/76</w:t>
      </w:r>
      <w:r w:rsidR="00262137" w:rsidRPr="00846B42">
        <w:rPr>
          <w:rFonts w:ascii="ITC Avant Garde" w:hAnsi="ITC Avant Garde"/>
          <w:kern w:val="2"/>
          <w:lang w:eastAsia="ar-SA"/>
        </w:rPr>
        <w:t xml:space="preserve"> y </w:t>
      </w:r>
      <w:r w:rsidR="00262137" w:rsidRPr="005262ED">
        <w:rPr>
          <w:rFonts w:ascii="ITC Avant Garde" w:hAnsi="ITC Avant Garde"/>
          <w:kern w:val="2"/>
          <w:lang w:eastAsia="ar-SA"/>
        </w:rPr>
        <w:t>P/IFT/EXT/060314/77</w:t>
      </w:r>
      <w:r w:rsidR="00AB07F8">
        <w:rPr>
          <w:rFonts w:ascii="ITC Avant Garde" w:hAnsi="ITC Avant Garde"/>
          <w:b/>
          <w:kern w:val="2"/>
          <w:lang w:eastAsia="ar-SA"/>
        </w:rPr>
        <w:t xml:space="preserve"> </w:t>
      </w:r>
      <w:r w:rsidR="00AB07F8">
        <w:rPr>
          <w:rFonts w:ascii="ITC Avant Garde" w:hAnsi="ITC Avant Garde"/>
          <w:kern w:val="2"/>
          <w:lang w:eastAsia="ar-SA"/>
        </w:rPr>
        <w:t>(modificada a través de la resolución P/IFT/EXT/27021</w:t>
      </w:r>
      <w:r w:rsidR="003C384D">
        <w:rPr>
          <w:rFonts w:ascii="ITC Avant Garde" w:hAnsi="ITC Avant Garde"/>
          <w:kern w:val="2"/>
          <w:lang w:eastAsia="ar-SA"/>
        </w:rPr>
        <w:t>7</w:t>
      </w:r>
      <w:r w:rsidR="00AB07F8">
        <w:rPr>
          <w:rFonts w:ascii="ITC Avant Garde" w:hAnsi="ITC Avant Garde"/>
          <w:kern w:val="2"/>
          <w:lang w:eastAsia="ar-SA"/>
        </w:rPr>
        <w:t>/120)</w:t>
      </w:r>
      <w:r w:rsidR="00262137" w:rsidRPr="00846B42">
        <w:rPr>
          <w:rFonts w:ascii="ITC Avant Garde" w:hAnsi="ITC Avant Garde"/>
          <w:kern w:val="2"/>
          <w:lang w:eastAsia="ar-SA"/>
        </w:rPr>
        <w:t>,</w:t>
      </w:r>
      <w:r w:rsidR="00262137" w:rsidRPr="00846B42">
        <w:rPr>
          <w:rFonts w:ascii="ITC Avant Garde" w:hAnsi="ITC Avant Garde"/>
          <w:b/>
          <w:kern w:val="2"/>
          <w:lang w:eastAsia="ar-SA"/>
        </w:rPr>
        <w:t xml:space="preserve"> </w:t>
      </w:r>
      <w:r w:rsidR="000E3F70" w:rsidRPr="00846B42">
        <w:rPr>
          <w:rFonts w:ascii="ITC Avant Garde" w:hAnsi="ITC Avant Garde" w:cstheme="minorHAnsi"/>
        </w:rPr>
        <w:t>es la relacionada con contenidos audiovisuales</w:t>
      </w:r>
      <w:r w:rsidR="00110A45" w:rsidRPr="00846B42">
        <w:rPr>
          <w:rFonts w:ascii="ITC Avant Garde" w:hAnsi="ITC Avant Garde" w:cstheme="minorHAnsi"/>
        </w:rPr>
        <w:t>, en virtud</w:t>
      </w:r>
      <w:r w:rsidR="00063646" w:rsidRPr="00846B42">
        <w:rPr>
          <w:rFonts w:ascii="ITC Avant Garde" w:hAnsi="ITC Avant Garde" w:cstheme="minorHAnsi"/>
        </w:rPr>
        <w:t xml:space="preserve"> de que </w:t>
      </w:r>
      <w:r w:rsidR="00063646" w:rsidRPr="00846B42">
        <w:rPr>
          <w:rFonts w:ascii="ITC Avant Garde" w:eastAsia="Times New Roman" w:hAnsi="ITC Avant Garde" w:cstheme="minorHAnsi"/>
          <w:lang w:val="es-ES" w:eastAsia="es-ES"/>
        </w:rPr>
        <w:t>cuando los agentes económicos preponderantes</w:t>
      </w:r>
      <w:r w:rsidR="000E3F70" w:rsidRPr="00846B42">
        <w:rPr>
          <w:rFonts w:ascii="ITC Avant Garde" w:eastAsia="Times New Roman" w:hAnsi="ITC Avant Garde" w:cstheme="minorHAnsi"/>
          <w:lang w:val="es-ES" w:eastAsia="es-ES"/>
        </w:rPr>
        <w:t xml:space="preserve"> </w:t>
      </w:r>
      <w:r w:rsidR="000E3F70" w:rsidRPr="00846B42">
        <w:rPr>
          <w:rFonts w:ascii="ITC Avant Garde" w:hAnsi="ITC Avant Garde" w:cstheme="minorHAnsi"/>
        </w:rPr>
        <w:t>adqui</w:t>
      </w:r>
      <w:r w:rsidR="00110A45" w:rsidRPr="00846B42">
        <w:rPr>
          <w:rFonts w:ascii="ITC Avant Garde" w:hAnsi="ITC Avant Garde" w:cstheme="minorHAnsi"/>
        </w:rPr>
        <w:t>eren</w:t>
      </w:r>
      <w:r w:rsidR="000E3F70" w:rsidRPr="00846B42">
        <w:rPr>
          <w:rFonts w:ascii="ITC Avant Garde" w:eastAsia="Times New Roman" w:hAnsi="ITC Avant Garde" w:cstheme="minorHAnsi"/>
          <w:lang w:val="es-ES" w:eastAsia="es-ES"/>
        </w:rPr>
        <w:t xml:space="preserve"> en exclusiva los derechos </w:t>
      </w:r>
      <w:r w:rsidR="00110A45" w:rsidRPr="00846B42">
        <w:rPr>
          <w:rFonts w:ascii="ITC Avant Garde" w:eastAsia="Times New Roman" w:hAnsi="ITC Avant Garde" w:cstheme="minorHAnsi"/>
          <w:lang w:val="es-ES" w:eastAsia="es-ES"/>
        </w:rPr>
        <w:t xml:space="preserve">de transmisión </w:t>
      </w:r>
      <w:r w:rsidR="000E3F70" w:rsidRPr="00846B42">
        <w:rPr>
          <w:rFonts w:ascii="ITC Avant Garde" w:hAnsi="ITC Avant Garde" w:cstheme="minorHAnsi"/>
        </w:rPr>
        <w:t xml:space="preserve">de </w:t>
      </w:r>
      <w:r w:rsidR="00110A45" w:rsidRPr="00846B42">
        <w:rPr>
          <w:rFonts w:ascii="ITC Avant Garde" w:hAnsi="ITC Avant Garde" w:cstheme="minorHAnsi"/>
        </w:rPr>
        <w:t>contenidos que captan amplias audiencias</w:t>
      </w:r>
      <w:r w:rsidR="000E3F70" w:rsidRPr="00846B42">
        <w:rPr>
          <w:rFonts w:ascii="ITC Avant Garde" w:eastAsia="Times New Roman" w:hAnsi="ITC Avant Garde" w:cstheme="minorHAnsi"/>
          <w:lang w:val="es-ES" w:eastAsia="es-ES"/>
        </w:rPr>
        <w:t xml:space="preserve"> </w:t>
      </w:r>
      <w:r w:rsidR="00A10CE8" w:rsidRPr="00846B42">
        <w:rPr>
          <w:rFonts w:ascii="ITC Avant Garde" w:eastAsia="Times New Roman" w:hAnsi="ITC Avant Garde" w:cstheme="minorHAnsi"/>
          <w:lang w:val="es-ES" w:eastAsia="es-ES"/>
        </w:rPr>
        <w:t xml:space="preserve">y no son replicables, </w:t>
      </w:r>
      <w:r w:rsidR="000E3F70" w:rsidRPr="00846B42">
        <w:rPr>
          <w:rFonts w:ascii="ITC Avant Garde" w:eastAsia="Times New Roman" w:hAnsi="ITC Avant Garde" w:cstheme="minorHAnsi"/>
          <w:lang w:val="es-ES" w:eastAsia="es-ES"/>
        </w:rPr>
        <w:t>para transmitirlo</w:t>
      </w:r>
      <w:r w:rsidR="00110A45" w:rsidRPr="00846B42">
        <w:rPr>
          <w:rFonts w:ascii="ITC Avant Garde" w:eastAsia="Times New Roman" w:hAnsi="ITC Avant Garde" w:cstheme="minorHAnsi"/>
          <w:lang w:val="es-ES" w:eastAsia="es-ES"/>
        </w:rPr>
        <w:t>s a través de</w:t>
      </w:r>
      <w:r w:rsidR="000E3F70" w:rsidRPr="00846B42">
        <w:rPr>
          <w:rFonts w:ascii="ITC Avant Garde" w:eastAsia="Times New Roman" w:hAnsi="ITC Avant Garde" w:cstheme="minorHAnsi"/>
          <w:lang w:val="es-ES" w:eastAsia="es-ES"/>
        </w:rPr>
        <w:t xml:space="preserve"> sus señales radiodifundidas</w:t>
      </w:r>
      <w:r w:rsidR="00063646" w:rsidRPr="00846B42">
        <w:rPr>
          <w:rFonts w:ascii="ITC Avant Garde" w:eastAsia="Times New Roman" w:hAnsi="ITC Avant Garde" w:cstheme="minorHAnsi"/>
          <w:lang w:val="es-ES" w:eastAsia="es-ES"/>
        </w:rPr>
        <w:t xml:space="preserve"> o </w:t>
      </w:r>
      <w:r w:rsidR="00110A45" w:rsidRPr="00846B42">
        <w:rPr>
          <w:rFonts w:ascii="ITC Avant Garde" w:eastAsia="Times New Roman" w:hAnsi="ITC Avant Garde" w:cstheme="minorHAnsi"/>
          <w:lang w:val="es-ES" w:eastAsia="es-ES"/>
        </w:rPr>
        <w:t xml:space="preserve">de sus </w:t>
      </w:r>
      <w:r w:rsidR="00063646" w:rsidRPr="00846B42">
        <w:rPr>
          <w:rFonts w:ascii="ITC Avant Garde" w:eastAsia="Times New Roman" w:hAnsi="ITC Avant Garde" w:cstheme="minorHAnsi"/>
          <w:lang w:val="es-ES" w:eastAsia="es-ES"/>
        </w:rPr>
        <w:t>redes de telecomunicaciones</w:t>
      </w:r>
      <w:r w:rsidR="000E3F70" w:rsidRPr="00846B42">
        <w:rPr>
          <w:rFonts w:ascii="ITC Avant Garde" w:hAnsi="ITC Avant Garde" w:cstheme="minorHAnsi"/>
        </w:rPr>
        <w:t xml:space="preserve">, </w:t>
      </w:r>
      <w:r w:rsidR="000E3F70" w:rsidRPr="00846B42">
        <w:rPr>
          <w:rFonts w:ascii="ITC Avant Garde" w:eastAsia="Times New Roman" w:hAnsi="ITC Avant Garde" w:cstheme="minorHAnsi"/>
          <w:lang w:val="es-ES" w:eastAsia="es-ES"/>
        </w:rPr>
        <w:t xml:space="preserve">de facto </w:t>
      </w:r>
      <w:r w:rsidR="00110A45" w:rsidRPr="00846B42">
        <w:rPr>
          <w:rFonts w:ascii="ITC Avant Garde" w:hAnsi="ITC Avant Garde" w:cstheme="minorHAnsi"/>
        </w:rPr>
        <w:t>elimin</w:t>
      </w:r>
      <w:r w:rsidR="000E3F70" w:rsidRPr="00846B42">
        <w:rPr>
          <w:rFonts w:ascii="ITC Avant Garde" w:hAnsi="ITC Avant Garde" w:cstheme="minorHAnsi"/>
        </w:rPr>
        <w:t>a</w:t>
      </w:r>
      <w:r w:rsidR="00063646" w:rsidRPr="00846B42">
        <w:rPr>
          <w:rFonts w:ascii="ITC Avant Garde" w:hAnsi="ITC Avant Garde" w:cstheme="minorHAnsi"/>
        </w:rPr>
        <w:t>n</w:t>
      </w:r>
      <w:r w:rsidR="000E3F70" w:rsidRPr="00846B42">
        <w:rPr>
          <w:rFonts w:ascii="ITC Avant Garde" w:eastAsia="Times New Roman" w:hAnsi="ITC Avant Garde" w:cstheme="minorHAnsi"/>
          <w:lang w:val="es-ES" w:eastAsia="es-ES"/>
        </w:rPr>
        <w:t xml:space="preserve"> la posibilidad de que otros participantes </w:t>
      </w:r>
      <w:r w:rsidR="00110A45" w:rsidRPr="00846B42">
        <w:rPr>
          <w:rFonts w:ascii="ITC Avant Garde" w:hAnsi="ITC Avant Garde" w:cstheme="minorHAnsi"/>
        </w:rPr>
        <w:t>puedan</w:t>
      </w:r>
      <w:r w:rsidR="000E3F70" w:rsidRPr="00846B42">
        <w:rPr>
          <w:rFonts w:ascii="ITC Avant Garde" w:eastAsia="Times New Roman" w:hAnsi="ITC Avant Garde" w:cstheme="minorHAnsi"/>
          <w:lang w:val="es-ES" w:eastAsia="es-ES"/>
        </w:rPr>
        <w:t xml:space="preserve"> adquirir los derechos para usar tal</w:t>
      </w:r>
      <w:r w:rsidR="00501E3B" w:rsidRPr="00846B42">
        <w:rPr>
          <w:rFonts w:ascii="ITC Avant Garde" w:eastAsia="Times New Roman" w:hAnsi="ITC Avant Garde" w:cstheme="minorHAnsi"/>
          <w:lang w:val="es-ES" w:eastAsia="es-ES"/>
        </w:rPr>
        <w:t>es contenidos</w:t>
      </w:r>
      <w:r w:rsidR="00110A45" w:rsidRPr="00846B42">
        <w:rPr>
          <w:rFonts w:ascii="ITC Avant Garde" w:eastAsia="Times New Roman" w:hAnsi="ITC Avant Garde" w:cstheme="minorHAnsi"/>
          <w:lang w:val="es-ES" w:eastAsia="es-ES"/>
        </w:rPr>
        <w:t xml:space="preserve"> y</w:t>
      </w:r>
      <w:r w:rsidR="00501E3B" w:rsidRPr="00846B42">
        <w:rPr>
          <w:rFonts w:ascii="ITC Avant Garde" w:eastAsia="Times New Roman" w:hAnsi="ITC Avant Garde" w:cstheme="minorHAnsi"/>
          <w:lang w:val="es-ES" w:eastAsia="es-ES"/>
        </w:rPr>
        <w:t>,</w:t>
      </w:r>
      <w:r w:rsidR="00110A45" w:rsidRPr="00846B42">
        <w:rPr>
          <w:rFonts w:ascii="ITC Avant Garde" w:eastAsia="Times New Roman" w:hAnsi="ITC Avant Garde" w:cstheme="minorHAnsi"/>
          <w:lang w:val="es-ES" w:eastAsia="es-ES"/>
        </w:rPr>
        <w:t xml:space="preserve"> en consecuencia</w:t>
      </w:r>
      <w:r w:rsidR="00501E3B" w:rsidRPr="00846B42">
        <w:rPr>
          <w:rFonts w:ascii="ITC Avant Garde" w:eastAsia="Times New Roman" w:hAnsi="ITC Avant Garde" w:cstheme="minorHAnsi"/>
          <w:lang w:val="es-ES" w:eastAsia="es-ES"/>
        </w:rPr>
        <w:t>,</w:t>
      </w:r>
      <w:r w:rsidR="000E3F70" w:rsidRPr="00846B42">
        <w:rPr>
          <w:rFonts w:ascii="ITC Avant Garde" w:eastAsia="Times New Roman" w:hAnsi="ITC Avant Garde" w:cstheme="minorHAnsi"/>
          <w:lang w:val="es-ES" w:eastAsia="es-ES"/>
        </w:rPr>
        <w:t xml:space="preserve"> </w:t>
      </w:r>
      <w:r w:rsidR="00110A45" w:rsidRPr="00846B42">
        <w:rPr>
          <w:rFonts w:ascii="ITC Avant Garde" w:eastAsia="Times New Roman" w:hAnsi="ITC Avant Garde" w:cstheme="minorHAnsi"/>
          <w:b/>
          <w:u w:val="single"/>
          <w:lang w:val="es-ES" w:eastAsia="es-ES"/>
        </w:rPr>
        <w:t>e</w:t>
      </w:r>
      <w:r w:rsidR="000E3F70" w:rsidRPr="00846B42">
        <w:rPr>
          <w:rFonts w:ascii="ITC Avant Garde" w:eastAsia="Times New Roman" w:hAnsi="ITC Avant Garde" w:cstheme="minorHAnsi"/>
          <w:b/>
          <w:u w:val="single"/>
          <w:lang w:val="es-ES" w:eastAsia="es-ES"/>
        </w:rPr>
        <w:t xml:space="preserve">se acto </w:t>
      </w:r>
      <w:r w:rsidR="00110A45" w:rsidRPr="00846B42">
        <w:rPr>
          <w:rFonts w:ascii="ITC Avant Garde" w:hAnsi="ITC Avant Garde" w:cstheme="minorHAnsi"/>
          <w:b/>
          <w:u w:val="single"/>
        </w:rPr>
        <w:t>tiene</w:t>
      </w:r>
      <w:r w:rsidR="000E3F70" w:rsidRPr="00846B42">
        <w:rPr>
          <w:rFonts w:ascii="ITC Avant Garde" w:eastAsia="Times New Roman" w:hAnsi="ITC Avant Garde" w:cstheme="minorHAnsi"/>
          <w:b/>
          <w:u w:val="single"/>
          <w:lang w:val="es-ES" w:eastAsia="es-ES"/>
        </w:rPr>
        <w:t xml:space="preserve"> el efecto de fortalecer la posición de preponderancia frente a las audiencias</w:t>
      </w:r>
      <w:r w:rsidR="000E3F70" w:rsidRPr="00846B42">
        <w:rPr>
          <w:rFonts w:ascii="ITC Avant Garde" w:hAnsi="ITC Avant Garde" w:cstheme="minorHAnsi"/>
        </w:rPr>
        <w:t>,</w:t>
      </w:r>
      <w:r w:rsidR="000E3F70" w:rsidRPr="00846B42">
        <w:rPr>
          <w:rFonts w:ascii="ITC Avant Garde" w:eastAsia="Times New Roman" w:hAnsi="ITC Avant Garde" w:cstheme="minorHAnsi"/>
          <w:lang w:val="es-ES" w:eastAsia="es-ES"/>
        </w:rPr>
        <w:t xml:space="preserve"> al tiempo que </w:t>
      </w:r>
      <w:r w:rsidR="00110A45" w:rsidRPr="00846B42">
        <w:rPr>
          <w:rFonts w:ascii="ITC Avant Garde" w:eastAsia="Times New Roman" w:hAnsi="ITC Avant Garde" w:cstheme="minorHAnsi"/>
          <w:lang w:val="es-ES" w:eastAsia="es-ES"/>
        </w:rPr>
        <w:t>limita</w:t>
      </w:r>
      <w:r w:rsidR="000E3F70" w:rsidRPr="00846B42">
        <w:rPr>
          <w:rFonts w:ascii="ITC Avant Garde" w:eastAsia="Times New Roman" w:hAnsi="ITC Avant Garde" w:cstheme="minorHAnsi"/>
          <w:lang w:val="es-ES" w:eastAsia="es-ES"/>
        </w:rPr>
        <w:t xml:space="preserve"> la posibilidad de otros participantes de competir con efectividad frente a </w:t>
      </w:r>
      <w:r w:rsidR="00063646" w:rsidRPr="00846B42">
        <w:rPr>
          <w:rFonts w:ascii="ITC Avant Garde" w:eastAsia="Times New Roman" w:hAnsi="ITC Avant Garde" w:cstheme="minorHAnsi"/>
          <w:lang w:val="es-ES" w:eastAsia="es-ES"/>
        </w:rPr>
        <w:t>ellos</w:t>
      </w:r>
      <w:r w:rsidR="00F2614F" w:rsidRPr="00846B42">
        <w:rPr>
          <w:rFonts w:ascii="ITC Avant Garde" w:eastAsia="Times New Roman" w:hAnsi="ITC Avant Garde" w:cstheme="minorHAnsi"/>
          <w:lang w:val="es-ES" w:eastAsia="es-ES"/>
        </w:rPr>
        <w:t>.</w:t>
      </w:r>
      <w:r w:rsidR="002E09CB" w:rsidRPr="00846B42">
        <w:rPr>
          <w:rFonts w:ascii="ITC Avant Garde" w:hAnsi="ITC Avant Garde" w:cstheme="minorHAnsi"/>
        </w:rPr>
        <w:t xml:space="preserve"> </w:t>
      </w:r>
    </w:p>
    <w:p w14:paraId="1180D571" w14:textId="6B9E78F5" w:rsidR="00AE3795" w:rsidRPr="00846B42" w:rsidRDefault="007F672B" w:rsidP="00AA3F31">
      <w:pPr>
        <w:spacing w:after="360" w:line="240" w:lineRule="auto"/>
        <w:jc w:val="both"/>
        <w:rPr>
          <w:rFonts w:ascii="ITC Avant Garde" w:hAnsi="ITC Avant Garde" w:cstheme="minorHAnsi"/>
        </w:rPr>
      </w:pPr>
      <w:r w:rsidRPr="00846B42">
        <w:rPr>
          <w:rFonts w:ascii="ITC Avant Garde" w:hAnsi="ITC Avant Garde" w:cstheme="minorHAnsi"/>
        </w:rPr>
        <w:t>Es así que</w:t>
      </w:r>
      <w:r w:rsidR="000E3F70" w:rsidRPr="00846B42">
        <w:rPr>
          <w:rFonts w:ascii="ITC Avant Garde" w:hAnsi="ITC Avant Garde" w:cstheme="minorHAnsi"/>
        </w:rPr>
        <w:t>, e</w:t>
      </w:r>
      <w:r w:rsidR="000E3EA7" w:rsidRPr="00846B42">
        <w:rPr>
          <w:rFonts w:ascii="ITC Avant Garde" w:hAnsi="ITC Avant Garde" w:cstheme="minorHAnsi"/>
        </w:rPr>
        <w:t xml:space="preserve">n cumplimiento </w:t>
      </w:r>
      <w:r w:rsidRPr="00846B42">
        <w:rPr>
          <w:rFonts w:ascii="ITC Avant Garde" w:hAnsi="ITC Avant Garde" w:cstheme="minorHAnsi"/>
        </w:rPr>
        <w:t xml:space="preserve">a </w:t>
      </w:r>
      <w:r w:rsidR="000E3EA7" w:rsidRPr="00846B42">
        <w:rPr>
          <w:rFonts w:ascii="ITC Avant Garde" w:hAnsi="ITC Avant Garde" w:cstheme="minorHAnsi"/>
        </w:rPr>
        <w:t xml:space="preserve">lo ordenado </w:t>
      </w:r>
      <w:r w:rsidR="00AB07F8">
        <w:rPr>
          <w:rFonts w:ascii="ITC Avant Garde" w:hAnsi="ITC Avant Garde" w:cstheme="minorHAnsi"/>
        </w:rPr>
        <w:t>por</w:t>
      </w:r>
      <w:r w:rsidR="00AB07F8" w:rsidRPr="00846B42">
        <w:rPr>
          <w:rFonts w:ascii="ITC Avant Garde" w:hAnsi="ITC Avant Garde" w:cstheme="minorHAnsi"/>
        </w:rPr>
        <w:t xml:space="preserve"> </w:t>
      </w:r>
      <w:r w:rsidR="000E3EA7" w:rsidRPr="00846B42">
        <w:rPr>
          <w:rFonts w:ascii="ITC Avant Garde" w:hAnsi="ITC Avant Garde" w:cstheme="minorHAnsi"/>
        </w:rPr>
        <w:t xml:space="preserve">el artículo Octavo </w:t>
      </w:r>
      <w:r w:rsidR="003C343E" w:rsidRPr="00846B42">
        <w:rPr>
          <w:rFonts w:ascii="ITC Avant Garde" w:hAnsi="ITC Avant Garde" w:cstheme="minorHAnsi"/>
        </w:rPr>
        <w:t>Transitorio</w:t>
      </w:r>
      <w:r w:rsidRPr="00846B42">
        <w:rPr>
          <w:rFonts w:ascii="ITC Avant Garde" w:hAnsi="ITC Avant Garde" w:cstheme="minorHAnsi"/>
        </w:rPr>
        <w:t>, fracción III,</w:t>
      </w:r>
      <w:r w:rsidR="003C343E" w:rsidRPr="00846B42">
        <w:rPr>
          <w:rFonts w:ascii="ITC Avant Garde" w:hAnsi="ITC Avant Garde" w:cstheme="minorHAnsi"/>
        </w:rPr>
        <w:t xml:space="preserve"> </w:t>
      </w:r>
      <w:r w:rsidR="000E3EA7" w:rsidRPr="00846B42">
        <w:rPr>
          <w:rFonts w:ascii="ITC Avant Garde" w:hAnsi="ITC Avant Garde" w:cstheme="minorHAnsi"/>
        </w:rPr>
        <w:t>del Decreto</w:t>
      </w:r>
      <w:r w:rsidR="003C343E" w:rsidRPr="00846B42">
        <w:rPr>
          <w:rFonts w:ascii="ITC Avant Garde" w:hAnsi="ITC Avant Garde" w:cstheme="minorHAnsi"/>
        </w:rPr>
        <w:t xml:space="preserve"> de Reforma Constitucional</w:t>
      </w:r>
      <w:r w:rsidR="00D730C0" w:rsidRPr="00846B42">
        <w:rPr>
          <w:rFonts w:ascii="ITC Avant Garde" w:hAnsi="ITC Avant Garde" w:cstheme="minorHAnsi"/>
        </w:rPr>
        <w:t>,</w:t>
      </w:r>
      <w:r w:rsidR="000E3EA7" w:rsidRPr="00846B42">
        <w:rPr>
          <w:rFonts w:ascii="ITC Avant Garde" w:hAnsi="ITC Avant Garde" w:cstheme="minorHAnsi"/>
        </w:rPr>
        <w:t xml:space="preserve"> </w:t>
      </w:r>
      <w:r w:rsidR="00AE3795" w:rsidRPr="00846B42">
        <w:rPr>
          <w:rFonts w:ascii="ITC Avant Garde" w:hAnsi="ITC Avant Garde" w:cstheme="minorHAnsi"/>
        </w:rPr>
        <w:t>el I</w:t>
      </w:r>
      <w:r w:rsidR="00C00EF3" w:rsidRPr="00846B42">
        <w:rPr>
          <w:rFonts w:ascii="ITC Avant Garde" w:hAnsi="ITC Avant Garde" w:cstheme="minorHAnsi"/>
        </w:rPr>
        <w:t>nstituto</w:t>
      </w:r>
      <w:r w:rsidR="000E3EA7" w:rsidRPr="00846B42">
        <w:rPr>
          <w:rFonts w:ascii="ITC Avant Garde" w:hAnsi="ITC Avant Garde" w:cstheme="minorHAnsi"/>
        </w:rPr>
        <w:t>,</w:t>
      </w:r>
      <w:r w:rsidR="00AE3795" w:rsidRPr="00846B42">
        <w:rPr>
          <w:rFonts w:ascii="ITC Avant Garde" w:hAnsi="ITC Avant Garde" w:cstheme="minorHAnsi"/>
        </w:rPr>
        <w:t xml:space="preserve"> </w:t>
      </w:r>
      <w:r w:rsidRPr="00846B42">
        <w:rPr>
          <w:rFonts w:ascii="ITC Avant Garde" w:hAnsi="ITC Avant Garde" w:cstheme="minorHAnsi"/>
        </w:rPr>
        <w:t xml:space="preserve">a través de </w:t>
      </w:r>
      <w:r w:rsidR="00AE3795" w:rsidRPr="00846B42">
        <w:rPr>
          <w:rFonts w:ascii="ITC Avant Garde" w:hAnsi="ITC Avant Garde" w:cstheme="minorHAnsi"/>
        </w:rPr>
        <w:t xml:space="preserve">la </w:t>
      </w:r>
      <w:r w:rsidR="00AB07F8">
        <w:rPr>
          <w:rFonts w:ascii="ITC Avant Garde" w:eastAsia="Times New Roman" w:hAnsi="ITC Avant Garde"/>
          <w:kern w:val="2"/>
          <w:lang w:eastAsia="ar-SA"/>
        </w:rPr>
        <w:t>r</w:t>
      </w:r>
      <w:r w:rsidR="00AE3795" w:rsidRPr="00846B42">
        <w:rPr>
          <w:rFonts w:ascii="ITC Avant Garde" w:eastAsia="Times New Roman" w:hAnsi="ITC Avant Garde"/>
          <w:kern w:val="2"/>
          <w:lang w:eastAsia="ar-SA"/>
        </w:rPr>
        <w:t>esoluci</w:t>
      </w:r>
      <w:r w:rsidR="00AB07F8">
        <w:rPr>
          <w:rFonts w:ascii="ITC Avant Garde" w:eastAsia="Times New Roman" w:hAnsi="ITC Avant Garde"/>
          <w:kern w:val="2"/>
          <w:lang w:eastAsia="ar-SA"/>
        </w:rPr>
        <w:t>ón</w:t>
      </w:r>
      <w:r w:rsidR="00AE3795" w:rsidRPr="00846B42">
        <w:rPr>
          <w:rFonts w:ascii="ITC Avant Garde" w:eastAsia="Times New Roman" w:hAnsi="ITC Avant Garde"/>
          <w:kern w:val="2"/>
          <w:lang w:eastAsia="ar-SA"/>
        </w:rPr>
        <w:t xml:space="preserve"> </w:t>
      </w:r>
      <w:r w:rsidR="00AE3795" w:rsidRPr="00846B42">
        <w:rPr>
          <w:rFonts w:ascii="ITC Avant Garde" w:hAnsi="ITC Avant Garde"/>
          <w:b/>
          <w:kern w:val="2"/>
          <w:lang w:eastAsia="ar-SA"/>
        </w:rPr>
        <w:t>P/IFT/EXT/060314/76</w:t>
      </w:r>
      <w:r w:rsidR="00AE3795" w:rsidRPr="00846B42">
        <w:rPr>
          <w:rFonts w:ascii="ITC Avant Garde" w:eastAsia="Times New Roman" w:hAnsi="ITC Avant Garde"/>
          <w:kern w:val="2"/>
          <w:lang w:eastAsia="ar-SA"/>
        </w:rPr>
        <w:t xml:space="preserve"> </w:t>
      </w:r>
      <w:r w:rsidR="00AE3795" w:rsidRPr="00846B42">
        <w:rPr>
          <w:rFonts w:ascii="ITC Avant Garde" w:hAnsi="ITC Avant Garde" w:cstheme="minorHAnsi"/>
        </w:rPr>
        <w:t>determinó imponer al agente económico pr</w:t>
      </w:r>
      <w:r w:rsidR="00F44853" w:rsidRPr="00846B42">
        <w:rPr>
          <w:rFonts w:ascii="ITC Avant Garde" w:hAnsi="ITC Avant Garde" w:cstheme="minorHAnsi"/>
        </w:rPr>
        <w:t xml:space="preserve">eponderante en </w:t>
      </w:r>
      <w:r w:rsidR="00AB07F8">
        <w:rPr>
          <w:rFonts w:ascii="ITC Avant Garde" w:hAnsi="ITC Avant Garde" w:cstheme="minorHAnsi"/>
        </w:rPr>
        <w:t>e</w:t>
      </w:r>
      <w:r w:rsidR="00F44853" w:rsidRPr="00846B42">
        <w:rPr>
          <w:rFonts w:ascii="ITC Avant Garde" w:hAnsi="ITC Avant Garde" w:cstheme="minorHAnsi"/>
        </w:rPr>
        <w:t>l sector de</w:t>
      </w:r>
      <w:r w:rsidR="00AE3795" w:rsidRPr="00846B42">
        <w:rPr>
          <w:rFonts w:ascii="ITC Avant Garde" w:hAnsi="ITC Avant Garde" w:cstheme="minorHAnsi"/>
        </w:rPr>
        <w:t xml:space="preserve"> telecomunicaciones</w:t>
      </w:r>
      <w:r w:rsidR="000E3EA7" w:rsidRPr="00846B42">
        <w:rPr>
          <w:rFonts w:ascii="ITC Avant Garde" w:hAnsi="ITC Avant Garde" w:cstheme="minorHAnsi"/>
        </w:rPr>
        <w:t xml:space="preserve">, </w:t>
      </w:r>
      <w:r w:rsidR="00240747" w:rsidRPr="00846B42">
        <w:rPr>
          <w:rFonts w:ascii="ITC Avant Garde" w:hAnsi="ITC Avant Garde" w:cstheme="minorHAnsi"/>
        </w:rPr>
        <w:t>entre otras medidas</w:t>
      </w:r>
      <w:r w:rsidR="000E3EA7" w:rsidRPr="00846B42">
        <w:rPr>
          <w:rFonts w:ascii="ITC Avant Garde" w:hAnsi="ITC Avant Garde" w:cstheme="minorHAnsi"/>
        </w:rPr>
        <w:t>,</w:t>
      </w:r>
      <w:r w:rsidR="009B23F4" w:rsidRPr="00846B42">
        <w:rPr>
          <w:rFonts w:ascii="ITC Avant Garde" w:hAnsi="ITC Avant Garde" w:cstheme="minorHAnsi"/>
        </w:rPr>
        <w:t xml:space="preserve"> </w:t>
      </w:r>
      <w:r w:rsidR="00AE3795" w:rsidRPr="00846B42">
        <w:rPr>
          <w:rFonts w:ascii="ITC Avant Garde" w:hAnsi="ITC Avant Garde" w:cstheme="minorHAnsi"/>
        </w:rPr>
        <w:t>la prohibición de adquirir en exclusiva derechos de transmisión</w:t>
      </w:r>
      <w:r w:rsidR="00E23226" w:rsidRPr="00846B42">
        <w:rPr>
          <w:rFonts w:ascii="ITC Avant Garde" w:hAnsi="ITC Avant Garde" w:cstheme="minorHAnsi"/>
        </w:rPr>
        <w:t xml:space="preserve"> </w:t>
      </w:r>
      <w:r w:rsidR="00AE3795" w:rsidRPr="00846B42">
        <w:rPr>
          <w:rFonts w:ascii="ITC Avant Garde" w:hAnsi="ITC Avant Garde" w:cstheme="minorHAnsi"/>
        </w:rPr>
        <w:t xml:space="preserve">para cualquier lugar del territorio nacional sobre los denominados </w:t>
      </w:r>
      <w:r w:rsidRPr="00C36232">
        <w:rPr>
          <w:rFonts w:ascii="ITC Avant Garde" w:hAnsi="ITC Avant Garde" w:cstheme="minorHAnsi"/>
        </w:rPr>
        <w:t>contenidos audiovisuales</w:t>
      </w:r>
      <w:r w:rsidRPr="00846B42">
        <w:rPr>
          <w:rFonts w:ascii="ITC Avant Garde" w:hAnsi="ITC Avant Garde" w:cstheme="minorHAnsi"/>
        </w:rPr>
        <w:t xml:space="preserve"> relevantes</w:t>
      </w:r>
      <w:r w:rsidR="00240747" w:rsidRPr="00846B42">
        <w:rPr>
          <w:rFonts w:ascii="ITC Avant Garde" w:hAnsi="ITC Avant Garde" w:cstheme="minorHAnsi"/>
        </w:rPr>
        <w:t>, o realizar conductas con efectos similares</w:t>
      </w:r>
      <w:r w:rsidR="00AE3795" w:rsidRPr="00846B42">
        <w:rPr>
          <w:rFonts w:ascii="ITC Avant Garde" w:hAnsi="ITC Avant Garde" w:cstheme="minorHAnsi"/>
        </w:rPr>
        <w:t>.</w:t>
      </w:r>
    </w:p>
    <w:p w14:paraId="6BA3F82F" w14:textId="4CD4D2CB" w:rsidR="00436425" w:rsidRDefault="00AB07F8" w:rsidP="00AA3F31">
      <w:pPr>
        <w:spacing w:after="360" w:line="240" w:lineRule="auto"/>
        <w:jc w:val="both"/>
        <w:rPr>
          <w:rFonts w:ascii="ITC Avant Garde" w:hAnsi="ITC Avant Garde"/>
          <w:kern w:val="2"/>
          <w:lang w:eastAsia="ar-SA"/>
        </w:rPr>
      </w:pPr>
      <w:r>
        <w:rPr>
          <w:rFonts w:ascii="ITC Avant Garde" w:hAnsi="ITC Avant Garde" w:cstheme="minorHAnsi"/>
        </w:rPr>
        <w:t>Asimismo</w:t>
      </w:r>
      <w:r w:rsidR="00240747" w:rsidRPr="00846B42">
        <w:rPr>
          <w:rFonts w:ascii="ITC Avant Garde" w:hAnsi="ITC Avant Garde" w:cstheme="minorHAnsi"/>
        </w:rPr>
        <w:t xml:space="preserve">, </w:t>
      </w:r>
      <w:r w:rsidR="00623B4F">
        <w:rPr>
          <w:rFonts w:ascii="ITC Avant Garde" w:hAnsi="ITC Avant Garde" w:cstheme="minorHAnsi"/>
        </w:rPr>
        <w:t xml:space="preserve">y </w:t>
      </w:r>
      <w:r>
        <w:rPr>
          <w:rFonts w:ascii="ITC Avant Garde" w:hAnsi="ITC Avant Garde" w:cstheme="minorHAnsi"/>
        </w:rPr>
        <w:t xml:space="preserve">por lo que hace al sector de radiodifusión, </w:t>
      </w:r>
      <w:r w:rsidR="00240747" w:rsidRPr="00846B42">
        <w:rPr>
          <w:rFonts w:ascii="ITC Avant Garde" w:hAnsi="ITC Avant Garde" w:cstheme="minorHAnsi"/>
        </w:rPr>
        <w:t xml:space="preserve">la medida </w:t>
      </w:r>
      <w:r w:rsidR="00623B4F">
        <w:rPr>
          <w:rFonts w:ascii="ITC Avant Garde" w:hAnsi="ITC Avant Garde" w:cstheme="minorHAnsi"/>
        </w:rPr>
        <w:t xml:space="preserve">Décimo Octava del Anexo 1 </w:t>
      </w:r>
      <w:r w:rsidR="00240747" w:rsidRPr="00846B42">
        <w:rPr>
          <w:rFonts w:ascii="ITC Avant Garde" w:hAnsi="ITC Avant Garde" w:cstheme="minorHAnsi"/>
        </w:rPr>
        <w:t xml:space="preserve">fue modificada a través de la </w:t>
      </w:r>
      <w:r>
        <w:rPr>
          <w:rFonts w:ascii="ITC Avant Garde" w:eastAsia="Times New Roman" w:hAnsi="ITC Avant Garde"/>
          <w:kern w:val="2"/>
          <w:lang w:eastAsia="ar-SA"/>
        </w:rPr>
        <w:t>r</w:t>
      </w:r>
      <w:r w:rsidR="00240747" w:rsidRPr="00846B42">
        <w:rPr>
          <w:rFonts w:ascii="ITC Avant Garde" w:eastAsia="Times New Roman" w:hAnsi="ITC Avant Garde"/>
          <w:kern w:val="2"/>
          <w:lang w:eastAsia="ar-SA"/>
        </w:rPr>
        <w:t>esolución</w:t>
      </w:r>
      <w:r w:rsidR="00240747" w:rsidRPr="00846B42">
        <w:rPr>
          <w:rFonts w:ascii="ITC Avant Garde" w:hAnsi="ITC Avant Garde"/>
          <w:kern w:val="2"/>
          <w:lang w:eastAsia="ar-SA"/>
        </w:rPr>
        <w:t xml:space="preserve"> </w:t>
      </w:r>
      <w:r w:rsidR="00240747" w:rsidRPr="00846B42">
        <w:rPr>
          <w:rFonts w:ascii="ITC Avant Garde" w:hAnsi="ITC Avant Garde"/>
          <w:b/>
          <w:kern w:val="2"/>
          <w:lang w:eastAsia="ar-SA"/>
        </w:rPr>
        <w:t>P/IFT/EXT/270217/120</w:t>
      </w:r>
      <w:r w:rsidR="00623B4F">
        <w:rPr>
          <w:rFonts w:ascii="ITC Avant Garde" w:hAnsi="ITC Avant Garde"/>
          <w:kern w:val="2"/>
          <w:lang w:eastAsia="ar-SA"/>
        </w:rPr>
        <w:t>, ya anteriormente mencionada.</w:t>
      </w:r>
    </w:p>
    <w:p w14:paraId="53E3AE22" w14:textId="5A8F520A" w:rsidR="00AE3795" w:rsidRPr="00E343A5" w:rsidRDefault="00AE3795" w:rsidP="00AA3F31">
      <w:pPr>
        <w:spacing w:after="360" w:line="240" w:lineRule="auto"/>
        <w:jc w:val="both"/>
        <w:rPr>
          <w:rFonts w:ascii="ITC Avant Garde" w:hAnsi="ITC Avant Garde" w:cstheme="minorHAnsi"/>
        </w:rPr>
      </w:pPr>
      <w:r w:rsidRPr="00846B42">
        <w:rPr>
          <w:rFonts w:ascii="ITC Avant Garde" w:hAnsi="ITC Avant Garde"/>
        </w:rPr>
        <w:lastRenderedPageBreak/>
        <w:t>Con el objeto de dar eficacia a la</w:t>
      </w:r>
      <w:r w:rsidR="00623B4F">
        <w:rPr>
          <w:rFonts w:ascii="ITC Avant Garde" w:hAnsi="ITC Avant Garde"/>
        </w:rPr>
        <w:t>s</w:t>
      </w:r>
      <w:r w:rsidRPr="00846B42">
        <w:rPr>
          <w:rFonts w:ascii="ITC Avant Garde" w:hAnsi="ITC Avant Garde"/>
        </w:rPr>
        <w:t xml:space="preserve"> medida</w:t>
      </w:r>
      <w:r w:rsidR="00623B4F">
        <w:rPr>
          <w:rFonts w:ascii="ITC Avant Garde" w:hAnsi="ITC Avant Garde"/>
        </w:rPr>
        <w:t>s</w:t>
      </w:r>
      <w:r w:rsidRPr="00846B42">
        <w:rPr>
          <w:rFonts w:ascii="ITC Avant Garde" w:hAnsi="ITC Avant Garde"/>
        </w:rPr>
        <w:t xml:space="preserve"> señalada</w:t>
      </w:r>
      <w:r w:rsidR="00623B4F">
        <w:rPr>
          <w:rFonts w:ascii="ITC Avant Garde" w:hAnsi="ITC Avant Garde"/>
        </w:rPr>
        <w:t>s</w:t>
      </w:r>
      <w:r w:rsidRPr="00846B42">
        <w:rPr>
          <w:rFonts w:ascii="ITC Avant Garde" w:hAnsi="ITC Avant Garde"/>
        </w:rPr>
        <w:t xml:space="preserve">, </w:t>
      </w:r>
      <w:r w:rsidR="00866640" w:rsidRPr="00846B42">
        <w:rPr>
          <w:rFonts w:ascii="ITC Avant Garde" w:hAnsi="ITC Avant Garde"/>
        </w:rPr>
        <w:t xml:space="preserve">en </w:t>
      </w:r>
      <w:r w:rsidRPr="00846B42">
        <w:rPr>
          <w:rFonts w:ascii="ITC Avant Garde" w:hAnsi="ITC Avant Garde" w:cstheme="minorHAnsi"/>
          <w:color w:val="000000" w:themeColor="text1"/>
        </w:rPr>
        <w:t>los artículos Segundo Transitorio del Anexo 4 y T</w:t>
      </w:r>
      <w:r w:rsidR="005D750B" w:rsidRPr="00846B42">
        <w:rPr>
          <w:rFonts w:ascii="ITC Avant Garde" w:hAnsi="ITC Avant Garde" w:cstheme="minorHAnsi"/>
        </w:rPr>
        <w:t>ercero Transitorio del A</w:t>
      </w:r>
      <w:r w:rsidRPr="00846B42">
        <w:rPr>
          <w:rFonts w:ascii="ITC Avant Garde" w:hAnsi="ITC Avant Garde" w:cstheme="minorHAnsi"/>
        </w:rPr>
        <w:t xml:space="preserve">nexo 1 de las </w:t>
      </w:r>
      <w:r w:rsidR="00D17791">
        <w:rPr>
          <w:rFonts w:ascii="ITC Avant Garde" w:hAnsi="ITC Avant Garde" w:cstheme="minorHAnsi"/>
        </w:rPr>
        <w:t>r</w:t>
      </w:r>
      <w:r w:rsidRPr="00846B42">
        <w:rPr>
          <w:rFonts w:ascii="ITC Avant Garde" w:hAnsi="ITC Avant Garde" w:cstheme="minorHAnsi"/>
        </w:rPr>
        <w:t xml:space="preserve">esoluciones </w:t>
      </w:r>
      <w:r w:rsidRPr="005262ED">
        <w:rPr>
          <w:rFonts w:ascii="ITC Avant Garde" w:hAnsi="ITC Avant Garde"/>
          <w:kern w:val="2"/>
          <w:lang w:eastAsia="ar-SA"/>
        </w:rPr>
        <w:t>P/IFT/EXT/060314/76</w:t>
      </w:r>
      <w:r w:rsidRPr="00846B42">
        <w:rPr>
          <w:rFonts w:ascii="ITC Avant Garde" w:hAnsi="ITC Avant Garde"/>
          <w:kern w:val="2"/>
          <w:lang w:eastAsia="ar-SA"/>
        </w:rPr>
        <w:t xml:space="preserve"> y </w:t>
      </w:r>
      <w:r w:rsidRPr="005262ED">
        <w:rPr>
          <w:rFonts w:ascii="ITC Avant Garde" w:hAnsi="ITC Avant Garde"/>
          <w:kern w:val="2"/>
          <w:lang w:eastAsia="ar-SA"/>
        </w:rPr>
        <w:t>P/IFT/EXT/060314/77</w:t>
      </w:r>
      <w:r w:rsidR="00436425" w:rsidRPr="00846B42">
        <w:rPr>
          <w:rFonts w:ascii="ITC Avant Garde" w:hAnsi="ITC Avant Garde"/>
          <w:kern w:val="2"/>
          <w:lang w:eastAsia="ar-SA"/>
        </w:rPr>
        <w:t>,</w:t>
      </w:r>
      <w:r w:rsidR="005D750B" w:rsidRPr="00846B42">
        <w:rPr>
          <w:rFonts w:ascii="ITC Avant Garde" w:hAnsi="ITC Avant Garde"/>
          <w:kern w:val="2"/>
          <w:lang w:eastAsia="ar-SA"/>
        </w:rPr>
        <w:t xml:space="preserve"> respectiva</w:t>
      </w:r>
      <w:r w:rsidR="00CD18B8" w:rsidRPr="00846B42">
        <w:rPr>
          <w:rFonts w:ascii="ITC Avant Garde" w:hAnsi="ITC Avant Garde"/>
          <w:kern w:val="2"/>
          <w:lang w:eastAsia="ar-SA"/>
        </w:rPr>
        <w:t>mente</w:t>
      </w:r>
      <w:r w:rsidRPr="00846B42">
        <w:rPr>
          <w:rFonts w:ascii="ITC Avant Garde" w:hAnsi="ITC Avant Garde" w:cstheme="minorHAnsi"/>
        </w:rPr>
        <w:t xml:space="preserve">, </w:t>
      </w:r>
      <w:r w:rsidR="00866640" w:rsidRPr="00846B42">
        <w:rPr>
          <w:rFonts w:ascii="ITC Avant Garde" w:hAnsi="ITC Avant Garde" w:cstheme="minorHAnsi"/>
        </w:rPr>
        <w:t xml:space="preserve">se estableció </w:t>
      </w:r>
      <w:r w:rsidR="000403E5" w:rsidRPr="00846B42">
        <w:rPr>
          <w:rFonts w:ascii="ITC Avant Garde" w:hAnsi="ITC Avant Garde" w:cstheme="minorHAnsi"/>
        </w:rPr>
        <w:t xml:space="preserve">que </w:t>
      </w:r>
      <w:r w:rsidRPr="00846B42">
        <w:rPr>
          <w:rFonts w:ascii="ITC Avant Garde" w:hAnsi="ITC Avant Garde" w:cstheme="minorHAnsi"/>
        </w:rPr>
        <w:t>el I</w:t>
      </w:r>
      <w:r w:rsidR="00C00EF3" w:rsidRPr="00846B42">
        <w:rPr>
          <w:rFonts w:ascii="ITC Avant Garde" w:hAnsi="ITC Avant Garde" w:cstheme="minorHAnsi"/>
        </w:rPr>
        <w:t xml:space="preserve">nstituto </w:t>
      </w:r>
      <w:r w:rsidR="00866640" w:rsidRPr="00846B42">
        <w:rPr>
          <w:rFonts w:ascii="ITC Avant Garde" w:hAnsi="ITC Avant Garde" w:cstheme="minorHAnsi"/>
        </w:rPr>
        <w:t xml:space="preserve">publicaría una </w:t>
      </w:r>
      <w:r w:rsidRPr="00846B42">
        <w:rPr>
          <w:rFonts w:ascii="ITC Avant Garde" w:hAnsi="ITC Avant Garde" w:cstheme="minorHAnsi"/>
        </w:rPr>
        <w:t xml:space="preserve">lista de los </w:t>
      </w:r>
      <w:r w:rsidR="00436425" w:rsidRPr="00846B42">
        <w:rPr>
          <w:rFonts w:ascii="ITC Avant Garde" w:hAnsi="ITC Avant Garde" w:cstheme="minorHAnsi"/>
        </w:rPr>
        <w:t>contenidos audiovisuales relevantes</w:t>
      </w:r>
      <w:r w:rsidR="00921149" w:rsidRPr="00846B42">
        <w:rPr>
          <w:rFonts w:ascii="ITC Avant Garde" w:hAnsi="ITC Avant Garde" w:cstheme="minorHAnsi"/>
        </w:rPr>
        <w:t xml:space="preserve">, </w:t>
      </w:r>
      <w:r w:rsidR="004A19B0" w:rsidRPr="00846B42">
        <w:rPr>
          <w:rFonts w:ascii="ITC Avant Garde" w:hAnsi="ITC Avant Garde" w:cstheme="minorHAnsi"/>
        </w:rPr>
        <w:t xml:space="preserve">los cuales se definen como </w:t>
      </w:r>
      <w:r w:rsidR="00921149" w:rsidRPr="00846B42">
        <w:rPr>
          <w:rFonts w:ascii="ITC Avant Garde" w:hAnsi="ITC Avant Garde" w:cstheme="minorHAnsi"/>
        </w:rPr>
        <w:t xml:space="preserve">las </w:t>
      </w:r>
      <w:r w:rsidR="00C853B3" w:rsidRPr="00846B42">
        <w:rPr>
          <w:rFonts w:ascii="ITC Avant Garde" w:hAnsi="ITC Avant Garde" w:cstheme="minorHAnsi"/>
        </w:rPr>
        <w:t>obras de audio y video asociado</w:t>
      </w:r>
      <w:r w:rsidR="00921149" w:rsidRPr="00846B42">
        <w:rPr>
          <w:rFonts w:ascii="ITC Avant Garde" w:hAnsi="ITC Avant Garde" w:cstheme="minorHAnsi"/>
        </w:rPr>
        <w:t>,</w:t>
      </w:r>
      <w:r w:rsidR="009B23F4" w:rsidRPr="00846B42">
        <w:rPr>
          <w:rFonts w:ascii="ITC Avant Garde" w:hAnsi="ITC Avant Garde" w:cstheme="minorHAnsi"/>
        </w:rPr>
        <w:t xml:space="preserve"> </w:t>
      </w:r>
      <w:r w:rsidR="00921149" w:rsidRPr="00846B42">
        <w:rPr>
          <w:rFonts w:ascii="ITC Avant Garde" w:hAnsi="ITC Avant Garde" w:cstheme="minorHAnsi"/>
        </w:rPr>
        <w:t>pro</w:t>
      </w:r>
      <w:r w:rsidR="00534009" w:rsidRPr="00846B42">
        <w:rPr>
          <w:rFonts w:ascii="ITC Avant Garde" w:hAnsi="ITC Avant Garde" w:cstheme="minorHAnsi"/>
        </w:rPr>
        <w:t>ducidas para su transmisión por</w:t>
      </w:r>
      <w:r w:rsidR="00921149" w:rsidRPr="00846B42">
        <w:rPr>
          <w:rFonts w:ascii="ITC Avant Garde" w:hAnsi="ITC Avant Garde" w:cstheme="minorHAnsi"/>
        </w:rPr>
        <w:t xml:space="preserve"> </w:t>
      </w:r>
      <w:r w:rsidR="00646866" w:rsidRPr="00846B42">
        <w:rPr>
          <w:rFonts w:ascii="ITC Avant Garde" w:hAnsi="ITC Avant Garde" w:cstheme="minorHAnsi"/>
        </w:rPr>
        <w:t xml:space="preserve">estaciones de televisión radiodifundida y </w:t>
      </w:r>
      <w:r w:rsidR="00921149" w:rsidRPr="00846B42">
        <w:rPr>
          <w:rFonts w:ascii="ITC Avant Garde" w:hAnsi="ITC Avant Garde" w:cstheme="minorHAnsi"/>
        </w:rPr>
        <w:t>redes de telecomunicaciones</w:t>
      </w:r>
      <w:r w:rsidR="00534009" w:rsidRPr="00846B42">
        <w:rPr>
          <w:rFonts w:ascii="ITC Avant Garde" w:hAnsi="ITC Avant Garde" w:cstheme="minorHAnsi"/>
        </w:rPr>
        <w:t>,</w:t>
      </w:r>
      <w:r w:rsidR="00921149" w:rsidRPr="00846B42">
        <w:rPr>
          <w:rFonts w:ascii="ITC Avant Garde" w:hAnsi="ITC Avant Garde" w:cstheme="minorHAnsi"/>
        </w:rPr>
        <w:t xml:space="preserve"> </w:t>
      </w:r>
      <w:r w:rsidR="00921149" w:rsidRPr="005262ED">
        <w:rPr>
          <w:rFonts w:ascii="ITC Avant Garde" w:hAnsi="ITC Avant Garde" w:cstheme="minorHAnsi"/>
        </w:rPr>
        <w:t xml:space="preserve">identificados por el </w:t>
      </w:r>
      <w:r w:rsidR="00C5466A" w:rsidRPr="005262ED">
        <w:rPr>
          <w:rFonts w:ascii="ITC Avant Garde" w:hAnsi="ITC Avant Garde" w:cstheme="minorHAnsi"/>
        </w:rPr>
        <w:t>I</w:t>
      </w:r>
      <w:r w:rsidR="00C00EF3" w:rsidRPr="005262ED">
        <w:rPr>
          <w:rFonts w:ascii="ITC Avant Garde" w:hAnsi="ITC Avant Garde" w:cstheme="minorHAnsi"/>
        </w:rPr>
        <w:t>nstituto</w:t>
      </w:r>
      <w:r w:rsidR="00921149" w:rsidRPr="005262ED">
        <w:rPr>
          <w:rFonts w:ascii="ITC Avant Garde" w:hAnsi="ITC Avant Garde" w:cstheme="minorHAnsi"/>
        </w:rPr>
        <w:t xml:space="preserve"> en función de su carácter no replicable y de su alto nivel esperado de audiencia regional o nacional, con base en los registros históricos de eventos similares</w:t>
      </w:r>
      <w:r w:rsidR="00921149" w:rsidRPr="00E343A5">
        <w:rPr>
          <w:rFonts w:ascii="ITC Avant Garde" w:hAnsi="ITC Avant Garde" w:cstheme="minorHAnsi"/>
        </w:rPr>
        <w:t>.</w:t>
      </w:r>
    </w:p>
    <w:p w14:paraId="29878AD6" w14:textId="77777777" w:rsidR="00E91637" w:rsidRPr="00846B42" w:rsidRDefault="002F55D5" w:rsidP="00AA3F31">
      <w:pPr>
        <w:spacing w:after="360" w:line="240" w:lineRule="auto"/>
        <w:jc w:val="both"/>
        <w:rPr>
          <w:rFonts w:ascii="ITC Avant Garde" w:hAnsi="ITC Avant Garde" w:cstheme="minorHAnsi"/>
        </w:rPr>
      </w:pPr>
      <w:r w:rsidRPr="00846B42">
        <w:rPr>
          <w:rFonts w:ascii="ITC Avant Garde" w:hAnsi="ITC Avant Garde" w:cstheme="minorHAnsi"/>
        </w:rPr>
        <w:t>Fue así que</w:t>
      </w:r>
      <w:r w:rsidR="00866640" w:rsidRPr="00846B42">
        <w:rPr>
          <w:rFonts w:ascii="ITC Avant Garde" w:hAnsi="ITC Avant Garde" w:cstheme="minorHAnsi"/>
        </w:rPr>
        <w:t>,</w:t>
      </w:r>
      <w:r w:rsidRPr="00846B42">
        <w:rPr>
          <w:rFonts w:ascii="ITC Avant Garde" w:hAnsi="ITC Avant Garde" w:cstheme="minorHAnsi"/>
        </w:rPr>
        <w:t xml:space="preserve"> </w:t>
      </w:r>
      <w:r w:rsidR="00866640" w:rsidRPr="00846B42">
        <w:rPr>
          <w:rFonts w:ascii="ITC Avant Garde" w:hAnsi="ITC Avant Garde" w:cstheme="minorHAnsi"/>
        </w:rPr>
        <w:t>a través</w:t>
      </w:r>
      <w:r w:rsidR="002F737B" w:rsidRPr="00846B42">
        <w:rPr>
          <w:rFonts w:ascii="ITC Avant Garde" w:hAnsi="ITC Avant Garde" w:cstheme="minorHAnsi"/>
        </w:rPr>
        <w:t xml:space="preserve"> del </w:t>
      </w:r>
      <w:r w:rsidRPr="00846B42">
        <w:rPr>
          <w:rFonts w:ascii="ITC Avant Garde" w:hAnsi="ITC Avant Garde" w:cstheme="minorHAnsi"/>
        </w:rPr>
        <w:t>Acuerdo</w:t>
      </w:r>
      <w:r w:rsidR="002F737B" w:rsidRPr="00846B42">
        <w:rPr>
          <w:rFonts w:ascii="ITC Avant Garde" w:hAnsi="ITC Avant Garde" w:cstheme="minorHAnsi"/>
        </w:rPr>
        <w:t xml:space="preserve"> de Contenidos Audiovisuales Relevantes</w:t>
      </w:r>
      <w:r w:rsidR="00866640" w:rsidRPr="00846B42">
        <w:rPr>
          <w:rFonts w:ascii="ITC Avant Garde" w:hAnsi="ITC Avant Garde" w:cstheme="minorHAnsi"/>
        </w:rPr>
        <w:t>,</w:t>
      </w:r>
      <w:r w:rsidRPr="00846B42">
        <w:rPr>
          <w:rFonts w:ascii="ITC Avant Garde" w:hAnsi="ITC Avant Garde" w:cstheme="minorHAnsi"/>
        </w:rPr>
        <w:t xml:space="preserve"> </w:t>
      </w:r>
      <w:r w:rsidR="002F737B" w:rsidRPr="00846B42">
        <w:rPr>
          <w:rFonts w:ascii="ITC Avant Garde" w:hAnsi="ITC Avant Garde" w:cstheme="minorHAnsi"/>
        </w:rPr>
        <w:t>el Instituto</w:t>
      </w:r>
      <w:r w:rsidRPr="00846B42">
        <w:rPr>
          <w:rFonts w:ascii="ITC Avant Garde" w:hAnsi="ITC Avant Garde" w:cstheme="minorHAnsi"/>
        </w:rPr>
        <w:t xml:space="preserve"> identific</w:t>
      </w:r>
      <w:r w:rsidR="002F737B" w:rsidRPr="00846B42">
        <w:rPr>
          <w:rFonts w:ascii="ITC Avant Garde" w:hAnsi="ITC Avant Garde" w:cstheme="minorHAnsi"/>
        </w:rPr>
        <w:t>ó</w:t>
      </w:r>
      <w:r w:rsidR="00E91637" w:rsidRPr="00846B42">
        <w:rPr>
          <w:rFonts w:ascii="ITC Avant Garde" w:hAnsi="ITC Avant Garde" w:cstheme="minorHAnsi"/>
        </w:rPr>
        <w:t xml:space="preserve"> como contenidos audiovisuales relevantes, en función de su carácter no replicable y de su alto nivel de audiencia nacional o regional, los siguientes:</w:t>
      </w:r>
    </w:p>
    <w:p w14:paraId="480DEF1C" w14:textId="17C1B098" w:rsidR="00E91637" w:rsidRPr="00A660E5" w:rsidRDefault="00E91637" w:rsidP="00AA3F31">
      <w:pPr>
        <w:numPr>
          <w:ilvl w:val="0"/>
          <w:numId w:val="7"/>
        </w:numPr>
        <w:spacing w:after="240" w:line="240" w:lineRule="auto"/>
        <w:ind w:left="714" w:hanging="357"/>
        <w:jc w:val="both"/>
        <w:rPr>
          <w:rFonts w:ascii="ITC Avant Garde" w:hAnsi="ITC Avant Garde" w:cstheme="minorHAnsi"/>
        </w:rPr>
      </w:pPr>
      <w:r w:rsidRPr="00A660E5">
        <w:rPr>
          <w:rFonts w:ascii="ITC Avant Garde" w:hAnsi="ITC Avant Garde" w:cstheme="minorHAnsi"/>
        </w:rPr>
        <w:t>Los partidos de la selección mexicana de futbol (categoría varonil mayor);</w:t>
      </w:r>
    </w:p>
    <w:p w14:paraId="26B7B8C3" w14:textId="23932B61" w:rsidR="00E91637" w:rsidRPr="00A660E5" w:rsidRDefault="00E91637" w:rsidP="00AA3F31">
      <w:pPr>
        <w:numPr>
          <w:ilvl w:val="0"/>
          <w:numId w:val="7"/>
        </w:numPr>
        <w:spacing w:after="240" w:line="240" w:lineRule="auto"/>
        <w:ind w:left="714" w:hanging="357"/>
        <w:jc w:val="both"/>
        <w:rPr>
          <w:rFonts w:ascii="ITC Avant Garde" w:hAnsi="ITC Avant Garde" w:cstheme="minorHAnsi"/>
        </w:rPr>
      </w:pPr>
      <w:r w:rsidRPr="00A660E5">
        <w:rPr>
          <w:rFonts w:ascii="ITC Avant Garde" w:hAnsi="ITC Avant Garde" w:cstheme="minorHAnsi"/>
        </w:rPr>
        <w:t xml:space="preserve">Las ceremonias de inauguración y clausura de los Juegos Olímpicos de Verano organizados por el Comité Olímpico Internacional. </w:t>
      </w:r>
    </w:p>
    <w:p w14:paraId="067B462F" w14:textId="054CB554" w:rsidR="00E91637" w:rsidRDefault="00E91637" w:rsidP="00AA3F31">
      <w:pPr>
        <w:numPr>
          <w:ilvl w:val="0"/>
          <w:numId w:val="7"/>
        </w:numPr>
        <w:spacing w:after="240" w:line="240" w:lineRule="auto"/>
        <w:ind w:left="714" w:hanging="357"/>
        <w:jc w:val="both"/>
        <w:rPr>
          <w:rFonts w:ascii="ITC Avant Garde" w:hAnsi="ITC Avant Garde" w:cstheme="minorHAnsi"/>
        </w:rPr>
      </w:pPr>
      <w:r w:rsidRPr="00A660E5">
        <w:rPr>
          <w:rFonts w:ascii="ITC Avant Garde" w:hAnsi="ITC Avant Garde" w:cstheme="minorHAnsi"/>
        </w:rPr>
        <w:t>Las ceremonias de inauguración y clausura, y los partidos de inauguración, cuartos de final, semifinales y final de la Copa Mundial de la Federación Internacional de Futbol Asociación (FIFA)</w:t>
      </w:r>
      <w:r w:rsidR="009E2924" w:rsidRPr="00A660E5">
        <w:rPr>
          <w:rFonts w:ascii="ITC Avant Garde" w:hAnsi="ITC Avant Garde" w:cstheme="minorHAnsi"/>
        </w:rPr>
        <w:t>, organizados cada</w:t>
      </w:r>
      <w:r w:rsidRPr="00A660E5">
        <w:rPr>
          <w:rFonts w:ascii="ITC Avant Garde" w:hAnsi="ITC Avant Garde" w:cstheme="minorHAnsi"/>
        </w:rPr>
        <w:t xml:space="preserve"> cuatro años y conocido comúnmente como Copa del Mundo o Mundial de Futbol</w:t>
      </w:r>
      <w:r w:rsidR="009E2924" w:rsidRPr="00A660E5">
        <w:rPr>
          <w:rFonts w:ascii="ITC Avant Garde" w:hAnsi="ITC Avant Garde" w:cstheme="minorHAnsi"/>
        </w:rPr>
        <w:t>, y</w:t>
      </w:r>
    </w:p>
    <w:p w14:paraId="0E3BAA92" w14:textId="5F7DBCA8" w:rsidR="00E91637" w:rsidRPr="00A660E5" w:rsidRDefault="00E91637" w:rsidP="00AA3F31">
      <w:pPr>
        <w:numPr>
          <w:ilvl w:val="0"/>
          <w:numId w:val="7"/>
        </w:numPr>
        <w:spacing w:after="240" w:line="240" w:lineRule="auto"/>
        <w:ind w:left="714" w:hanging="357"/>
        <w:jc w:val="both"/>
        <w:rPr>
          <w:rFonts w:ascii="ITC Avant Garde" w:hAnsi="ITC Avant Garde" w:cstheme="minorHAnsi"/>
        </w:rPr>
      </w:pPr>
      <w:r w:rsidRPr="00A660E5">
        <w:rPr>
          <w:rFonts w:ascii="ITC Avant Garde" w:hAnsi="ITC Avant Garde" w:cstheme="minorHAnsi"/>
        </w:rPr>
        <w:t>Los partidos de la final del torneo de liga de primera división</w:t>
      </w:r>
      <w:r w:rsidR="009E2924" w:rsidRPr="00A660E5">
        <w:rPr>
          <w:rFonts w:ascii="ITC Avant Garde" w:hAnsi="ITC Avant Garde" w:cstheme="minorHAnsi"/>
        </w:rPr>
        <w:t>,</w:t>
      </w:r>
      <w:r w:rsidRPr="00A660E5">
        <w:rPr>
          <w:rFonts w:ascii="ITC Avant Garde" w:hAnsi="ITC Avant Garde" w:cstheme="minorHAnsi"/>
        </w:rPr>
        <w:t xml:space="preserve"> organizado por la Federación Mexicana de Futbol, conocida comúnmente como la Liga MX.</w:t>
      </w:r>
    </w:p>
    <w:p w14:paraId="4F4E558B" w14:textId="59D68542" w:rsidR="004C0616" w:rsidRDefault="00202DF9" w:rsidP="00AA3F31">
      <w:pPr>
        <w:spacing w:after="0" w:line="240" w:lineRule="auto"/>
        <w:jc w:val="both"/>
        <w:rPr>
          <w:rFonts w:ascii="ITC Avant Garde" w:hAnsi="ITC Avant Garde" w:cstheme="minorHAnsi"/>
        </w:rPr>
      </w:pPr>
      <w:r w:rsidRPr="00846B42">
        <w:rPr>
          <w:rFonts w:ascii="ITC Avant Garde" w:hAnsi="ITC Avant Garde"/>
          <w:b/>
          <w:kern w:val="2"/>
          <w:lang w:val="es-ES" w:eastAsia="ar-SA"/>
        </w:rPr>
        <w:t>TERCERO</w:t>
      </w:r>
      <w:r w:rsidR="009E2924" w:rsidRPr="00846B42">
        <w:rPr>
          <w:rFonts w:ascii="ITC Avant Garde" w:hAnsi="ITC Avant Garde" w:cstheme="minorHAnsi"/>
          <w:b/>
        </w:rPr>
        <w:t xml:space="preserve">. </w:t>
      </w:r>
      <w:r w:rsidR="00766BF3" w:rsidRPr="00846B42">
        <w:rPr>
          <w:rFonts w:ascii="ITC Avant Garde" w:hAnsi="ITC Avant Garde" w:cstheme="minorHAnsi"/>
          <w:b/>
        </w:rPr>
        <w:t xml:space="preserve">Actualización del Listado </w:t>
      </w:r>
      <w:r w:rsidR="009E2924" w:rsidRPr="00846B42">
        <w:rPr>
          <w:rFonts w:ascii="ITC Avant Garde" w:hAnsi="ITC Avant Garde" w:cstheme="minorHAnsi"/>
          <w:b/>
        </w:rPr>
        <w:t>de Contenidos Audiovisuales Relevantes.</w:t>
      </w:r>
      <w:r w:rsidR="004C0616" w:rsidRPr="00846B42">
        <w:rPr>
          <w:rFonts w:ascii="ITC Avant Garde" w:hAnsi="ITC Avant Garde" w:cstheme="minorHAnsi"/>
          <w:b/>
        </w:rPr>
        <w:t xml:space="preserve"> </w:t>
      </w:r>
      <w:r w:rsidR="004C0616" w:rsidRPr="00846B42">
        <w:rPr>
          <w:rFonts w:ascii="ITC Avant Garde" w:hAnsi="ITC Avant Garde" w:cstheme="minorHAnsi"/>
        </w:rPr>
        <w:t>La UMCA</w:t>
      </w:r>
      <w:r w:rsidR="00402F2D">
        <w:rPr>
          <w:rFonts w:ascii="ITC Avant Garde" w:hAnsi="ITC Avant Garde" w:cstheme="minorHAnsi"/>
        </w:rPr>
        <w:t>, según se desprende del Informe,</w:t>
      </w:r>
      <w:r w:rsidR="004C0616" w:rsidRPr="00846B42">
        <w:rPr>
          <w:rFonts w:ascii="ITC Avant Garde" w:hAnsi="ITC Avant Garde" w:cstheme="minorHAnsi"/>
        </w:rPr>
        <w:t xml:space="preserve"> realizó </w:t>
      </w:r>
      <w:r w:rsidR="001100B0" w:rsidRPr="00846B42">
        <w:rPr>
          <w:rFonts w:ascii="ITC Avant Garde" w:hAnsi="ITC Avant Garde" w:cstheme="minorHAnsi"/>
        </w:rPr>
        <w:t>el</w:t>
      </w:r>
      <w:r w:rsidR="004C0616" w:rsidRPr="00846B42">
        <w:rPr>
          <w:rFonts w:ascii="ITC Avant Garde" w:hAnsi="ITC Avant Garde" w:cstheme="minorHAnsi"/>
        </w:rPr>
        <w:t xml:space="preserve"> análisis de datos reportados sobre aquellos contenidos audiovisuales identificados en función de su carácter no replicable y de su alto nivel de audiencia nacional o regional, con base en los registros históricos de eventos similares</w:t>
      </w:r>
      <w:r w:rsidR="001100B0" w:rsidRPr="00846B42">
        <w:rPr>
          <w:rFonts w:ascii="ITC Avant Garde" w:hAnsi="ITC Avant Garde" w:cstheme="minorHAnsi"/>
        </w:rPr>
        <w:t xml:space="preserve"> </w:t>
      </w:r>
      <w:r w:rsidRPr="00846B42">
        <w:rPr>
          <w:rFonts w:ascii="ITC Avant Garde" w:hAnsi="ITC Avant Garde" w:cstheme="minorHAnsi"/>
        </w:rPr>
        <w:t>(Nielsen IBOPE México</w:t>
      </w:r>
      <w:r w:rsidRPr="00846B42">
        <w:rPr>
          <w:rFonts w:ascii="ITC Avant Garde" w:hAnsi="ITC Avant Garde" w:cstheme="minorHAnsi"/>
          <w:vertAlign w:val="superscript"/>
        </w:rPr>
        <w:footnoteReference w:id="2"/>
      </w:r>
      <w:r w:rsidRPr="00846B42">
        <w:rPr>
          <w:rFonts w:ascii="ITC Avant Garde" w:hAnsi="ITC Avant Garde" w:cstheme="minorHAnsi"/>
        </w:rPr>
        <w:t>)</w:t>
      </w:r>
      <w:r w:rsidR="004C0616" w:rsidRPr="00846B42">
        <w:rPr>
          <w:rFonts w:ascii="ITC Avant Garde" w:hAnsi="ITC Avant Garde" w:cstheme="minorHAnsi"/>
        </w:rPr>
        <w:t xml:space="preserve">, </w:t>
      </w:r>
      <w:r w:rsidR="00D17791">
        <w:rPr>
          <w:rFonts w:ascii="ITC Avant Garde" w:hAnsi="ITC Avant Garde" w:cstheme="minorHAnsi"/>
        </w:rPr>
        <w:t>en términos de lo siguiente:</w:t>
      </w:r>
    </w:p>
    <w:p w14:paraId="1CCF6548" w14:textId="1DABF3AC" w:rsidR="000B0414" w:rsidRPr="00846B42" w:rsidRDefault="000B0414" w:rsidP="00AA3F31">
      <w:pPr>
        <w:spacing w:after="360" w:line="240" w:lineRule="auto"/>
        <w:jc w:val="both"/>
        <w:rPr>
          <w:rFonts w:ascii="ITC Avant Garde" w:hAnsi="ITC Avant Garde"/>
        </w:rPr>
      </w:pPr>
      <w:r w:rsidRPr="00846B42">
        <w:rPr>
          <w:rFonts w:ascii="ITC Avant Garde" w:hAnsi="ITC Avant Garde"/>
        </w:rPr>
        <w:lastRenderedPageBreak/>
        <w:t>El periodo de tiempo utilizado para valorar los contenidos fue del 1 de mayo de 2014</w:t>
      </w:r>
      <w:r w:rsidR="00D17791">
        <w:rPr>
          <w:rFonts w:ascii="ITC Avant Garde" w:hAnsi="ITC Avant Garde"/>
        </w:rPr>
        <w:t>,</w:t>
      </w:r>
      <w:r w:rsidRPr="00846B42">
        <w:rPr>
          <w:rFonts w:ascii="ITC Avant Garde" w:hAnsi="ITC Avant Garde"/>
        </w:rPr>
        <w:t xml:space="preserve"> al 15 de julio de 2018 (2014-2018), de forma que fuese posible considerar adecuadamente las tendencias recientes de los contenidos, que son las más pertinentes ya que reflejan la evolución de las preferencias de las audiencias, y evita promedios en periodos largos que pudiesen ocultar los valores reales de las tendencias. Asimismo, dicho periodo de tiempo permite considerar evento</w:t>
      </w:r>
      <w:r w:rsidR="00D17791">
        <w:rPr>
          <w:rFonts w:ascii="ITC Avant Garde" w:hAnsi="ITC Avant Garde"/>
        </w:rPr>
        <w:t>s</w:t>
      </w:r>
      <w:r w:rsidRPr="00846B42">
        <w:rPr>
          <w:rFonts w:ascii="ITC Avant Garde" w:hAnsi="ITC Avant Garde"/>
        </w:rPr>
        <w:t xml:space="preserve"> deportivo</w:t>
      </w:r>
      <w:r w:rsidR="00D17791">
        <w:rPr>
          <w:rFonts w:ascii="ITC Avant Garde" w:hAnsi="ITC Avant Garde"/>
        </w:rPr>
        <w:t>s</w:t>
      </w:r>
      <w:r w:rsidRPr="00846B42">
        <w:rPr>
          <w:rFonts w:ascii="ITC Avant Garde" w:hAnsi="ITC Avant Garde"/>
        </w:rPr>
        <w:t xml:space="preserve"> internacional</w:t>
      </w:r>
      <w:r w:rsidR="00D17791">
        <w:rPr>
          <w:rFonts w:ascii="ITC Avant Garde" w:hAnsi="ITC Avant Garde"/>
        </w:rPr>
        <w:t>es</w:t>
      </w:r>
      <w:r w:rsidRPr="00846B42">
        <w:rPr>
          <w:rFonts w:ascii="ITC Avant Garde" w:hAnsi="ITC Avant Garde"/>
        </w:rPr>
        <w:t xml:space="preserve"> de alto nivel esperado de audiencia como lo son los Juegos Olímpicos y la Copa Mundial de Fútbol.</w:t>
      </w:r>
    </w:p>
    <w:p w14:paraId="0851FB21" w14:textId="49FD180B" w:rsidR="000B0414" w:rsidRPr="00846B42" w:rsidRDefault="000B0414" w:rsidP="00AA3F31">
      <w:pPr>
        <w:spacing w:after="360" w:line="240" w:lineRule="auto"/>
        <w:jc w:val="both"/>
        <w:rPr>
          <w:rFonts w:ascii="ITC Avant Garde" w:hAnsi="ITC Avant Garde"/>
        </w:rPr>
      </w:pPr>
      <w:r w:rsidRPr="00846B42">
        <w:rPr>
          <w:rFonts w:ascii="ITC Avant Garde" w:hAnsi="ITC Avant Garde"/>
        </w:rPr>
        <w:t xml:space="preserve">El índice de audiencia, o </w:t>
      </w:r>
      <w:r w:rsidRPr="005262ED">
        <w:rPr>
          <w:rFonts w:ascii="ITC Avant Garde" w:hAnsi="ITC Avant Garde"/>
          <w:i/>
        </w:rPr>
        <w:t>rating</w:t>
      </w:r>
      <w:r w:rsidRPr="00846B42">
        <w:rPr>
          <w:rFonts w:ascii="ITC Avant Garde" w:hAnsi="ITC Avant Garde"/>
          <w:vertAlign w:val="superscript"/>
        </w:rPr>
        <w:footnoteReference w:id="3"/>
      </w:r>
      <w:r w:rsidRPr="00846B42">
        <w:rPr>
          <w:rFonts w:ascii="ITC Avant Garde" w:hAnsi="ITC Avant Garde"/>
        </w:rPr>
        <w:t xml:space="preserve"> en inglés, representa la cantidad de personas que están expuestas a un medio en un cierto momento, a partir de un universo determinado, la cual ayuda a evaluar las audiencias de diferentes contenidos y horarios. Por ejemplo, si un canal de televisión </w:t>
      </w:r>
      <w:r w:rsidR="00D17791">
        <w:rPr>
          <w:rFonts w:ascii="ITC Avant Garde" w:hAnsi="ITC Avant Garde"/>
        </w:rPr>
        <w:t>se encuentra</w:t>
      </w:r>
      <w:r w:rsidR="00D17791" w:rsidRPr="00846B42">
        <w:rPr>
          <w:rFonts w:ascii="ITC Avant Garde" w:hAnsi="ITC Avant Garde"/>
        </w:rPr>
        <w:t xml:space="preserve"> </w:t>
      </w:r>
      <w:r w:rsidRPr="00846B42">
        <w:rPr>
          <w:rFonts w:ascii="ITC Avant Garde" w:hAnsi="ITC Avant Garde"/>
        </w:rPr>
        <w:t xml:space="preserve">transmitiendo un partido de la Selección Mexicana de Fútbol a las 20:00 horas, y otro canal en ese mismo horario está transmitiendo una película, el </w:t>
      </w:r>
      <w:r w:rsidRPr="005262ED">
        <w:rPr>
          <w:rFonts w:ascii="ITC Avant Garde" w:hAnsi="ITC Avant Garde"/>
          <w:i/>
        </w:rPr>
        <w:t>rating</w:t>
      </w:r>
      <w:r w:rsidRPr="00846B42">
        <w:rPr>
          <w:rFonts w:ascii="ITC Avant Garde" w:hAnsi="ITC Avant Garde"/>
        </w:rPr>
        <w:t xml:space="preserve"> permite determinar la cantidad de personas que se encuentran expuestas en esa hora a cada uno de dichos contenidos. El </w:t>
      </w:r>
      <w:r w:rsidRPr="005262ED">
        <w:rPr>
          <w:rFonts w:ascii="ITC Avant Garde" w:hAnsi="ITC Avant Garde"/>
          <w:i/>
        </w:rPr>
        <w:t>rating</w:t>
      </w:r>
      <w:r w:rsidRPr="00846B42">
        <w:rPr>
          <w:rFonts w:ascii="ITC Avant Garde" w:hAnsi="ITC Avant Garde"/>
        </w:rPr>
        <w:t xml:space="preserve"> se puede expresar tanto en número de personas como porcentualmente. </w:t>
      </w:r>
    </w:p>
    <w:p w14:paraId="61FAB32D" w14:textId="167D7B44" w:rsidR="000B0414" w:rsidRPr="00846B42" w:rsidRDefault="000B0414" w:rsidP="00AA3F31">
      <w:pPr>
        <w:spacing w:after="360" w:line="240" w:lineRule="auto"/>
        <w:jc w:val="both"/>
        <w:rPr>
          <w:rFonts w:ascii="ITC Avant Garde" w:hAnsi="ITC Avant Garde"/>
        </w:rPr>
      </w:pPr>
      <w:r w:rsidRPr="00846B42">
        <w:rPr>
          <w:rFonts w:ascii="ITC Avant Garde" w:hAnsi="ITC Avant Garde"/>
        </w:rPr>
        <w:t xml:space="preserve">En ese orden de ideas, por lo expuesto, el </w:t>
      </w:r>
      <w:r w:rsidRPr="005262ED">
        <w:rPr>
          <w:rFonts w:ascii="ITC Avant Garde" w:hAnsi="ITC Avant Garde"/>
          <w:i/>
        </w:rPr>
        <w:t>rating</w:t>
      </w:r>
      <w:r w:rsidRPr="00846B42">
        <w:rPr>
          <w:rFonts w:ascii="ITC Avant Garde" w:hAnsi="ITC Avant Garde"/>
        </w:rPr>
        <w:t xml:space="preserve"> es la medida más adecuada para determinar cuáles son los </w:t>
      </w:r>
      <w:r w:rsidR="005868E2" w:rsidRPr="00846B42">
        <w:rPr>
          <w:rFonts w:ascii="ITC Avant Garde" w:hAnsi="ITC Avant Garde"/>
        </w:rPr>
        <w:t>contenidos audiovisuales relevantes</w:t>
      </w:r>
      <w:r w:rsidRPr="00846B42">
        <w:rPr>
          <w:rFonts w:ascii="ITC Avant Garde" w:hAnsi="ITC Avant Garde"/>
        </w:rPr>
        <w:t xml:space="preserve">, en virtud de que muestra claramente qué contenidos son los que en un periodo de tiempo específico captan mayor interés en una determinada población y, por lo tanto, tienen un alto nivel de audiencia. </w:t>
      </w:r>
    </w:p>
    <w:p w14:paraId="4978513C" w14:textId="3B3B2AD0" w:rsidR="000B0414" w:rsidRPr="00E12FEB" w:rsidRDefault="000B0414" w:rsidP="00AA3F31">
      <w:pPr>
        <w:spacing w:after="360" w:line="240" w:lineRule="auto"/>
        <w:jc w:val="both"/>
        <w:rPr>
          <w:rFonts w:ascii="ITC Avant Garde" w:hAnsi="ITC Avant Garde"/>
        </w:rPr>
      </w:pPr>
      <w:r w:rsidRPr="00E12FEB">
        <w:rPr>
          <w:rFonts w:ascii="ITC Avant Garde" w:hAnsi="ITC Avant Garde"/>
        </w:rPr>
        <w:t>Se analizó el universo de contenidos audiovisuales de televisión radiodifundida transmitidos a través de televisión radiodifundida o restringida en el periodo histórico comprendido entre 2014 y 2018</w:t>
      </w:r>
      <w:r w:rsidR="00D17791" w:rsidRPr="00E12FEB">
        <w:rPr>
          <w:rFonts w:ascii="ITC Avant Garde" w:hAnsi="ITC Avant Garde"/>
        </w:rPr>
        <w:t xml:space="preserve"> (</w:t>
      </w:r>
      <w:r w:rsidRPr="00E12FEB">
        <w:rPr>
          <w:rFonts w:ascii="ITC Avant Garde" w:hAnsi="ITC Avant Garde"/>
        </w:rPr>
        <w:t>237,789</w:t>
      </w:r>
      <w:r w:rsidR="00A22A3F" w:rsidRPr="00E12FEB">
        <w:rPr>
          <w:rFonts w:ascii="ITC Avant Garde" w:hAnsi="ITC Avant Garde"/>
        </w:rPr>
        <w:t xml:space="preserve"> </w:t>
      </w:r>
      <w:r w:rsidR="0055071A" w:rsidRPr="00E12FEB">
        <w:rPr>
          <w:rFonts w:ascii="ITC Avant Garde" w:hAnsi="ITC Avant Garde"/>
        </w:rPr>
        <w:t>contenidos</w:t>
      </w:r>
      <w:r w:rsidR="00D17791" w:rsidRPr="00E12FEB">
        <w:rPr>
          <w:rFonts w:ascii="ITC Avant Garde" w:hAnsi="ITC Avant Garde"/>
        </w:rPr>
        <w:t xml:space="preserve">), </w:t>
      </w:r>
      <w:r w:rsidRPr="00E12FEB">
        <w:rPr>
          <w:rFonts w:ascii="ITC Avant Garde" w:hAnsi="ITC Avant Garde"/>
        </w:rPr>
        <w:t>en función de su:</w:t>
      </w:r>
    </w:p>
    <w:p w14:paraId="23A482FB" w14:textId="77777777" w:rsidR="000B0414" w:rsidRPr="00E12FEB" w:rsidRDefault="000B0414" w:rsidP="00AA3F31">
      <w:pPr>
        <w:pStyle w:val="Prrafodelista"/>
        <w:numPr>
          <w:ilvl w:val="0"/>
          <w:numId w:val="32"/>
        </w:numPr>
        <w:spacing w:after="360"/>
        <w:jc w:val="both"/>
        <w:rPr>
          <w:rFonts w:ascii="ITC Avant Garde" w:hAnsi="ITC Avant Garde"/>
          <w:sz w:val="22"/>
          <w:szCs w:val="22"/>
        </w:rPr>
      </w:pPr>
      <w:r w:rsidRPr="00E12FEB">
        <w:rPr>
          <w:rFonts w:ascii="ITC Avant Garde" w:hAnsi="ITC Avant Garde"/>
          <w:sz w:val="22"/>
          <w:szCs w:val="22"/>
        </w:rPr>
        <w:t>Carácter no replicable, y</w:t>
      </w:r>
    </w:p>
    <w:p w14:paraId="011E0227" w14:textId="2C19539F" w:rsidR="009D2F9B" w:rsidRPr="00E12FEB" w:rsidRDefault="000B0414" w:rsidP="00AA3F31">
      <w:pPr>
        <w:pStyle w:val="Prrafodelista"/>
        <w:numPr>
          <w:ilvl w:val="0"/>
          <w:numId w:val="32"/>
        </w:numPr>
        <w:spacing w:after="360"/>
        <w:jc w:val="both"/>
        <w:rPr>
          <w:rFonts w:ascii="ITC Avant Garde" w:hAnsi="ITC Avant Garde"/>
          <w:sz w:val="22"/>
          <w:szCs w:val="22"/>
        </w:rPr>
      </w:pPr>
      <w:r w:rsidRPr="00E12FEB">
        <w:rPr>
          <w:rFonts w:ascii="ITC Avant Garde" w:hAnsi="ITC Avant Garde"/>
          <w:sz w:val="22"/>
          <w:szCs w:val="22"/>
        </w:rPr>
        <w:t xml:space="preserve">Alto nivel esperado de audiencia regional o nacional. </w:t>
      </w:r>
    </w:p>
    <w:p w14:paraId="3B6F3945" w14:textId="4C15F327" w:rsidR="000B0414" w:rsidRPr="00846B42" w:rsidRDefault="00D17791" w:rsidP="00AA3F31">
      <w:pPr>
        <w:spacing w:after="360" w:line="240" w:lineRule="auto"/>
        <w:jc w:val="both"/>
        <w:rPr>
          <w:rFonts w:ascii="ITC Avant Garde" w:hAnsi="ITC Avant Garde"/>
        </w:rPr>
      </w:pPr>
      <w:r w:rsidRPr="00E12FEB">
        <w:rPr>
          <w:rFonts w:ascii="ITC Avant Garde" w:hAnsi="ITC Avant Garde"/>
        </w:rPr>
        <w:t>Cabe señalar que s</w:t>
      </w:r>
      <w:r w:rsidR="000B0414" w:rsidRPr="00E12FEB">
        <w:rPr>
          <w:rFonts w:ascii="ITC Avant Garde" w:hAnsi="ITC Avant Garde"/>
        </w:rPr>
        <w:t>on contenidos audiovisuales no replicables aquellos que presentan eventos que no cuentan con sustitutos cercanos, en razón de sus características particulares</w:t>
      </w:r>
      <w:r w:rsidR="00402F2D" w:rsidRPr="00E12FEB">
        <w:rPr>
          <w:rFonts w:ascii="ITC Avant Garde" w:hAnsi="ITC Avant Garde"/>
        </w:rPr>
        <w:t>, tal y como previamente este Instituto ha definido a través del Acuerdo de Contenidos Audiovisuales Relevantes</w:t>
      </w:r>
      <w:r w:rsidR="000B0414" w:rsidRPr="00E12FEB">
        <w:rPr>
          <w:rFonts w:ascii="ITC Avant Garde" w:hAnsi="ITC Avant Garde"/>
        </w:rPr>
        <w:t>.</w:t>
      </w:r>
    </w:p>
    <w:p w14:paraId="329D8186" w14:textId="5D72F45F" w:rsidR="000B0414" w:rsidRPr="00846B42" w:rsidRDefault="000B0414" w:rsidP="00AA3F31">
      <w:pPr>
        <w:spacing w:after="480" w:line="240" w:lineRule="auto"/>
        <w:jc w:val="both"/>
        <w:rPr>
          <w:rFonts w:ascii="ITC Avant Garde" w:hAnsi="ITC Avant Garde"/>
        </w:rPr>
      </w:pPr>
      <w:r w:rsidRPr="00846B42">
        <w:rPr>
          <w:rFonts w:ascii="ITC Avant Garde" w:hAnsi="ITC Avant Garde"/>
        </w:rPr>
        <w:t>Por ejemplo, la final de una liga profesional de fútbol, que cuente con una afición amplia o que se encuentre fuertemente anclad</w:t>
      </w:r>
      <w:r w:rsidR="00402F2D">
        <w:rPr>
          <w:rFonts w:ascii="ITC Avant Garde" w:hAnsi="ITC Avant Garde"/>
        </w:rPr>
        <w:t>a</w:t>
      </w:r>
      <w:r w:rsidRPr="00846B42">
        <w:rPr>
          <w:rFonts w:ascii="ITC Avant Garde" w:hAnsi="ITC Avant Garde"/>
        </w:rPr>
        <w:t xml:space="preserve"> en los gustos y la cultura nacional. Caso contrario es el supuesto de contenidos como telenovelas, series y los denominados </w:t>
      </w:r>
      <w:r w:rsidRPr="005262ED">
        <w:rPr>
          <w:rFonts w:ascii="ITC Avant Garde" w:hAnsi="ITC Avant Garde"/>
          <w:i/>
        </w:rPr>
        <w:t xml:space="preserve">talk </w:t>
      </w:r>
      <w:r w:rsidRPr="005262ED">
        <w:rPr>
          <w:rFonts w:ascii="ITC Avant Garde" w:hAnsi="ITC Avant Garde"/>
          <w:i/>
        </w:rPr>
        <w:lastRenderedPageBreak/>
        <w:t>shows</w:t>
      </w:r>
      <w:r w:rsidRPr="00846B42">
        <w:rPr>
          <w:rFonts w:ascii="ITC Avant Garde" w:hAnsi="ITC Avant Garde"/>
        </w:rPr>
        <w:t xml:space="preserve">, entre otros, los cuales son, por su propia naturaleza, replicables, pues funcionan generalmente a partir de formatos preestablecidos, a partir de los </w:t>
      </w:r>
      <w:r w:rsidR="00402F2D">
        <w:rPr>
          <w:rFonts w:ascii="ITC Avant Garde" w:hAnsi="ITC Avant Garde"/>
        </w:rPr>
        <w:t>que</w:t>
      </w:r>
      <w:r w:rsidR="00402F2D" w:rsidRPr="00846B42">
        <w:rPr>
          <w:rFonts w:ascii="ITC Avant Garde" w:hAnsi="ITC Avant Garde"/>
        </w:rPr>
        <w:t xml:space="preserve"> </w:t>
      </w:r>
      <w:r w:rsidRPr="00846B42">
        <w:rPr>
          <w:rFonts w:ascii="ITC Avant Garde" w:hAnsi="ITC Avant Garde"/>
        </w:rPr>
        <w:t>es posible reproducir una amplia variedad de contenidos con características comunes y que se ofrecen simultáneamente</w:t>
      </w:r>
      <w:r w:rsidRPr="00846B42">
        <w:rPr>
          <w:rFonts w:ascii="ITC Avant Garde" w:hAnsi="ITC Avant Garde"/>
          <w:vertAlign w:val="superscript"/>
        </w:rPr>
        <w:footnoteReference w:id="4"/>
      </w:r>
      <w:r w:rsidRPr="00846B42">
        <w:rPr>
          <w:rFonts w:ascii="ITC Avant Garde" w:hAnsi="ITC Avant Garde"/>
        </w:rPr>
        <w:t xml:space="preserve"> con la intención de c</w:t>
      </w:r>
      <w:r w:rsidR="0055071A">
        <w:rPr>
          <w:rFonts w:ascii="ITC Avant Garde" w:hAnsi="ITC Avant Garde"/>
        </w:rPr>
        <w:t>ompetir por la misma audiencia.</w:t>
      </w:r>
    </w:p>
    <w:p w14:paraId="1B5021A6" w14:textId="4B72FB3D" w:rsidR="000B0414" w:rsidRDefault="000B0414" w:rsidP="00AA3F31">
      <w:pPr>
        <w:spacing w:after="480" w:line="240" w:lineRule="auto"/>
        <w:jc w:val="both"/>
        <w:rPr>
          <w:rFonts w:ascii="ITC Avant Garde" w:hAnsi="ITC Avant Garde"/>
        </w:rPr>
      </w:pPr>
      <w:r w:rsidRPr="00846B42">
        <w:rPr>
          <w:rFonts w:ascii="ITC Avant Garde" w:hAnsi="ITC Avant Garde"/>
        </w:rPr>
        <w:t>Por otra parte, para encontrarse en posibilidad de anticipar cuáles contenidos podrán tener un alto nivel de audiencia regional o nacional, basados en los registros históricos ya referidos de 2014 a 2018, en el análisis del total de éstos se siguió el siguiente método</w:t>
      </w:r>
      <w:r w:rsidRPr="00846B42">
        <w:rPr>
          <w:rFonts w:ascii="ITC Avant Garde" w:hAnsi="ITC Avant Garde"/>
          <w:vertAlign w:val="superscript"/>
        </w:rPr>
        <w:footnoteReference w:id="5"/>
      </w:r>
      <w:r w:rsidRPr="00846B42">
        <w:rPr>
          <w:rFonts w:ascii="ITC Avant Garde" w:hAnsi="ITC Avant Garde"/>
        </w:rPr>
        <w:t>:</w:t>
      </w:r>
    </w:p>
    <w:p w14:paraId="496226DB" w14:textId="19A04514" w:rsidR="000B0414" w:rsidRPr="00E12FEB" w:rsidRDefault="000B0414" w:rsidP="00AA3F31">
      <w:pPr>
        <w:pStyle w:val="Prrafodelista"/>
        <w:numPr>
          <w:ilvl w:val="0"/>
          <w:numId w:val="33"/>
        </w:numPr>
        <w:spacing w:after="240"/>
        <w:jc w:val="both"/>
        <w:rPr>
          <w:rFonts w:ascii="ITC Avant Garde" w:hAnsi="ITC Avant Garde"/>
          <w:sz w:val="22"/>
          <w:szCs w:val="22"/>
        </w:rPr>
      </w:pPr>
      <w:r w:rsidRPr="00E12FEB">
        <w:rPr>
          <w:rFonts w:ascii="ITC Avant Garde" w:hAnsi="ITC Avant Garde"/>
          <w:sz w:val="22"/>
          <w:szCs w:val="22"/>
        </w:rPr>
        <w:t>Se determinó el promedio simple (0.90) y la desviación estándar (1.31) del rating del total de contenidos históricos analizados (237,789).</w:t>
      </w:r>
    </w:p>
    <w:p w14:paraId="318C0035" w14:textId="77777777" w:rsidR="000B0414" w:rsidRPr="00E12FEB" w:rsidRDefault="000B0414" w:rsidP="00AA3F31">
      <w:pPr>
        <w:pStyle w:val="Prrafodelista"/>
        <w:numPr>
          <w:ilvl w:val="0"/>
          <w:numId w:val="33"/>
        </w:numPr>
        <w:spacing w:after="240"/>
        <w:jc w:val="both"/>
        <w:rPr>
          <w:rFonts w:ascii="ITC Avant Garde" w:hAnsi="ITC Avant Garde"/>
          <w:sz w:val="22"/>
          <w:szCs w:val="22"/>
        </w:rPr>
      </w:pPr>
      <w:r w:rsidRPr="00E12FEB">
        <w:rPr>
          <w:rFonts w:ascii="ITC Avant Garde" w:hAnsi="ITC Avant Garde"/>
          <w:sz w:val="22"/>
          <w:szCs w:val="22"/>
        </w:rPr>
        <w:t xml:space="preserve">Se descartaron todos aquellos contenidos cuyo rating fue menor a la suma del promedio y a la desviación estándar obtenidos (2.21), es decir 211,134 contenidos. </w:t>
      </w:r>
    </w:p>
    <w:p w14:paraId="4B3BE2ED" w14:textId="77777777" w:rsidR="000B0414" w:rsidRPr="00E12FEB" w:rsidRDefault="000B0414" w:rsidP="00AA3F31">
      <w:pPr>
        <w:pStyle w:val="Prrafodelista"/>
        <w:numPr>
          <w:ilvl w:val="0"/>
          <w:numId w:val="33"/>
        </w:numPr>
        <w:spacing w:after="240"/>
        <w:jc w:val="both"/>
        <w:rPr>
          <w:rFonts w:ascii="ITC Avant Garde" w:hAnsi="ITC Avant Garde"/>
          <w:sz w:val="22"/>
          <w:szCs w:val="22"/>
        </w:rPr>
      </w:pPr>
      <w:r w:rsidRPr="00E12FEB">
        <w:rPr>
          <w:rFonts w:ascii="ITC Avant Garde" w:hAnsi="ITC Avant Garde"/>
          <w:sz w:val="22"/>
          <w:szCs w:val="22"/>
        </w:rPr>
        <w:t>De los contenidos resultantes del ejercicio referido en el inciso inmediato anterior (26,655), se tuvo, nuevamente, el promedio simple de su rating (3.82) y su desviación estándar (1.73).</w:t>
      </w:r>
    </w:p>
    <w:p w14:paraId="0D3B9D36" w14:textId="77777777" w:rsidR="000B0414" w:rsidRPr="00E12FEB" w:rsidRDefault="000B0414" w:rsidP="00AA3F31">
      <w:pPr>
        <w:pStyle w:val="Prrafodelista"/>
        <w:numPr>
          <w:ilvl w:val="0"/>
          <w:numId w:val="33"/>
        </w:numPr>
        <w:spacing w:after="240"/>
        <w:jc w:val="both"/>
        <w:rPr>
          <w:rFonts w:ascii="ITC Avant Garde" w:hAnsi="ITC Avant Garde"/>
          <w:sz w:val="22"/>
          <w:szCs w:val="22"/>
        </w:rPr>
      </w:pPr>
      <w:r w:rsidRPr="00E12FEB">
        <w:rPr>
          <w:rFonts w:ascii="ITC Avant Garde" w:hAnsi="ITC Avant Garde"/>
          <w:sz w:val="22"/>
          <w:szCs w:val="22"/>
        </w:rPr>
        <w:t xml:space="preserve">Se descartaron todos aquellos contenidos cuyo rating fue menor a la nueva suma del promedio y la desviación estándar obtenidos (5.55), es decir 22,386, delimitando la observación a los 4,269 con el mayor nivel de audiencia. </w:t>
      </w:r>
    </w:p>
    <w:p w14:paraId="11B6AB8C" w14:textId="67975132" w:rsidR="000B0414" w:rsidRPr="00E12FEB" w:rsidRDefault="000B0414" w:rsidP="00AA3F31">
      <w:pPr>
        <w:pStyle w:val="Prrafodelista"/>
        <w:numPr>
          <w:ilvl w:val="0"/>
          <w:numId w:val="33"/>
        </w:numPr>
        <w:spacing w:after="360"/>
        <w:ind w:hanging="357"/>
        <w:jc w:val="both"/>
        <w:rPr>
          <w:rFonts w:ascii="ITC Avant Garde" w:hAnsi="ITC Avant Garde"/>
          <w:sz w:val="22"/>
          <w:szCs w:val="22"/>
        </w:rPr>
      </w:pPr>
      <w:r w:rsidRPr="00E12FEB">
        <w:rPr>
          <w:rFonts w:ascii="ITC Avant Garde" w:hAnsi="ITC Avant Garde"/>
          <w:sz w:val="22"/>
          <w:szCs w:val="22"/>
        </w:rPr>
        <w:t>Los 4,269 contenidos con el mayor nivel de audiencia, se clasificaron en los siguientes 15 géneros televisivos qu</w:t>
      </w:r>
      <w:r w:rsidR="00E12FEB">
        <w:rPr>
          <w:rFonts w:ascii="ITC Avant Garde" w:hAnsi="ITC Avant Garde"/>
          <w:sz w:val="22"/>
          <w:szCs w:val="22"/>
        </w:rPr>
        <w:t>e dispone Nielsen IBOPE México:</w:t>
      </w:r>
    </w:p>
    <w:p w14:paraId="536D0487" w14:textId="77777777" w:rsidR="000B0414" w:rsidRPr="00846B42" w:rsidRDefault="000B0414" w:rsidP="00AA3F31">
      <w:pPr>
        <w:numPr>
          <w:ilvl w:val="0"/>
          <w:numId w:val="25"/>
        </w:numPr>
        <w:spacing w:after="360" w:line="240" w:lineRule="auto"/>
        <w:ind w:left="1134" w:hanging="357"/>
        <w:contextualSpacing/>
        <w:jc w:val="both"/>
        <w:rPr>
          <w:rFonts w:ascii="ITC Avant Garde" w:hAnsi="ITC Avant Garde"/>
        </w:rPr>
      </w:pPr>
      <w:r w:rsidRPr="00846B42">
        <w:rPr>
          <w:rFonts w:ascii="ITC Avant Garde" w:hAnsi="ITC Avant Garde"/>
        </w:rPr>
        <w:t>Telenovelas;</w:t>
      </w:r>
    </w:p>
    <w:p w14:paraId="1853A06A" w14:textId="77777777" w:rsidR="000B0414" w:rsidRPr="00846B42" w:rsidRDefault="000B0414" w:rsidP="00AA3F31">
      <w:pPr>
        <w:numPr>
          <w:ilvl w:val="0"/>
          <w:numId w:val="25"/>
        </w:numPr>
        <w:spacing w:after="0" w:line="240" w:lineRule="auto"/>
        <w:ind w:left="1134"/>
        <w:contextualSpacing/>
        <w:jc w:val="both"/>
        <w:rPr>
          <w:rFonts w:ascii="ITC Avant Garde" w:hAnsi="ITC Avant Garde"/>
        </w:rPr>
      </w:pPr>
      <w:r w:rsidRPr="00846B42">
        <w:rPr>
          <w:rFonts w:ascii="ITC Avant Garde" w:hAnsi="ITC Avant Garde"/>
        </w:rPr>
        <w:t>Dramatizado unitario;</w:t>
      </w:r>
    </w:p>
    <w:p w14:paraId="5B3DAF2A" w14:textId="77777777" w:rsidR="000B0414" w:rsidRPr="00846B42" w:rsidRDefault="000B0414" w:rsidP="00AA3F31">
      <w:pPr>
        <w:numPr>
          <w:ilvl w:val="0"/>
          <w:numId w:val="25"/>
        </w:numPr>
        <w:spacing w:after="0" w:line="240" w:lineRule="auto"/>
        <w:ind w:left="1134"/>
        <w:contextualSpacing/>
        <w:jc w:val="both"/>
        <w:rPr>
          <w:rFonts w:ascii="ITC Avant Garde" w:hAnsi="ITC Avant Garde"/>
        </w:rPr>
      </w:pPr>
      <w:r w:rsidRPr="00846B42">
        <w:rPr>
          <w:rFonts w:ascii="ITC Avant Garde" w:hAnsi="ITC Avant Garde"/>
        </w:rPr>
        <w:t>Noticieros;</w:t>
      </w:r>
    </w:p>
    <w:p w14:paraId="6875C1FC" w14:textId="77777777" w:rsidR="000B0414" w:rsidRPr="00846B42" w:rsidRDefault="000B0414" w:rsidP="00AA3F31">
      <w:pPr>
        <w:numPr>
          <w:ilvl w:val="0"/>
          <w:numId w:val="25"/>
        </w:numPr>
        <w:spacing w:after="0" w:line="240" w:lineRule="auto"/>
        <w:ind w:left="1134"/>
        <w:contextualSpacing/>
        <w:jc w:val="both"/>
        <w:rPr>
          <w:rFonts w:ascii="ITC Avant Garde" w:hAnsi="ITC Avant Garde"/>
        </w:rPr>
      </w:pPr>
      <w:r w:rsidRPr="00846B42">
        <w:rPr>
          <w:rFonts w:ascii="ITC Avant Garde" w:hAnsi="ITC Avant Garde"/>
        </w:rPr>
        <w:t>Deportes;</w:t>
      </w:r>
    </w:p>
    <w:p w14:paraId="089FD7B0" w14:textId="77777777" w:rsidR="000B0414" w:rsidRPr="00846B42" w:rsidRDefault="000B0414" w:rsidP="00AA3F31">
      <w:pPr>
        <w:numPr>
          <w:ilvl w:val="0"/>
          <w:numId w:val="25"/>
        </w:numPr>
        <w:spacing w:after="0" w:line="240" w:lineRule="auto"/>
        <w:ind w:left="1134"/>
        <w:contextualSpacing/>
        <w:jc w:val="both"/>
        <w:rPr>
          <w:rFonts w:ascii="ITC Avant Garde" w:hAnsi="ITC Avant Garde"/>
        </w:rPr>
      </w:pPr>
      <w:r w:rsidRPr="00846B42">
        <w:rPr>
          <w:rFonts w:ascii="ITC Avant Garde" w:hAnsi="ITC Avant Garde"/>
        </w:rPr>
        <w:t>Concurso;</w:t>
      </w:r>
    </w:p>
    <w:p w14:paraId="77222711" w14:textId="77777777" w:rsidR="000B0414" w:rsidRPr="00846B42" w:rsidRDefault="000B0414" w:rsidP="00AA3F31">
      <w:pPr>
        <w:numPr>
          <w:ilvl w:val="0"/>
          <w:numId w:val="25"/>
        </w:numPr>
        <w:spacing w:after="0" w:line="240" w:lineRule="auto"/>
        <w:ind w:left="1134"/>
        <w:contextualSpacing/>
        <w:jc w:val="both"/>
        <w:rPr>
          <w:rFonts w:ascii="ITC Avant Garde" w:hAnsi="ITC Avant Garde"/>
        </w:rPr>
      </w:pPr>
      <w:r w:rsidRPr="00846B42">
        <w:rPr>
          <w:rFonts w:ascii="ITC Avant Garde" w:hAnsi="ITC Avant Garde"/>
        </w:rPr>
        <w:t>Películas;</w:t>
      </w:r>
    </w:p>
    <w:p w14:paraId="7441B6DA" w14:textId="77777777" w:rsidR="000B0414" w:rsidRPr="00846B42" w:rsidRDefault="000B0414" w:rsidP="00AA3F31">
      <w:pPr>
        <w:numPr>
          <w:ilvl w:val="0"/>
          <w:numId w:val="25"/>
        </w:numPr>
        <w:spacing w:after="0" w:line="240" w:lineRule="auto"/>
        <w:ind w:left="1134"/>
        <w:contextualSpacing/>
        <w:jc w:val="both"/>
        <w:rPr>
          <w:rFonts w:ascii="ITC Avant Garde" w:hAnsi="ITC Avant Garde"/>
        </w:rPr>
      </w:pPr>
      <w:r w:rsidRPr="00846B42">
        <w:rPr>
          <w:rFonts w:ascii="ITC Avant Garde" w:hAnsi="ITC Avant Garde"/>
        </w:rPr>
        <w:t>Series;</w:t>
      </w:r>
    </w:p>
    <w:p w14:paraId="1810B6D1" w14:textId="77777777" w:rsidR="000B0414" w:rsidRPr="00846B42" w:rsidRDefault="000B0414" w:rsidP="00AA3F31">
      <w:pPr>
        <w:numPr>
          <w:ilvl w:val="0"/>
          <w:numId w:val="25"/>
        </w:numPr>
        <w:spacing w:after="0" w:line="240" w:lineRule="auto"/>
        <w:ind w:left="1134"/>
        <w:contextualSpacing/>
        <w:jc w:val="both"/>
        <w:rPr>
          <w:rFonts w:ascii="ITC Avant Garde" w:hAnsi="ITC Avant Garde"/>
        </w:rPr>
      </w:pPr>
      <w:r w:rsidRPr="005262ED">
        <w:rPr>
          <w:rFonts w:ascii="ITC Avant Garde" w:hAnsi="ITC Avant Garde"/>
          <w:i/>
        </w:rPr>
        <w:t>Reality Show</w:t>
      </w:r>
      <w:r w:rsidRPr="00846B42">
        <w:rPr>
          <w:rFonts w:ascii="ITC Avant Garde" w:hAnsi="ITC Avant Garde"/>
        </w:rPr>
        <w:t>;</w:t>
      </w:r>
    </w:p>
    <w:p w14:paraId="54423FE0" w14:textId="77777777" w:rsidR="000B0414" w:rsidRPr="00846B42" w:rsidRDefault="000B0414" w:rsidP="00AA3F31">
      <w:pPr>
        <w:numPr>
          <w:ilvl w:val="0"/>
          <w:numId w:val="25"/>
        </w:numPr>
        <w:spacing w:after="0" w:line="240" w:lineRule="auto"/>
        <w:ind w:left="1134"/>
        <w:contextualSpacing/>
        <w:jc w:val="both"/>
        <w:rPr>
          <w:rFonts w:ascii="ITC Avant Garde" w:hAnsi="ITC Avant Garde"/>
        </w:rPr>
      </w:pPr>
      <w:r w:rsidRPr="00846B42">
        <w:rPr>
          <w:rFonts w:ascii="ITC Avant Garde" w:hAnsi="ITC Avant Garde"/>
        </w:rPr>
        <w:t>Gobierno;</w:t>
      </w:r>
    </w:p>
    <w:p w14:paraId="0C9946F3" w14:textId="77777777" w:rsidR="000B0414" w:rsidRPr="00846B42" w:rsidRDefault="000B0414" w:rsidP="00AA3F31">
      <w:pPr>
        <w:numPr>
          <w:ilvl w:val="0"/>
          <w:numId w:val="25"/>
        </w:numPr>
        <w:spacing w:after="0" w:line="240" w:lineRule="auto"/>
        <w:ind w:left="1134"/>
        <w:contextualSpacing/>
        <w:jc w:val="both"/>
        <w:rPr>
          <w:rFonts w:ascii="ITC Avant Garde" w:hAnsi="ITC Avant Garde"/>
        </w:rPr>
      </w:pPr>
      <w:r w:rsidRPr="00846B42">
        <w:rPr>
          <w:rFonts w:ascii="ITC Avant Garde" w:hAnsi="ITC Avant Garde"/>
        </w:rPr>
        <w:t>Magazine;</w:t>
      </w:r>
    </w:p>
    <w:p w14:paraId="6F439232" w14:textId="77777777" w:rsidR="000B0414" w:rsidRPr="00846B42" w:rsidRDefault="000B0414" w:rsidP="00AA3F31">
      <w:pPr>
        <w:numPr>
          <w:ilvl w:val="0"/>
          <w:numId w:val="25"/>
        </w:numPr>
        <w:spacing w:after="0" w:line="240" w:lineRule="auto"/>
        <w:ind w:left="1134"/>
        <w:contextualSpacing/>
        <w:jc w:val="both"/>
        <w:rPr>
          <w:rFonts w:ascii="ITC Avant Garde" w:hAnsi="ITC Avant Garde"/>
        </w:rPr>
      </w:pPr>
      <w:r w:rsidRPr="00846B42">
        <w:rPr>
          <w:rFonts w:ascii="ITC Avant Garde" w:hAnsi="ITC Avant Garde"/>
        </w:rPr>
        <w:lastRenderedPageBreak/>
        <w:t>Cómicos;</w:t>
      </w:r>
    </w:p>
    <w:p w14:paraId="75EEE987" w14:textId="77777777" w:rsidR="00E12FEB" w:rsidRDefault="000B0414" w:rsidP="00AA3F31">
      <w:pPr>
        <w:numPr>
          <w:ilvl w:val="0"/>
          <w:numId w:val="25"/>
        </w:numPr>
        <w:spacing w:after="0" w:line="240" w:lineRule="auto"/>
        <w:ind w:left="1134"/>
        <w:contextualSpacing/>
        <w:jc w:val="both"/>
        <w:rPr>
          <w:rFonts w:ascii="ITC Avant Garde" w:hAnsi="ITC Avant Garde"/>
        </w:rPr>
      </w:pPr>
      <w:r w:rsidRPr="00846B42">
        <w:rPr>
          <w:rFonts w:ascii="ITC Avant Garde" w:hAnsi="ITC Avant Garde"/>
        </w:rPr>
        <w:t>Musicales</w:t>
      </w:r>
      <w:r w:rsidR="00402F2D">
        <w:rPr>
          <w:rFonts w:ascii="ITC Avant Garde" w:hAnsi="ITC Avant Garde"/>
        </w:rPr>
        <w:t>, y</w:t>
      </w:r>
    </w:p>
    <w:p w14:paraId="25B15702" w14:textId="28523CB0" w:rsidR="000B0414" w:rsidRPr="00E12FEB" w:rsidRDefault="000B0414" w:rsidP="00AA3F31">
      <w:pPr>
        <w:numPr>
          <w:ilvl w:val="0"/>
          <w:numId w:val="25"/>
        </w:numPr>
        <w:spacing w:after="360" w:line="240" w:lineRule="auto"/>
        <w:ind w:left="1134" w:hanging="357"/>
        <w:contextualSpacing/>
        <w:jc w:val="both"/>
        <w:rPr>
          <w:rFonts w:ascii="ITC Avant Garde" w:hAnsi="ITC Avant Garde"/>
        </w:rPr>
      </w:pPr>
      <w:r w:rsidRPr="00E12FEB">
        <w:rPr>
          <w:rFonts w:ascii="ITC Avant Garde" w:hAnsi="ITC Avant Garde"/>
        </w:rPr>
        <w:t>General.</w:t>
      </w:r>
    </w:p>
    <w:p w14:paraId="4E5C67FF" w14:textId="2281A70E" w:rsidR="000B0414" w:rsidRPr="008E4EA9" w:rsidRDefault="000B0414" w:rsidP="00AA3F31">
      <w:pPr>
        <w:pStyle w:val="Prrafodelista"/>
        <w:numPr>
          <w:ilvl w:val="0"/>
          <w:numId w:val="33"/>
        </w:numPr>
        <w:spacing w:after="360"/>
        <w:ind w:hanging="357"/>
        <w:jc w:val="both"/>
        <w:rPr>
          <w:rFonts w:ascii="ITC Avant Garde" w:hAnsi="ITC Avant Garde"/>
          <w:sz w:val="22"/>
          <w:szCs w:val="22"/>
        </w:rPr>
      </w:pPr>
      <w:r w:rsidRPr="00E12FEB">
        <w:rPr>
          <w:rFonts w:ascii="ITC Avant Garde" w:hAnsi="ITC Avant Garde"/>
          <w:sz w:val="22"/>
          <w:szCs w:val="22"/>
        </w:rPr>
        <w:t xml:space="preserve">Una vez hecho el análisis anterior, se desprendió que los únicos contenidos audiovisuales no replicables, agrupados por sus características comunes y que tuvieron altos niveles de audiencia son aquellos que pertenecen al género </w:t>
      </w:r>
      <w:r w:rsidRPr="008E4EA9">
        <w:rPr>
          <w:rFonts w:ascii="ITC Avant Garde" w:hAnsi="ITC Avant Garde"/>
          <w:sz w:val="22"/>
          <w:szCs w:val="22"/>
        </w:rPr>
        <w:t xml:space="preserve">“deportes”, advirtiéndose por la UMCA las siguientes categorías de agrupamiento: </w:t>
      </w:r>
    </w:p>
    <w:p w14:paraId="355D9E5B" w14:textId="77777777" w:rsidR="00A660E5" w:rsidRPr="008E4EA9" w:rsidRDefault="00A660E5" w:rsidP="00AA3F31">
      <w:pPr>
        <w:pStyle w:val="Prrafodelista"/>
        <w:numPr>
          <w:ilvl w:val="0"/>
          <w:numId w:val="34"/>
        </w:numPr>
        <w:ind w:left="1134"/>
        <w:jc w:val="both"/>
        <w:rPr>
          <w:rFonts w:ascii="ITC Avant Garde" w:hAnsi="ITC Avant Garde"/>
          <w:sz w:val="22"/>
          <w:szCs w:val="22"/>
        </w:rPr>
      </w:pPr>
      <w:r w:rsidRPr="008E4EA9">
        <w:rPr>
          <w:rFonts w:ascii="ITC Avant Garde" w:hAnsi="ITC Avant Garde"/>
          <w:sz w:val="22"/>
          <w:szCs w:val="22"/>
        </w:rPr>
        <w:t>Partidos de la Selección Mexicana de Fútbol (categoría varonil mayor);</w:t>
      </w:r>
    </w:p>
    <w:p w14:paraId="6390EBBD" w14:textId="77777777" w:rsidR="00A660E5" w:rsidRPr="008E4EA9" w:rsidRDefault="00A660E5" w:rsidP="00AA3F31">
      <w:pPr>
        <w:pStyle w:val="Prrafodelista"/>
        <w:numPr>
          <w:ilvl w:val="0"/>
          <w:numId w:val="34"/>
        </w:numPr>
        <w:ind w:left="1134"/>
        <w:jc w:val="both"/>
        <w:rPr>
          <w:rFonts w:ascii="ITC Avant Garde" w:hAnsi="ITC Avant Garde"/>
          <w:sz w:val="22"/>
          <w:szCs w:val="22"/>
        </w:rPr>
      </w:pPr>
      <w:r w:rsidRPr="008E4EA9">
        <w:rPr>
          <w:rFonts w:ascii="ITC Avant Garde" w:hAnsi="ITC Avant Garde"/>
          <w:sz w:val="22"/>
          <w:szCs w:val="22"/>
        </w:rPr>
        <w:t>Análisis deportivo;</w:t>
      </w:r>
    </w:p>
    <w:p w14:paraId="49B093F7" w14:textId="77777777" w:rsidR="00A660E5" w:rsidRPr="008E4EA9" w:rsidRDefault="00A660E5" w:rsidP="00AA3F31">
      <w:pPr>
        <w:pStyle w:val="Prrafodelista"/>
        <w:numPr>
          <w:ilvl w:val="0"/>
          <w:numId w:val="34"/>
        </w:numPr>
        <w:ind w:left="1134"/>
        <w:jc w:val="both"/>
        <w:rPr>
          <w:rFonts w:ascii="ITC Avant Garde" w:hAnsi="ITC Avant Garde"/>
          <w:sz w:val="22"/>
          <w:szCs w:val="22"/>
        </w:rPr>
      </w:pPr>
      <w:r w:rsidRPr="008E4EA9">
        <w:rPr>
          <w:rFonts w:ascii="ITC Avant Garde" w:hAnsi="ITC Avant Garde"/>
          <w:sz w:val="22"/>
          <w:szCs w:val="22"/>
        </w:rPr>
        <w:t>Peleas de box;</w:t>
      </w:r>
    </w:p>
    <w:p w14:paraId="16295090" w14:textId="676A337A" w:rsidR="00A660E5" w:rsidRPr="008E4EA9" w:rsidRDefault="00A660E5" w:rsidP="00AA3F31">
      <w:pPr>
        <w:pStyle w:val="Prrafodelista"/>
        <w:numPr>
          <w:ilvl w:val="0"/>
          <w:numId w:val="34"/>
        </w:numPr>
        <w:ind w:left="1134"/>
        <w:jc w:val="both"/>
        <w:rPr>
          <w:rFonts w:ascii="ITC Avant Garde" w:hAnsi="ITC Avant Garde"/>
          <w:sz w:val="22"/>
          <w:szCs w:val="22"/>
        </w:rPr>
      </w:pPr>
      <w:r w:rsidRPr="008E4EA9">
        <w:rPr>
          <w:rFonts w:ascii="ITC Avant Garde" w:hAnsi="ITC Avant Garde"/>
          <w:sz w:val="22"/>
          <w:szCs w:val="22"/>
        </w:rPr>
        <w:t>Especiales deportivos</w:t>
      </w:r>
      <w:r w:rsidR="007D2BA9" w:rsidRPr="008E4EA9">
        <w:rPr>
          <w:rFonts w:ascii="ITC Avant Garde" w:hAnsi="ITC Avant Garde"/>
          <w:sz w:val="22"/>
          <w:szCs w:val="22"/>
        </w:rPr>
        <w:t>;</w:t>
      </w:r>
    </w:p>
    <w:p w14:paraId="4A045205" w14:textId="77777777" w:rsidR="00A660E5" w:rsidRPr="008E4EA9" w:rsidRDefault="00A660E5" w:rsidP="00AA3F31">
      <w:pPr>
        <w:pStyle w:val="Prrafodelista"/>
        <w:numPr>
          <w:ilvl w:val="0"/>
          <w:numId w:val="34"/>
        </w:numPr>
        <w:ind w:left="1134"/>
        <w:jc w:val="both"/>
        <w:rPr>
          <w:rFonts w:ascii="ITC Avant Garde" w:hAnsi="ITC Avant Garde"/>
          <w:sz w:val="22"/>
          <w:szCs w:val="22"/>
        </w:rPr>
      </w:pPr>
      <w:r w:rsidRPr="008E4EA9">
        <w:rPr>
          <w:rFonts w:ascii="ITC Avant Garde" w:hAnsi="ITC Avant Garde"/>
          <w:sz w:val="22"/>
          <w:szCs w:val="22"/>
        </w:rPr>
        <w:t>Partidos de la Liga Mexicana de Fútbol de Primera División (Liga MX);</w:t>
      </w:r>
    </w:p>
    <w:p w14:paraId="22CB5C04" w14:textId="77777777" w:rsidR="00A660E5" w:rsidRPr="008E4EA9" w:rsidRDefault="00A660E5" w:rsidP="00AA3F31">
      <w:pPr>
        <w:pStyle w:val="Prrafodelista"/>
        <w:numPr>
          <w:ilvl w:val="0"/>
          <w:numId w:val="34"/>
        </w:numPr>
        <w:ind w:left="1134"/>
        <w:jc w:val="both"/>
        <w:rPr>
          <w:rFonts w:ascii="ITC Avant Garde" w:hAnsi="ITC Avant Garde"/>
          <w:sz w:val="22"/>
          <w:szCs w:val="22"/>
        </w:rPr>
      </w:pPr>
      <w:r w:rsidRPr="008E4EA9">
        <w:rPr>
          <w:rFonts w:ascii="ITC Avant Garde" w:hAnsi="ITC Avant Garde"/>
          <w:sz w:val="22"/>
          <w:szCs w:val="22"/>
        </w:rPr>
        <w:t xml:space="preserve">Partidos de la Copa Mundial de la Federación Internacional de Fútbol Asociación (FIFA) donde no participa la Selección Mexicana; </w:t>
      </w:r>
    </w:p>
    <w:p w14:paraId="0262A2F0" w14:textId="77777777" w:rsidR="00A660E5" w:rsidRPr="008E4EA9" w:rsidRDefault="00A660E5" w:rsidP="00AA3F31">
      <w:pPr>
        <w:pStyle w:val="Prrafodelista"/>
        <w:numPr>
          <w:ilvl w:val="0"/>
          <w:numId w:val="34"/>
        </w:numPr>
        <w:ind w:left="1134"/>
        <w:jc w:val="both"/>
        <w:rPr>
          <w:rFonts w:ascii="ITC Avant Garde" w:hAnsi="ITC Avant Garde"/>
          <w:sz w:val="22"/>
          <w:szCs w:val="22"/>
        </w:rPr>
      </w:pPr>
      <w:r w:rsidRPr="008E4EA9">
        <w:rPr>
          <w:rFonts w:ascii="ITC Avant Garde" w:hAnsi="ITC Avant Garde"/>
          <w:sz w:val="22"/>
          <w:szCs w:val="22"/>
        </w:rPr>
        <w:t>Ceremonias de inauguración y clausura de la Copa Mundial de Fútbol, y</w:t>
      </w:r>
    </w:p>
    <w:p w14:paraId="1D117947" w14:textId="7045AA81" w:rsidR="00A660E5" w:rsidRPr="008E4EA9" w:rsidRDefault="00A660E5" w:rsidP="00AA3F31">
      <w:pPr>
        <w:pStyle w:val="Prrafodelista"/>
        <w:numPr>
          <w:ilvl w:val="0"/>
          <w:numId w:val="34"/>
        </w:numPr>
        <w:spacing w:after="360"/>
        <w:ind w:left="1134"/>
        <w:jc w:val="both"/>
        <w:rPr>
          <w:rFonts w:ascii="ITC Avant Garde" w:hAnsi="ITC Avant Garde"/>
          <w:sz w:val="22"/>
          <w:szCs w:val="22"/>
        </w:rPr>
      </w:pPr>
      <w:r w:rsidRPr="008E4EA9">
        <w:rPr>
          <w:rFonts w:ascii="ITC Avant Garde" w:hAnsi="ITC Avant Garde"/>
          <w:sz w:val="22"/>
          <w:szCs w:val="22"/>
        </w:rPr>
        <w:t>S</w:t>
      </w:r>
      <w:r w:rsidR="007D2BA9" w:rsidRPr="008E4EA9">
        <w:rPr>
          <w:rFonts w:ascii="ITC Avant Garde" w:hAnsi="ITC Avant Garde"/>
          <w:sz w:val="22"/>
          <w:szCs w:val="22"/>
        </w:rPr>
        <w:t>u</w:t>
      </w:r>
      <w:r w:rsidRPr="008E4EA9">
        <w:rPr>
          <w:rFonts w:ascii="ITC Avant Garde" w:hAnsi="ITC Avant Garde"/>
          <w:sz w:val="22"/>
          <w:szCs w:val="22"/>
        </w:rPr>
        <w:t>per Bowl.</w:t>
      </w:r>
    </w:p>
    <w:p w14:paraId="6A8E6FF8" w14:textId="5D4FCBD5" w:rsidR="00A660E5" w:rsidRPr="00E12FEB" w:rsidRDefault="00A660E5" w:rsidP="00AA3F31">
      <w:pPr>
        <w:pStyle w:val="Prrafodelista"/>
        <w:spacing w:after="360"/>
        <w:ind w:left="709"/>
        <w:jc w:val="both"/>
        <w:rPr>
          <w:rFonts w:ascii="ITC Avant Garde" w:hAnsi="ITC Avant Garde"/>
          <w:sz w:val="22"/>
          <w:szCs w:val="22"/>
        </w:rPr>
      </w:pPr>
      <w:r w:rsidRPr="00E12FEB">
        <w:rPr>
          <w:rFonts w:ascii="ITC Avant Garde" w:hAnsi="ITC Avant Garde"/>
          <w:sz w:val="22"/>
          <w:szCs w:val="22"/>
        </w:rPr>
        <w:t>Cabe precisar que los contenidos audiovisuales deportivos son agrupados en tales categorías en virtud de las características en común entre ellas a efecto de realizar un análisis histórico de eventos de dicha naturaleza en el periodo de 2014 a 2018, lo cual no podría ser logrado con su visualización aislada e individual. Es decir, se agrupan todos los eventos que cumplen con las características referidas a efecto de promediar su nivel de audiencia en el periodo establecido, a efecto de identificar qué categorías generan mayor interés en las audiencias.</w:t>
      </w:r>
    </w:p>
    <w:p w14:paraId="147B3CDD" w14:textId="07DA350E" w:rsidR="000B0414" w:rsidRPr="00E12FEB" w:rsidRDefault="000B0414" w:rsidP="00AA3F31">
      <w:pPr>
        <w:pStyle w:val="Prrafodelista"/>
        <w:numPr>
          <w:ilvl w:val="0"/>
          <w:numId w:val="33"/>
        </w:numPr>
        <w:spacing w:after="360"/>
        <w:jc w:val="both"/>
        <w:rPr>
          <w:rFonts w:ascii="ITC Avant Garde" w:hAnsi="ITC Avant Garde"/>
          <w:sz w:val="22"/>
          <w:szCs w:val="22"/>
        </w:rPr>
      </w:pPr>
      <w:r w:rsidRPr="00E12FEB">
        <w:rPr>
          <w:rFonts w:ascii="ITC Avant Garde" w:hAnsi="ITC Avant Garde"/>
          <w:sz w:val="22"/>
          <w:szCs w:val="22"/>
        </w:rPr>
        <w:t>Para cada una de las categorías identificadas arriba se seleccionaron aquéllas con los valores de rating iguales o superiores al 5.55 encontrado en el inciso d) anterior. Ellos son</w:t>
      </w:r>
      <w:r w:rsidRPr="00E12FEB">
        <w:rPr>
          <w:sz w:val="22"/>
          <w:szCs w:val="22"/>
        </w:rPr>
        <w:footnoteReference w:id="6"/>
      </w:r>
      <w:r w:rsidRPr="00E12FEB">
        <w:rPr>
          <w:rFonts w:ascii="ITC Avant Garde" w:hAnsi="ITC Avant Garde"/>
          <w:sz w:val="22"/>
          <w:szCs w:val="22"/>
        </w:rPr>
        <w:t xml:space="preserve">:i Partidos de la Selección Mexicana de Fútbol, ii. Ceremonia de inauguración y clausura, así como </w:t>
      </w:r>
      <w:r w:rsidR="00A67E85" w:rsidRPr="00E12FEB">
        <w:rPr>
          <w:rFonts w:ascii="ITC Avant Garde" w:hAnsi="ITC Avant Garde"/>
          <w:sz w:val="22"/>
          <w:szCs w:val="22"/>
        </w:rPr>
        <w:t xml:space="preserve">algunos </w:t>
      </w:r>
      <w:r w:rsidRPr="00E12FEB">
        <w:rPr>
          <w:rFonts w:ascii="ITC Avant Garde" w:hAnsi="ITC Avant Garde"/>
          <w:sz w:val="22"/>
          <w:szCs w:val="22"/>
        </w:rPr>
        <w:t xml:space="preserve">partidos de la Copa Mundial de Fútbol, iii. </w:t>
      </w:r>
      <w:r w:rsidR="00A67E85" w:rsidRPr="00E12FEB">
        <w:rPr>
          <w:rFonts w:ascii="ITC Avant Garde" w:hAnsi="ITC Avant Garde"/>
          <w:sz w:val="22"/>
          <w:szCs w:val="22"/>
        </w:rPr>
        <w:t>Algunos p</w:t>
      </w:r>
      <w:r w:rsidRPr="00E12FEB">
        <w:rPr>
          <w:rFonts w:ascii="ITC Avant Garde" w:hAnsi="ITC Avant Garde"/>
          <w:sz w:val="22"/>
          <w:szCs w:val="22"/>
        </w:rPr>
        <w:t>artidos de la Liga Mexicana de Fútbol de Primera División</w:t>
      </w:r>
      <w:r w:rsidRPr="00E12FEB">
        <w:rPr>
          <w:rFonts w:ascii="ITC Avant Garde" w:hAnsi="ITC Avant Garde"/>
          <w:sz w:val="22"/>
          <w:szCs w:val="22"/>
        </w:rPr>
        <w:footnoteReference w:id="7"/>
      </w:r>
      <w:r w:rsidRPr="00E12FEB">
        <w:rPr>
          <w:rFonts w:ascii="ITC Avant Garde" w:hAnsi="ITC Avant Garde"/>
          <w:sz w:val="22"/>
          <w:szCs w:val="22"/>
        </w:rPr>
        <w:t>, y iv. S</w:t>
      </w:r>
      <w:r w:rsidR="00E343A5" w:rsidRPr="00E12FEB">
        <w:rPr>
          <w:rFonts w:ascii="ITC Avant Garde" w:hAnsi="ITC Avant Garde"/>
          <w:sz w:val="22"/>
          <w:szCs w:val="22"/>
        </w:rPr>
        <w:t>u</w:t>
      </w:r>
      <w:r w:rsidRPr="00E12FEB">
        <w:rPr>
          <w:rFonts w:ascii="ITC Avant Garde" w:hAnsi="ITC Avant Garde"/>
          <w:sz w:val="22"/>
          <w:szCs w:val="22"/>
        </w:rPr>
        <w:t xml:space="preserve">per Bowl. </w:t>
      </w:r>
    </w:p>
    <w:p w14:paraId="1BEE92FF" w14:textId="0535FD55" w:rsidR="000B0414" w:rsidRPr="008E4EA9" w:rsidRDefault="000B0414" w:rsidP="00AA3F31">
      <w:pPr>
        <w:spacing w:after="360"/>
        <w:jc w:val="both"/>
        <w:rPr>
          <w:rFonts w:ascii="ITC Avant Garde" w:hAnsi="ITC Avant Garde"/>
        </w:rPr>
      </w:pPr>
      <w:r w:rsidRPr="008E4EA9">
        <w:rPr>
          <w:rFonts w:ascii="ITC Avant Garde" w:hAnsi="ITC Avant Garde"/>
        </w:rPr>
        <w:lastRenderedPageBreak/>
        <w:t xml:space="preserve">Por lo anterior, y habiendo identificado los posibles </w:t>
      </w:r>
      <w:r w:rsidR="00A22A3F" w:rsidRPr="008E4EA9">
        <w:rPr>
          <w:rFonts w:ascii="ITC Avant Garde" w:hAnsi="ITC Avant Garde"/>
        </w:rPr>
        <w:t>contenidos audiovisuales relevantes</w:t>
      </w:r>
      <w:r w:rsidRPr="008E4EA9">
        <w:rPr>
          <w:rFonts w:ascii="ITC Avant Garde" w:hAnsi="ITC Avant Garde"/>
        </w:rPr>
        <w:t xml:space="preserve">, con base en la información de los niveles de audiencia proporcionada por Nielsen IBOPE México, se procedió a realizar una segunda medición de los </w:t>
      </w:r>
      <w:r w:rsidRPr="008E4EA9">
        <w:rPr>
          <w:rFonts w:ascii="ITC Avant Garde" w:hAnsi="ITC Avant Garde"/>
          <w:i/>
        </w:rPr>
        <w:t>ratings</w:t>
      </w:r>
      <w:r w:rsidRPr="008E4EA9">
        <w:rPr>
          <w:rFonts w:ascii="ITC Avant Garde" w:hAnsi="ITC Avant Garde"/>
        </w:rPr>
        <w:t xml:space="preserve">, esta vez considerando el promedio de totalidad de los eventos correspondientes a cada categoría seleccionada durante el periodo de 2014 a 2018, con la finalidad de verificar si este indicador muestra un </w:t>
      </w:r>
      <w:r w:rsidRPr="008E4EA9">
        <w:rPr>
          <w:rFonts w:ascii="ITC Avant Garde" w:hAnsi="ITC Avant Garde"/>
          <w:i/>
        </w:rPr>
        <w:t>rating</w:t>
      </w:r>
      <w:r w:rsidRPr="008E4EA9">
        <w:rPr>
          <w:rFonts w:ascii="ITC Avant Garde" w:hAnsi="ITC Avant Garde"/>
        </w:rPr>
        <w:t xml:space="preserve"> consistentemente elevado, de lo cual se puede concluir si los </w:t>
      </w:r>
      <w:r w:rsidRPr="008E4EA9">
        <w:rPr>
          <w:rFonts w:ascii="ITC Avant Garde" w:hAnsi="ITC Avant Garde"/>
          <w:i/>
        </w:rPr>
        <w:t>ratings</w:t>
      </w:r>
      <w:r w:rsidRPr="008E4EA9">
        <w:rPr>
          <w:rFonts w:ascii="ITC Avant Garde" w:hAnsi="ITC Avant Garde"/>
        </w:rPr>
        <w:t xml:space="preserve"> individuales observados previamente corresponden a un comportamiento sistemático y predecible de una categoría, o bien se trata de observaciones aisladas cuyo alto </w:t>
      </w:r>
      <w:r w:rsidRPr="008E4EA9">
        <w:rPr>
          <w:rFonts w:ascii="ITC Avant Garde" w:hAnsi="ITC Avant Garde"/>
          <w:i/>
        </w:rPr>
        <w:t>rating</w:t>
      </w:r>
      <w:r w:rsidRPr="008E4EA9">
        <w:rPr>
          <w:rFonts w:ascii="ITC Avant Garde" w:hAnsi="ITC Avant Garde"/>
        </w:rPr>
        <w:t xml:space="preserve"> proviene de las características específicas del evento particular y no de la categoría a la que pertenece, por lo cual difícilmente podría predecirse en este caso cuándo ocurriría un </w:t>
      </w:r>
      <w:r w:rsidRPr="008E4EA9">
        <w:rPr>
          <w:rFonts w:ascii="ITC Avant Garde" w:hAnsi="ITC Avant Garde"/>
          <w:i/>
        </w:rPr>
        <w:t>rating</w:t>
      </w:r>
      <w:r w:rsidRPr="008E4EA9">
        <w:rPr>
          <w:rFonts w:ascii="ITC Avant Garde" w:hAnsi="ITC Avant Garde"/>
        </w:rPr>
        <w:t xml:space="preserve"> elevado.</w:t>
      </w:r>
      <w:r w:rsidR="00E343A5" w:rsidRPr="008E4EA9">
        <w:rPr>
          <w:rFonts w:ascii="ITC Avant Garde" w:hAnsi="ITC Avant Garde"/>
        </w:rPr>
        <w:t xml:space="preserve"> Dicha medición arrojó que el comport</w:t>
      </w:r>
      <w:r w:rsidR="002C5084" w:rsidRPr="008E4EA9">
        <w:rPr>
          <w:rFonts w:ascii="ITC Avant Garde" w:hAnsi="ITC Avant Garde"/>
        </w:rPr>
        <w:t>amiento referido es sistemático</w:t>
      </w:r>
      <w:r w:rsidR="00E343A5" w:rsidRPr="008E4EA9">
        <w:rPr>
          <w:rFonts w:ascii="ITC Avant Garde" w:hAnsi="ITC Avant Garde"/>
        </w:rPr>
        <w:t xml:space="preserve"> y</w:t>
      </w:r>
      <w:r w:rsidR="002C5084" w:rsidRPr="008E4EA9">
        <w:rPr>
          <w:rFonts w:ascii="ITC Avant Garde" w:hAnsi="ITC Avant Garde"/>
        </w:rPr>
        <w:t>,</w:t>
      </w:r>
      <w:r w:rsidR="00E343A5" w:rsidRPr="008E4EA9">
        <w:rPr>
          <w:rFonts w:ascii="ITC Avant Garde" w:hAnsi="ITC Avant Garde"/>
        </w:rPr>
        <w:t xml:space="preserve"> por ende, predecible.</w:t>
      </w:r>
    </w:p>
    <w:p w14:paraId="0C9CE939" w14:textId="4B730D9B" w:rsidR="000B0414" w:rsidRDefault="000B0414" w:rsidP="00AA3F31">
      <w:pPr>
        <w:spacing w:after="360" w:line="240" w:lineRule="auto"/>
        <w:jc w:val="both"/>
        <w:rPr>
          <w:rFonts w:ascii="ITC Avant Garde" w:hAnsi="ITC Avant Garde"/>
        </w:rPr>
      </w:pPr>
      <w:r w:rsidRPr="00846B42">
        <w:rPr>
          <w:rFonts w:ascii="ITC Avant Garde" w:hAnsi="ITC Avant Garde"/>
        </w:rPr>
        <w:t>Con base en lo anterior, en función de su carácter no replicable y de su alto nivel de audiencia nacional o regional esperado igual o mayor a 5.55</w:t>
      </w:r>
      <w:r w:rsidR="00A22A3F" w:rsidRPr="00846B42">
        <w:rPr>
          <w:rFonts w:ascii="ITC Avant Garde" w:hAnsi="ITC Avant Garde"/>
        </w:rPr>
        <w:t>,</w:t>
      </w:r>
      <w:r w:rsidRPr="00846B42">
        <w:rPr>
          <w:rFonts w:ascii="ITC Avant Garde" w:hAnsi="ITC Avant Garde"/>
        </w:rPr>
        <w:t xml:space="preserve"> los </w:t>
      </w:r>
      <w:r w:rsidR="00A22A3F" w:rsidRPr="00846B42">
        <w:rPr>
          <w:rFonts w:ascii="ITC Avant Garde" w:hAnsi="ITC Avant Garde"/>
        </w:rPr>
        <w:t>contenidos audiovisuales relevantes identific</w:t>
      </w:r>
      <w:r w:rsidRPr="00846B42">
        <w:rPr>
          <w:rFonts w:ascii="ITC Avant Garde" w:hAnsi="ITC Avant Garde"/>
        </w:rPr>
        <w:t>ados son los siguientes:</w:t>
      </w:r>
    </w:p>
    <w:p w14:paraId="30BE4229" w14:textId="6699D425" w:rsidR="000B0414" w:rsidRPr="008E4EA9" w:rsidRDefault="000B0414" w:rsidP="00AA3F31">
      <w:pPr>
        <w:pStyle w:val="Prrafodelista"/>
        <w:numPr>
          <w:ilvl w:val="0"/>
          <w:numId w:val="36"/>
        </w:numPr>
        <w:spacing w:after="360"/>
        <w:jc w:val="both"/>
        <w:rPr>
          <w:rFonts w:ascii="ITC Avant Garde" w:hAnsi="ITC Avant Garde"/>
          <w:sz w:val="22"/>
          <w:szCs w:val="22"/>
        </w:rPr>
      </w:pPr>
      <w:r w:rsidRPr="008E4EA9">
        <w:rPr>
          <w:rFonts w:ascii="ITC Avant Garde" w:hAnsi="ITC Avant Garde"/>
          <w:sz w:val="22"/>
          <w:szCs w:val="22"/>
        </w:rPr>
        <w:t>Los partidos de la Selección Mexicana de Fútbol (categoría varonil mayor)</w:t>
      </w:r>
      <w:r w:rsidR="00623B4F" w:rsidRPr="008E4EA9">
        <w:rPr>
          <w:rFonts w:ascii="ITC Avant Garde" w:hAnsi="ITC Avant Garde"/>
          <w:sz w:val="22"/>
          <w:szCs w:val="22"/>
        </w:rPr>
        <w:t>, d</w:t>
      </w:r>
      <w:r w:rsidRPr="008E4EA9">
        <w:rPr>
          <w:rFonts w:ascii="ITC Avant Garde" w:hAnsi="ITC Avant Garde"/>
          <w:sz w:val="22"/>
          <w:szCs w:val="22"/>
        </w:rPr>
        <w:t>e los cuales se tomaron en cuenta los 87 eventos individuales en el periodo 2014-2018, con un promedio de rating de 7.95.</w:t>
      </w:r>
    </w:p>
    <w:p w14:paraId="3952BED6" w14:textId="602AB0F9" w:rsidR="000B0414" w:rsidRPr="008E4EA9" w:rsidRDefault="000B0414" w:rsidP="00AA3F31">
      <w:pPr>
        <w:pStyle w:val="Prrafodelista"/>
        <w:numPr>
          <w:ilvl w:val="0"/>
          <w:numId w:val="36"/>
        </w:numPr>
        <w:spacing w:after="360"/>
        <w:jc w:val="both"/>
        <w:rPr>
          <w:rFonts w:ascii="ITC Avant Garde" w:hAnsi="ITC Avant Garde"/>
          <w:sz w:val="22"/>
          <w:szCs w:val="22"/>
        </w:rPr>
      </w:pPr>
      <w:r w:rsidRPr="008E4EA9">
        <w:rPr>
          <w:rFonts w:ascii="ITC Avant Garde" w:hAnsi="ITC Avant Garde"/>
          <w:sz w:val="22"/>
          <w:szCs w:val="22"/>
        </w:rPr>
        <w:t>Las ceremonias de inauguración y clausura, así como los partidos de inauguración, octavos de final, cuartos de final, semifinales y final de la Copa Mundial de Fútbol. De ella se tomaron en cuenta los últimos dos eventos, ocurridos en 2014 y 2018, con un rating</w:t>
      </w:r>
      <w:r w:rsidR="003C384D" w:rsidRPr="008E4EA9">
        <w:rPr>
          <w:rFonts w:ascii="ITC Avant Garde" w:hAnsi="ITC Avant Garde"/>
          <w:sz w:val="22"/>
          <w:szCs w:val="22"/>
        </w:rPr>
        <w:t xml:space="preserve"> de 6.39, 7.09, 7.74, 5</w:t>
      </w:r>
      <w:r w:rsidRPr="008E4EA9">
        <w:rPr>
          <w:rFonts w:ascii="ITC Avant Garde" w:hAnsi="ITC Avant Garde"/>
          <w:sz w:val="22"/>
          <w:szCs w:val="22"/>
        </w:rPr>
        <w:t>.</w:t>
      </w:r>
      <w:r w:rsidR="003C384D" w:rsidRPr="008E4EA9">
        <w:rPr>
          <w:rFonts w:ascii="ITC Avant Garde" w:hAnsi="ITC Avant Garde"/>
          <w:sz w:val="22"/>
          <w:szCs w:val="22"/>
        </w:rPr>
        <w:t>99</w:t>
      </w:r>
      <w:r w:rsidRPr="008E4EA9">
        <w:rPr>
          <w:rFonts w:ascii="ITC Avant Garde" w:hAnsi="ITC Avant Garde"/>
          <w:sz w:val="22"/>
          <w:szCs w:val="22"/>
        </w:rPr>
        <w:t xml:space="preserve">, 6.28, 8.55 y 13.43 puntos porcentuales, respectivamente. </w:t>
      </w:r>
    </w:p>
    <w:p w14:paraId="7F31F732" w14:textId="14D2F018" w:rsidR="000B0414" w:rsidRPr="008E4EA9" w:rsidRDefault="000B0414" w:rsidP="00AA3F31">
      <w:pPr>
        <w:pStyle w:val="Prrafodelista"/>
        <w:numPr>
          <w:ilvl w:val="0"/>
          <w:numId w:val="36"/>
        </w:numPr>
        <w:spacing w:after="360"/>
        <w:jc w:val="both"/>
        <w:rPr>
          <w:rFonts w:ascii="ITC Avant Garde" w:hAnsi="ITC Avant Garde"/>
          <w:sz w:val="22"/>
          <w:szCs w:val="22"/>
        </w:rPr>
      </w:pPr>
      <w:r w:rsidRPr="008E4EA9">
        <w:rPr>
          <w:rFonts w:ascii="ITC Avant Garde" w:hAnsi="ITC Avant Garde"/>
          <w:sz w:val="22"/>
          <w:szCs w:val="22"/>
        </w:rPr>
        <w:t xml:space="preserve">Los partidos de semifinal y final del torneo de liga de la Primera División organizado por la Federación Mexicana de Fútbol. Los 30 partidos de semifinal transmitidos por televisión </w:t>
      </w:r>
      <w:r w:rsidR="00A67E85" w:rsidRPr="008E4EA9">
        <w:rPr>
          <w:rFonts w:ascii="ITC Avant Garde" w:hAnsi="ITC Avant Garde"/>
          <w:sz w:val="22"/>
          <w:szCs w:val="22"/>
        </w:rPr>
        <w:t xml:space="preserve">radiodifundida </w:t>
      </w:r>
      <w:r w:rsidRPr="008E4EA9">
        <w:rPr>
          <w:rFonts w:ascii="ITC Avant Garde" w:hAnsi="ITC Avant Garde"/>
          <w:sz w:val="22"/>
          <w:szCs w:val="22"/>
        </w:rPr>
        <w:t xml:space="preserve">tuvieron un rating promedio de 5.72 en el período 2014-2018. Los 15 partidos de final transmitidos por televisión </w:t>
      </w:r>
      <w:r w:rsidR="00A67E85" w:rsidRPr="008E4EA9">
        <w:rPr>
          <w:rFonts w:ascii="ITC Avant Garde" w:hAnsi="ITC Avant Garde"/>
          <w:sz w:val="22"/>
          <w:szCs w:val="22"/>
        </w:rPr>
        <w:t xml:space="preserve">radiodifundida </w:t>
      </w:r>
      <w:r w:rsidRPr="008E4EA9">
        <w:rPr>
          <w:rFonts w:ascii="ITC Avant Garde" w:hAnsi="ITC Avant Garde"/>
          <w:sz w:val="22"/>
          <w:szCs w:val="22"/>
        </w:rPr>
        <w:t>tuvieron un rating promedio de 8.29 en el periodo de 2014-2018.</w:t>
      </w:r>
    </w:p>
    <w:p w14:paraId="04C5B4B2" w14:textId="2855319D" w:rsidR="000B0414" w:rsidRPr="008E4EA9" w:rsidRDefault="000B0414" w:rsidP="00AA3F31">
      <w:pPr>
        <w:pStyle w:val="Prrafodelista"/>
        <w:numPr>
          <w:ilvl w:val="0"/>
          <w:numId w:val="36"/>
        </w:numPr>
        <w:spacing w:after="360"/>
        <w:jc w:val="both"/>
        <w:rPr>
          <w:rFonts w:ascii="ITC Avant Garde" w:hAnsi="ITC Avant Garde"/>
          <w:sz w:val="22"/>
          <w:szCs w:val="22"/>
        </w:rPr>
      </w:pPr>
      <w:r w:rsidRPr="008E4EA9">
        <w:rPr>
          <w:rFonts w:ascii="ITC Avant Garde" w:hAnsi="ITC Avant Garde"/>
          <w:sz w:val="22"/>
          <w:szCs w:val="22"/>
        </w:rPr>
        <w:t>Los partidos del Super Bowl organizado por la National Football League, conocida comúnmente como NFL. Los 5 partidos de S</w:t>
      </w:r>
      <w:r w:rsidR="00A67E85" w:rsidRPr="008E4EA9">
        <w:rPr>
          <w:rFonts w:ascii="ITC Avant Garde" w:hAnsi="ITC Avant Garde"/>
          <w:sz w:val="22"/>
          <w:szCs w:val="22"/>
        </w:rPr>
        <w:t>u</w:t>
      </w:r>
      <w:r w:rsidRPr="008E4EA9">
        <w:rPr>
          <w:rFonts w:ascii="ITC Avant Garde" w:hAnsi="ITC Avant Garde"/>
          <w:sz w:val="22"/>
          <w:szCs w:val="22"/>
        </w:rPr>
        <w:t xml:space="preserve">per Bowl, transmitidos por televisión </w:t>
      </w:r>
      <w:r w:rsidR="00A67E85" w:rsidRPr="008E4EA9">
        <w:rPr>
          <w:rFonts w:ascii="ITC Avant Garde" w:hAnsi="ITC Avant Garde"/>
          <w:sz w:val="22"/>
          <w:szCs w:val="22"/>
        </w:rPr>
        <w:t xml:space="preserve">radiodifundida </w:t>
      </w:r>
      <w:r w:rsidRPr="008E4EA9">
        <w:rPr>
          <w:rFonts w:ascii="ITC Avant Garde" w:hAnsi="ITC Avant Garde"/>
          <w:sz w:val="22"/>
          <w:szCs w:val="22"/>
        </w:rPr>
        <w:t>en el período analizado, registraron un rating promedio de 7.03.</w:t>
      </w:r>
    </w:p>
    <w:p w14:paraId="515F8F04" w14:textId="7BD8753E" w:rsidR="000B0414" w:rsidRPr="00846B42" w:rsidRDefault="000B0414" w:rsidP="00AA3F31">
      <w:pPr>
        <w:spacing w:after="600" w:line="240" w:lineRule="auto"/>
        <w:jc w:val="both"/>
        <w:rPr>
          <w:rFonts w:ascii="ITC Avant Garde" w:hAnsi="ITC Avant Garde"/>
        </w:rPr>
      </w:pPr>
      <w:r w:rsidRPr="00846B42">
        <w:rPr>
          <w:rFonts w:ascii="ITC Avant Garde" w:hAnsi="ITC Avant Garde"/>
        </w:rPr>
        <w:t xml:space="preserve">De igual forma, a partir de la información disponible para las ciudades de Monterrey, Guadalajara, México, y sus </w:t>
      </w:r>
      <w:r w:rsidR="00623B4F">
        <w:rPr>
          <w:rFonts w:ascii="ITC Avant Garde" w:hAnsi="ITC Avant Garde"/>
        </w:rPr>
        <w:t>á</w:t>
      </w:r>
      <w:r w:rsidRPr="00846B42">
        <w:rPr>
          <w:rFonts w:ascii="ITC Avant Garde" w:hAnsi="ITC Avant Garde"/>
        </w:rPr>
        <w:t xml:space="preserve">reas </w:t>
      </w:r>
      <w:r w:rsidR="00623B4F">
        <w:rPr>
          <w:rFonts w:ascii="ITC Avant Garde" w:hAnsi="ITC Avant Garde"/>
        </w:rPr>
        <w:t>m</w:t>
      </w:r>
      <w:r w:rsidRPr="00846B42">
        <w:rPr>
          <w:rFonts w:ascii="ITC Avant Garde" w:hAnsi="ITC Avant Garde"/>
        </w:rPr>
        <w:t xml:space="preserve">etropolitanas, no se obtuvieron resultados que permitieran identificar </w:t>
      </w:r>
      <w:r w:rsidR="00A22A3F" w:rsidRPr="00846B42">
        <w:rPr>
          <w:rFonts w:ascii="ITC Avant Garde" w:hAnsi="ITC Avant Garde"/>
        </w:rPr>
        <w:t xml:space="preserve">contenidos audiovisuales relevantes </w:t>
      </w:r>
      <w:r w:rsidRPr="00846B42">
        <w:rPr>
          <w:rFonts w:ascii="ITC Avant Garde" w:hAnsi="ITC Avant Garde"/>
        </w:rPr>
        <w:t>dado un alto nivel de audiencia para esas regiones,</w:t>
      </w:r>
      <w:r w:rsidR="005100AC" w:rsidRPr="00846B42">
        <w:rPr>
          <w:rFonts w:ascii="ITC Avant Garde" w:hAnsi="ITC Avant Garde"/>
        </w:rPr>
        <w:t xml:space="preserve"> distintos de los ya listados</w:t>
      </w:r>
    </w:p>
    <w:p w14:paraId="109E3275" w14:textId="4CB73A4C" w:rsidR="00A22A3F" w:rsidRPr="00846B42" w:rsidRDefault="00AE3795" w:rsidP="00AA3F31">
      <w:pPr>
        <w:suppressAutoHyphens/>
        <w:spacing w:after="360" w:line="240" w:lineRule="auto"/>
        <w:ind w:right="-62"/>
        <w:jc w:val="both"/>
        <w:rPr>
          <w:rFonts w:ascii="ITC Avant Garde" w:eastAsia="Times New Roman" w:hAnsi="ITC Avant Garde"/>
          <w:kern w:val="2"/>
          <w:lang w:eastAsia="ar-SA"/>
        </w:rPr>
      </w:pPr>
      <w:r w:rsidRPr="008B0E23">
        <w:rPr>
          <w:rFonts w:ascii="ITC Avant Garde" w:eastAsia="Times New Roman" w:hAnsi="ITC Avant Garde"/>
          <w:kern w:val="2"/>
          <w:lang w:val="es-ES" w:eastAsia="ar-SA"/>
        </w:rPr>
        <w:lastRenderedPageBreak/>
        <w:t>Por lo anterior, el I</w:t>
      </w:r>
      <w:r w:rsidR="00C00EF3" w:rsidRPr="008B0E23">
        <w:rPr>
          <w:rFonts w:ascii="ITC Avant Garde" w:eastAsia="Times New Roman" w:hAnsi="ITC Avant Garde"/>
          <w:kern w:val="2"/>
          <w:lang w:val="es-ES" w:eastAsia="ar-SA"/>
        </w:rPr>
        <w:t>nstituto</w:t>
      </w:r>
      <w:r w:rsidRPr="008B0E23">
        <w:rPr>
          <w:rFonts w:ascii="ITC Avant Garde" w:eastAsia="Times New Roman" w:hAnsi="ITC Avant Garde"/>
          <w:kern w:val="2"/>
          <w:lang w:val="es-ES" w:eastAsia="ar-SA"/>
        </w:rPr>
        <w:t xml:space="preserve"> tiene elementos técnicos de convicción suficientes para identificar como Contenidos Audiovisuales Relevantes a los ya listados y</w:t>
      </w:r>
      <w:r w:rsidR="00960A84" w:rsidRPr="008B0E23">
        <w:rPr>
          <w:rFonts w:ascii="ITC Avant Garde" w:eastAsia="Times New Roman" w:hAnsi="ITC Avant Garde"/>
          <w:kern w:val="2"/>
          <w:lang w:val="es-ES" w:eastAsia="ar-SA"/>
        </w:rPr>
        <w:t>,</w:t>
      </w:r>
      <w:r w:rsidRPr="008B0E23">
        <w:rPr>
          <w:rFonts w:ascii="ITC Avant Garde" w:eastAsia="Times New Roman" w:hAnsi="ITC Avant Garde"/>
          <w:kern w:val="2"/>
          <w:lang w:val="es-ES" w:eastAsia="ar-SA"/>
        </w:rPr>
        <w:t xml:space="preserve"> por ende, en términos de </w:t>
      </w:r>
      <w:r w:rsidR="00A22A3F" w:rsidRPr="008B0E23">
        <w:rPr>
          <w:rFonts w:ascii="ITC Avant Garde" w:eastAsia="Times New Roman" w:hAnsi="ITC Avant Garde"/>
          <w:kern w:val="2"/>
          <w:lang w:val="es-ES" w:eastAsia="ar-SA"/>
        </w:rPr>
        <w:t xml:space="preserve">los artículos </w:t>
      </w:r>
      <w:r w:rsidR="005100AC" w:rsidRPr="008B0E23">
        <w:rPr>
          <w:rFonts w:ascii="ITC Avant Garde" w:eastAsia="Times New Roman" w:hAnsi="ITC Avant Garde"/>
          <w:kern w:val="2"/>
          <w:lang w:val="es-ES" w:eastAsia="ar-SA"/>
        </w:rPr>
        <w:t>Segundo Transitorio del Anexo 4</w:t>
      </w:r>
      <w:r w:rsidR="005100AC" w:rsidRPr="008B0E23">
        <w:rPr>
          <w:rFonts w:ascii="ITC Avant Garde" w:eastAsia="Times New Roman" w:hAnsi="ITC Avant Garde"/>
          <w:kern w:val="2"/>
          <w:lang w:eastAsia="ar-SA"/>
        </w:rPr>
        <w:t xml:space="preserve"> de la Resolución P/IFT/EXT/060314/76 y Tercero Transitorio del Anexo 1 de la Resolución P/IFT/EXT/060314/77, resulta procedente actualizar el listado de los contenidos audiovisuales relevantes identificados mediante el Acuerdo de Contenidos Audiovisuales Relevantes.</w:t>
      </w:r>
      <w:r w:rsidR="005100AC" w:rsidRPr="00846B42">
        <w:rPr>
          <w:rFonts w:ascii="ITC Avant Garde" w:eastAsia="Times New Roman" w:hAnsi="ITC Avant Garde"/>
          <w:kern w:val="2"/>
          <w:lang w:eastAsia="ar-SA"/>
        </w:rPr>
        <w:t xml:space="preserve"> </w:t>
      </w:r>
    </w:p>
    <w:p w14:paraId="22AACBC2" w14:textId="58488353" w:rsidR="005100AC" w:rsidRPr="00846B42" w:rsidRDefault="004C1E8F" w:rsidP="00AA3F31">
      <w:pPr>
        <w:suppressAutoHyphens/>
        <w:spacing w:after="360" w:line="240" w:lineRule="auto"/>
        <w:ind w:right="-62"/>
        <w:jc w:val="both"/>
        <w:rPr>
          <w:rFonts w:ascii="ITC Avant Garde" w:eastAsia="Times New Roman" w:hAnsi="ITC Avant Garde"/>
          <w:kern w:val="2"/>
          <w:lang w:val="es-ES" w:eastAsia="ar-SA"/>
        </w:rPr>
      </w:pPr>
      <w:r>
        <w:rPr>
          <w:rFonts w:ascii="ITC Avant Garde" w:eastAsia="Times New Roman" w:hAnsi="ITC Avant Garde"/>
          <w:kern w:val="2"/>
          <w:lang w:eastAsia="ar-SA"/>
        </w:rPr>
        <w:t>En ese sentido</w:t>
      </w:r>
      <w:r w:rsidR="005100AC" w:rsidRPr="00846B42">
        <w:rPr>
          <w:rFonts w:ascii="ITC Avant Garde" w:eastAsia="Times New Roman" w:hAnsi="ITC Avant Garde"/>
          <w:kern w:val="2"/>
          <w:lang w:eastAsia="ar-SA"/>
        </w:rPr>
        <w:t xml:space="preserve">, </w:t>
      </w:r>
      <w:r w:rsidRPr="00846B42">
        <w:rPr>
          <w:rFonts w:ascii="ITC Avant Garde" w:eastAsia="Times New Roman" w:hAnsi="ITC Avant Garde"/>
          <w:kern w:val="2"/>
          <w:lang w:val="es-ES" w:eastAsia="ar-SA"/>
        </w:rPr>
        <w:t>los agentes económicos preponderantes en los sectores de telecomunicaciones y radiodifusión</w:t>
      </w:r>
      <w:r>
        <w:rPr>
          <w:rFonts w:ascii="ITC Avant Garde" w:eastAsia="Times New Roman" w:hAnsi="ITC Avant Garde"/>
          <w:kern w:val="2"/>
          <w:lang w:val="es-ES" w:eastAsia="ar-SA"/>
        </w:rPr>
        <w:t>,</w:t>
      </w:r>
      <w:r w:rsidRPr="00846B42">
        <w:rPr>
          <w:rFonts w:ascii="ITC Avant Garde" w:eastAsia="Times New Roman" w:hAnsi="ITC Avant Garde"/>
          <w:kern w:val="2"/>
          <w:lang w:val="es-ES" w:eastAsia="ar-SA"/>
        </w:rPr>
        <w:t xml:space="preserve"> </w:t>
      </w:r>
      <w:r w:rsidR="005100AC" w:rsidRPr="00846B42">
        <w:rPr>
          <w:rFonts w:ascii="ITC Avant Garde" w:eastAsia="Times New Roman" w:hAnsi="ITC Avant Garde"/>
          <w:kern w:val="2"/>
          <w:lang w:eastAsia="ar-SA"/>
        </w:rPr>
        <w:t xml:space="preserve">de conformidad con </w:t>
      </w:r>
      <w:r w:rsidR="00AE3795" w:rsidRPr="00846B42">
        <w:rPr>
          <w:rFonts w:ascii="ITC Avant Garde" w:eastAsia="Times New Roman" w:hAnsi="ITC Avant Garde"/>
          <w:kern w:val="2"/>
          <w:lang w:val="es-ES" w:eastAsia="ar-SA"/>
        </w:rPr>
        <w:t xml:space="preserve">la Medida Cuarta del Anexo 4 de la </w:t>
      </w:r>
      <w:r>
        <w:rPr>
          <w:rFonts w:ascii="ITC Avant Garde" w:eastAsia="Times New Roman" w:hAnsi="ITC Avant Garde"/>
          <w:kern w:val="2"/>
          <w:lang w:eastAsia="ar-SA"/>
        </w:rPr>
        <w:t>r</w:t>
      </w:r>
      <w:r w:rsidR="00AE3795" w:rsidRPr="00846B42">
        <w:rPr>
          <w:rFonts w:ascii="ITC Avant Garde" w:eastAsia="Times New Roman" w:hAnsi="ITC Avant Garde"/>
          <w:kern w:val="2"/>
          <w:lang w:eastAsia="ar-SA"/>
        </w:rPr>
        <w:t xml:space="preserve">esolución </w:t>
      </w:r>
      <w:r w:rsidR="00AE3795" w:rsidRPr="005262ED">
        <w:rPr>
          <w:rFonts w:ascii="ITC Avant Garde" w:hAnsi="ITC Avant Garde"/>
          <w:kern w:val="2"/>
          <w:lang w:eastAsia="ar-SA"/>
        </w:rPr>
        <w:t>P/IFT/EXT/060314/76</w:t>
      </w:r>
      <w:r>
        <w:rPr>
          <w:rFonts w:ascii="ITC Avant Garde" w:hAnsi="ITC Avant Garde"/>
          <w:kern w:val="2"/>
          <w:lang w:eastAsia="ar-SA"/>
        </w:rPr>
        <w:t xml:space="preserve"> </w:t>
      </w:r>
      <w:r w:rsidR="00AE3795" w:rsidRPr="00846B42">
        <w:rPr>
          <w:rFonts w:ascii="ITC Avant Garde" w:hAnsi="ITC Avant Garde"/>
          <w:kern w:val="2"/>
          <w:lang w:eastAsia="ar-SA"/>
        </w:rPr>
        <w:t xml:space="preserve">y </w:t>
      </w:r>
      <w:r w:rsidR="00AE3795" w:rsidRPr="00846B42">
        <w:rPr>
          <w:rFonts w:ascii="ITC Avant Garde" w:eastAsia="Times New Roman" w:hAnsi="ITC Avant Garde"/>
          <w:kern w:val="2"/>
          <w:lang w:val="es-ES" w:eastAsia="ar-SA"/>
        </w:rPr>
        <w:t xml:space="preserve">la Medida Décimo Octava del Anexo 1 de la </w:t>
      </w:r>
      <w:r>
        <w:rPr>
          <w:rFonts w:ascii="ITC Avant Garde" w:eastAsia="Times New Roman" w:hAnsi="ITC Avant Garde"/>
          <w:kern w:val="2"/>
          <w:lang w:eastAsia="ar-SA"/>
        </w:rPr>
        <w:t>r</w:t>
      </w:r>
      <w:r w:rsidR="00AE3795" w:rsidRPr="00846B42">
        <w:rPr>
          <w:rFonts w:ascii="ITC Avant Garde" w:eastAsia="Times New Roman" w:hAnsi="ITC Avant Garde"/>
          <w:kern w:val="2"/>
          <w:lang w:eastAsia="ar-SA"/>
        </w:rPr>
        <w:t xml:space="preserve">esolución </w:t>
      </w:r>
      <w:r w:rsidR="00AE3795" w:rsidRPr="005262ED">
        <w:rPr>
          <w:rFonts w:ascii="ITC Avant Garde" w:hAnsi="ITC Avant Garde"/>
          <w:kern w:val="2"/>
          <w:lang w:eastAsia="ar-SA"/>
        </w:rPr>
        <w:t>P/IFT/EXT/060314/77</w:t>
      </w:r>
      <w:r>
        <w:rPr>
          <w:rFonts w:ascii="ITC Avant Garde" w:hAnsi="ITC Avant Garde"/>
          <w:kern w:val="2"/>
          <w:lang w:eastAsia="ar-SA"/>
        </w:rPr>
        <w:t xml:space="preserve"> (modificada mediante la diversa</w:t>
      </w:r>
      <w:r w:rsidRPr="00846B42">
        <w:rPr>
          <w:rFonts w:ascii="ITC Avant Garde" w:hAnsi="ITC Avant Garde"/>
          <w:kern w:val="2"/>
          <w:lang w:eastAsia="ar-SA"/>
        </w:rPr>
        <w:t xml:space="preserve"> </w:t>
      </w:r>
      <w:r>
        <w:rPr>
          <w:rFonts w:ascii="ITC Avant Garde" w:hAnsi="ITC Avant Garde"/>
          <w:kern w:val="2"/>
          <w:lang w:eastAsia="ar-SA"/>
        </w:rPr>
        <w:t>P/IFT/EXT/27021</w:t>
      </w:r>
      <w:r w:rsidR="003C384D">
        <w:rPr>
          <w:rFonts w:ascii="ITC Avant Garde" w:hAnsi="ITC Avant Garde"/>
          <w:kern w:val="2"/>
          <w:lang w:eastAsia="ar-SA"/>
        </w:rPr>
        <w:t>7</w:t>
      </w:r>
      <w:r>
        <w:rPr>
          <w:rFonts w:ascii="ITC Avant Garde" w:hAnsi="ITC Avant Garde"/>
          <w:kern w:val="2"/>
          <w:lang w:eastAsia="ar-SA"/>
        </w:rPr>
        <w:t>/120)</w:t>
      </w:r>
      <w:r w:rsidR="00AE3795" w:rsidRPr="00846B42">
        <w:rPr>
          <w:rFonts w:ascii="ITC Avant Garde" w:hAnsi="ITC Avant Garde"/>
          <w:kern w:val="2"/>
          <w:lang w:eastAsia="ar-SA"/>
        </w:rPr>
        <w:t xml:space="preserve">, respectivamente, </w:t>
      </w:r>
      <w:r>
        <w:rPr>
          <w:rFonts w:ascii="ITC Avant Garde" w:eastAsia="Times New Roman" w:hAnsi="ITC Avant Garde"/>
          <w:kern w:val="2"/>
          <w:lang w:val="es-ES" w:eastAsia="ar-SA"/>
        </w:rPr>
        <w:t xml:space="preserve">se encuentran obligados en materia de </w:t>
      </w:r>
      <w:r w:rsidR="005100AC" w:rsidRPr="00846B42">
        <w:rPr>
          <w:rFonts w:ascii="ITC Avant Garde" w:eastAsia="Times New Roman" w:hAnsi="ITC Avant Garde"/>
          <w:kern w:val="2"/>
          <w:lang w:val="es-ES" w:eastAsia="ar-SA"/>
        </w:rPr>
        <w:t>contenidos audiovisuales</w:t>
      </w:r>
      <w:r>
        <w:rPr>
          <w:rFonts w:ascii="ITC Avant Garde" w:eastAsia="Times New Roman" w:hAnsi="ITC Avant Garde"/>
          <w:kern w:val="2"/>
          <w:lang w:val="es-ES" w:eastAsia="ar-SA"/>
        </w:rPr>
        <w:t xml:space="preserve"> relevantes</w:t>
      </w:r>
      <w:r w:rsidR="005100AC" w:rsidRPr="00846B42">
        <w:rPr>
          <w:rFonts w:ascii="ITC Avant Garde" w:eastAsia="Times New Roman" w:hAnsi="ITC Avant Garde"/>
          <w:kern w:val="2"/>
          <w:lang w:val="es-ES" w:eastAsia="ar-SA"/>
        </w:rPr>
        <w:t xml:space="preserve">, en los términos establecidos </w:t>
      </w:r>
      <w:r>
        <w:rPr>
          <w:rFonts w:ascii="ITC Avant Garde" w:eastAsia="Times New Roman" w:hAnsi="ITC Avant Garde"/>
          <w:kern w:val="2"/>
          <w:lang w:val="es-ES" w:eastAsia="ar-SA"/>
        </w:rPr>
        <w:t>para</w:t>
      </w:r>
      <w:r w:rsidRPr="00846B42">
        <w:rPr>
          <w:rFonts w:ascii="ITC Avant Garde" w:eastAsia="Times New Roman" w:hAnsi="ITC Avant Garde"/>
          <w:kern w:val="2"/>
          <w:lang w:val="es-ES" w:eastAsia="ar-SA"/>
        </w:rPr>
        <w:t xml:space="preserve"> </w:t>
      </w:r>
      <w:r w:rsidR="005100AC" w:rsidRPr="00846B42">
        <w:rPr>
          <w:rFonts w:ascii="ITC Avant Garde" w:eastAsia="Times New Roman" w:hAnsi="ITC Avant Garde"/>
          <w:kern w:val="2"/>
          <w:lang w:val="es-ES" w:eastAsia="ar-SA"/>
        </w:rPr>
        <w:t>cada caso.</w:t>
      </w:r>
    </w:p>
    <w:p w14:paraId="442B51F2" w14:textId="13D9436C" w:rsidR="00AE3795" w:rsidRPr="00846B42" w:rsidRDefault="00AE3795" w:rsidP="00AA3F31">
      <w:pPr>
        <w:suppressAutoHyphens/>
        <w:spacing w:after="0" w:line="240" w:lineRule="auto"/>
        <w:ind w:right="-62"/>
        <w:jc w:val="both"/>
        <w:rPr>
          <w:rFonts w:ascii="ITC Avant Garde" w:eastAsia="Times New Roman" w:hAnsi="ITC Avant Garde"/>
          <w:kern w:val="2"/>
          <w:lang w:val="es-ES" w:eastAsia="ar-SA"/>
        </w:rPr>
      </w:pPr>
      <w:r w:rsidRPr="00846B42">
        <w:rPr>
          <w:rFonts w:ascii="ITC Avant Garde" w:eastAsia="Times New Roman" w:hAnsi="ITC Avant Garde"/>
          <w:kern w:val="2"/>
          <w:lang w:val="es-ES" w:eastAsia="ar-SA"/>
        </w:rPr>
        <w:t xml:space="preserve">Por lo tanto, con fundamento en los artículos </w:t>
      </w:r>
      <w:r w:rsidR="00D00F86" w:rsidRPr="00846B42">
        <w:rPr>
          <w:rFonts w:ascii="ITC Avant Garde" w:eastAsia="Times New Roman" w:hAnsi="ITC Avant Garde"/>
          <w:kern w:val="2"/>
          <w:lang w:val="es-ES" w:eastAsia="ar-SA"/>
        </w:rPr>
        <w:t xml:space="preserve">6° y </w:t>
      </w:r>
      <w:r w:rsidRPr="00846B42">
        <w:rPr>
          <w:rFonts w:ascii="ITC Avant Garde" w:eastAsia="Times New Roman" w:hAnsi="ITC Avant Garde"/>
          <w:kern w:val="2"/>
          <w:lang w:val="es-ES" w:eastAsia="ar-SA"/>
        </w:rPr>
        <w:t xml:space="preserve">28 de la </w:t>
      </w:r>
      <w:r w:rsidRPr="00846B42">
        <w:rPr>
          <w:rFonts w:ascii="ITC Avant Garde" w:hAnsi="ITC Avant Garde"/>
          <w:kern w:val="2"/>
          <w:lang w:val="es-ES" w:eastAsia="ar-SA"/>
        </w:rPr>
        <w:t>Constitución Política de los Estados Unidos Mexicanos</w:t>
      </w:r>
      <w:r w:rsidRPr="00846B42">
        <w:rPr>
          <w:rFonts w:ascii="ITC Avant Garde" w:eastAsia="Times New Roman" w:hAnsi="ITC Avant Garde"/>
          <w:kern w:val="2"/>
          <w:lang w:val="es-ES" w:eastAsia="ar-SA"/>
        </w:rPr>
        <w:t xml:space="preserve">, </w:t>
      </w:r>
      <w:r w:rsidR="00D00F86" w:rsidRPr="00846B42">
        <w:rPr>
          <w:rFonts w:ascii="ITC Avant Garde" w:eastAsia="Times New Roman" w:hAnsi="ITC Avant Garde"/>
          <w:kern w:val="2"/>
          <w:lang w:val="es-ES" w:eastAsia="ar-SA"/>
        </w:rPr>
        <w:t xml:space="preserve">Octavo Transitorio, fracción III, </w:t>
      </w:r>
      <w:r w:rsidRPr="00846B42">
        <w:rPr>
          <w:rFonts w:ascii="ITC Avant Garde" w:eastAsia="Times New Roman" w:hAnsi="ITC Avant Garde"/>
          <w:kern w:val="2"/>
          <w:lang w:val="es-ES" w:eastAsia="ar-SA"/>
        </w:rPr>
        <w:t xml:space="preserve">del </w:t>
      </w:r>
      <w:r w:rsidR="00D00F86" w:rsidRPr="00846B42">
        <w:rPr>
          <w:rFonts w:ascii="ITC Avant Garde" w:hAnsi="ITC Avant Garde"/>
          <w:kern w:val="2"/>
          <w:lang w:eastAsia="ar-SA"/>
        </w:rPr>
        <w:t>Decreto por el que se reforman y adicionan diversas disposiciones de los artículos 6o., 7o., 27, 28, 73, 78, 94 y 105 de la Constitución Política de los Estados Unidos Mexicanos, en materia de telecomunicaciones</w:t>
      </w:r>
      <w:r w:rsidRPr="00846B42">
        <w:rPr>
          <w:rFonts w:ascii="ITC Avant Garde" w:eastAsia="Times New Roman" w:hAnsi="ITC Avant Garde"/>
          <w:kern w:val="2"/>
          <w:lang w:val="es-ES" w:eastAsia="ar-SA"/>
        </w:rPr>
        <w:t>,</w:t>
      </w:r>
      <w:r w:rsidR="00D00F86" w:rsidRPr="00846B42">
        <w:rPr>
          <w:rFonts w:ascii="ITC Avant Garde" w:eastAsia="Times New Roman" w:hAnsi="ITC Avant Garde"/>
          <w:kern w:val="2"/>
          <w:lang w:val="es-ES" w:eastAsia="ar-SA"/>
        </w:rPr>
        <w:t xml:space="preserve"> 1, 2, 7, 15, fracciones XX y LXIII</w:t>
      </w:r>
      <w:r w:rsidR="004C1E8F">
        <w:rPr>
          <w:rFonts w:ascii="ITC Avant Garde" w:eastAsia="Times New Roman" w:hAnsi="ITC Avant Garde"/>
          <w:kern w:val="2"/>
          <w:lang w:val="es-ES" w:eastAsia="ar-SA"/>
        </w:rPr>
        <w:t xml:space="preserve"> y</w:t>
      </w:r>
      <w:r w:rsidR="00D00F86" w:rsidRPr="00846B42">
        <w:rPr>
          <w:rFonts w:ascii="ITC Avant Garde" w:eastAsia="Times New Roman" w:hAnsi="ITC Avant Garde"/>
          <w:kern w:val="2"/>
          <w:lang w:val="es-ES" w:eastAsia="ar-SA"/>
        </w:rPr>
        <w:t xml:space="preserve"> 17, fracciones I y XV de la Ley Federal de Telecomunicaciones y </w:t>
      </w:r>
      <w:r w:rsidR="00162C6E">
        <w:rPr>
          <w:rFonts w:ascii="ITC Avant Garde" w:eastAsia="Times New Roman" w:hAnsi="ITC Avant Garde"/>
          <w:kern w:val="2"/>
          <w:lang w:val="es-ES" w:eastAsia="ar-SA"/>
        </w:rPr>
        <w:t>Radiodifusión, 1, 4, fracción I,</w:t>
      </w:r>
      <w:r w:rsidR="00D00F86" w:rsidRPr="00846B42">
        <w:rPr>
          <w:rFonts w:ascii="ITC Avant Garde" w:eastAsia="Times New Roman" w:hAnsi="ITC Avant Garde"/>
          <w:kern w:val="2"/>
          <w:lang w:val="es-ES" w:eastAsia="ar-SA"/>
        </w:rPr>
        <w:t xml:space="preserve"> 6, fracciones I y XXXVIII,</w:t>
      </w:r>
      <w:r w:rsidR="008A7EAE">
        <w:rPr>
          <w:rFonts w:ascii="ITC Avant Garde" w:eastAsia="Times New Roman" w:hAnsi="ITC Avant Garde"/>
          <w:kern w:val="2"/>
          <w:lang w:val="es-ES" w:eastAsia="ar-SA"/>
        </w:rPr>
        <w:t xml:space="preserve"> 20, fracciones VIII y X,</w:t>
      </w:r>
      <w:r w:rsidR="00162C6E">
        <w:rPr>
          <w:rFonts w:ascii="ITC Avant Garde" w:eastAsia="Times New Roman" w:hAnsi="ITC Avant Garde"/>
          <w:kern w:val="2"/>
          <w:lang w:val="es-ES" w:eastAsia="ar-SA"/>
        </w:rPr>
        <w:t xml:space="preserve"> y</w:t>
      </w:r>
      <w:r w:rsidR="00D00F86" w:rsidRPr="00846B42">
        <w:rPr>
          <w:rFonts w:ascii="ITC Avant Garde" w:eastAsia="Times New Roman" w:hAnsi="ITC Avant Garde"/>
          <w:kern w:val="2"/>
          <w:lang w:val="es-ES" w:eastAsia="ar-SA"/>
        </w:rPr>
        <w:t xml:space="preserve"> </w:t>
      </w:r>
      <w:r w:rsidR="00162C6E">
        <w:rPr>
          <w:rFonts w:ascii="ITC Avant Garde" w:eastAsia="Times New Roman" w:hAnsi="ITC Avant Garde"/>
          <w:kern w:val="2"/>
          <w:lang w:val="es-ES" w:eastAsia="ar-SA"/>
        </w:rPr>
        <w:t>3</w:t>
      </w:r>
      <w:r w:rsidR="004C1E8F">
        <w:rPr>
          <w:rFonts w:ascii="ITC Avant Garde" w:eastAsia="Times New Roman" w:hAnsi="ITC Avant Garde"/>
          <w:kern w:val="2"/>
          <w:lang w:val="es-ES" w:eastAsia="ar-SA"/>
        </w:rPr>
        <w:t>7</w:t>
      </w:r>
      <w:r w:rsidR="00162C6E">
        <w:rPr>
          <w:rFonts w:ascii="ITC Avant Garde" w:eastAsia="Times New Roman" w:hAnsi="ITC Avant Garde"/>
          <w:kern w:val="2"/>
          <w:lang w:val="es-ES" w:eastAsia="ar-SA"/>
        </w:rPr>
        <w:t xml:space="preserve"> </w:t>
      </w:r>
      <w:r w:rsidR="00D00F86" w:rsidRPr="00846B42">
        <w:rPr>
          <w:rFonts w:ascii="ITC Avant Garde" w:eastAsia="Times New Roman" w:hAnsi="ITC Avant Garde"/>
          <w:kern w:val="2"/>
          <w:lang w:val="es-ES" w:eastAsia="ar-SA"/>
        </w:rPr>
        <w:t>del Estatuto Orgánico</w:t>
      </w:r>
      <w:r w:rsidR="00D00F86" w:rsidRPr="00846B42" w:rsidDel="00D00F86">
        <w:rPr>
          <w:rFonts w:ascii="ITC Avant Garde" w:eastAsia="Times New Roman" w:hAnsi="ITC Avant Garde"/>
          <w:kern w:val="2"/>
          <w:lang w:val="es-ES" w:eastAsia="ar-SA"/>
        </w:rPr>
        <w:t xml:space="preserve"> </w:t>
      </w:r>
      <w:r w:rsidRPr="00846B42">
        <w:rPr>
          <w:rFonts w:ascii="ITC Avant Garde" w:eastAsia="Times New Roman" w:hAnsi="ITC Avant Garde"/>
          <w:kern w:val="2"/>
          <w:lang w:eastAsia="ar-SA"/>
        </w:rPr>
        <w:t>del Instituto Federal de Telecomunicaciones,</w:t>
      </w:r>
      <w:r w:rsidRPr="00846B42">
        <w:rPr>
          <w:rFonts w:ascii="ITC Avant Garde" w:eastAsia="Times New Roman" w:hAnsi="ITC Avant Garde"/>
          <w:kern w:val="2"/>
          <w:lang w:val="es-ES" w:eastAsia="ar-SA"/>
        </w:rPr>
        <w:t xml:space="preserve"> </w:t>
      </w:r>
      <w:r w:rsidR="00D00F86" w:rsidRPr="00846B42">
        <w:rPr>
          <w:rFonts w:ascii="ITC Avant Garde" w:eastAsia="Times New Roman" w:hAnsi="ITC Avant Garde"/>
          <w:kern w:val="2"/>
          <w:lang w:val="es-ES" w:eastAsia="ar-SA"/>
        </w:rPr>
        <w:t xml:space="preserve">así como en </w:t>
      </w:r>
      <w:r w:rsidR="004C1E8F">
        <w:rPr>
          <w:rFonts w:ascii="ITC Avant Garde" w:eastAsia="Times New Roman" w:hAnsi="ITC Avant Garde"/>
          <w:kern w:val="2"/>
          <w:lang w:val="es-ES" w:eastAsia="ar-SA"/>
        </w:rPr>
        <w:t xml:space="preserve">la medida Cuarta y </w:t>
      </w:r>
      <w:r w:rsidR="00D00F86" w:rsidRPr="006C7BFD">
        <w:rPr>
          <w:rFonts w:ascii="ITC Avant Garde" w:eastAsia="Times New Roman" w:hAnsi="ITC Avant Garde"/>
          <w:kern w:val="2"/>
          <w:lang w:val="es-ES" w:eastAsia="ar-SA"/>
        </w:rPr>
        <w:t>artículo Segundo Transitorio del Anexo 4</w:t>
      </w:r>
      <w:r w:rsidR="00D00F86" w:rsidRPr="006C7BFD">
        <w:rPr>
          <w:rFonts w:ascii="ITC Avant Garde" w:eastAsia="Times New Roman" w:hAnsi="ITC Avant Garde"/>
          <w:kern w:val="2"/>
          <w:lang w:eastAsia="ar-SA"/>
        </w:rPr>
        <w:t xml:space="preserve"> de la RESOLUCIÓN MEDIANTE LA CUAL EL PLENO DEL INSTITUTO FEDERAL DE TELECOMUNICACIONES </w:t>
      </w:r>
      <w:r w:rsidR="00D00F86" w:rsidRPr="00846B42">
        <w:rPr>
          <w:rFonts w:ascii="ITC Avant Garde" w:eastAsia="Times New Roman" w:hAnsi="ITC Avant Garde"/>
          <w:kern w:val="2"/>
          <w:lang w:eastAsia="ar-SA"/>
        </w:rPr>
        <w:t xml:space="preserve">DETERMINA AL GRUPO DE INTERÉS ECONÓMICO DEL QUE FORMAN PARTE AMÉRICA MÓVIL, S.A.B. DE C.V., TELÉFONOS DE MÉXICO, S.A.B. DE C.V., TELÉFONOS DEL NOROESTE, S.A. DE C.V., RADIOMÓVIL DIPSA, S.A. DE C.V., GRUPO CARSO, S.A.B. DE C.V., Y GRUPO FINANCIERO INBURSA, S.A.B. DE C.V., COMO AGENTE ECONÓMICO PREPONDERANTE EN EL SECTOR DE TELECOMUNICACIONES Y LE IMPONE LAS MEDIDAS NECESARIAS PARA EVITAR QUE SE AFECTE LA COMPETENCIA Y LA LIBRE CONCURRENCIA, emitida por el Pleno </w:t>
      </w:r>
      <w:r w:rsidR="00D00F86" w:rsidRPr="006C7BFD">
        <w:rPr>
          <w:rFonts w:ascii="ITC Avant Garde" w:eastAsia="Times New Roman" w:hAnsi="ITC Avant Garde"/>
          <w:kern w:val="2"/>
          <w:lang w:eastAsia="ar-SA"/>
        </w:rPr>
        <w:t xml:space="preserve">del Instituto Federal de Telecomunicaciones mediante acuerdo P/IFT/EXT/060314/76 y </w:t>
      </w:r>
      <w:r w:rsidR="00D00F86" w:rsidRPr="006C7BFD">
        <w:rPr>
          <w:rFonts w:ascii="ITC Avant Garde" w:hAnsi="ITC Avant Garde"/>
          <w:kern w:val="2"/>
          <w:lang w:eastAsia="ar-SA"/>
        </w:rPr>
        <w:t xml:space="preserve">Tercero Transitorio del Anexo 1 de </w:t>
      </w:r>
      <w:r w:rsidR="00EE3781" w:rsidRPr="006C7BFD">
        <w:rPr>
          <w:rFonts w:ascii="ITC Avant Garde" w:hAnsi="ITC Avant Garde"/>
          <w:kern w:val="2"/>
          <w:lang w:eastAsia="ar-SA"/>
        </w:rPr>
        <w:t>la RESOLUCIÓN MEDIANTE LA CUAL EL PLENO DE</w:t>
      </w:r>
      <w:r w:rsidR="00EE3781" w:rsidRPr="00846B42">
        <w:rPr>
          <w:rFonts w:ascii="ITC Avant Garde" w:hAnsi="ITC Avant Garde"/>
          <w:kern w:val="2"/>
          <w:lang w:eastAsia="ar-SA"/>
        </w:rPr>
        <w:t xml:space="preserve">L INSTITUTO FEDERAL DE TELECOMUNICACIONES DETERMINA AL GRUPO DE INTERÉS ECONÓMICO DEL QUE FORMAN PARTE GRUPO TELEVISA S.A.B., CANALES DE TELEVISIÓN POPULARES, S.A. DE C.V., RADIO TELEVISIÓN, S.A. DE C.V., RADIOTELEVISORA DE MÉXICO NORTE S.A. DE C.V., T.V. DE LOS MOCHIS, S.A. DE C.V., TELEIMAGEN DEL NOROESTE, S.A. DE C.V., TELEVIMEX, S.A. DE C.V., TELEVISIÓN DE PUEBLA, S.A. DE C.V., TELEVISORA DE MEXICALI, S.A. DE C.V., TELEVISORA DE NAVOJOA, S.A., TELEVISORA DE OCCIDENTE, S.A. DE C.V., TELEVISORA PENINSULAR, S.A. DE C.V., MARIO ENRIQUE MAYANS CONCHA, TELEVISIÓN LA PAZ, S.A., TELEVISIÓN DE LA FRONTERA, S.A., PEDRO LUIS FITZMAURICE MENESES, TELEMISIÓN, S.A. DE C.V., COMUNICACIÓN DEL SURESTE, S.A. DE C.V., JOSÉ DE JESÚS PARTIDA VILLANUEVA, HILDA GRACIELA RIVERA FLORES, ROBERTO CASIMIRO GONZÁLEZ TREVIÑO, TV DIEZ DURANGO, S.A. DE C.V., TELEVISORA DE DURANGO, S.A. DE C.V., CORPORACIÓN TAPATÍA DE TELEVISIÓN, S.A. DE C.V., TELEVISIÓN DE MICHOACÁN, S.A. DE C.V., JOSÉ HUMBERTO Y </w:t>
      </w:r>
      <w:r w:rsidR="00EE3781" w:rsidRPr="00846B42">
        <w:rPr>
          <w:rFonts w:ascii="ITC Avant Garde" w:hAnsi="ITC Avant Garde"/>
          <w:kern w:val="2"/>
          <w:lang w:eastAsia="ar-SA"/>
        </w:rPr>
        <w:lastRenderedPageBreak/>
        <w:t>LOUCILLE, MARTÍNEZ MORALES, CANAL 13 DE MICHOACÁN, S.A. DE C.V., TELEVISORA XHBO, S.A. DE C.V., TV OCHO, S.A. DE C.V., TELEVISORA POTOSINA, S.A. DE C.V</w:t>
      </w:r>
      <w:r w:rsidR="00EE3781" w:rsidRPr="00162C6E">
        <w:rPr>
          <w:rFonts w:ascii="ITC Avant Garde" w:hAnsi="ITC Avant Garde"/>
          <w:kern w:val="2"/>
          <w:lang w:eastAsia="ar-SA"/>
        </w:rPr>
        <w:t>., T.V.</w:t>
      </w:r>
      <w:r w:rsidR="00EE3781" w:rsidRPr="00846B42">
        <w:rPr>
          <w:rFonts w:ascii="ITC Avant Garde" w:hAnsi="ITC Avant Garde"/>
          <w:kern w:val="2"/>
          <w:lang w:eastAsia="ar-SA"/>
        </w:rPr>
        <w:t xml:space="preserve"> DE CULIACÁN, S.A. DE C.V., TELEVISIÓN DEL PACÍFICO, S.A. DE C.V., TELE-EMISORAS DEL SURESTE, S.A. DE C.V., TELEVISIÓN DE TABASCO, S.A. Y RAMONA ESPARZA GONZÁLEZ, COMO AGENTE ECONÓMICO PREPONDERANTE EN EL SECTOR DE RADIODIFUSIÓN Y LE IMPONE LAS MEDIDAS NECESARIAS PARA EVITAR QUE SE AFECTE LA COMPETENCIA Y LA LIBRE CONCURRENCIA, emitida por el Pleno del Instituto Federal de Telecomunicaciones a través del acuerdo P/IFT/EXT/060314/77</w:t>
      </w:r>
      <w:r w:rsidR="004C1E8F">
        <w:rPr>
          <w:rFonts w:ascii="ITC Avant Garde" w:hAnsi="ITC Avant Garde"/>
          <w:kern w:val="2"/>
          <w:lang w:eastAsia="ar-SA"/>
        </w:rPr>
        <w:t xml:space="preserve">, así como en la medida Décimo Octava de la </w:t>
      </w:r>
      <w:r w:rsidR="004C1E8F" w:rsidRPr="00846B42">
        <w:rPr>
          <w:rFonts w:ascii="ITC Avant Garde" w:hAnsi="ITC Avant Garde"/>
          <w:i/>
          <w:kern w:val="2"/>
          <w:lang w:eastAsia="ar-SA"/>
        </w:rPr>
        <w:t>RESOLUCIÓN MEDIANTE LA CUAL EL PLENO DEL INSTITUTO FEDERAL DE TELECOMUNICACIONES SUPRIME, MODIFICA Y ADICIONA LAS MEDIDAS IMPUESTAS AL AGENTE ECONÓMICO PREPONDERANTE EN EL SECTOR DE RADIODIFUSIÓN MEDIANTE RESOLUCIÓN DE FECHA 6 DE MARZO DE 2014, APROBADA MEDIANTE ACUERDO P/IFT/EXT/060314/77</w:t>
      </w:r>
      <w:r w:rsidR="004C1E8F">
        <w:rPr>
          <w:rFonts w:ascii="ITC Avant Garde" w:hAnsi="ITC Avant Garde"/>
          <w:i/>
          <w:kern w:val="2"/>
          <w:lang w:eastAsia="ar-SA"/>
        </w:rPr>
        <w:t xml:space="preserve"> </w:t>
      </w:r>
      <w:r w:rsidR="004C1E8F">
        <w:rPr>
          <w:rFonts w:ascii="ITC Avant Garde" w:hAnsi="ITC Avant Garde"/>
          <w:kern w:val="2"/>
          <w:lang w:eastAsia="ar-SA"/>
        </w:rPr>
        <w:t xml:space="preserve">con número </w:t>
      </w:r>
      <w:r w:rsidR="004C1E8F" w:rsidRPr="00846B42">
        <w:rPr>
          <w:rFonts w:ascii="ITC Avant Garde" w:hAnsi="ITC Avant Garde"/>
          <w:kern w:val="2"/>
          <w:lang w:eastAsia="ar-SA"/>
        </w:rPr>
        <w:t>P/IFT/EXT/</w:t>
      </w:r>
      <w:r w:rsidR="003C384D">
        <w:rPr>
          <w:rFonts w:ascii="ITC Avant Garde" w:hAnsi="ITC Avant Garde"/>
          <w:kern w:val="2"/>
          <w:lang w:eastAsia="ar-SA"/>
        </w:rPr>
        <w:t>270217</w:t>
      </w:r>
      <w:r w:rsidR="004C1E8F">
        <w:rPr>
          <w:rFonts w:ascii="ITC Avant Garde" w:hAnsi="ITC Avant Garde"/>
          <w:kern w:val="2"/>
          <w:lang w:eastAsia="ar-SA"/>
        </w:rPr>
        <w:t>/120</w:t>
      </w:r>
      <w:r w:rsidRPr="00846B42">
        <w:rPr>
          <w:rFonts w:ascii="ITC Avant Garde" w:eastAsia="Times New Roman" w:hAnsi="ITC Avant Garde"/>
          <w:kern w:val="2"/>
          <w:lang w:val="es-ES" w:eastAsia="ar-SA"/>
        </w:rPr>
        <w:t>, el Pleno del I</w:t>
      </w:r>
      <w:r w:rsidR="00C00EF3" w:rsidRPr="00846B42">
        <w:rPr>
          <w:rFonts w:ascii="ITC Avant Garde" w:eastAsia="Times New Roman" w:hAnsi="ITC Avant Garde"/>
          <w:kern w:val="2"/>
          <w:lang w:val="es-ES" w:eastAsia="ar-SA"/>
        </w:rPr>
        <w:t>nstituto</w:t>
      </w:r>
      <w:r w:rsidRPr="00846B42">
        <w:rPr>
          <w:rFonts w:ascii="ITC Avant Garde" w:eastAsia="Times New Roman" w:hAnsi="ITC Avant Garde"/>
          <w:kern w:val="2"/>
          <w:lang w:val="es-ES" w:eastAsia="ar-SA"/>
        </w:rPr>
        <w:t xml:space="preserve"> </w:t>
      </w:r>
      <w:r w:rsidR="008F2E23" w:rsidRPr="00846B42">
        <w:rPr>
          <w:rFonts w:ascii="ITC Avant Garde" w:eastAsia="Times New Roman" w:hAnsi="ITC Avant Garde"/>
          <w:kern w:val="2"/>
          <w:lang w:val="es-ES" w:eastAsia="ar-SA"/>
        </w:rPr>
        <w:t xml:space="preserve">emite </w:t>
      </w:r>
      <w:r w:rsidRPr="00846B42">
        <w:rPr>
          <w:rFonts w:ascii="ITC Avant Garde" w:eastAsia="Times New Roman" w:hAnsi="ITC Avant Garde"/>
          <w:kern w:val="2"/>
          <w:lang w:val="es-ES" w:eastAsia="ar-SA"/>
        </w:rPr>
        <w:t>el siguiente:</w:t>
      </w:r>
    </w:p>
    <w:p w14:paraId="3538EA22" w14:textId="77777777" w:rsidR="00AE3795" w:rsidRPr="003B2E09" w:rsidRDefault="00AE3795" w:rsidP="00D755E1">
      <w:pPr>
        <w:pStyle w:val="Ttulo4"/>
        <w:spacing w:before="480" w:after="480"/>
        <w:jc w:val="center"/>
        <w:rPr>
          <w:rFonts w:ascii="ITC Avant Garde" w:hAnsi="ITC Avant Garde"/>
          <w:b/>
          <w:i w:val="0"/>
          <w:color w:val="auto"/>
          <w:lang w:eastAsia="ar-SA"/>
        </w:rPr>
      </w:pPr>
      <w:r w:rsidRPr="003B2E09">
        <w:rPr>
          <w:rFonts w:ascii="ITC Avant Garde" w:hAnsi="ITC Avant Garde"/>
          <w:b/>
          <w:i w:val="0"/>
          <w:color w:val="auto"/>
          <w:lang w:eastAsia="ar-SA"/>
        </w:rPr>
        <w:t>ACUERDO</w:t>
      </w:r>
    </w:p>
    <w:p w14:paraId="7C8FA925" w14:textId="5E6A5CB5" w:rsidR="00AE3795" w:rsidRPr="00846B42" w:rsidRDefault="00AE3795" w:rsidP="00AA3F31">
      <w:pPr>
        <w:autoSpaceDE w:val="0"/>
        <w:autoSpaceDN w:val="0"/>
        <w:adjustRightInd w:val="0"/>
        <w:spacing w:after="360" w:line="240" w:lineRule="auto"/>
        <w:jc w:val="both"/>
        <w:rPr>
          <w:rFonts w:ascii="ITC Avant Garde" w:hAnsi="ITC Avant Garde"/>
          <w:kern w:val="2"/>
          <w:lang w:eastAsia="ar-SA"/>
        </w:rPr>
      </w:pPr>
      <w:r w:rsidRPr="00846B42">
        <w:rPr>
          <w:rFonts w:ascii="ITC Avant Garde" w:hAnsi="ITC Avant Garde"/>
          <w:b/>
          <w:bCs/>
          <w:lang w:val="es-ES"/>
        </w:rPr>
        <w:t>PRIMERO</w:t>
      </w:r>
      <w:r w:rsidRPr="00846B42">
        <w:rPr>
          <w:rFonts w:ascii="ITC Avant Garde" w:hAnsi="ITC Avant Garde"/>
          <w:lang w:val="es-ES"/>
        </w:rPr>
        <w:t>.- E</w:t>
      </w:r>
      <w:r w:rsidRPr="00846B42">
        <w:rPr>
          <w:rFonts w:ascii="ITC Avant Garde" w:eastAsia="Times New Roman" w:hAnsi="ITC Avant Garde"/>
          <w:kern w:val="2"/>
          <w:lang w:val="es-ES" w:eastAsia="ar-SA"/>
        </w:rPr>
        <w:t xml:space="preserve">n términos del artículo Segundo </w:t>
      </w:r>
      <w:r w:rsidR="00EE3781" w:rsidRPr="00846B42">
        <w:rPr>
          <w:rFonts w:ascii="ITC Avant Garde" w:eastAsia="Times New Roman" w:hAnsi="ITC Avant Garde"/>
          <w:kern w:val="2"/>
          <w:lang w:val="es-ES" w:eastAsia="ar-SA"/>
        </w:rPr>
        <w:t xml:space="preserve">Transitorio </w:t>
      </w:r>
      <w:r w:rsidRPr="00846B42">
        <w:rPr>
          <w:rFonts w:ascii="ITC Avant Garde" w:eastAsia="Times New Roman" w:hAnsi="ITC Avant Garde"/>
          <w:kern w:val="2"/>
          <w:lang w:val="es-ES" w:eastAsia="ar-SA"/>
        </w:rPr>
        <w:t xml:space="preserve">del Anexo 4 de la </w:t>
      </w:r>
      <w:r w:rsidR="00C36232">
        <w:rPr>
          <w:rFonts w:ascii="ITC Avant Garde" w:eastAsia="Times New Roman" w:hAnsi="ITC Avant Garde"/>
          <w:kern w:val="2"/>
          <w:lang w:eastAsia="ar-SA"/>
        </w:rPr>
        <w:t>r</w:t>
      </w:r>
      <w:r w:rsidRPr="00846B42">
        <w:rPr>
          <w:rFonts w:ascii="ITC Avant Garde" w:eastAsia="Times New Roman" w:hAnsi="ITC Avant Garde"/>
          <w:kern w:val="2"/>
          <w:lang w:eastAsia="ar-SA"/>
        </w:rPr>
        <w:t xml:space="preserve">esolución </w:t>
      </w:r>
      <w:r w:rsidRPr="005262ED">
        <w:rPr>
          <w:rFonts w:ascii="ITC Avant Garde" w:hAnsi="ITC Avant Garde"/>
          <w:kern w:val="2"/>
          <w:lang w:eastAsia="ar-SA"/>
        </w:rPr>
        <w:t>P/IFT/EXT/060314/76</w:t>
      </w:r>
      <w:r w:rsidRPr="00846B42">
        <w:rPr>
          <w:rFonts w:ascii="ITC Avant Garde" w:hAnsi="ITC Avant Garde"/>
          <w:kern w:val="2"/>
          <w:lang w:eastAsia="ar-SA"/>
        </w:rPr>
        <w:t xml:space="preserve"> y</w:t>
      </w:r>
      <w:r w:rsidR="009528DE" w:rsidRPr="00846B42">
        <w:rPr>
          <w:rFonts w:ascii="ITC Avant Garde" w:hAnsi="ITC Avant Garde"/>
          <w:kern w:val="2"/>
          <w:lang w:eastAsia="ar-SA"/>
        </w:rPr>
        <w:t xml:space="preserve"> del</w:t>
      </w:r>
      <w:r w:rsidRPr="00846B42">
        <w:rPr>
          <w:rFonts w:ascii="ITC Avant Garde" w:hAnsi="ITC Avant Garde"/>
          <w:kern w:val="2"/>
          <w:lang w:eastAsia="ar-SA"/>
        </w:rPr>
        <w:t xml:space="preserve"> </w:t>
      </w:r>
      <w:r w:rsidRPr="00846B42">
        <w:rPr>
          <w:rFonts w:ascii="ITC Avant Garde" w:eastAsia="Times New Roman" w:hAnsi="ITC Avant Garde"/>
          <w:kern w:val="2"/>
          <w:lang w:val="es-ES" w:eastAsia="ar-SA"/>
        </w:rPr>
        <w:t xml:space="preserve">artículo Tercero </w:t>
      </w:r>
      <w:r w:rsidR="007A5A0B" w:rsidRPr="00846B42">
        <w:rPr>
          <w:rFonts w:ascii="ITC Avant Garde" w:eastAsia="Times New Roman" w:hAnsi="ITC Avant Garde"/>
          <w:kern w:val="2"/>
          <w:lang w:val="es-ES" w:eastAsia="ar-SA"/>
        </w:rPr>
        <w:t>t</w:t>
      </w:r>
      <w:r w:rsidRPr="00846B42">
        <w:rPr>
          <w:rFonts w:ascii="ITC Avant Garde" w:eastAsia="Times New Roman" w:hAnsi="ITC Avant Garde"/>
          <w:kern w:val="2"/>
          <w:lang w:val="es-ES" w:eastAsia="ar-SA"/>
        </w:rPr>
        <w:t xml:space="preserve">ransitorio del Anexo 1 de la </w:t>
      </w:r>
      <w:r w:rsidR="00C36232">
        <w:rPr>
          <w:rFonts w:ascii="ITC Avant Garde" w:eastAsia="Times New Roman" w:hAnsi="ITC Avant Garde"/>
          <w:kern w:val="2"/>
          <w:lang w:eastAsia="ar-SA"/>
        </w:rPr>
        <w:t>r</w:t>
      </w:r>
      <w:r w:rsidRPr="00846B42">
        <w:rPr>
          <w:rFonts w:ascii="ITC Avant Garde" w:eastAsia="Times New Roman" w:hAnsi="ITC Avant Garde"/>
          <w:kern w:val="2"/>
          <w:lang w:eastAsia="ar-SA"/>
        </w:rPr>
        <w:t xml:space="preserve">esolución </w:t>
      </w:r>
      <w:r w:rsidRPr="005262ED">
        <w:rPr>
          <w:rFonts w:ascii="ITC Avant Garde" w:hAnsi="ITC Avant Garde"/>
          <w:kern w:val="2"/>
          <w:lang w:eastAsia="ar-SA"/>
        </w:rPr>
        <w:t>P/IFT/EXT/060314/</w:t>
      </w:r>
      <w:r w:rsidRPr="005262ED">
        <w:rPr>
          <w:rFonts w:ascii="ITC Avant Garde" w:hAnsi="ITC Avant Garde"/>
          <w:kern w:val="2"/>
        </w:rPr>
        <w:t>77</w:t>
      </w:r>
      <w:r w:rsidRPr="00846B42">
        <w:rPr>
          <w:rFonts w:ascii="ITC Avant Garde" w:hAnsi="ITC Avant Garde"/>
          <w:kern w:val="2"/>
          <w:lang w:eastAsia="ar-SA"/>
        </w:rPr>
        <w:t>, el I</w:t>
      </w:r>
      <w:r w:rsidR="00C00EF3" w:rsidRPr="00846B42">
        <w:rPr>
          <w:rFonts w:ascii="ITC Avant Garde" w:hAnsi="ITC Avant Garde"/>
          <w:kern w:val="2"/>
          <w:lang w:eastAsia="ar-SA"/>
        </w:rPr>
        <w:t>nstituto</w:t>
      </w:r>
      <w:r w:rsidRPr="00846B42">
        <w:rPr>
          <w:rFonts w:ascii="ITC Avant Garde" w:hAnsi="ITC Avant Garde"/>
          <w:kern w:val="2"/>
          <w:lang w:eastAsia="ar-SA"/>
        </w:rPr>
        <w:t xml:space="preserve"> </w:t>
      </w:r>
      <w:r w:rsidR="00EE3781" w:rsidRPr="00846B42">
        <w:rPr>
          <w:rFonts w:ascii="ITC Avant Garde" w:hAnsi="ITC Avant Garde"/>
          <w:kern w:val="2"/>
          <w:lang w:eastAsia="ar-SA"/>
        </w:rPr>
        <w:t xml:space="preserve">actualiza el listado de contenidos audiovisuales relevantes identificados mediante el acuerdo </w:t>
      </w:r>
      <w:r w:rsidR="00EE3781" w:rsidRPr="00846B42">
        <w:rPr>
          <w:rFonts w:ascii="ITC Avant Garde" w:hAnsi="ITC Avant Garde"/>
          <w:b/>
          <w:kern w:val="2"/>
          <w:lang w:eastAsia="ar-SA"/>
        </w:rPr>
        <w:t>P/IFT/EXT/290514/105</w:t>
      </w:r>
      <w:r w:rsidR="00EE3781" w:rsidRPr="00846B42">
        <w:rPr>
          <w:rFonts w:ascii="ITC Avant Garde" w:hAnsi="ITC Avant Garde"/>
          <w:kern w:val="2"/>
          <w:lang w:eastAsia="ar-SA"/>
        </w:rPr>
        <w:t>, para quedar de la siguiente manera</w:t>
      </w:r>
      <w:r w:rsidRPr="00846B42">
        <w:rPr>
          <w:rFonts w:ascii="ITC Avant Garde" w:hAnsi="ITC Avant Garde"/>
          <w:kern w:val="2"/>
          <w:lang w:eastAsia="ar-SA"/>
        </w:rPr>
        <w:t>:</w:t>
      </w:r>
    </w:p>
    <w:p w14:paraId="609D4A7E" w14:textId="00AC5CF4" w:rsidR="00EE3781" w:rsidRPr="00846B42" w:rsidRDefault="00EE3781" w:rsidP="00AA3F31">
      <w:pPr>
        <w:pStyle w:val="Prrafodelista"/>
        <w:numPr>
          <w:ilvl w:val="0"/>
          <w:numId w:val="12"/>
        </w:numPr>
        <w:spacing w:after="360"/>
        <w:jc w:val="both"/>
        <w:rPr>
          <w:rFonts w:ascii="ITC Avant Garde" w:hAnsi="ITC Avant Garde"/>
          <w:sz w:val="22"/>
          <w:szCs w:val="22"/>
        </w:rPr>
      </w:pPr>
      <w:r w:rsidRPr="00846B42">
        <w:rPr>
          <w:rFonts w:ascii="ITC Avant Garde" w:hAnsi="ITC Avant Garde"/>
          <w:kern w:val="2"/>
          <w:sz w:val="22"/>
          <w:szCs w:val="22"/>
          <w:lang w:eastAsia="ar-SA"/>
        </w:rPr>
        <w:t>L</w:t>
      </w:r>
      <w:r w:rsidRPr="00846B42">
        <w:rPr>
          <w:rFonts w:ascii="ITC Avant Garde" w:hAnsi="ITC Avant Garde"/>
          <w:sz w:val="22"/>
          <w:szCs w:val="22"/>
        </w:rPr>
        <w:t xml:space="preserve">os partidos de la Selección Mexicana de Fútbol (categoría varonil mayor); </w:t>
      </w:r>
    </w:p>
    <w:p w14:paraId="16409511" w14:textId="776D2025" w:rsidR="00EE3781" w:rsidRPr="00846B42" w:rsidRDefault="00EE3781" w:rsidP="00AA3F31">
      <w:pPr>
        <w:pStyle w:val="Prrafodelista"/>
        <w:numPr>
          <w:ilvl w:val="0"/>
          <w:numId w:val="12"/>
        </w:numPr>
        <w:spacing w:after="360"/>
        <w:ind w:left="714" w:hanging="357"/>
        <w:jc w:val="both"/>
        <w:rPr>
          <w:rFonts w:ascii="ITC Avant Garde" w:hAnsi="ITC Avant Garde"/>
          <w:sz w:val="22"/>
          <w:szCs w:val="22"/>
        </w:rPr>
      </w:pPr>
      <w:r w:rsidRPr="00846B42">
        <w:rPr>
          <w:rFonts w:ascii="ITC Avant Garde" w:hAnsi="ITC Avant Garde"/>
          <w:sz w:val="22"/>
          <w:szCs w:val="22"/>
        </w:rPr>
        <w:t>Las ceremonias de inauguración y clausura, así como los partidos de inauguración, octavos de final, cuartos de final, semifinales y final de la Copa Mundial de Fútbol;</w:t>
      </w:r>
    </w:p>
    <w:p w14:paraId="6C9083F3" w14:textId="0D7A7241" w:rsidR="00EE3781" w:rsidRPr="00846B42" w:rsidRDefault="00EE3781" w:rsidP="00AA3F31">
      <w:pPr>
        <w:pStyle w:val="Prrafodelista"/>
        <w:numPr>
          <w:ilvl w:val="0"/>
          <w:numId w:val="12"/>
        </w:numPr>
        <w:spacing w:after="360"/>
        <w:ind w:left="714" w:hanging="357"/>
        <w:jc w:val="both"/>
        <w:rPr>
          <w:rFonts w:ascii="ITC Avant Garde" w:hAnsi="ITC Avant Garde"/>
          <w:sz w:val="22"/>
          <w:szCs w:val="22"/>
        </w:rPr>
      </w:pPr>
      <w:r w:rsidRPr="00846B42">
        <w:rPr>
          <w:rFonts w:ascii="ITC Avant Garde" w:hAnsi="ITC Avant Garde"/>
          <w:sz w:val="22"/>
          <w:szCs w:val="22"/>
        </w:rPr>
        <w:t>Los partidos de semifinal y final del torneo de liga de la Primera División organizado por la F</w:t>
      </w:r>
      <w:r w:rsidR="00180DA5">
        <w:rPr>
          <w:rFonts w:ascii="ITC Avant Garde" w:hAnsi="ITC Avant Garde"/>
          <w:sz w:val="22"/>
          <w:szCs w:val="22"/>
        </w:rPr>
        <w:t>ederación Mexicana de Fútbol, y</w:t>
      </w:r>
    </w:p>
    <w:p w14:paraId="6F7741B5" w14:textId="317368E4" w:rsidR="00EE3781" w:rsidRPr="00846B42" w:rsidRDefault="00EE3781" w:rsidP="00AA3F31">
      <w:pPr>
        <w:pStyle w:val="Prrafodelista"/>
        <w:numPr>
          <w:ilvl w:val="0"/>
          <w:numId w:val="12"/>
        </w:numPr>
        <w:jc w:val="both"/>
        <w:rPr>
          <w:rFonts w:ascii="ITC Avant Garde" w:hAnsi="ITC Avant Garde"/>
          <w:sz w:val="22"/>
          <w:szCs w:val="22"/>
        </w:rPr>
      </w:pPr>
      <w:r w:rsidRPr="00846B42">
        <w:rPr>
          <w:rFonts w:ascii="ITC Avant Garde" w:hAnsi="ITC Avant Garde"/>
          <w:sz w:val="22"/>
          <w:szCs w:val="22"/>
        </w:rPr>
        <w:t xml:space="preserve">Los partidos del </w:t>
      </w:r>
      <w:r w:rsidRPr="005262ED">
        <w:rPr>
          <w:rFonts w:ascii="ITC Avant Garde" w:hAnsi="ITC Avant Garde"/>
          <w:i/>
          <w:sz w:val="22"/>
          <w:szCs w:val="22"/>
        </w:rPr>
        <w:t>Super Bowl</w:t>
      </w:r>
      <w:r w:rsidRPr="00846B42">
        <w:rPr>
          <w:rFonts w:ascii="ITC Avant Garde" w:hAnsi="ITC Avant Garde"/>
          <w:sz w:val="22"/>
          <w:szCs w:val="22"/>
        </w:rPr>
        <w:t xml:space="preserve">, organizado por la </w:t>
      </w:r>
      <w:r w:rsidRPr="005262ED">
        <w:rPr>
          <w:rFonts w:ascii="ITC Avant Garde" w:hAnsi="ITC Avant Garde"/>
          <w:i/>
          <w:sz w:val="22"/>
          <w:szCs w:val="22"/>
        </w:rPr>
        <w:t>National Football League</w:t>
      </w:r>
      <w:r w:rsidRPr="00846B42">
        <w:rPr>
          <w:rFonts w:ascii="ITC Avant Garde" w:hAnsi="ITC Avant Garde"/>
          <w:sz w:val="22"/>
          <w:szCs w:val="22"/>
        </w:rPr>
        <w:t>, c</w:t>
      </w:r>
      <w:r w:rsidR="00180DA5">
        <w:rPr>
          <w:rFonts w:ascii="ITC Avant Garde" w:hAnsi="ITC Avant Garde"/>
          <w:sz w:val="22"/>
          <w:szCs w:val="22"/>
        </w:rPr>
        <w:t>onocida comúnmente como NFL.</w:t>
      </w:r>
    </w:p>
    <w:p w14:paraId="55427A81" w14:textId="77777777" w:rsidR="003B2E09" w:rsidRPr="003B2E09" w:rsidRDefault="003B2E09" w:rsidP="00D755E1">
      <w:pPr>
        <w:pStyle w:val="Ttulo4"/>
        <w:spacing w:before="480" w:after="480"/>
        <w:jc w:val="center"/>
        <w:rPr>
          <w:rFonts w:ascii="ITC Avant Garde" w:hAnsi="ITC Avant Garde"/>
          <w:b/>
          <w:i w:val="0"/>
          <w:color w:val="auto"/>
          <w:lang w:eastAsia="ar-SA"/>
        </w:rPr>
      </w:pPr>
      <w:r w:rsidRPr="003B2E09">
        <w:rPr>
          <w:rFonts w:ascii="ITC Avant Garde" w:hAnsi="ITC Avant Garde"/>
          <w:b/>
          <w:i w:val="0"/>
          <w:color w:val="auto"/>
          <w:lang w:eastAsia="ar-SA"/>
        </w:rPr>
        <w:t>TRANSITORIOS</w:t>
      </w:r>
    </w:p>
    <w:p w14:paraId="70180E9B" w14:textId="77777777" w:rsidR="003B2E09" w:rsidRDefault="003B2E09" w:rsidP="003B2E09">
      <w:pPr>
        <w:pStyle w:val="Texto"/>
        <w:spacing w:after="0" w:line="240" w:lineRule="auto"/>
        <w:ind w:firstLine="0"/>
        <w:rPr>
          <w:rFonts w:ascii="ITC Avant Garde" w:hAnsi="ITC Avant Garde"/>
          <w:color w:val="000000"/>
          <w:sz w:val="22"/>
          <w:szCs w:val="22"/>
          <w:lang w:eastAsia="en-US"/>
        </w:rPr>
      </w:pPr>
      <w:r w:rsidRPr="00846B42">
        <w:rPr>
          <w:rFonts w:ascii="ITC Avant Garde" w:hAnsi="ITC Avant Garde"/>
          <w:b/>
          <w:color w:val="000000"/>
          <w:sz w:val="22"/>
          <w:szCs w:val="22"/>
          <w:lang w:eastAsia="en-US"/>
        </w:rPr>
        <w:t>PRIMERO.-</w:t>
      </w:r>
      <w:r w:rsidRPr="00846B42">
        <w:rPr>
          <w:rFonts w:ascii="ITC Avant Garde" w:hAnsi="ITC Avant Garde"/>
          <w:color w:val="000000"/>
          <w:sz w:val="22"/>
          <w:szCs w:val="22"/>
          <w:lang w:eastAsia="en-US"/>
        </w:rPr>
        <w:t xml:space="preserve"> Se instruye a la Unidad de Medios y Contenidos Audiovisuales para que notifique el presente Acuerdo a los agentes económicos preponderantes en telecomunicaciones y en </w:t>
      </w:r>
      <w:r>
        <w:rPr>
          <w:rFonts w:ascii="ITC Avant Garde" w:hAnsi="ITC Avant Garde"/>
          <w:color w:val="000000"/>
          <w:sz w:val="22"/>
          <w:szCs w:val="22"/>
          <w:lang w:eastAsia="en-US"/>
        </w:rPr>
        <w:t>radiodifusión.</w:t>
      </w:r>
    </w:p>
    <w:p w14:paraId="0A48A668" w14:textId="77777777" w:rsidR="00AA3F31" w:rsidRDefault="003B2E09" w:rsidP="00AA3F31">
      <w:pPr>
        <w:pStyle w:val="Texto"/>
        <w:spacing w:after="360" w:line="240" w:lineRule="auto"/>
        <w:ind w:firstLine="0"/>
        <w:rPr>
          <w:rFonts w:ascii="ITC Avant Garde" w:hAnsi="ITC Avant Garde"/>
          <w:color w:val="000000"/>
          <w:sz w:val="22"/>
          <w:szCs w:val="22"/>
          <w:lang w:eastAsia="en-US"/>
        </w:rPr>
      </w:pPr>
      <w:r w:rsidRPr="00846B42">
        <w:rPr>
          <w:rFonts w:ascii="ITC Avant Garde" w:hAnsi="ITC Avant Garde"/>
          <w:b/>
          <w:color w:val="000000"/>
          <w:sz w:val="22"/>
          <w:szCs w:val="22"/>
          <w:lang w:eastAsia="en-US"/>
        </w:rPr>
        <w:lastRenderedPageBreak/>
        <w:t xml:space="preserve">SEGUNDO.- </w:t>
      </w:r>
      <w:r w:rsidRPr="00846B42">
        <w:rPr>
          <w:rFonts w:ascii="ITC Avant Garde" w:hAnsi="ITC Avant Garde"/>
          <w:color w:val="000000"/>
          <w:sz w:val="22"/>
          <w:szCs w:val="22"/>
          <w:lang w:eastAsia="en-US"/>
        </w:rPr>
        <w:t xml:space="preserve">En cumplimiento a los </w:t>
      </w:r>
      <w:r w:rsidRPr="00846B42">
        <w:rPr>
          <w:rFonts w:ascii="ITC Avant Garde" w:hAnsi="ITC Avant Garde"/>
          <w:kern w:val="2"/>
          <w:sz w:val="22"/>
          <w:szCs w:val="22"/>
          <w:lang w:eastAsia="ar-SA"/>
        </w:rPr>
        <w:t xml:space="preserve">artículos Segundo Transitorio del Anexo 4 de la </w:t>
      </w:r>
      <w:r>
        <w:rPr>
          <w:rFonts w:ascii="ITC Avant Garde" w:hAnsi="ITC Avant Garde"/>
          <w:kern w:val="2"/>
          <w:sz w:val="22"/>
          <w:szCs w:val="22"/>
          <w:lang w:eastAsia="ar-SA"/>
        </w:rPr>
        <w:t>r</w:t>
      </w:r>
      <w:r w:rsidRPr="00846B42">
        <w:rPr>
          <w:rFonts w:ascii="ITC Avant Garde" w:hAnsi="ITC Avant Garde"/>
          <w:kern w:val="2"/>
          <w:sz w:val="22"/>
          <w:szCs w:val="22"/>
          <w:lang w:eastAsia="ar-SA"/>
        </w:rPr>
        <w:t xml:space="preserve">esolución </w:t>
      </w:r>
      <w:r w:rsidRPr="005262ED">
        <w:rPr>
          <w:rFonts w:ascii="ITC Avant Garde" w:hAnsi="ITC Avant Garde"/>
          <w:kern w:val="2"/>
          <w:sz w:val="22"/>
          <w:szCs w:val="22"/>
          <w:lang w:eastAsia="ar-SA"/>
        </w:rPr>
        <w:t>P/IFT/EXT/060314/76</w:t>
      </w:r>
      <w:r w:rsidRPr="00846B42">
        <w:rPr>
          <w:rFonts w:ascii="ITC Avant Garde" w:hAnsi="ITC Avant Garde"/>
          <w:kern w:val="2"/>
          <w:sz w:val="22"/>
          <w:szCs w:val="22"/>
          <w:lang w:eastAsia="ar-SA"/>
        </w:rPr>
        <w:t xml:space="preserve"> y Tercero Transitorio del Anexo 1 de la </w:t>
      </w:r>
      <w:r>
        <w:rPr>
          <w:rFonts w:ascii="ITC Avant Garde" w:hAnsi="ITC Avant Garde"/>
          <w:kern w:val="2"/>
          <w:sz w:val="22"/>
          <w:szCs w:val="22"/>
          <w:lang w:eastAsia="ar-SA"/>
        </w:rPr>
        <w:t>r</w:t>
      </w:r>
      <w:r w:rsidRPr="00846B42">
        <w:rPr>
          <w:rFonts w:ascii="ITC Avant Garde" w:hAnsi="ITC Avant Garde"/>
          <w:kern w:val="2"/>
          <w:sz w:val="22"/>
          <w:szCs w:val="22"/>
          <w:lang w:eastAsia="ar-SA"/>
        </w:rPr>
        <w:t xml:space="preserve">esolución </w:t>
      </w:r>
      <w:r w:rsidRPr="005262ED">
        <w:rPr>
          <w:rFonts w:ascii="ITC Avant Garde" w:hAnsi="ITC Avant Garde"/>
          <w:kern w:val="2"/>
          <w:sz w:val="22"/>
          <w:szCs w:val="22"/>
          <w:lang w:eastAsia="ar-SA"/>
        </w:rPr>
        <w:t>P/IFT/EXT/060314/77</w:t>
      </w:r>
      <w:r w:rsidRPr="00846B42">
        <w:rPr>
          <w:rFonts w:ascii="ITC Avant Garde" w:hAnsi="ITC Avant Garde"/>
          <w:kern w:val="2"/>
          <w:sz w:val="22"/>
          <w:szCs w:val="22"/>
          <w:lang w:eastAsia="ar-SA"/>
        </w:rPr>
        <w:t xml:space="preserve">, publíquese </w:t>
      </w:r>
      <w:r w:rsidRPr="00846B42">
        <w:rPr>
          <w:rFonts w:ascii="ITC Avant Garde" w:hAnsi="ITC Avant Garde"/>
          <w:color w:val="000000"/>
          <w:sz w:val="22"/>
          <w:szCs w:val="22"/>
          <w:lang w:eastAsia="en-US"/>
        </w:rPr>
        <w:t>el presente Acuerdo</w:t>
      </w:r>
      <w:r w:rsidRPr="00846B42">
        <w:rPr>
          <w:rFonts w:ascii="ITC Avant Garde" w:eastAsia="Calibri" w:hAnsi="ITC Avant Garde" w:cs="Times New Roman"/>
          <w:kern w:val="2"/>
          <w:sz w:val="22"/>
          <w:szCs w:val="22"/>
          <w:lang w:val="es-MX" w:eastAsia="ar-SA"/>
        </w:rPr>
        <w:t xml:space="preserve"> </w:t>
      </w:r>
      <w:r w:rsidRPr="00846B42">
        <w:rPr>
          <w:rFonts w:ascii="ITC Avant Garde" w:hAnsi="ITC Avant Garde"/>
          <w:color w:val="000000"/>
          <w:sz w:val="22"/>
          <w:szCs w:val="22"/>
          <w:lang w:eastAsia="en-US"/>
        </w:rPr>
        <w:t>en el sitio electrónico del Instituto.</w:t>
      </w:r>
    </w:p>
    <w:p w14:paraId="59493D6D" w14:textId="510DC542" w:rsidR="004061F7" w:rsidRPr="00AA3F31" w:rsidRDefault="004061F7" w:rsidP="00AA3F31">
      <w:pPr>
        <w:pStyle w:val="Texto"/>
        <w:spacing w:after="240" w:line="240" w:lineRule="auto"/>
        <w:ind w:firstLine="0"/>
        <w:rPr>
          <w:rFonts w:ascii="ITC Avant Garde" w:hAnsi="ITC Avant Garde"/>
          <w:sz w:val="14"/>
        </w:rPr>
      </w:pPr>
      <w:r w:rsidRPr="001367AD">
        <w:rPr>
          <w:rFonts w:ascii="ITC Avant Garde" w:hAnsi="ITC Avant Garde"/>
          <w:sz w:val="14"/>
        </w:rPr>
        <w:t xml:space="preserve">El presente Acuerdo fue aprobado por el Pleno del Instituto Federal de Telecomunicaciones en su XXXIV Sesión Ordinaria celebrada el 14 de noviembre de 2018, </w:t>
      </w:r>
      <w:r w:rsidRPr="001367AD">
        <w:rPr>
          <w:rFonts w:ascii="ITC Avant Garde" w:hAnsi="ITC Avant Garde"/>
          <w:bCs/>
          <w:sz w:val="14"/>
        </w:rPr>
        <w:t>por</w:t>
      </w:r>
      <w:r w:rsidRPr="001367AD">
        <w:rPr>
          <w:rFonts w:ascii="ITC Avant Garde" w:hAnsi="ITC Avant Garde"/>
          <w:sz w:val="14"/>
        </w:rPr>
        <w:t xml:space="preserve"> </w:t>
      </w:r>
      <w:r w:rsidRPr="001367AD">
        <w:rPr>
          <w:rFonts w:ascii="ITC Avant Garde" w:hAnsi="ITC Avant Garde"/>
          <w:bCs/>
          <w:sz w:val="14"/>
        </w:rPr>
        <w:t>mayoría</w:t>
      </w:r>
      <w:r w:rsidRPr="001367AD">
        <w:rPr>
          <w:rFonts w:ascii="ITC Avant Garde" w:hAnsi="ITC Avant Garde"/>
          <w:sz w:val="14"/>
        </w:rPr>
        <w:t xml:space="preserve"> de votos de los Comisionados Gabriel Oswaldo Contreras Saldívar, Mario Germán Fromow Rangel, Adolfo Cuevas Teja, Javier Juárez Mojica, Arturo Robles Rovalo y Sóstenes Díaz González; y con el </w:t>
      </w:r>
      <w:r w:rsidRPr="001367AD">
        <w:rPr>
          <w:rFonts w:ascii="ITC Avant Garde" w:hAnsi="ITC Avant Garde"/>
          <w:bCs/>
          <w:sz w:val="14"/>
        </w:rPr>
        <w:t>voto en contra de la Comisionada María Elena Estavillo Flores</w:t>
      </w:r>
      <w:r w:rsidRPr="001367AD">
        <w:rPr>
          <w:rFonts w:ascii="ITC Avant Garde" w:hAnsi="ITC Avant Garde"/>
          <w:sz w:val="14"/>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P/IFT/141118/706.</w:t>
      </w:r>
    </w:p>
    <w:p w14:paraId="69C669E5" w14:textId="77777777" w:rsidR="004061F7" w:rsidRPr="00846B42" w:rsidRDefault="004061F7" w:rsidP="004061F7">
      <w:pPr>
        <w:spacing w:after="0" w:line="240" w:lineRule="auto"/>
        <w:jc w:val="both"/>
        <w:rPr>
          <w:rFonts w:ascii="ITC Avant Garde" w:hAnsi="ITC Avant Garde"/>
        </w:rPr>
      </w:pPr>
      <w:r w:rsidRPr="001367AD">
        <w:rPr>
          <w:rFonts w:ascii="ITC Avant Garde" w:hAnsi="ITC Avant Garde" w:cs="Calibri"/>
          <w:sz w:val="14"/>
          <w:lang w:eastAsia="es-MX"/>
        </w:rPr>
        <w:t>El Comisionado Javier Juárez Mojica asistió, participó y emitió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p>
    <w:sectPr w:rsidR="004061F7" w:rsidRPr="00846B42" w:rsidSect="00706BB9">
      <w:headerReference w:type="even" r:id="rId16"/>
      <w:footerReference w:type="default" r:id="rId17"/>
      <w:headerReference w:type="first" r:id="rId18"/>
      <w:pgSz w:w="12240" w:h="15840"/>
      <w:pgMar w:top="215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8002A" w14:textId="77777777" w:rsidR="00333EB2" w:rsidRDefault="00333EB2" w:rsidP="00CC66C4">
      <w:pPr>
        <w:spacing w:after="0" w:line="240" w:lineRule="auto"/>
      </w:pPr>
      <w:r>
        <w:separator/>
      </w:r>
    </w:p>
  </w:endnote>
  <w:endnote w:type="continuationSeparator" w:id="0">
    <w:p w14:paraId="3A25B83E" w14:textId="77777777" w:rsidR="00333EB2" w:rsidRDefault="00333EB2" w:rsidP="00CC66C4">
      <w:pPr>
        <w:spacing w:after="0" w:line="240" w:lineRule="auto"/>
      </w:pPr>
      <w:r>
        <w:continuationSeparator/>
      </w:r>
    </w:p>
  </w:endnote>
  <w:endnote w:type="continuationNotice" w:id="1">
    <w:p w14:paraId="011C0E2E" w14:textId="77777777" w:rsidR="00333EB2" w:rsidRDefault="00333E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Avant Garde">
    <w:altName w:val="Calibri"/>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24B34" w14:textId="128605FA" w:rsidR="00E91637" w:rsidRPr="00CE61F7" w:rsidRDefault="00E91637" w:rsidP="00567BD4">
    <w:pPr>
      <w:pStyle w:val="Piedepgina"/>
      <w:jc w:val="center"/>
      <w:rPr>
        <w:rFonts w:ascii="ITC Avant Garde" w:hAnsi="ITC Avant Garde"/>
        <w:sz w:val="14"/>
        <w:szCs w:val="14"/>
      </w:rPr>
    </w:pPr>
    <w:r w:rsidRPr="00CE61F7">
      <w:rPr>
        <w:rFonts w:ascii="ITC Avant Garde" w:hAnsi="ITC Avant Garde"/>
        <w:sz w:val="14"/>
        <w:szCs w:val="14"/>
      </w:rPr>
      <w:fldChar w:fldCharType="begin"/>
    </w:r>
    <w:r w:rsidRPr="00CE61F7">
      <w:rPr>
        <w:rFonts w:ascii="ITC Avant Garde" w:hAnsi="ITC Avant Garde"/>
        <w:sz w:val="14"/>
        <w:szCs w:val="14"/>
      </w:rPr>
      <w:instrText xml:space="preserve"> PAGE </w:instrText>
    </w:r>
    <w:r w:rsidRPr="00CE61F7">
      <w:rPr>
        <w:rFonts w:ascii="ITC Avant Garde" w:hAnsi="ITC Avant Garde"/>
        <w:sz w:val="14"/>
        <w:szCs w:val="14"/>
      </w:rPr>
      <w:fldChar w:fldCharType="separate"/>
    </w:r>
    <w:r w:rsidR="006B1E86">
      <w:rPr>
        <w:rFonts w:ascii="ITC Avant Garde" w:hAnsi="ITC Avant Garde"/>
        <w:noProof/>
        <w:sz w:val="14"/>
        <w:szCs w:val="14"/>
      </w:rPr>
      <w:t>10</w:t>
    </w:r>
    <w:r w:rsidRPr="00CE61F7">
      <w:rPr>
        <w:rFonts w:ascii="ITC Avant Garde" w:hAnsi="ITC Avant Garde"/>
        <w:sz w:val="14"/>
        <w:szCs w:val="14"/>
      </w:rPr>
      <w:fldChar w:fldCharType="end"/>
    </w:r>
    <w:r w:rsidRPr="00CE61F7">
      <w:rPr>
        <w:rFonts w:ascii="ITC Avant Garde" w:hAnsi="ITC Avant Garde"/>
        <w:sz w:val="14"/>
        <w:szCs w:val="14"/>
      </w:rPr>
      <w:t xml:space="preserve"> de </w:t>
    </w:r>
    <w:r w:rsidRPr="00CE61F7">
      <w:rPr>
        <w:rFonts w:ascii="ITC Avant Garde" w:hAnsi="ITC Avant Garde"/>
        <w:sz w:val="14"/>
        <w:szCs w:val="14"/>
      </w:rPr>
      <w:fldChar w:fldCharType="begin"/>
    </w:r>
    <w:r w:rsidRPr="00CE61F7">
      <w:rPr>
        <w:rFonts w:ascii="ITC Avant Garde" w:hAnsi="ITC Avant Garde"/>
        <w:sz w:val="14"/>
        <w:szCs w:val="14"/>
      </w:rPr>
      <w:instrText xml:space="preserve"> NUMPAGES </w:instrText>
    </w:r>
    <w:r w:rsidRPr="00CE61F7">
      <w:rPr>
        <w:rFonts w:ascii="ITC Avant Garde" w:hAnsi="ITC Avant Garde"/>
        <w:sz w:val="14"/>
        <w:szCs w:val="14"/>
      </w:rPr>
      <w:fldChar w:fldCharType="separate"/>
    </w:r>
    <w:r w:rsidR="006B1E86">
      <w:rPr>
        <w:rFonts w:ascii="ITC Avant Garde" w:hAnsi="ITC Avant Garde"/>
        <w:noProof/>
        <w:sz w:val="14"/>
        <w:szCs w:val="14"/>
      </w:rPr>
      <w:t>13</w:t>
    </w:r>
    <w:r w:rsidRPr="00CE61F7">
      <w:rPr>
        <w:rFonts w:ascii="ITC Avant Garde" w:hAnsi="ITC Avant Garde"/>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B4302" w14:textId="77777777" w:rsidR="00333EB2" w:rsidRDefault="00333EB2" w:rsidP="00CC66C4">
      <w:pPr>
        <w:spacing w:after="0" w:line="240" w:lineRule="auto"/>
      </w:pPr>
      <w:r>
        <w:separator/>
      </w:r>
    </w:p>
  </w:footnote>
  <w:footnote w:type="continuationSeparator" w:id="0">
    <w:p w14:paraId="23B0E605" w14:textId="77777777" w:rsidR="00333EB2" w:rsidRDefault="00333EB2" w:rsidP="00CC66C4">
      <w:pPr>
        <w:spacing w:after="0" w:line="240" w:lineRule="auto"/>
      </w:pPr>
      <w:r>
        <w:continuationSeparator/>
      </w:r>
    </w:p>
  </w:footnote>
  <w:footnote w:type="continuationNotice" w:id="1">
    <w:p w14:paraId="28F8BDD3" w14:textId="77777777" w:rsidR="00333EB2" w:rsidRDefault="00333EB2">
      <w:pPr>
        <w:spacing w:after="0" w:line="240" w:lineRule="auto"/>
      </w:pPr>
    </w:p>
  </w:footnote>
  <w:footnote w:id="2">
    <w:p w14:paraId="171E9A2D" w14:textId="6232C07D" w:rsidR="00202DF9" w:rsidRPr="00846B42" w:rsidRDefault="00202DF9" w:rsidP="005B5420">
      <w:pPr>
        <w:spacing w:after="240" w:line="240" w:lineRule="auto"/>
        <w:jc w:val="both"/>
        <w:rPr>
          <w:rFonts w:ascii="ITC Avant Garde" w:hAnsi="ITC Avant Garde"/>
          <w:sz w:val="14"/>
        </w:rPr>
      </w:pPr>
      <w:r w:rsidRPr="00724F29">
        <w:rPr>
          <w:rStyle w:val="Refdenotaalpie"/>
          <w:rFonts w:ascii="Century Gothic" w:hAnsi="Century Gothic"/>
          <w:sz w:val="20"/>
        </w:rPr>
        <w:footnoteRef/>
      </w:r>
      <w:r w:rsidRPr="00724F29">
        <w:rPr>
          <w:rFonts w:ascii="Century Gothic" w:hAnsi="Century Gothic"/>
          <w:sz w:val="20"/>
        </w:rPr>
        <w:t xml:space="preserve"> </w:t>
      </w:r>
      <w:r w:rsidRPr="00846B42">
        <w:rPr>
          <w:rFonts w:ascii="ITC Avant Garde" w:hAnsi="ITC Avant Garde"/>
          <w:sz w:val="14"/>
        </w:rPr>
        <w:t>El Instituto contrató a la empresa Nielsen IBOPE México, que es la única empresa en el país que realiza mediciones de audiencia mediante “</w:t>
      </w:r>
      <w:r w:rsidR="00D17791">
        <w:rPr>
          <w:rFonts w:ascii="ITC Avant Garde" w:hAnsi="ITC Avant Garde"/>
          <w:i/>
          <w:sz w:val="14"/>
        </w:rPr>
        <w:t>p</w:t>
      </w:r>
      <w:r w:rsidRPr="005262ED">
        <w:rPr>
          <w:rFonts w:ascii="ITC Avant Garde" w:hAnsi="ITC Avant Garde"/>
          <w:i/>
          <w:sz w:val="14"/>
        </w:rPr>
        <w:t>eople meters</w:t>
      </w:r>
      <w:r w:rsidRPr="00846B42">
        <w:rPr>
          <w:rFonts w:ascii="ITC Avant Garde" w:hAnsi="ITC Avant Garde"/>
          <w:sz w:val="14"/>
        </w:rPr>
        <w:t xml:space="preserve">” y posee información histórica, que consisten en microcomputadoras instaladas en los televisores de un panel de tecnologías seleccionado en forma aleatoria, probabilística y estratificadamente. Nielsen, que se fusionó en México con IBOPE de México, es una de las más grandes empresas medidoras de audiencias en el mundo, con presencia en África, Asia, América del Norte, América Latina, Europa y Medio Oriente, y realiza mediciones de audiencia en medios, en cuando menos 81 países del mundo. Nielsen </w:t>
      </w:r>
      <w:r w:rsidR="00D17791">
        <w:rPr>
          <w:rFonts w:ascii="ITC Avant Garde" w:hAnsi="ITC Avant Garde"/>
          <w:sz w:val="14"/>
        </w:rPr>
        <w:t xml:space="preserve">Ibope México </w:t>
      </w:r>
      <w:r w:rsidRPr="00846B42">
        <w:rPr>
          <w:rFonts w:ascii="ITC Avant Garde" w:hAnsi="ITC Avant Garde"/>
          <w:sz w:val="14"/>
        </w:rPr>
        <w:t>utiliza diferentes sistemas de medición para cada uno de los medios (televisión, radio, Internet, prensa, redes sociales, etc.) siendo para la televisión el más común el del “</w:t>
      </w:r>
      <w:r w:rsidRPr="005262ED">
        <w:rPr>
          <w:rFonts w:ascii="ITC Avant Garde" w:hAnsi="ITC Avant Garde"/>
          <w:i/>
          <w:sz w:val="14"/>
        </w:rPr>
        <w:t>people meter</w:t>
      </w:r>
      <w:r w:rsidRPr="00846B42">
        <w:rPr>
          <w:rFonts w:ascii="ITC Avant Garde" w:hAnsi="ITC Avant Garde"/>
          <w:sz w:val="14"/>
        </w:rPr>
        <w:t>”, ya que permite registrar si el televisor está encendido, qué canal o señal está sintonizando y cuál de los miembros del hogar o sus visitantes lo está viendo.</w:t>
      </w:r>
    </w:p>
    <w:p w14:paraId="78FCE2FE" w14:textId="1AFCBD3F" w:rsidR="00202DF9" w:rsidRPr="00846B42" w:rsidRDefault="00202DF9" w:rsidP="005B5420">
      <w:pPr>
        <w:spacing w:after="240" w:line="240" w:lineRule="auto"/>
        <w:jc w:val="both"/>
        <w:rPr>
          <w:rFonts w:ascii="ITC Avant Garde" w:hAnsi="ITC Avant Garde"/>
          <w:sz w:val="14"/>
        </w:rPr>
      </w:pPr>
      <w:r w:rsidRPr="00846B42">
        <w:rPr>
          <w:rFonts w:ascii="ITC Avant Garde" w:hAnsi="ITC Avant Garde"/>
          <w:sz w:val="14"/>
        </w:rPr>
        <w:t>El estudio que para la medición de Audiencias en Televisión realiza Nielsen IBOPE México, el cual como se ha apuntado, constituye una muestra representativa de la medición de audiencias a nivel nacional, cubre las ciudades de Acapulco, Aguascalientes, Área Metropolitana de la Ciudad de México, Chihuahua, Ciudad Juárez, Coatzacoalcos, Cuernavaca, Culiacán, Durango, Guadalajara, Hermosillo, León, Mexicali, Mérida, Monterrey, Morelia, Oaxaca, Puebla, Querétaro, Saltillo, San Luis Potosí, Tampico, Tijuana, Toluca, Torreón, Tuxtla Gutiérrez, Veracruz y Villahermosa.</w:t>
      </w:r>
    </w:p>
    <w:p w14:paraId="5D0F431F" w14:textId="6BE81972" w:rsidR="00202DF9" w:rsidRPr="00724F29" w:rsidRDefault="00202DF9" w:rsidP="00202DF9">
      <w:pPr>
        <w:spacing w:after="0" w:line="240" w:lineRule="auto"/>
        <w:jc w:val="both"/>
        <w:rPr>
          <w:rFonts w:ascii="Century Gothic" w:hAnsi="Century Gothic" w:cs="Arial"/>
          <w:sz w:val="14"/>
          <w:szCs w:val="14"/>
        </w:rPr>
      </w:pPr>
      <w:r w:rsidRPr="00846B42">
        <w:rPr>
          <w:rFonts w:ascii="ITC Avant Garde" w:hAnsi="ITC Avant Garde" w:cs="Arial"/>
          <w:sz w:val="14"/>
          <w:szCs w:val="14"/>
        </w:rPr>
        <w:t>Esto permite obtener estimadores, tanto totales como desagregados, para las tres áre</w:t>
      </w:r>
      <w:r w:rsidR="00B54B95" w:rsidRPr="00846B42">
        <w:rPr>
          <w:rFonts w:ascii="ITC Avant Garde" w:hAnsi="ITC Avant Garde" w:cs="Arial"/>
          <w:sz w:val="14"/>
          <w:szCs w:val="14"/>
        </w:rPr>
        <w:t>as metropolitanas principales –</w:t>
      </w:r>
      <w:r w:rsidRPr="00846B42">
        <w:rPr>
          <w:rFonts w:ascii="ITC Avant Garde" w:hAnsi="ITC Avant Garde" w:cs="Arial"/>
          <w:sz w:val="14"/>
          <w:szCs w:val="14"/>
        </w:rPr>
        <w:t>México, Guadalajara y Monterrey</w:t>
      </w:r>
      <w:r w:rsidR="00B54B95" w:rsidRPr="009E4A53">
        <w:rPr>
          <w:rFonts w:ascii="ITC Avant Garde" w:hAnsi="ITC Avant Garde" w:cs="Arial"/>
          <w:sz w:val="14"/>
          <w:szCs w:val="14"/>
        </w:rPr>
        <w:t>–</w:t>
      </w:r>
      <w:r w:rsidRPr="00846B42">
        <w:rPr>
          <w:rFonts w:ascii="ITC Avant Garde" w:hAnsi="ITC Avant Garde" w:cs="Arial"/>
          <w:sz w:val="14"/>
          <w:szCs w:val="14"/>
        </w:rPr>
        <w:t>, al igual que para el conjunto de las 25 localidades restantes.</w:t>
      </w:r>
    </w:p>
  </w:footnote>
  <w:footnote w:id="3">
    <w:p w14:paraId="12B7D99D" w14:textId="77777777" w:rsidR="000B0414" w:rsidRDefault="000B0414" w:rsidP="000B0414">
      <w:pPr>
        <w:pStyle w:val="Textonotapie"/>
        <w:jc w:val="both"/>
      </w:pPr>
      <w:r w:rsidRPr="00724F29">
        <w:rPr>
          <w:rStyle w:val="Refdenotaalpie"/>
          <w:rFonts w:ascii="Century Gothic" w:hAnsi="Century Gothic" w:cs="Arial"/>
          <w:sz w:val="14"/>
          <w:szCs w:val="14"/>
        </w:rPr>
        <w:footnoteRef/>
      </w:r>
      <w:r w:rsidRPr="00724F29">
        <w:rPr>
          <w:rFonts w:ascii="Century Gothic" w:hAnsi="Century Gothic" w:cs="Arial"/>
          <w:sz w:val="14"/>
          <w:szCs w:val="14"/>
        </w:rPr>
        <w:t xml:space="preserve"> Nielsen IBOPE México en su página electrónica https://www.ibopeagb.com.mx/preguntas.php responde a la pregunta ¿Qué es el </w:t>
      </w:r>
      <w:r w:rsidRPr="005262ED">
        <w:rPr>
          <w:rFonts w:ascii="Century Gothic" w:hAnsi="Century Gothic" w:cs="Arial"/>
          <w:i/>
          <w:sz w:val="14"/>
          <w:szCs w:val="14"/>
        </w:rPr>
        <w:t>rating</w:t>
      </w:r>
      <w:r w:rsidRPr="00724F29">
        <w:rPr>
          <w:rFonts w:ascii="Century Gothic" w:hAnsi="Century Gothic" w:cs="Arial"/>
          <w:sz w:val="14"/>
          <w:szCs w:val="14"/>
        </w:rPr>
        <w:t xml:space="preserve">? de la siguiente manera: “El </w:t>
      </w:r>
      <w:r w:rsidRPr="005262ED">
        <w:rPr>
          <w:rFonts w:ascii="Century Gothic" w:hAnsi="Century Gothic" w:cs="Arial"/>
          <w:i/>
          <w:sz w:val="14"/>
          <w:szCs w:val="14"/>
        </w:rPr>
        <w:t>rating</w:t>
      </w:r>
      <w:r w:rsidRPr="00724F29">
        <w:rPr>
          <w:rFonts w:ascii="Century Gothic" w:hAnsi="Century Gothic" w:cs="Arial"/>
          <w:sz w:val="14"/>
          <w:szCs w:val="14"/>
        </w:rPr>
        <w:t xml:space="preserve"> es la proporción de personas que están expuestas a un medio en un momento determinado. El </w:t>
      </w:r>
      <w:r w:rsidRPr="005262ED">
        <w:rPr>
          <w:rFonts w:ascii="Century Gothic" w:hAnsi="Century Gothic" w:cs="Arial"/>
          <w:i/>
          <w:sz w:val="14"/>
          <w:szCs w:val="14"/>
        </w:rPr>
        <w:t>rating</w:t>
      </w:r>
      <w:r w:rsidRPr="00724F29">
        <w:rPr>
          <w:rFonts w:ascii="Century Gothic" w:hAnsi="Century Gothic" w:cs="Arial"/>
          <w:sz w:val="14"/>
          <w:szCs w:val="14"/>
        </w:rPr>
        <w:t xml:space="preserve"> es un valor que ayuda a evaluar las audiencias de diferentes programas y es utilizado principalmente en TV y radio”</w:t>
      </w:r>
    </w:p>
  </w:footnote>
  <w:footnote w:id="4">
    <w:p w14:paraId="30425A6C" w14:textId="2554653F" w:rsidR="000B0414" w:rsidRPr="00724F29" w:rsidRDefault="000B0414" w:rsidP="00AA3F31">
      <w:pPr>
        <w:pStyle w:val="Textonotapie"/>
        <w:spacing w:after="240"/>
        <w:jc w:val="both"/>
        <w:rPr>
          <w:rFonts w:ascii="Century Gothic" w:hAnsi="Century Gothic"/>
          <w:sz w:val="14"/>
          <w:szCs w:val="14"/>
        </w:rPr>
      </w:pPr>
      <w:r w:rsidRPr="00724F29">
        <w:rPr>
          <w:rStyle w:val="Refdenotaalpie"/>
          <w:rFonts w:ascii="Century Gothic" w:hAnsi="Century Gothic"/>
          <w:sz w:val="14"/>
          <w:szCs w:val="14"/>
        </w:rPr>
        <w:footnoteRef/>
      </w:r>
      <w:r w:rsidRPr="00724F29">
        <w:rPr>
          <w:rFonts w:ascii="Century Gothic" w:hAnsi="Century Gothic"/>
          <w:sz w:val="14"/>
          <w:szCs w:val="14"/>
        </w:rPr>
        <w:t xml:space="preserve"> El calificativo “simultáneamente” puede entenderse de la manera estrecha, cuando los contenidos se presentan en las mismas franjas horarias del mismo día por diferentes canales, lo que sucede más frecuentemente en el caso de los noticieros y telenovelas, o bien de una manera más laxa cuando se trata de contenidos que se presentan en franjas horarias cercanas el mismo día o en días diferentes, lo que ocurre en el caso de las series.</w:t>
      </w:r>
    </w:p>
  </w:footnote>
  <w:footnote w:id="5">
    <w:p w14:paraId="7C93AAA9" w14:textId="77777777" w:rsidR="000B0414" w:rsidRPr="003E679A" w:rsidRDefault="000B0414" w:rsidP="000B0414">
      <w:pPr>
        <w:pStyle w:val="Textonotapie"/>
        <w:jc w:val="both"/>
        <w:rPr>
          <w:sz w:val="14"/>
        </w:rPr>
      </w:pPr>
      <w:r w:rsidRPr="00724F29">
        <w:rPr>
          <w:rStyle w:val="Refdenotaalpie"/>
          <w:rFonts w:ascii="Century Gothic" w:hAnsi="Century Gothic"/>
          <w:sz w:val="14"/>
          <w:szCs w:val="14"/>
        </w:rPr>
        <w:footnoteRef/>
      </w:r>
      <w:r w:rsidRPr="00724F29">
        <w:rPr>
          <w:rFonts w:ascii="Century Gothic" w:hAnsi="Century Gothic"/>
          <w:sz w:val="14"/>
          <w:szCs w:val="14"/>
        </w:rPr>
        <w:t xml:space="preserve"> Se seleccionaron los contenidos que quedan por encima de la suma del promedio simple más una desviación estándar, en dos ocasiones, como se describió, con el objeto de obtener los contenidos audiovisuales con el mayor nivel de audiencia entre aquellos con un alto nivel de audiencia, a efecto de identificar aquellos que puedan representar un riesgo de desplazamiento o de impedir el acceso a otros agentes económicos. Es decir, el método utilizado es estadísticamente válido y adecuado para lograr el fin de las medidas impuestas a los agentes económicos preponderantes en los sectores de telecomunicaciones y radiodifusión.</w:t>
      </w:r>
    </w:p>
  </w:footnote>
  <w:footnote w:id="6">
    <w:p w14:paraId="52DFDFD0" w14:textId="58B8E942" w:rsidR="000B0414" w:rsidRPr="00724F29" w:rsidRDefault="000B0414" w:rsidP="00AA3F31">
      <w:pPr>
        <w:pStyle w:val="Textonotapie"/>
        <w:spacing w:after="240"/>
        <w:jc w:val="both"/>
        <w:rPr>
          <w:rFonts w:ascii="Century Gothic" w:hAnsi="Century Gothic"/>
          <w:sz w:val="14"/>
          <w:szCs w:val="14"/>
        </w:rPr>
      </w:pPr>
      <w:r w:rsidRPr="00724F29">
        <w:rPr>
          <w:rStyle w:val="Refdenotaalpie"/>
          <w:rFonts w:ascii="Century Gothic" w:hAnsi="Century Gothic"/>
          <w:sz w:val="14"/>
          <w:szCs w:val="14"/>
        </w:rPr>
        <w:footnoteRef/>
      </w:r>
      <w:r w:rsidRPr="00724F29">
        <w:rPr>
          <w:rFonts w:ascii="Century Gothic" w:hAnsi="Century Gothic"/>
          <w:sz w:val="14"/>
          <w:szCs w:val="14"/>
        </w:rPr>
        <w:t xml:space="preserve"> En las resoluciones P/IFT/EXT/060314/76 y P/IFT/EXT/060314/77 se señaló que podrían considerarse como Contenidos Audiovisuales Relevantes los “</w:t>
      </w:r>
      <w:r w:rsidRPr="005262ED">
        <w:rPr>
          <w:rFonts w:ascii="Century Gothic" w:hAnsi="Century Gothic"/>
          <w:i/>
          <w:sz w:val="14"/>
          <w:szCs w:val="14"/>
        </w:rPr>
        <w:t>play offs</w:t>
      </w:r>
      <w:r w:rsidRPr="00724F29">
        <w:rPr>
          <w:rFonts w:ascii="Century Gothic" w:hAnsi="Century Gothic"/>
          <w:sz w:val="14"/>
          <w:szCs w:val="14"/>
        </w:rPr>
        <w:t>” de la liga mexicana de béisbol del Pacífico, no obstante, ello, del análisis realizado por la UMCA se desprende que estos obtuvieron bajos niveles de audiencia en los partidos transmitidos por televisión abierta en Monterrey, NL., única ciudad con información disponible desagregada en la que se identificó este contenido. Asimismo, dado que en su mayoría son transmitidos únicamente por concesionarios de televisión restringida, se concluye que no pueden ser identificados en este momento como Contenidos Audiovisuales Relevantes.</w:t>
      </w:r>
    </w:p>
  </w:footnote>
  <w:footnote w:id="7">
    <w:p w14:paraId="7199FE6F" w14:textId="7AB0229B" w:rsidR="000B0414" w:rsidRDefault="000B0414" w:rsidP="000B0414">
      <w:pPr>
        <w:pStyle w:val="Textonotapie"/>
        <w:jc w:val="both"/>
      </w:pPr>
      <w:r w:rsidRPr="00724F29">
        <w:rPr>
          <w:rStyle w:val="Refdenotaalpie"/>
          <w:rFonts w:ascii="Century Gothic" w:hAnsi="Century Gothic"/>
          <w:sz w:val="14"/>
          <w:szCs w:val="14"/>
        </w:rPr>
        <w:footnoteRef/>
      </w:r>
      <w:r w:rsidRPr="00724F29">
        <w:rPr>
          <w:rFonts w:ascii="Century Gothic" w:hAnsi="Century Gothic"/>
          <w:sz w:val="14"/>
          <w:szCs w:val="14"/>
        </w:rPr>
        <w:t xml:space="preserve"> En las resoluciones P/IFT/EXT/060314/76 y P/IFT/EXT/060314/77 se señaló que podrían considerarse como Contenidos Audiovisuales Relevantes los</w:t>
      </w:r>
      <w:r>
        <w:rPr>
          <w:rFonts w:ascii="Century Gothic" w:hAnsi="Century Gothic"/>
          <w:sz w:val="14"/>
          <w:szCs w:val="14"/>
        </w:rPr>
        <w:t xml:space="preserve"> Juegos Olímpicos de Invierno do</w:t>
      </w:r>
      <w:r w:rsidRPr="00724F29">
        <w:rPr>
          <w:rFonts w:ascii="Century Gothic" w:hAnsi="Century Gothic"/>
          <w:sz w:val="14"/>
          <w:szCs w:val="14"/>
        </w:rPr>
        <w:t xml:space="preserve">nde participe un mexicano. Sin embargo, del análisis realizado por la UMCA se desprende que estos juegos tienen poca relevancia en las preferencias de las audiencias (menos de 1% de </w:t>
      </w:r>
      <w:r w:rsidRPr="005262ED">
        <w:rPr>
          <w:rFonts w:ascii="Century Gothic" w:hAnsi="Century Gothic"/>
          <w:i/>
          <w:sz w:val="14"/>
          <w:szCs w:val="14"/>
        </w:rPr>
        <w:t>rating</w:t>
      </w:r>
      <w:r w:rsidRPr="00724F29">
        <w:rPr>
          <w:rFonts w:ascii="Century Gothic" w:hAnsi="Century Gothic"/>
          <w:sz w:val="14"/>
          <w:szCs w:val="14"/>
        </w:rPr>
        <w:t>), se concluye que no pueden ser identificados en este momento como Contenidos Audiovisuales Relevantes.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B0BCA" w14:textId="77777777" w:rsidR="00E91637" w:rsidRDefault="00333EB2">
    <w:pPr>
      <w:pStyle w:val="Encabezado"/>
    </w:pPr>
    <w:r>
      <w:rPr>
        <w:noProof/>
        <w:lang w:eastAsia="es-MX"/>
      </w:rPr>
      <w:pict w14:anchorId="0130FC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1" type="#_x0000_t75" alt="hoja membretada s dir-01" style="position:absolute;margin-left:0;margin-top:0;width:612pt;height:11in;z-index:-251659776;mso-wrap-edited:f;mso-width-percent:0;mso-height-percent:0;mso-position-horizontal:center;mso-position-horizontal-relative:margin;mso-position-vertical:center;mso-position-vertical-relative:margin;mso-width-percent:0;mso-height-percent:0"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B5CDF" w14:textId="77777777" w:rsidR="00E91637" w:rsidRDefault="00333EB2">
    <w:pPr>
      <w:pStyle w:val="Encabezado"/>
    </w:pPr>
    <w:r>
      <w:rPr>
        <w:noProof/>
        <w:lang w:eastAsia="es-MX"/>
      </w:rPr>
      <w:pict w14:anchorId="6B3070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alt="hoja membretada s dir-01" style="position:absolute;margin-left:0;margin-top:0;width:612pt;height:11in;z-index:-251657728;mso-wrap-edited:f;mso-width-percent:0;mso-height-percent:0;mso-position-horizontal:center;mso-position-horizontal-relative:margin;mso-position-vertical:center;mso-position-vertical-relative:margin;mso-width-percent:0;mso-height-percent:0"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7"/>
    <w:multiLevelType w:val="multilevel"/>
    <w:tmpl w:val="C152236C"/>
    <w:name w:val="WWNum25"/>
    <w:lvl w:ilvl="0">
      <w:start w:val="1"/>
      <w:numFmt w:val="decimal"/>
      <w:lvlText w:val="%1."/>
      <w:lvlJc w:val="left"/>
      <w:pPr>
        <w:tabs>
          <w:tab w:val="num" w:pos="65"/>
        </w:tabs>
        <w:ind w:left="785" w:hanging="360"/>
      </w:pPr>
      <w:rPr>
        <w:b w:val="0"/>
        <w:sz w:val="23"/>
        <w:szCs w:val="23"/>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58F5BEB"/>
    <w:multiLevelType w:val="hybridMultilevel"/>
    <w:tmpl w:val="18E44F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336063"/>
    <w:multiLevelType w:val="hybridMultilevel"/>
    <w:tmpl w:val="E542974E"/>
    <w:lvl w:ilvl="0" w:tplc="080A000F">
      <w:start w:val="1"/>
      <w:numFmt w:val="decimal"/>
      <w:lvlText w:val="%1."/>
      <w:lvlJc w:val="left"/>
      <w:pPr>
        <w:ind w:left="1428" w:hanging="360"/>
      </w:pPr>
      <w:rPr>
        <w:rFont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 w15:restartNumberingAfterBreak="0">
    <w:nsid w:val="07806CC1"/>
    <w:multiLevelType w:val="hybridMultilevel"/>
    <w:tmpl w:val="62F49E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7D939B6"/>
    <w:multiLevelType w:val="hybridMultilevel"/>
    <w:tmpl w:val="2EBEA80C"/>
    <w:lvl w:ilvl="0" w:tplc="3ADEC6D4">
      <w:start w:val="1"/>
      <w:numFmt w:val="decimal"/>
      <w:lvlText w:val="%1."/>
      <w:lvlJc w:val="left"/>
      <w:pPr>
        <w:ind w:left="78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493131"/>
    <w:multiLevelType w:val="hybridMultilevel"/>
    <w:tmpl w:val="1410F1D8"/>
    <w:lvl w:ilvl="0" w:tplc="A1FE0A6E">
      <w:start w:val="1"/>
      <w:numFmt w:val="upperRoman"/>
      <w:lvlText w:val="%1."/>
      <w:lvlJc w:val="right"/>
      <w:pPr>
        <w:ind w:left="720" w:hanging="360"/>
      </w:pPr>
      <w:rPr>
        <w:rFonts w:ascii="ITC Avant Garde" w:eastAsia="Calibri" w:hAnsi="ITC Avant Garde" w:cs="Calibri"/>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C1B295A"/>
    <w:multiLevelType w:val="hybridMultilevel"/>
    <w:tmpl w:val="12268F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E836196"/>
    <w:multiLevelType w:val="hybridMultilevel"/>
    <w:tmpl w:val="2326CE6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9" w15:restartNumberingAfterBreak="0">
    <w:nsid w:val="174B3F76"/>
    <w:multiLevelType w:val="hybridMultilevel"/>
    <w:tmpl w:val="AE1255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D13B90"/>
    <w:multiLevelType w:val="hybridMultilevel"/>
    <w:tmpl w:val="691268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7121108"/>
    <w:multiLevelType w:val="hybridMultilevel"/>
    <w:tmpl w:val="3F646E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D4A2B06"/>
    <w:multiLevelType w:val="hybridMultilevel"/>
    <w:tmpl w:val="66380F02"/>
    <w:lvl w:ilvl="0" w:tplc="080A000F">
      <w:start w:val="1"/>
      <w:numFmt w:val="decimal"/>
      <w:lvlText w:val="%1."/>
      <w:lvlJc w:val="left"/>
      <w:pPr>
        <w:ind w:left="1428" w:hanging="360"/>
      </w:pPr>
      <w:rPr>
        <w:rFont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3" w15:restartNumberingAfterBreak="0">
    <w:nsid w:val="2FD24DF2"/>
    <w:multiLevelType w:val="hybridMultilevel"/>
    <w:tmpl w:val="C21E88EE"/>
    <w:lvl w:ilvl="0" w:tplc="5EAC8B62">
      <w:start w:val="1"/>
      <w:numFmt w:val="lowerLetter"/>
      <w:lvlText w:val="%1)"/>
      <w:lvlJc w:val="left"/>
      <w:pPr>
        <w:ind w:left="1428" w:hanging="360"/>
      </w:pPr>
      <w:rPr>
        <w:rFonts w:ascii="ITC Avant Garde Std Bk" w:eastAsiaTheme="minorHAnsi" w:hAnsi="ITC Avant Garde Std Bk" w:cstheme="minorBidi"/>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4" w15:restartNumberingAfterBreak="0">
    <w:nsid w:val="425B586C"/>
    <w:multiLevelType w:val="hybridMultilevel"/>
    <w:tmpl w:val="FA1ED1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39861F0"/>
    <w:multiLevelType w:val="hybridMultilevel"/>
    <w:tmpl w:val="A6605D0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41C259B"/>
    <w:multiLevelType w:val="hybridMultilevel"/>
    <w:tmpl w:val="DED641D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7" w15:restartNumberingAfterBreak="0">
    <w:nsid w:val="49B20070"/>
    <w:multiLevelType w:val="hybridMultilevel"/>
    <w:tmpl w:val="4C12E67C"/>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4A724E81"/>
    <w:multiLevelType w:val="hybridMultilevel"/>
    <w:tmpl w:val="50AEA03C"/>
    <w:lvl w:ilvl="0" w:tplc="C4C67504">
      <w:start w:val="1"/>
      <w:numFmt w:val="decimal"/>
      <w:lvlText w:val="%1."/>
      <w:lvlJc w:val="left"/>
      <w:pPr>
        <w:ind w:left="360" w:hanging="360"/>
      </w:pPr>
      <w:rPr>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4AB71D8D"/>
    <w:multiLevelType w:val="hybridMultilevel"/>
    <w:tmpl w:val="E65CF488"/>
    <w:lvl w:ilvl="0" w:tplc="080A0017">
      <w:start w:val="1"/>
      <w:numFmt w:val="lowerLetter"/>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0" w15:restartNumberingAfterBreak="0">
    <w:nsid w:val="51A2679F"/>
    <w:multiLevelType w:val="hybridMultilevel"/>
    <w:tmpl w:val="88BE84D2"/>
    <w:lvl w:ilvl="0" w:tplc="D14010D8">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54A52CC"/>
    <w:multiLevelType w:val="hybridMultilevel"/>
    <w:tmpl w:val="6C8E17B8"/>
    <w:lvl w:ilvl="0" w:tplc="080A000F">
      <w:start w:val="1"/>
      <w:numFmt w:val="decimal"/>
      <w:lvlText w:val="%1."/>
      <w:lvlJc w:val="left"/>
      <w:pPr>
        <w:ind w:left="1845" w:hanging="360"/>
      </w:pPr>
    </w:lvl>
    <w:lvl w:ilvl="1" w:tplc="080A0019" w:tentative="1">
      <w:start w:val="1"/>
      <w:numFmt w:val="lowerLetter"/>
      <w:lvlText w:val="%2."/>
      <w:lvlJc w:val="left"/>
      <w:pPr>
        <w:ind w:left="2565" w:hanging="360"/>
      </w:pPr>
    </w:lvl>
    <w:lvl w:ilvl="2" w:tplc="080A001B" w:tentative="1">
      <w:start w:val="1"/>
      <w:numFmt w:val="lowerRoman"/>
      <w:lvlText w:val="%3."/>
      <w:lvlJc w:val="right"/>
      <w:pPr>
        <w:ind w:left="3285" w:hanging="180"/>
      </w:pPr>
    </w:lvl>
    <w:lvl w:ilvl="3" w:tplc="080A000F" w:tentative="1">
      <w:start w:val="1"/>
      <w:numFmt w:val="decimal"/>
      <w:lvlText w:val="%4."/>
      <w:lvlJc w:val="left"/>
      <w:pPr>
        <w:ind w:left="4005" w:hanging="360"/>
      </w:pPr>
    </w:lvl>
    <w:lvl w:ilvl="4" w:tplc="080A0019" w:tentative="1">
      <w:start w:val="1"/>
      <w:numFmt w:val="lowerLetter"/>
      <w:lvlText w:val="%5."/>
      <w:lvlJc w:val="left"/>
      <w:pPr>
        <w:ind w:left="4725" w:hanging="360"/>
      </w:pPr>
    </w:lvl>
    <w:lvl w:ilvl="5" w:tplc="080A001B" w:tentative="1">
      <w:start w:val="1"/>
      <w:numFmt w:val="lowerRoman"/>
      <w:lvlText w:val="%6."/>
      <w:lvlJc w:val="right"/>
      <w:pPr>
        <w:ind w:left="5445" w:hanging="180"/>
      </w:pPr>
    </w:lvl>
    <w:lvl w:ilvl="6" w:tplc="080A000F" w:tentative="1">
      <w:start w:val="1"/>
      <w:numFmt w:val="decimal"/>
      <w:lvlText w:val="%7."/>
      <w:lvlJc w:val="left"/>
      <w:pPr>
        <w:ind w:left="6165" w:hanging="360"/>
      </w:pPr>
    </w:lvl>
    <w:lvl w:ilvl="7" w:tplc="080A0019" w:tentative="1">
      <w:start w:val="1"/>
      <w:numFmt w:val="lowerLetter"/>
      <w:lvlText w:val="%8."/>
      <w:lvlJc w:val="left"/>
      <w:pPr>
        <w:ind w:left="6885" w:hanging="360"/>
      </w:pPr>
    </w:lvl>
    <w:lvl w:ilvl="8" w:tplc="080A001B" w:tentative="1">
      <w:start w:val="1"/>
      <w:numFmt w:val="lowerRoman"/>
      <w:lvlText w:val="%9."/>
      <w:lvlJc w:val="right"/>
      <w:pPr>
        <w:ind w:left="7605" w:hanging="180"/>
      </w:pPr>
    </w:lvl>
  </w:abstractNum>
  <w:abstractNum w:abstractNumId="22" w15:restartNumberingAfterBreak="0">
    <w:nsid w:val="631C00C6"/>
    <w:multiLevelType w:val="hybridMultilevel"/>
    <w:tmpl w:val="FA1ED1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6453862"/>
    <w:multiLevelType w:val="hybridMultilevel"/>
    <w:tmpl w:val="F83239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96A5F57"/>
    <w:multiLevelType w:val="hybridMultilevel"/>
    <w:tmpl w:val="B588C7D6"/>
    <w:lvl w:ilvl="0" w:tplc="DAA0AA52">
      <w:start w:val="1"/>
      <w:numFmt w:val="bullet"/>
      <w:lvlText w:val="•"/>
      <w:lvlJc w:val="left"/>
      <w:pPr>
        <w:tabs>
          <w:tab w:val="num" w:pos="720"/>
        </w:tabs>
        <w:ind w:left="720" w:hanging="360"/>
      </w:pPr>
      <w:rPr>
        <w:rFonts w:ascii="Arial" w:hAnsi="Arial" w:hint="default"/>
      </w:rPr>
    </w:lvl>
    <w:lvl w:ilvl="1" w:tplc="9222C792">
      <w:start w:val="1"/>
      <w:numFmt w:val="bullet"/>
      <w:lvlText w:val="•"/>
      <w:lvlJc w:val="left"/>
      <w:pPr>
        <w:tabs>
          <w:tab w:val="num" w:pos="1440"/>
        </w:tabs>
        <w:ind w:left="1440" w:hanging="360"/>
      </w:pPr>
      <w:rPr>
        <w:rFonts w:ascii="Arial" w:hAnsi="Arial" w:hint="default"/>
      </w:rPr>
    </w:lvl>
    <w:lvl w:ilvl="2" w:tplc="CEB69C2C" w:tentative="1">
      <w:start w:val="1"/>
      <w:numFmt w:val="bullet"/>
      <w:lvlText w:val="•"/>
      <w:lvlJc w:val="left"/>
      <w:pPr>
        <w:tabs>
          <w:tab w:val="num" w:pos="2160"/>
        </w:tabs>
        <w:ind w:left="2160" w:hanging="360"/>
      </w:pPr>
      <w:rPr>
        <w:rFonts w:ascii="Arial" w:hAnsi="Arial" w:hint="default"/>
      </w:rPr>
    </w:lvl>
    <w:lvl w:ilvl="3" w:tplc="F0660010" w:tentative="1">
      <w:start w:val="1"/>
      <w:numFmt w:val="bullet"/>
      <w:lvlText w:val="•"/>
      <w:lvlJc w:val="left"/>
      <w:pPr>
        <w:tabs>
          <w:tab w:val="num" w:pos="2880"/>
        </w:tabs>
        <w:ind w:left="2880" w:hanging="360"/>
      </w:pPr>
      <w:rPr>
        <w:rFonts w:ascii="Arial" w:hAnsi="Arial" w:hint="default"/>
      </w:rPr>
    </w:lvl>
    <w:lvl w:ilvl="4" w:tplc="DACC4082" w:tentative="1">
      <w:start w:val="1"/>
      <w:numFmt w:val="bullet"/>
      <w:lvlText w:val="•"/>
      <w:lvlJc w:val="left"/>
      <w:pPr>
        <w:tabs>
          <w:tab w:val="num" w:pos="3600"/>
        </w:tabs>
        <w:ind w:left="3600" w:hanging="360"/>
      </w:pPr>
      <w:rPr>
        <w:rFonts w:ascii="Arial" w:hAnsi="Arial" w:hint="default"/>
      </w:rPr>
    </w:lvl>
    <w:lvl w:ilvl="5" w:tplc="1750D59C" w:tentative="1">
      <w:start w:val="1"/>
      <w:numFmt w:val="bullet"/>
      <w:lvlText w:val="•"/>
      <w:lvlJc w:val="left"/>
      <w:pPr>
        <w:tabs>
          <w:tab w:val="num" w:pos="4320"/>
        </w:tabs>
        <w:ind w:left="4320" w:hanging="360"/>
      </w:pPr>
      <w:rPr>
        <w:rFonts w:ascii="Arial" w:hAnsi="Arial" w:hint="default"/>
      </w:rPr>
    </w:lvl>
    <w:lvl w:ilvl="6" w:tplc="41E8EB3A" w:tentative="1">
      <w:start w:val="1"/>
      <w:numFmt w:val="bullet"/>
      <w:lvlText w:val="•"/>
      <w:lvlJc w:val="left"/>
      <w:pPr>
        <w:tabs>
          <w:tab w:val="num" w:pos="5040"/>
        </w:tabs>
        <w:ind w:left="5040" w:hanging="360"/>
      </w:pPr>
      <w:rPr>
        <w:rFonts w:ascii="Arial" w:hAnsi="Arial" w:hint="default"/>
      </w:rPr>
    </w:lvl>
    <w:lvl w:ilvl="7" w:tplc="A6A21C5C" w:tentative="1">
      <w:start w:val="1"/>
      <w:numFmt w:val="bullet"/>
      <w:lvlText w:val="•"/>
      <w:lvlJc w:val="left"/>
      <w:pPr>
        <w:tabs>
          <w:tab w:val="num" w:pos="5760"/>
        </w:tabs>
        <w:ind w:left="5760" w:hanging="360"/>
      </w:pPr>
      <w:rPr>
        <w:rFonts w:ascii="Arial" w:hAnsi="Arial" w:hint="default"/>
      </w:rPr>
    </w:lvl>
    <w:lvl w:ilvl="8" w:tplc="552C132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FB41374"/>
    <w:multiLevelType w:val="hybridMultilevel"/>
    <w:tmpl w:val="41966F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0C46CD9"/>
    <w:multiLevelType w:val="hybridMultilevel"/>
    <w:tmpl w:val="FA1ED1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628377A"/>
    <w:multiLevelType w:val="hybridMultilevel"/>
    <w:tmpl w:val="C21E88EE"/>
    <w:lvl w:ilvl="0" w:tplc="5EAC8B62">
      <w:start w:val="1"/>
      <w:numFmt w:val="lowerLetter"/>
      <w:lvlText w:val="%1)"/>
      <w:lvlJc w:val="left"/>
      <w:pPr>
        <w:ind w:left="1428" w:hanging="360"/>
      </w:pPr>
      <w:rPr>
        <w:rFonts w:ascii="ITC Avant Garde Std Bk" w:eastAsiaTheme="minorHAnsi" w:hAnsi="ITC Avant Garde Std Bk" w:cstheme="minorBidi"/>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8" w15:restartNumberingAfterBreak="0">
    <w:nsid w:val="78BA55B7"/>
    <w:multiLevelType w:val="hybridMultilevel"/>
    <w:tmpl w:val="1526C340"/>
    <w:lvl w:ilvl="0" w:tplc="080A000F">
      <w:start w:val="1"/>
      <w:numFmt w:val="decimal"/>
      <w:lvlText w:val="%1."/>
      <w:lvlJc w:val="left"/>
      <w:pPr>
        <w:ind w:left="1788" w:hanging="360"/>
      </w:p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29" w15:restartNumberingAfterBreak="0">
    <w:nsid w:val="7AD33C19"/>
    <w:multiLevelType w:val="hybridMultilevel"/>
    <w:tmpl w:val="41966F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B99027E"/>
    <w:multiLevelType w:val="hybridMultilevel"/>
    <w:tmpl w:val="58786382"/>
    <w:lvl w:ilvl="0" w:tplc="D8FE402C">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F81512D"/>
    <w:multiLevelType w:val="hybridMultilevel"/>
    <w:tmpl w:val="FA1ED1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6"/>
  </w:num>
  <w:num w:numId="4">
    <w:abstractNumId w:val="3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11"/>
  </w:num>
  <w:num w:numId="11">
    <w:abstractNumId w:val="4"/>
  </w:num>
  <w:num w:numId="12">
    <w:abstractNumId w:val="22"/>
  </w:num>
  <w:num w:numId="13">
    <w:abstractNumId w:val="15"/>
  </w:num>
  <w:num w:numId="14">
    <w:abstractNumId w:val="23"/>
  </w:num>
  <w:num w:numId="15">
    <w:abstractNumId w:val="8"/>
  </w:num>
  <w:num w:numId="16">
    <w:abstractNumId w:val="16"/>
  </w:num>
  <w:num w:numId="17">
    <w:abstractNumId w:val="14"/>
  </w:num>
  <w:num w:numId="18">
    <w:abstractNumId w:val="12"/>
  </w:num>
  <w:num w:numId="19">
    <w:abstractNumId w:val="3"/>
  </w:num>
  <w:num w:numId="20">
    <w:abstractNumId w:val="18"/>
  </w:num>
  <w:num w:numId="21">
    <w:abstractNumId w:val="5"/>
  </w:num>
  <w:num w:numId="22">
    <w:abstractNumId w:val="6"/>
  </w:num>
  <w:num w:numId="23">
    <w:abstractNumId w:val="19"/>
  </w:num>
  <w:num w:numId="24">
    <w:abstractNumId w:val="17"/>
  </w:num>
  <w:num w:numId="25">
    <w:abstractNumId w:val="21"/>
  </w:num>
  <w:num w:numId="26">
    <w:abstractNumId w:val="28"/>
  </w:num>
  <w:num w:numId="27">
    <w:abstractNumId w:val="27"/>
  </w:num>
  <w:num w:numId="28">
    <w:abstractNumId w:val="13"/>
  </w:num>
  <w:num w:numId="29">
    <w:abstractNumId w:val="20"/>
  </w:num>
  <w:num w:numId="30">
    <w:abstractNumId w:val="30"/>
  </w:num>
  <w:num w:numId="31">
    <w:abstractNumId w:val="10"/>
  </w:num>
  <w:num w:numId="32">
    <w:abstractNumId w:val="9"/>
  </w:num>
  <w:num w:numId="33">
    <w:abstractNumId w:val="25"/>
  </w:num>
  <w:num w:numId="34">
    <w:abstractNumId w:val="2"/>
  </w:num>
  <w:num w:numId="35">
    <w:abstractNumId w:val="29"/>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hideSpellingErrors/>
  <w:hideGrammaticalErrors/>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6C4"/>
    <w:rsid w:val="00001E60"/>
    <w:rsid w:val="00027D99"/>
    <w:rsid w:val="00030655"/>
    <w:rsid w:val="00031719"/>
    <w:rsid w:val="00036B39"/>
    <w:rsid w:val="000403E5"/>
    <w:rsid w:val="00043A39"/>
    <w:rsid w:val="00051580"/>
    <w:rsid w:val="00056D75"/>
    <w:rsid w:val="0006079D"/>
    <w:rsid w:val="00062100"/>
    <w:rsid w:val="000621D5"/>
    <w:rsid w:val="0006226D"/>
    <w:rsid w:val="00063646"/>
    <w:rsid w:val="0006787A"/>
    <w:rsid w:val="00076536"/>
    <w:rsid w:val="00081A16"/>
    <w:rsid w:val="00092F81"/>
    <w:rsid w:val="000A59E2"/>
    <w:rsid w:val="000B0414"/>
    <w:rsid w:val="000B5094"/>
    <w:rsid w:val="000C2774"/>
    <w:rsid w:val="000D0524"/>
    <w:rsid w:val="000D1184"/>
    <w:rsid w:val="000D4766"/>
    <w:rsid w:val="000D72D2"/>
    <w:rsid w:val="000D7CFF"/>
    <w:rsid w:val="000E1221"/>
    <w:rsid w:val="000E3EA7"/>
    <w:rsid w:val="000E3F70"/>
    <w:rsid w:val="000E708E"/>
    <w:rsid w:val="000F0E0E"/>
    <w:rsid w:val="000F56DF"/>
    <w:rsid w:val="0010168F"/>
    <w:rsid w:val="001100B0"/>
    <w:rsid w:val="00110A45"/>
    <w:rsid w:val="001120D9"/>
    <w:rsid w:val="0011312F"/>
    <w:rsid w:val="001142F8"/>
    <w:rsid w:val="0011689B"/>
    <w:rsid w:val="00124ADC"/>
    <w:rsid w:val="00126594"/>
    <w:rsid w:val="00130B1C"/>
    <w:rsid w:val="001376E3"/>
    <w:rsid w:val="001457E3"/>
    <w:rsid w:val="001474E7"/>
    <w:rsid w:val="0015128D"/>
    <w:rsid w:val="001559C9"/>
    <w:rsid w:val="00156B6A"/>
    <w:rsid w:val="00157FD9"/>
    <w:rsid w:val="0016081A"/>
    <w:rsid w:val="00162C6E"/>
    <w:rsid w:val="00165040"/>
    <w:rsid w:val="001716B4"/>
    <w:rsid w:val="0017418F"/>
    <w:rsid w:val="00174420"/>
    <w:rsid w:val="00174E53"/>
    <w:rsid w:val="00175A95"/>
    <w:rsid w:val="001772F0"/>
    <w:rsid w:val="00180BD7"/>
    <w:rsid w:val="00180DA5"/>
    <w:rsid w:val="0018139D"/>
    <w:rsid w:val="001922D0"/>
    <w:rsid w:val="0019377F"/>
    <w:rsid w:val="001A3AFA"/>
    <w:rsid w:val="001A54B5"/>
    <w:rsid w:val="001B2BFF"/>
    <w:rsid w:val="001C178E"/>
    <w:rsid w:val="001C2B7E"/>
    <w:rsid w:val="001C52E4"/>
    <w:rsid w:val="001C64DF"/>
    <w:rsid w:val="001D0F66"/>
    <w:rsid w:val="001D3A0B"/>
    <w:rsid w:val="001D4524"/>
    <w:rsid w:val="001E2659"/>
    <w:rsid w:val="001E373E"/>
    <w:rsid w:val="001F0927"/>
    <w:rsid w:val="001F150E"/>
    <w:rsid w:val="001F4822"/>
    <w:rsid w:val="00202DF9"/>
    <w:rsid w:val="00213159"/>
    <w:rsid w:val="00216928"/>
    <w:rsid w:val="00233DE8"/>
    <w:rsid w:val="00235FFB"/>
    <w:rsid w:val="002372E8"/>
    <w:rsid w:val="00240747"/>
    <w:rsid w:val="0024190B"/>
    <w:rsid w:val="0024589B"/>
    <w:rsid w:val="00245E24"/>
    <w:rsid w:val="00255C1A"/>
    <w:rsid w:val="00256C06"/>
    <w:rsid w:val="00262137"/>
    <w:rsid w:val="0026412C"/>
    <w:rsid w:val="002666DF"/>
    <w:rsid w:val="002728AA"/>
    <w:rsid w:val="002807B1"/>
    <w:rsid w:val="0028096B"/>
    <w:rsid w:val="0028628F"/>
    <w:rsid w:val="002A23DB"/>
    <w:rsid w:val="002A482D"/>
    <w:rsid w:val="002A6AF5"/>
    <w:rsid w:val="002B591F"/>
    <w:rsid w:val="002B5E4E"/>
    <w:rsid w:val="002C5084"/>
    <w:rsid w:val="002D763C"/>
    <w:rsid w:val="002E09CB"/>
    <w:rsid w:val="002E1D10"/>
    <w:rsid w:val="002E34CA"/>
    <w:rsid w:val="002E42A5"/>
    <w:rsid w:val="002F4072"/>
    <w:rsid w:val="002F55D5"/>
    <w:rsid w:val="002F737B"/>
    <w:rsid w:val="002F7C6A"/>
    <w:rsid w:val="00303442"/>
    <w:rsid w:val="0030356C"/>
    <w:rsid w:val="00304093"/>
    <w:rsid w:val="00305E77"/>
    <w:rsid w:val="00312AA7"/>
    <w:rsid w:val="003132D7"/>
    <w:rsid w:val="00313959"/>
    <w:rsid w:val="00317DA3"/>
    <w:rsid w:val="00327337"/>
    <w:rsid w:val="00331D05"/>
    <w:rsid w:val="003326C5"/>
    <w:rsid w:val="00333EB2"/>
    <w:rsid w:val="00352BFE"/>
    <w:rsid w:val="0035300B"/>
    <w:rsid w:val="00355504"/>
    <w:rsid w:val="003558D5"/>
    <w:rsid w:val="0036347D"/>
    <w:rsid w:val="00366728"/>
    <w:rsid w:val="00380C93"/>
    <w:rsid w:val="003827C4"/>
    <w:rsid w:val="00383962"/>
    <w:rsid w:val="00387510"/>
    <w:rsid w:val="00387B12"/>
    <w:rsid w:val="003926FE"/>
    <w:rsid w:val="00397488"/>
    <w:rsid w:val="003A2070"/>
    <w:rsid w:val="003A2D71"/>
    <w:rsid w:val="003A610C"/>
    <w:rsid w:val="003B2AF0"/>
    <w:rsid w:val="003B2E09"/>
    <w:rsid w:val="003B4E55"/>
    <w:rsid w:val="003B6CCE"/>
    <w:rsid w:val="003C1E51"/>
    <w:rsid w:val="003C343E"/>
    <w:rsid w:val="003C384D"/>
    <w:rsid w:val="003D6DC5"/>
    <w:rsid w:val="003E19C0"/>
    <w:rsid w:val="003E2E97"/>
    <w:rsid w:val="003E58D3"/>
    <w:rsid w:val="003E5B6C"/>
    <w:rsid w:val="003F03E9"/>
    <w:rsid w:val="003F197C"/>
    <w:rsid w:val="003F30F4"/>
    <w:rsid w:val="003F5408"/>
    <w:rsid w:val="00401108"/>
    <w:rsid w:val="00401FAE"/>
    <w:rsid w:val="00402F2D"/>
    <w:rsid w:val="004061F6"/>
    <w:rsid w:val="004061F7"/>
    <w:rsid w:val="0041658F"/>
    <w:rsid w:val="00416D7D"/>
    <w:rsid w:val="00420A43"/>
    <w:rsid w:val="0042589F"/>
    <w:rsid w:val="00426ABE"/>
    <w:rsid w:val="00427F08"/>
    <w:rsid w:val="004337A7"/>
    <w:rsid w:val="00436425"/>
    <w:rsid w:val="00440128"/>
    <w:rsid w:val="004434DE"/>
    <w:rsid w:val="0044690A"/>
    <w:rsid w:val="00451C6E"/>
    <w:rsid w:val="00456D63"/>
    <w:rsid w:val="00460A62"/>
    <w:rsid w:val="00464302"/>
    <w:rsid w:val="004706FB"/>
    <w:rsid w:val="00481117"/>
    <w:rsid w:val="00484AF1"/>
    <w:rsid w:val="004A178C"/>
    <w:rsid w:val="004A19B0"/>
    <w:rsid w:val="004A1C6A"/>
    <w:rsid w:val="004A1EDF"/>
    <w:rsid w:val="004B059C"/>
    <w:rsid w:val="004B61A8"/>
    <w:rsid w:val="004C0616"/>
    <w:rsid w:val="004C1E8F"/>
    <w:rsid w:val="004C24A9"/>
    <w:rsid w:val="004C3BC5"/>
    <w:rsid w:val="004C5223"/>
    <w:rsid w:val="004D6949"/>
    <w:rsid w:val="004E120F"/>
    <w:rsid w:val="004E1926"/>
    <w:rsid w:val="004E239F"/>
    <w:rsid w:val="004E36C9"/>
    <w:rsid w:val="004E7BCA"/>
    <w:rsid w:val="004F78C8"/>
    <w:rsid w:val="00501E3B"/>
    <w:rsid w:val="00503F11"/>
    <w:rsid w:val="00506914"/>
    <w:rsid w:val="005100AC"/>
    <w:rsid w:val="00510EDD"/>
    <w:rsid w:val="00511826"/>
    <w:rsid w:val="00513B50"/>
    <w:rsid w:val="005262ED"/>
    <w:rsid w:val="00534009"/>
    <w:rsid w:val="00542579"/>
    <w:rsid w:val="0054555D"/>
    <w:rsid w:val="0055071A"/>
    <w:rsid w:val="00550EB0"/>
    <w:rsid w:val="005562F5"/>
    <w:rsid w:val="00561B5B"/>
    <w:rsid w:val="00567BD4"/>
    <w:rsid w:val="0057118D"/>
    <w:rsid w:val="005711F9"/>
    <w:rsid w:val="005773CE"/>
    <w:rsid w:val="00582A95"/>
    <w:rsid w:val="00582B91"/>
    <w:rsid w:val="00585A87"/>
    <w:rsid w:val="005868E2"/>
    <w:rsid w:val="00596088"/>
    <w:rsid w:val="005A0586"/>
    <w:rsid w:val="005A2A3A"/>
    <w:rsid w:val="005B2B06"/>
    <w:rsid w:val="005B5420"/>
    <w:rsid w:val="005B6B8C"/>
    <w:rsid w:val="005C21EB"/>
    <w:rsid w:val="005C43A2"/>
    <w:rsid w:val="005D0130"/>
    <w:rsid w:val="005D0F6A"/>
    <w:rsid w:val="005D43DB"/>
    <w:rsid w:val="005D750B"/>
    <w:rsid w:val="005F3576"/>
    <w:rsid w:val="005F42C6"/>
    <w:rsid w:val="006101BA"/>
    <w:rsid w:val="00623B4F"/>
    <w:rsid w:val="00626A68"/>
    <w:rsid w:val="00635AF3"/>
    <w:rsid w:val="006406F5"/>
    <w:rsid w:val="00640B70"/>
    <w:rsid w:val="00641249"/>
    <w:rsid w:val="0064246A"/>
    <w:rsid w:val="00646866"/>
    <w:rsid w:val="00651852"/>
    <w:rsid w:val="0065607F"/>
    <w:rsid w:val="006573F4"/>
    <w:rsid w:val="0066083B"/>
    <w:rsid w:val="00663B68"/>
    <w:rsid w:val="006648CD"/>
    <w:rsid w:val="00673A17"/>
    <w:rsid w:val="00674927"/>
    <w:rsid w:val="00676B32"/>
    <w:rsid w:val="00682E82"/>
    <w:rsid w:val="0068621D"/>
    <w:rsid w:val="00686433"/>
    <w:rsid w:val="00690077"/>
    <w:rsid w:val="006A27AE"/>
    <w:rsid w:val="006A2A0B"/>
    <w:rsid w:val="006A777B"/>
    <w:rsid w:val="006B0FAE"/>
    <w:rsid w:val="006B1E86"/>
    <w:rsid w:val="006B780E"/>
    <w:rsid w:val="006C04EC"/>
    <w:rsid w:val="006C5C9B"/>
    <w:rsid w:val="006C7BFD"/>
    <w:rsid w:val="006D0DB4"/>
    <w:rsid w:val="006F0300"/>
    <w:rsid w:val="006F4120"/>
    <w:rsid w:val="006F5D4E"/>
    <w:rsid w:val="00704940"/>
    <w:rsid w:val="00704B5A"/>
    <w:rsid w:val="00706273"/>
    <w:rsid w:val="00706BB9"/>
    <w:rsid w:val="0071051B"/>
    <w:rsid w:val="0072182E"/>
    <w:rsid w:val="0072201C"/>
    <w:rsid w:val="00723179"/>
    <w:rsid w:val="007265AF"/>
    <w:rsid w:val="00727BC8"/>
    <w:rsid w:val="007379B8"/>
    <w:rsid w:val="00742EC8"/>
    <w:rsid w:val="00756954"/>
    <w:rsid w:val="00761C3F"/>
    <w:rsid w:val="007636E3"/>
    <w:rsid w:val="00766BF3"/>
    <w:rsid w:val="007771A7"/>
    <w:rsid w:val="00780B9C"/>
    <w:rsid w:val="007957CA"/>
    <w:rsid w:val="00797EE2"/>
    <w:rsid w:val="007A0556"/>
    <w:rsid w:val="007A1E33"/>
    <w:rsid w:val="007A2A3C"/>
    <w:rsid w:val="007A448A"/>
    <w:rsid w:val="007A5A0B"/>
    <w:rsid w:val="007B166F"/>
    <w:rsid w:val="007B32DA"/>
    <w:rsid w:val="007C37BC"/>
    <w:rsid w:val="007D1EDF"/>
    <w:rsid w:val="007D2BA9"/>
    <w:rsid w:val="007D35E0"/>
    <w:rsid w:val="007E27D5"/>
    <w:rsid w:val="007E321F"/>
    <w:rsid w:val="007F672B"/>
    <w:rsid w:val="00804D82"/>
    <w:rsid w:val="00820ECE"/>
    <w:rsid w:val="00820F21"/>
    <w:rsid w:val="00824935"/>
    <w:rsid w:val="00833377"/>
    <w:rsid w:val="0083362A"/>
    <w:rsid w:val="00842CA7"/>
    <w:rsid w:val="0084364A"/>
    <w:rsid w:val="00844128"/>
    <w:rsid w:val="00844B53"/>
    <w:rsid w:val="00846B42"/>
    <w:rsid w:val="008553DC"/>
    <w:rsid w:val="0085606E"/>
    <w:rsid w:val="00866640"/>
    <w:rsid w:val="008675EB"/>
    <w:rsid w:val="008779F2"/>
    <w:rsid w:val="00883C88"/>
    <w:rsid w:val="0089040C"/>
    <w:rsid w:val="00893007"/>
    <w:rsid w:val="00893C97"/>
    <w:rsid w:val="00895FE2"/>
    <w:rsid w:val="008A320C"/>
    <w:rsid w:val="008A3B0D"/>
    <w:rsid w:val="008A66AF"/>
    <w:rsid w:val="008A73FD"/>
    <w:rsid w:val="008A7EAE"/>
    <w:rsid w:val="008A7FE1"/>
    <w:rsid w:val="008B0E23"/>
    <w:rsid w:val="008B0EB2"/>
    <w:rsid w:val="008B2563"/>
    <w:rsid w:val="008C0855"/>
    <w:rsid w:val="008C6864"/>
    <w:rsid w:val="008D4348"/>
    <w:rsid w:val="008D67D8"/>
    <w:rsid w:val="008E1732"/>
    <w:rsid w:val="008E1920"/>
    <w:rsid w:val="008E1C8C"/>
    <w:rsid w:val="008E20EF"/>
    <w:rsid w:val="008E218E"/>
    <w:rsid w:val="008E4C8F"/>
    <w:rsid w:val="008E4EA9"/>
    <w:rsid w:val="008F098C"/>
    <w:rsid w:val="008F1DA8"/>
    <w:rsid w:val="008F2E23"/>
    <w:rsid w:val="008F4327"/>
    <w:rsid w:val="008F757C"/>
    <w:rsid w:val="0090414F"/>
    <w:rsid w:val="00911F22"/>
    <w:rsid w:val="00914615"/>
    <w:rsid w:val="00920047"/>
    <w:rsid w:val="00921149"/>
    <w:rsid w:val="00925919"/>
    <w:rsid w:val="009528DE"/>
    <w:rsid w:val="0095586A"/>
    <w:rsid w:val="00956698"/>
    <w:rsid w:val="00957F7B"/>
    <w:rsid w:val="00960A84"/>
    <w:rsid w:val="00964288"/>
    <w:rsid w:val="00966298"/>
    <w:rsid w:val="0097624F"/>
    <w:rsid w:val="00981DAB"/>
    <w:rsid w:val="00982A67"/>
    <w:rsid w:val="00984C01"/>
    <w:rsid w:val="00992B98"/>
    <w:rsid w:val="009963A0"/>
    <w:rsid w:val="009A21F3"/>
    <w:rsid w:val="009B13C8"/>
    <w:rsid w:val="009B1C7B"/>
    <w:rsid w:val="009B23F4"/>
    <w:rsid w:val="009C6CAE"/>
    <w:rsid w:val="009D1D4B"/>
    <w:rsid w:val="009D2F9B"/>
    <w:rsid w:val="009E28C9"/>
    <w:rsid w:val="009E2924"/>
    <w:rsid w:val="009E5522"/>
    <w:rsid w:val="009F4C94"/>
    <w:rsid w:val="009F6A7F"/>
    <w:rsid w:val="009F764F"/>
    <w:rsid w:val="00A02B3F"/>
    <w:rsid w:val="00A0476F"/>
    <w:rsid w:val="00A10CE8"/>
    <w:rsid w:val="00A22A3F"/>
    <w:rsid w:val="00A22F38"/>
    <w:rsid w:val="00A25A3B"/>
    <w:rsid w:val="00A25D94"/>
    <w:rsid w:val="00A352AB"/>
    <w:rsid w:val="00A366C5"/>
    <w:rsid w:val="00A513EB"/>
    <w:rsid w:val="00A64380"/>
    <w:rsid w:val="00A660E5"/>
    <w:rsid w:val="00A67428"/>
    <w:rsid w:val="00A67E85"/>
    <w:rsid w:val="00A72BA2"/>
    <w:rsid w:val="00A753BB"/>
    <w:rsid w:val="00A80ABC"/>
    <w:rsid w:val="00A90175"/>
    <w:rsid w:val="00A9084C"/>
    <w:rsid w:val="00A962F4"/>
    <w:rsid w:val="00AA3F31"/>
    <w:rsid w:val="00AA5478"/>
    <w:rsid w:val="00AA6270"/>
    <w:rsid w:val="00AB07F8"/>
    <w:rsid w:val="00AB34E4"/>
    <w:rsid w:val="00AC0F27"/>
    <w:rsid w:val="00AC3600"/>
    <w:rsid w:val="00AC4B54"/>
    <w:rsid w:val="00AC7450"/>
    <w:rsid w:val="00AC788D"/>
    <w:rsid w:val="00AC7CF2"/>
    <w:rsid w:val="00AD107B"/>
    <w:rsid w:val="00AD25C8"/>
    <w:rsid w:val="00AD26F4"/>
    <w:rsid w:val="00AE3795"/>
    <w:rsid w:val="00AF2B87"/>
    <w:rsid w:val="00B11D81"/>
    <w:rsid w:val="00B40EA9"/>
    <w:rsid w:val="00B46FF0"/>
    <w:rsid w:val="00B54B95"/>
    <w:rsid w:val="00B557F1"/>
    <w:rsid w:val="00B57E97"/>
    <w:rsid w:val="00B609F6"/>
    <w:rsid w:val="00B755B2"/>
    <w:rsid w:val="00B85EE8"/>
    <w:rsid w:val="00BA2CBC"/>
    <w:rsid w:val="00BA40CD"/>
    <w:rsid w:val="00BA7181"/>
    <w:rsid w:val="00BB3354"/>
    <w:rsid w:val="00BB4796"/>
    <w:rsid w:val="00BC1994"/>
    <w:rsid w:val="00BC4716"/>
    <w:rsid w:val="00BC57B4"/>
    <w:rsid w:val="00BC70D0"/>
    <w:rsid w:val="00BC7779"/>
    <w:rsid w:val="00BD05B9"/>
    <w:rsid w:val="00BD173D"/>
    <w:rsid w:val="00BD7562"/>
    <w:rsid w:val="00BE0FF7"/>
    <w:rsid w:val="00BE2F91"/>
    <w:rsid w:val="00BE2FF2"/>
    <w:rsid w:val="00BF0D43"/>
    <w:rsid w:val="00C00EF3"/>
    <w:rsid w:val="00C02694"/>
    <w:rsid w:val="00C03715"/>
    <w:rsid w:val="00C10016"/>
    <w:rsid w:val="00C11AA2"/>
    <w:rsid w:val="00C1396E"/>
    <w:rsid w:val="00C16FCE"/>
    <w:rsid w:val="00C20BC1"/>
    <w:rsid w:val="00C25B94"/>
    <w:rsid w:val="00C264E7"/>
    <w:rsid w:val="00C3323A"/>
    <w:rsid w:val="00C33AB0"/>
    <w:rsid w:val="00C33EF1"/>
    <w:rsid w:val="00C36232"/>
    <w:rsid w:val="00C40134"/>
    <w:rsid w:val="00C43AF4"/>
    <w:rsid w:val="00C54156"/>
    <w:rsid w:val="00C5466A"/>
    <w:rsid w:val="00C62564"/>
    <w:rsid w:val="00C66A8F"/>
    <w:rsid w:val="00C741C0"/>
    <w:rsid w:val="00C847AF"/>
    <w:rsid w:val="00C853B3"/>
    <w:rsid w:val="00C876B0"/>
    <w:rsid w:val="00C9603E"/>
    <w:rsid w:val="00C96A34"/>
    <w:rsid w:val="00CA06D4"/>
    <w:rsid w:val="00CA20F2"/>
    <w:rsid w:val="00CA2CFF"/>
    <w:rsid w:val="00CA5F09"/>
    <w:rsid w:val="00CB37CA"/>
    <w:rsid w:val="00CB398D"/>
    <w:rsid w:val="00CC010A"/>
    <w:rsid w:val="00CC66C4"/>
    <w:rsid w:val="00CD18B8"/>
    <w:rsid w:val="00CD550F"/>
    <w:rsid w:val="00CD72BA"/>
    <w:rsid w:val="00CE052D"/>
    <w:rsid w:val="00CE0D96"/>
    <w:rsid w:val="00CF1D71"/>
    <w:rsid w:val="00D00F86"/>
    <w:rsid w:val="00D02559"/>
    <w:rsid w:val="00D11F70"/>
    <w:rsid w:val="00D123D3"/>
    <w:rsid w:val="00D13090"/>
    <w:rsid w:val="00D16ADB"/>
    <w:rsid w:val="00D17791"/>
    <w:rsid w:val="00D31A0A"/>
    <w:rsid w:val="00D41262"/>
    <w:rsid w:val="00D45FD9"/>
    <w:rsid w:val="00D47521"/>
    <w:rsid w:val="00D529F9"/>
    <w:rsid w:val="00D54B79"/>
    <w:rsid w:val="00D554F2"/>
    <w:rsid w:val="00D634D0"/>
    <w:rsid w:val="00D65353"/>
    <w:rsid w:val="00D66BD2"/>
    <w:rsid w:val="00D70B9E"/>
    <w:rsid w:val="00D730C0"/>
    <w:rsid w:val="00D73950"/>
    <w:rsid w:val="00D755E1"/>
    <w:rsid w:val="00D76795"/>
    <w:rsid w:val="00D927E4"/>
    <w:rsid w:val="00DA7142"/>
    <w:rsid w:val="00DB0617"/>
    <w:rsid w:val="00DE3082"/>
    <w:rsid w:val="00DE5377"/>
    <w:rsid w:val="00DE58E0"/>
    <w:rsid w:val="00DE5F07"/>
    <w:rsid w:val="00DE6CDB"/>
    <w:rsid w:val="00DF32CC"/>
    <w:rsid w:val="00DF59C2"/>
    <w:rsid w:val="00DF7F34"/>
    <w:rsid w:val="00E00A8D"/>
    <w:rsid w:val="00E01E46"/>
    <w:rsid w:val="00E03BED"/>
    <w:rsid w:val="00E05D52"/>
    <w:rsid w:val="00E0777E"/>
    <w:rsid w:val="00E12FEB"/>
    <w:rsid w:val="00E23226"/>
    <w:rsid w:val="00E32DC1"/>
    <w:rsid w:val="00E343A5"/>
    <w:rsid w:val="00E44C84"/>
    <w:rsid w:val="00E51CED"/>
    <w:rsid w:val="00E71006"/>
    <w:rsid w:val="00E71F31"/>
    <w:rsid w:val="00E755E2"/>
    <w:rsid w:val="00E86866"/>
    <w:rsid w:val="00E91637"/>
    <w:rsid w:val="00EA1E6F"/>
    <w:rsid w:val="00EA2E3D"/>
    <w:rsid w:val="00EA5020"/>
    <w:rsid w:val="00EB2F80"/>
    <w:rsid w:val="00EB5BFC"/>
    <w:rsid w:val="00EC24FC"/>
    <w:rsid w:val="00EC4357"/>
    <w:rsid w:val="00ED00CB"/>
    <w:rsid w:val="00EE3781"/>
    <w:rsid w:val="00EE41DD"/>
    <w:rsid w:val="00EF380C"/>
    <w:rsid w:val="00F00252"/>
    <w:rsid w:val="00F04C9C"/>
    <w:rsid w:val="00F0747B"/>
    <w:rsid w:val="00F135EA"/>
    <w:rsid w:val="00F13BD5"/>
    <w:rsid w:val="00F2152C"/>
    <w:rsid w:val="00F23FBE"/>
    <w:rsid w:val="00F24DCA"/>
    <w:rsid w:val="00F2614F"/>
    <w:rsid w:val="00F317D4"/>
    <w:rsid w:val="00F44853"/>
    <w:rsid w:val="00F457B7"/>
    <w:rsid w:val="00F5169C"/>
    <w:rsid w:val="00F5197C"/>
    <w:rsid w:val="00F5551C"/>
    <w:rsid w:val="00F6662F"/>
    <w:rsid w:val="00F6715F"/>
    <w:rsid w:val="00F67918"/>
    <w:rsid w:val="00F75FAE"/>
    <w:rsid w:val="00F82F40"/>
    <w:rsid w:val="00F84AEF"/>
    <w:rsid w:val="00F86B24"/>
    <w:rsid w:val="00F91594"/>
    <w:rsid w:val="00FA377E"/>
    <w:rsid w:val="00FA3969"/>
    <w:rsid w:val="00FA4390"/>
    <w:rsid w:val="00FB0AC8"/>
    <w:rsid w:val="00FC0C86"/>
    <w:rsid w:val="00FD1861"/>
    <w:rsid w:val="00FD76C8"/>
    <w:rsid w:val="00FE311A"/>
    <w:rsid w:val="00FE42D1"/>
    <w:rsid w:val="00FE65FE"/>
    <w:rsid w:val="00FF20E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C56F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6C4"/>
    <w:rPr>
      <w:rFonts w:ascii="Calibri" w:eastAsia="Calibri" w:hAnsi="Calibri" w:cs="Times New Roman"/>
    </w:rPr>
  </w:style>
  <w:style w:type="paragraph" w:styleId="Ttulo3">
    <w:name w:val="heading 3"/>
    <w:basedOn w:val="Normal"/>
    <w:next w:val="Normal"/>
    <w:link w:val="Ttulo3Car"/>
    <w:uiPriority w:val="9"/>
    <w:unhideWhenUsed/>
    <w:qFormat/>
    <w:rsid w:val="00780B9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3B2E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AA3F3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C66C4"/>
    <w:pPr>
      <w:tabs>
        <w:tab w:val="center" w:pos="4419"/>
        <w:tab w:val="right" w:pos="8838"/>
      </w:tabs>
      <w:spacing w:after="0" w:line="240" w:lineRule="auto"/>
    </w:pPr>
  </w:style>
  <w:style w:type="character" w:customStyle="1" w:styleId="EncabezadoCar">
    <w:name w:val="Encabezado Car"/>
    <w:basedOn w:val="Fuentedeprrafopredeter"/>
    <w:link w:val="Encabezado"/>
    <w:rsid w:val="00CC66C4"/>
    <w:rPr>
      <w:rFonts w:ascii="Calibri" w:eastAsia="Calibri" w:hAnsi="Calibri" w:cs="Times New Roman"/>
    </w:rPr>
  </w:style>
  <w:style w:type="paragraph" w:styleId="Piedepgina">
    <w:name w:val="footer"/>
    <w:basedOn w:val="Normal"/>
    <w:link w:val="PiedepginaCar"/>
    <w:unhideWhenUsed/>
    <w:rsid w:val="00CC66C4"/>
    <w:pPr>
      <w:tabs>
        <w:tab w:val="center" w:pos="4419"/>
        <w:tab w:val="right" w:pos="8838"/>
      </w:tabs>
      <w:spacing w:after="0" w:line="240" w:lineRule="auto"/>
    </w:pPr>
  </w:style>
  <w:style w:type="character" w:customStyle="1" w:styleId="PiedepginaCar">
    <w:name w:val="Pie de página Car"/>
    <w:basedOn w:val="Fuentedeprrafopredeter"/>
    <w:link w:val="Piedepgina"/>
    <w:rsid w:val="00CC66C4"/>
    <w:rPr>
      <w:rFonts w:ascii="Calibri" w:eastAsia="Calibri" w:hAnsi="Calibri" w:cs="Times New Roman"/>
    </w:rPr>
  </w:style>
  <w:style w:type="paragraph" w:styleId="Prrafodelista">
    <w:name w:val="List Paragraph"/>
    <w:basedOn w:val="Normal"/>
    <w:link w:val="PrrafodelistaCar"/>
    <w:uiPriority w:val="34"/>
    <w:qFormat/>
    <w:rsid w:val="00CC66C4"/>
    <w:pPr>
      <w:spacing w:after="0" w:line="240" w:lineRule="auto"/>
      <w:ind w:left="708"/>
    </w:pPr>
    <w:rPr>
      <w:rFonts w:ascii="Arial" w:eastAsia="Times New Roman" w:hAnsi="Arial"/>
      <w:sz w:val="24"/>
      <w:szCs w:val="20"/>
    </w:rPr>
  </w:style>
  <w:style w:type="character" w:customStyle="1" w:styleId="PrrafodelistaCar">
    <w:name w:val="Párrafo de lista Car"/>
    <w:link w:val="Prrafodelista"/>
    <w:uiPriority w:val="34"/>
    <w:locked/>
    <w:rsid w:val="00CC66C4"/>
    <w:rPr>
      <w:rFonts w:ascii="Arial" w:eastAsia="Times New Roman" w:hAnsi="Arial" w:cs="Times New Roman"/>
      <w:sz w:val="24"/>
      <w:szCs w:val="20"/>
    </w:rPr>
  </w:style>
  <w:style w:type="paragraph" w:customStyle="1" w:styleId="Texto">
    <w:name w:val="Texto"/>
    <w:basedOn w:val="Normal"/>
    <w:link w:val="TextoCar"/>
    <w:rsid w:val="00CC66C4"/>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CC66C4"/>
    <w:rPr>
      <w:rFonts w:ascii="Arial" w:eastAsia="Times New Roman" w:hAnsi="Arial" w:cs="Arial"/>
      <w:sz w:val="18"/>
      <w:szCs w:val="20"/>
      <w:lang w:val="es-ES" w:eastAsia="es-ES"/>
    </w:rPr>
  </w:style>
  <w:style w:type="character" w:styleId="Refdenotaalpie">
    <w:name w:val="footnote reference"/>
    <w:aliases w:val="Ref,de nota al pie,(NECG) Footnote Reference,o,fr,Style 3,Appel note de bas de p,Style 12,Style 124,Ref. de nota al pie 2"/>
    <w:uiPriority w:val="99"/>
    <w:unhideWhenUsed/>
    <w:qFormat/>
    <w:rsid w:val="00CC66C4"/>
    <w:rPr>
      <w:vertAlign w:val="superscript"/>
    </w:rPr>
  </w:style>
  <w:style w:type="paragraph" w:customStyle="1" w:styleId="ANOTACION">
    <w:name w:val="ANOTACION"/>
    <w:basedOn w:val="Normal"/>
    <w:link w:val="ANOTACIONCar"/>
    <w:rsid w:val="00CC66C4"/>
    <w:pPr>
      <w:spacing w:before="101" w:after="101" w:line="216" w:lineRule="atLeast"/>
      <w:jc w:val="center"/>
    </w:pPr>
    <w:rPr>
      <w:rFonts w:ascii="Times New Roman" w:eastAsia="Times New Roman" w:hAnsi="Times New Roman"/>
      <w:b/>
      <w:sz w:val="18"/>
      <w:szCs w:val="20"/>
      <w:lang w:val="es-ES_tradnl" w:eastAsia="es-ES"/>
    </w:rPr>
  </w:style>
  <w:style w:type="character" w:customStyle="1" w:styleId="ANOTACIONCar">
    <w:name w:val="ANOTACION Car"/>
    <w:link w:val="ANOTACION"/>
    <w:locked/>
    <w:rsid w:val="00CC66C4"/>
    <w:rPr>
      <w:rFonts w:ascii="Times New Roman" w:eastAsia="Times New Roman" w:hAnsi="Times New Roman" w:cs="Times New Roman"/>
      <w:b/>
      <w:sz w:val="18"/>
      <w:szCs w:val="20"/>
      <w:lang w:val="es-ES_tradnl" w:eastAsia="es-ES"/>
    </w:rPr>
  </w:style>
  <w:style w:type="paragraph" w:customStyle="1" w:styleId="Default">
    <w:name w:val="Default"/>
    <w:rsid w:val="00CC66C4"/>
    <w:pPr>
      <w:autoSpaceDE w:val="0"/>
      <w:autoSpaceDN w:val="0"/>
      <w:adjustRightInd w:val="0"/>
      <w:spacing w:after="0" w:line="240" w:lineRule="auto"/>
    </w:pPr>
    <w:rPr>
      <w:rFonts w:ascii="ITC Avant Garde" w:hAnsi="ITC Avant Garde" w:cs="ITC Avant Garde"/>
      <w:color w:val="000000"/>
      <w:sz w:val="24"/>
      <w:szCs w:val="24"/>
    </w:rPr>
  </w:style>
  <w:style w:type="paragraph" w:styleId="Textodeglobo">
    <w:name w:val="Balloon Text"/>
    <w:basedOn w:val="Normal"/>
    <w:link w:val="TextodegloboCar"/>
    <w:uiPriority w:val="99"/>
    <w:semiHidden/>
    <w:unhideWhenUsed/>
    <w:rsid w:val="00CC66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66C4"/>
    <w:rPr>
      <w:rFonts w:ascii="Tahoma" w:eastAsia="Calibri" w:hAnsi="Tahoma" w:cs="Tahoma"/>
      <w:sz w:val="16"/>
      <w:szCs w:val="16"/>
    </w:rPr>
  </w:style>
  <w:style w:type="paragraph" w:styleId="Textonotapie">
    <w:name w:val="footnote text"/>
    <w:basedOn w:val="Normal"/>
    <w:link w:val="TextonotapieCar"/>
    <w:uiPriority w:val="99"/>
    <w:semiHidden/>
    <w:unhideWhenUsed/>
    <w:rsid w:val="00312AA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12AA7"/>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D31A0A"/>
    <w:rPr>
      <w:sz w:val="18"/>
      <w:szCs w:val="18"/>
    </w:rPr>
  </w:style>
  <w:style w:type="paragraph" w:styleId="Textocomentario">
    <w:name w:val="annotation text"/>
    <w:basedOn w:val="Normal"/>
    <w:link w:val="TextocomentarioCar"/>
    <w:uiPriority w:val="99"/>
    <w:unhideWhenUsed/>
    <w:rsid w:val="00D31A0A"/>
    <w:pPr>
      <w:spacing w:line="240" w:lineRule="auto"/>
    </w:pPr>
    <w:rPr>
      <w:sz w:val="24"/>
      <w:szCs w:val="24"/>
    </w:rPr>
  </w:style>
  <w:style w:type="character" w:customStyle="1" w:styleId="TextocomentarioCar">
    <w:name w:val="Texto comentario Car"/>
    <w:basedOn w:val="Fuentedeprrafopredeter"/>
    <w:link w:val="Textocomentario"/>
    <w:uiPriority w:val="99"/>
    <w:rsid w:val="00D31A0A"/>
    <w:rPr>
      <w:rFonts w:ascii="Calibri" w:eastAsia="Calibri" w:hAnsi="Calibri" w:cs="Times New Roman"/>
      <w:sz w:val="24"/>
      <w:szCs w:val="24"/>
    </w:rPr>
  </w:style>
  <w:style w:type="paragraph" w:styleId="Asuntodelcomentario">
    <w:name w:val="annotation subject"/>
    <w:basedOn w:val="Textocomentario"/>
    <w:next w:val="Textocomentario"/>
    <w:link w:val="AsuntodelcomentarioCar"/>
    <w:uiPriority w:val="99"/>
    <w:semiHidden/>
    <w:unhideWhenUsed/>
    <w:rsid w:val="00D31A0A"/>
    <w:rPr>
      <w:b/>
      <w:bCs/>
      <w:sz w:val="20"/>
      <w:szCs w:val="20"/>
    </w:rPr>
  </w:style>
  <w:style w:type="character" w:customStyle="1" w:styleId="AsuntodelcomentarioCar">
    <w:name w:val="Asunto del comentario Car"/>
    <w:basedOn w:val="TextocomentarioCar"/>
    <w:link w:val="Asuntodelcomentario"/>
    <w:uiPriority w:val="99"/>
    <w:semiHidden/>
    <w:rsid w:val="00D31A0A"/>
    <w:rPr>
      <w:rFonts w:ascii="Calibri" w:eastAsia="Calibri" w:hAnsi="Calibri" w:cs="Times New Roman"/>
      <w:b/>
      <w:bCs/>
      <w:sz w:val="20"/>
      <w:szCs w:val="20"/>
    </w:rPr>
  </w:style>
  <w:style w:type="paragraph" w:styleId="Revisin">
    <w:name w:val="Revision"/>
    <w:hidden/>
    <w:uiPriority w:val="99"/>
    <w:semiHidden/>
    <w:rsid w:val="00D31A0A"/>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3E58D3"/>
    <w:rPr>
      <w:color w:val="0000FF" w:themeColor="hyperlink"/>
      <w:u w:val="single"/>
    </w:rPr>
  </w:style>
  <w:style w:type="character" w:customStyle="1" w:styleId="text1">
    <w:name w:val="text1"/>
    <w:basedOn w:val="Fuentedeprrafopredeter"/>
    <w:rsid w:val="00DB0617"/>
    <w:rPr>
      <w:rFonts w:ascii="Arial" w:hAnsi="Arial" w:cs="Arial" w:hint="default"/>
      <w:strike w:val="0"/>
      <w:dstrike w:val="0"/>
      <w:color w:val="666666"/>
      <w:sz w:val="18"/>
      <w:szCs w:val="18"/>
      <w:u w:val="none"/>
      <w:effect w:val="none"/>
    </w:rPr>
  </w:style>
  <w:style w:type="table" w:styleId="Tablaconcuadrcula">
    <w:name w:val="Table Grid"/>
    <w:basedOn w:val="Tablanormal"/>
    <w:uiPriority w:val="59"/>
    <w:rsid w:val="008B2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780B9C"/>
    <w:rPr>
      <w:rFonts w:asciiTheme="majorHAnsi" w:eastAsiaTheme="majorEastAsia" w:hAnsiTheme="majorHAnsi" w:cstheme="majorBidi"/>
      <w:color w:val="243F60" w:themeColor="accent1" w:themeShade="7F"/>
      <w:sz w:val="24"/>
      <w:szCs w:val="24"/>
    </w:rPr>
  </w:style>
  <w:style w:type="character" w:customStyle="1" w:styleId="Ttulo4Car">
    <w:name w:val="Título 4 Car"/>
    <w:basedOn w:val="Fuentedeprrafopredeter"/>
    <w:link w:val="Ttulo4"/>
    <w:uiPriority w:val="9"/>
    <w:rsid w:val="003B2E09"/>
    <w:rPr>
      <w:rFonts w:asciiTheme="majorHAnsi" w:eastAsiaTheme="majorEastAsia" w:hAnsiTheme="majorHAnsi" w:cstheme="majorBidi"/>
      <w:i/>
      <w:iCs/>
      <w:color w:val="365F91" w:themeColor="accent1" w:themeShade="BF"/>
    </w:rPr>
  </w:style>
  <w:style w:type="character" w:customStyle="1" w:styleId="Ttulo5Car">
    <w:name w:val="Título 5 Car"/>
    <w:basedOn w:val="Fuentedeprrafopredeter"/>
    <w:link w:val="Ttulo5"/>
    <w:uiPriority w:val="9"/>
    <w:rsid w:val="00AA3F31"/>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39984">
      <w:bodyDiv w:val="1"/>
      <w:marLeft w:val="0"/>
      <w:marRight w:val="0"/>
      <w:marTop w:val="0"/>
      <w:marBottom w:val="0"/>
      <w:divBdr>
        <w:top w:val="none" w:sz="0" w:space="0" w:color="auto"/>
        <w:left w:val="none" w:sz="0" w:space="0" w:color="auto"/>
        <w:bottom w:val="none" w:sz="0" w:space="0" w:color="auto"/>
        <w:right w:val="none" w:sz="0" w:space="0" w:color="auto"/>
      </w:divBdr>
    </w:div>
    <w:div w:id="21123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numbering" Target="numbering.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6AEED-6487-4376-A815-F5ECFB8FE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1F71FF8-2E06-4FD2-880A-60F0F6CCBD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9EEA10-A0C9-48FD-A45A-A6397753ED46}">
  <ds:schemaRefs>
    <ds:schemaRef ds:uri="http://schemas.microsoft.com/sharepoint/v3/contenttype/forms"/>
  </ds:schemaRefs>
</ds:datastoreItem>
</file>

<file path=customXml/itemProps4.xml><?xml version="1.0" encoding="utf-8"?>
<ds:datastoreItem xmlns:ds="http://schemas.openxmlformats.org/officeDocument/2006/customXml" ds:itemID="{37275709-59A5-4C5D-85B0-9AD86E781AED}">
  <ds:schemaRefs>
    <ds:schemaRef ds:uri="http://schemas.openxmlformats.org/officeDocument/2006/bibliography"/>
  </ds:schemaRefs>
</ds:datastoreItem>
</file>

<file path=customXml/itemProps5.xml><?xml version="1.0" encoding="utf-8"?>
<ds:datastoreItem xmlns:ds="http://schemas.openxmlformats.org/officeDocument/2006/customXml" ds:itemID="{A0B1C410-C6A6-4997-BAB3-0C26D1BAB142}">
  <ds:schemaRefs>
    <ds:schemaRef ds:uri="http://schemas.openxmlformats.org/officeDocument/2006/bibliography"/>
  </ds:schemaRefs>
</ds:datastoreItem>
</file>

<file path=customXml/itemProps6.xml><?xml version="1.0" encoding="utf-8"?>
<ds:datastoreItem xmlns:ds="http://schemas.openxmlformats.org/officeDocument/2006/customXml" ds:itemID="{C0534B64-B695-49CF-9D94-1FED1F643D07}">
  <ds:schemaRefs>
    <ds:schemaRef ds:uri="http://schemas.openxmlformats.org/officeDocument/2006/bibliography"/>
  </ds:schemaRefs>
</ds:datastoreItem>
</file>

<file path=customXml/itemProps7.xml><?xml version="1.0" encoding="utf-8"?>
<ds:datastoreItem xmlns:ds="http://schemas.openxmlformats.org/officeDocument/2006/customXml" ds:itemID="{5C403A1E-A81D-4FDE-A458-C28336B6830B}">
  <ds:schemaRefs>
    <ds:schemaRef ds:uri="http://schemas.openxmlformats.org/officeDocument/2006/bibliography"/>
  </ds:schemaRefs>
</ds:datastoreItem>
</file>

<file path=customXml/itemProps8.xml><?xml version="1.0" encoding="utf-8"?>
<ds:datastoreItem xmlns:ds="http://schemas.openxmlformats.org/officeDocument/2006/customXml" ds:itemID="{C39E090D-68BA-4106-BF84-CE38838A4089}">
  <ds:schemaRefs>
    <ds:schemaRef ds:uri="http://schemas.openxmlformats.org/officeDocument/2006/bibliography"/>
  </ds:schemaRefs>
</ds:datastoreItem>
</file>

<file path=customXml/itemProps9.xml><?xml version="1.0" encoding="utf-8"?>
<ds:datastoreItem xmlns:ds="http://schemas.openxmlformats.org/officeDocument/2006/customXml" ds:itemID="{62A12AB9-23C8-4A6A-B82B-3165BA674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4643</Words>
  <Characters>25539</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2018-08-28T22:34:00Z</cp:lastPrinted>
  <dcterms:created xsi:type="dcterms:W3CDTF">2018-12-05T21:32:00Z</dcterms:created>
  <dcterms:modified xsi:type="dcterms:W3CDTF">2018-12-05T21:32:00Z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