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0B1ED" w14:textId="77777777" w:rsidR="009A500D" w:rsidRPr="009A500D" w:rsidRDefault="00BB070C" w:rsidP="009A500D">
      <w:pPr>
        <w:pStyle w:val="Ttulo1"/>
        <w:spacing w:after="240" w:line="276" w:lineRule="auto"/>
        <w:jc w:val="both"/>
        <w:rPr>
          <w:rFonts w:ascii="ITC Avant Garde" w:hAnsi="ITC Avant Garde"/>
          <w:szCs w:val="22"/>
          <w:lang w:eastAsia="es-ES"/>
        </w:rPr>
      </w:pPr>
      <w:bookmarkStart w:id="0" w:name="_GoBack"/>
      <w:bookmarkEnd w:id="0"/>
      <w:r w:rsidRPr="009A500D">
        <w:rPr>
          <w:rFonts w:ascii="ITC Avant Garde" w:hAnsi="ITC Avant Garde"/>
          <w:szCs w:val="22"/>
          <w:lang w:val="es-ES" w:eastAsia="es-ES"/>
        </w:rPr>
        <w:t xml:space="preserve">RESOLUCIÓN MEDIANTE LA CUAL EL PLENO DEL INSTITUTO FEDERAL DE TELECOMUNICACIONES DETERMINA LAS CONDICIONES DE INTERCONEXIÓN NO CONVENIDAS </w:t>
      </w:r>
      <w:r w:rsidRPr="009A500D">
        <w:rPr>
          <w:rFonts w:ascii="ITC Avant Garde" w:eastAsia="Calibri" w:hAnsi="ITC Avant Garde" w:cs="Helvetica"/>
          <w:szCs w:val="22"/>
          <w:lang w:eastAsia="es-MX"/>
        </w:rPr>
        <w:t>ENTRE OPENIP COMUNICACIONES, S.A. DE C.V.</w:t>
      </w:r>
      <w:r w:rsidRPr="009A500D">
        <w:rPr>
          <w:rFonts w:ascii="ITC Avant Garde" w:eastAsia="Calibri" w:hAnsi="ITC Avant Garde" w:cs="Arial"/>
          <w:iCs/>
          <w:szCs w:val="22"/>
        </w:rPr>
        <w:t xml:space="preserve"> Y </w:t>
      </w:r>
      <w:r w:rsidRPr="009A500D">
        <w:rPr>
          <w:rFonts w:ascii="ITC Avant Garde" w:eastAsia="Calibri" w:hAnsi="ITC Avant Garde" w:cs="Helvetica"/>
          <w:szCs w:val="22"/>
          <w:lang w:eastAsia="es-MX"/>
        </w:rPr>
        <w:t xml:space="preserve">RADIOMÓVIL DIPSA, S.A. DE C.V., </w:t>
      </w:r>
      <w:r w:rsidRPr="009A500D">
        <w:rPr>
          <w:rFonts w:ascii="ITC Avant Garde" w:hAnsi="ITC Avant Garde"/>
          <w:iCs/>
          <w:szCs w:val="22"/>
          <w:lang w:eastAsia="es-ES"/>
        </w:rPr>
        <w:t xml:space="preserve">APLICABLES DEL </w:t>
      </w:r>
      <w:r w:rsidR="008A0A2B" w:rsidRPr="009A500D">
        <w:rPr>
          <w:rFonts w:ascii="ITC Avant Garde" w:hAnsi="ITC Avant Garde"/>
          <w:iCs/>
          <w:szCs w:val="22"/>
          <w:lang w:eastAsia="es-ES"/>
        </w:rPr>
        <w:t>11 DE ABRIL</w:t>
      </w:r>
      <w:r w:rsidR="000857CB" w:rsidRPr="009A500D">
        <w:rPr>
          <w:rFonts w:ascii="ITC Avant Garde" w:hAnsi="ITC Avant Garde"/>
          <w:iCs/>
          <w:szCs w:val="22"/>
          <w:lang w:eastAsia="es-ES"/>
        </w:rPr>
        <w:t xml:space="preserve"> AL 31 DE DICIEMBRE DE 2018</w:t>
      </w:r>
    </w:p>
    <w:p w14:paraId="4F5C9353" w14:textId="77777777" w:rsidR="009A500D" w:rsidRPr="009A500D" w:rsidRDefault="00BB070C" w:rsidP="009A500D">
      <w:pPr>
        <w:pStyle w:val="Ttulo2"/>
        <w:spacing w:after="240" w:line="276" w:lineRule="auto"/>
        <w:jc w:val="center"/>
        <w:rPr>
          <w:rFonts w:ascii="ITC Avant Garde" w:hAnsi="ITC Avant Garde"/>
          <w:szCs w:val="22"/>
          <w:lang w:val="es-ES" w:eastAsia="es-ES"/>
        </w:rPr>
      </w:pPr>
      <w:r w:rsidRPr="009A500D">
        <w:rPr>
          <w:rFonts w:ascii="ITC Avant Garde" w:hAnsi="ITC Avant Garde"/>
          <w:szCs w:val="22"/>
          <w:lang w:val="es-ES" w:eastAsia="es-ES"/>
        </w:rPr>
        <w:t>ANTECEDENTES</w:t>
      </w:r>
    </w:p>
    <w:p w14:paraId="094F335F" w14:textId="77777777" w:rsidR="009A500D" w:rsidRDefault="008A0A2B" w:rsidP="009A500D">
      <w:pPr>
        <w:numPr>
          <w:ilvl w:val="0"/>
          <w:numId w:val="1"/>
        </w:numPr>
        <w:tabs>
          <w:tab w:val="clear" w:pos="8761"/>
          <w:tab w:val="left" w:pos="142"/>
        </w:tabs>
        <w:spacing w:line="276" w:lineRule="auto"/>
        <w:ind w:left="567" w:right="23" w:hanging="567"/>
        <w:jc w:val="both"/>
        <w:rPr>
          <w:rFonts w:ascii="ITC Avant Garde" w:hAnsi="ITC Avant Garde"/>
          <w:bCs/>
          <w:lang w:val="es-ES" w:eastAsia="es-ES"/>
        </w:rPr>
      </w:pPr>
      <w:r w:rsidRPr="00EB3BA2">
        <w:rPr>
          <w:rFonts w:ascii="ITC Avant Garde" w:eastAsia="Calibri" w:hAnsi="ITC Avant Garde" w:cs="Times New Roman"/>
          <w:b/>
          <w:bCs/>
          <w:lang w:val="es-ES" w:eastAsia="es-ES"/>
        </w:rPr>
        <w:t>OpenIP</w:t>
      </w:r>
      <w:r w:rsidR="00BB070C" w:rsidRPr="00EB3BA2">
        <w:rPr>
          <w:rFonts w:ascii="ITC Avant Garde" w:eastAsia="Calibri" w:hAnsi="ITC Avant Garde" w:cs="Times New Roman"/>
          <w:b/>
          <w:bCs/>
          <w:lang w:val="es-ES" w:eastAsia="es-ES"/>
        </w:rPr>
        <w:t xml:space="preserve"> Comunicaciones, S.A. de C.V. (en lo sucesivo, “OpenIP”),</w:t>
      </w:r>
      <w:r w:rsidR="00BB070C" w:rsidRPr="00EB3BA2">
        <w:rPr>
          <w:rFonts w:ascii="ITC Avant Garde" w:eastAsia="Calibri" w:hAnsi="ITC Avant Garde" w:cs="Times New Roman"/>
          <w:bCs/>
          <w:lang w:val="es-ES" w:eastAsia="es-ES"/>
        </w:rPr>
        <w:t xml:space="preserve"> </w:t>
      </w:r>
      <w:r w:rsidRPr="00EB3BA2">
        <w:rPr>
          <w:rFonts w:ascii="ITC Avant Garde" w:hAnsi="ITC Avant Garde"/>
          <w:bCs/>
          <w:lang w:val="es-ES" w:eastAsia="es-ES"/>
        </w:rPr>
        <w:t xml:space="preserve">es un concesionario que cuenta con la autorización </w:t>
      </w:r>
      <w:r w:rsidRPr="00EB3BA2">
        <w:rPr>
          <w:rFonts w:ascii="ITC Avant Garde" w:hAnsi="ITC Avant Garde" w:cs="Arial"/>
          <w:bCs/>
        </w:rPr>
        <w:t xml:space="preserve">para para prestar todo tipo de servicios públicos de telecomunicaciones con fines de lucro, a través de la infraestructura asociada a una red pública de telecomunicaciones, al amparo de la concesión única otorgada conforme a la legislación aplicable e inscrito </w:t>
      </w:r>
      <w:r w:rsidRPr="00EB3BA2">
        <w:rPr>
          <w:rFonts w:ascii="ITC Avant Garde" w:hAnsi="ITC Avant Garde"/>
          <w:bCs/>
          <w:lang w:val="es-ES" w:eastAsia="es-ES"/>
        </w:rPr>
        <w:t>en el Registro Público de Concesiones del Instituto Federal de Telecomunicaciones (en los sucesivo, el “Instituto”).</w:t>
      </w:r>
    </w:p>
    <w:p w14:paraId="4945AE55" w14:textId="77777777" w:rsidR="009A500D" w:rsidRDefault="00BB070C" w:rsidP="009A500D">
      <w:pPr>
        <w:numPr>
          <w:ilvl w:val="0"/>
          <w:numId w:val="1"/>
        </w:numPr>
        <w:tabs>
          <w:tab w:val="clear" w:pos="8761"/>
          <w:tab w:val="left" w:pos="142"/>
        </w:tabs>
        <w:spacing w:line="276" w:lineRule="auto"/>
        <w:ind w:left="567" w:right="23" w:hanging="567"/>
        <w:jc w:val="both"/>
        <w:rPr>
          <w:rFonts w:ascii="ITC Avant Garde" w:hAnsi="ITC Avant Garde"/>
          <w:bCs/>
          <w:lang w:val="es-ES" w:eastAsia="es-ES"/>
        </w:rPr>
      </w:pPr>
      <w:r w:rsidRPr="00EB3BA2">
        <w:rPr>
          <w:rFonts w:ascii="ITC Avant Garde" w:eastAsia="Calibri" w:hAnsi="ITC Avant Garde" w:cs="Times New Roman"/>
          <w:b/>
          <w:bCs/>
          <w:lang w:val="es-ES" w:eastAsia="es-ES"/>
        </w:rPr>
        <w:t>Radiomóvil Dipsa, S.A. de C.V. (en lo sucesivo, “Telcel”),</w:t>
      </w:r>
      <w:r w:rsidRPr="00EB3BA2">
        <w:rPr>
          <w:rFonts w:ascii="ITC Avant Garde" w:eastAsia="Times New Roman" w:hAnsi="ITC Avant Garde" w:cs="Arial"/>
          <w:b/>
          <w:bCs/>
          <w:lang w:eastAsia="es-ES"/>
        </w:rPr>
        <w:t xml:space="preserve"> </w:t>
      </w:r>
      <w:r w:rsidR="000857CB" w:rsidRPr="00EB3BA2">
        <w:rPr>
          <w:rFonts w:ascii="ITC Avant Garde" w:hAnsi="ITC Avant Garde"/>
          <w:bCs/>
          <w:lang w:val="es-ES" w:eastAsia="es-ES"/>
        </w:rPr>
        <w:t>es un concesionario que cuenta con la autorización para instalar, operar y explotar una red pública de telecomunicaciones al amparo de</w:t>
      </w:r>
      <w:r w:rsidR="00E474A9" w:rsidRPr="00EB3BA2">
        <w:rPr>
          <w:rFonts w:ascii="ITC Avant Garde" w:hAnsi="ITC Avant Garde"/>
          <w:bCs/>
          <w:lang w:val="es-ES" w:eastAsia="es-ES"/>
        </w:rPr>
        <w:t xml:space="preserve"> los</w:t>
      </w:r>
      <w:r w:rsidR="000857CB" w:rsidRPr="00EB3BA2">
        <w:rPr>
          <w:rFonts w:ascii="ITC Avant Garde" w:hAnsi="ITC Avant Garde"/>
          <w:bCs/>
          <w:lang w:val="es-ES" w:eastAsia="es-ES"/>
        </w:rPr>
        <w:t xml:space="preserve"> título</w:t>
      </w:r>
      <w:r w:rsidR="00E474A9" w:rsidRPr="00EB3BA2">
        <w:rPr>
          <w:rFonts w:ascii="ITC Avant Garde" w:hAnsi="ITC Avant Garde"/>
          <w:bCs/>
          <w:lang w:val="es-ES" w:eastAsia="es-ES"/>
        </w:rPr>
        <w:t>s</w:t>
      </w:r>
      <w:r w:rsidR="000857CB" w:rsidRPr="00EB3BA2">
        <w:rPr>
          <w:rFonts w:ascii="ITC Avant Garde" w:hAnsi="ITC Avant Garde"/>
          <w:bCs/>
          <w:lang w:val="es-ES" w:eastAsia="es-ES"/>
        </w:rPr>
        <w:t xml:space="preserve"> de concesión otorgado</w:t>
      </w:r>
      <w:r w:rsidR="00E474A9" w:rsidRPr="00EB3BA2">
        <w:rPr>
          <w:rFonts w:ascii="ITC Avant Garde" w:hAnsi="ITC Avant Garde"/>
          <w:bCs/>
          <w:lang w:val="es-ES" w:eastAsia="es-ES"/>
        </w:rPr>
        <w:t>s</w:t>
      </w:r>
      <w:r w:rsidR="000857CB" w:rsidRPr="00EB3BA2">
        <w:rPr>
          <w:rFonts w:ascii="ITC Avant Garde" w:hAnsi="ITC Avant Garde"/>
          <w:bCs/>
          <w:lang w:val="es-ES" w:eastAsia="es-ES"/>
        </w:rPr>
        <w:t xml:space="preserve"> conforme a la legislación aplicable e inscrito</w:t>
      </w:r>
      <w:r w:rsidR="00E474A9" w:rsidRPr="00EB3BA2">
        <w:rPr>
          <w:rFonts w:ascii="ITC Avant Garde" w:hAnsi="ITC Avant Garde"/>
          <w:bCs/>
          <w:lang w:val="es-ES" w:eastAsia="es-ES"/>
        </w:rPr>
        <w:t>s</w:t>
      </w:r>
      <w:r w:rsidR="000857CB" w:rsidRPr="00EB3BA2">
        <w:rPr>
          <w:rFonts w:ascii="ITC Avant Garde" w:hAnsi="ITC Avant Garde"/>
          <w:bCs/>
          <w:lang w:val="es-ES" w:eastAsia="es-ES"/>
        </w:rPr>
        <w:t xml:space="preserve"> en el Registro Público de Concesiones del Instituto.</w:t>
      </w:r>
    </w:p>
    <w:p w14:paraId="08D57830" w14:textId="77777777" w:rsidR="009A500D" w:rsidRDefault="00C30DDC" w:rsidP="009A500D">
      <w:pPr>
        <w:numPr>
          <w:ilvl w:val="0"/>
          <w:numId w:val="1"/>
        </w:numPr>
        <w:tabs>
          <w:tab w:val="left" w:pos="142"/>
        </w:tabs>
        <w:spacing w:line="276" w:lineRule="auto"/>
        <w:ind w:left="567" w:right="23" w:hanging="567"/>
        <w:jc w:val="both"/>
        <w:rPr>
          <w:rFonts w:ascii="ITC Avant Garde" w:eastAsia="Calibri" w:hAnsi="ITC Avant Garde" w:cs="Times New Roman"/>
          <w:bCs/>
          <w:lang w:val="es-ES" w:eastAsia="es-ES"/>
        </w:rPr>
      </w:pPr>
      <w:r w:rsidRPr="00EB3BA2">
        <w:rPr>
          <w:rFonts w:ascii="ITC Avant Garde" w:eastAsia="Calibri" w:hAnsi="ITC Avant Garde" w:cs="Times New Roman"/>
          <w:b/>
          <w:bCs/>
          <w:lang w:val="es-ES" w:eastAsia="es-ES"/>
        </w:rPr>
        <w:t xml:space="preserve">Determinación del Agente Económico Preponderante. </w:t>
      </w:r>
      <w:r w:rsidRPr="00EB3BA2">
        <w:rPr>
          <w:rFonts w:ascii="ITC Avant Garde" w:eastAsia="Calibri" w:hAnsi="ITC Avant Garde" w:cs="Times New Roman"/>
          <w:bCs/>
          <w:lang w:val="es-ES" w:eastAsia="es-ES"/>
        </w:rPr>
        <w:t>El 6 de marzo de 2014, el Pleno del Instituto, en su V Sesión Extraordinaria aprobó la “</w:t>
      </w:r>
      <w:r w:rsidRPr="00EB3BA2">
        <w:rPr>
          <w:rFonts w:ascii="ITC Avant Garde" w:eastAsia="Calibri" w:hAnsi="ITC Avant Garde" w:cs="Times New Roman"/>
          <w:bCs/>
          <w:i/>
          <w:lang w:val="es-ES" w:eastAsia="es-ES"/>
        </w:rPr>
        <w:t xml:space="preserve">RESOLUCIÓN </w:t>
      </w:r>
      <w:r w:rsidR="00BD523C" w:rsidRPr="00EB3BA2">
        <w:rPr>
          <w:rFonts w:ascii="ITC Avant Garde" w:eastAsia="Calibri" w:hAnsi="ITC Avant Garde" w:cs="Times New Roman"/>
          <w:bCs/>
          <w:i/>
          <w:lang w:val="es-ES" w:eastAsia="es-ES"/>
        </w:rPr>
        <w:t>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00BD523C" w:rsidRPr="00EB3BA2">
        <w:rPr>
          <w:rFonts w:ascii="ITC Avant Garde" w:eastAsia="Calibri" w:hAnsi="ITC Avant Garde" w:cs="Times New Roman"/>
          <w:bCs/>
          <w:lang w:val="es-ES" w:eastAsia="es-ES"/>
        </w:rPr>
        <w:t>”</w:t>
      </w:r>
      <w:r w:rsidRPr="00EB3BA2">
        <w:rPr>
          <w:rFonts w:ascii="ITC Avant Garde" w:eastAsia="Calibri" w:hAnsi="ITC Avant Garde" w:cs="Times New Roman"/>
          <w:bCs/>
          <w:lang w:val="es-ES" w:eastAsia="es-ES"/>
        </w:rPr>
        <w:t>, aprobada mediante Acuerdo P/IFT/EXT/060314/76 (en lo sucesivo, la “Resolución del AEP”).</w:t>
      </w:r>
    </w:p>
    <w:p w14:paraId="746CA616" w14:textId="77777777" w:rsidR="009A500D" w:rsidRDefault="00BB070C" w:rsidP="009A500D">
      <w:pPr>
        <w:numPr>
          <w:ilvl w:val="0"/>
          <w:numId w:val="1"/>
        </w:numPr>
        <w:tabs>
          <w:tab w:val="left" w:pos="142"/>
        </w:tabs>
        <w:spacing w:line="276" w:lineRule="auto"/>
        <w:ind w:left="567" w:right="23" w:hanging="567"/>
        <w:jc w:val="both"/>
        <w:rPr>
          <w:rFonts w:ascii="ITC Avant Garde" w:eastAsia="Calibri" w:hAnsi="ITC Avant Garde" w:cs="Times New Roman"/>
          <w:bCs/>
          <w:lang w:val="es-ES" w:eastAsia="es-ES"/>
        </w:rPr>
      </w:pPr>
      <w:r w:rsidRPr="00EB3BA2">
        <w:rPr>
          <w:rFonts w:ascii="ITC Avant Garde" w:eastAsia="Calibri" w:hAnsi="ITC Avant Garde" w:cs="Times New Roman"/>
          <w:b/>
          <w:bCs/>
          <w:lang w:val="es-ES" w:eastAsia="es-ES"/>
        </w:rPr>
        <w:t>Metodología para el cálculo de costos de interconexión.</w:t>
      </w:r>
      <w:r w:rsidRPr="00EB3BA2">
        <w:rPr>
          <w:rFonts w:ascii="ITC Avant Garde" w:eastAsia="Calibri" w:hAnsi="ITC Avant Garde" w:cs="Arial"/>
          <w:b/>
          <w:bCs/>
        </w:rPr>
        <w:t xml:space="preserve"> </w:t>
      </w:r>
      <w:r w:rsidRPr="00EB3BA2">
        <w:rPr>
          <w:rFonts w:ascii="ITC Avant Garde" w:eastAsia="Calibri" w:hAnsi="ITC Avant Garde" w:cs="Times New Roman"/>
          <w:bCs/>
          <w:lang w:val="es-ES" w:eastAsia="es-ES"/>
        </w:rPr>
        <w:t>El 18 de diciembre de 2014, se publicó en el Diario Oficial de la Federación (en lo sucesivo, el “DOF”), el “</w:t>
      </w:r>
      <w:r w:rsidRPr="00EB3BA2">
        <w:rPr>
          <w:rFonts w:ascii="ITC Avant Garde" w:eastAsia="Calibri" w:hAnsi="ITC Avant Garde" w:cs="Times New Roman"/>
          <w:bCs/>
          <w:i/>
          <w:lang w:val="es-ES" w:eastAsia="es-ES"/>
        </w:rPr>
        <w:t xml:space="preserve">ACUERDO mediante el cual el Pleno del Instituto Federal de Telecomunicaciones emite la metodología para el cálculo de costos de interconexión de conformidad con la Ley Federal de Telecomunicaciones y </w:t>
      </w:r>
      <w:r w:rsidRPr="00EB3BA2">
        <w:rPr>
          <w:rFonts w:ascii="ITC Avant Garde" w:eastAsia="Calibri" w:hAnsi="ITC Avant Garde" w:cs="Times New Roman"/>
          <w:bCs/>
          <w:i/>
          <w:lang w:val="es-ES" w:eastAsia="es-ES"/>
        </w:rPr>
        <w:lastRenderedPageBreak/>
        <w:t>Radiodifusión</w:t>
      </w:r>
      <w:r w:rsidRPr="00EB3BA2">
        <w:rPr>
          <w:rFonts w:ascii="ITC Avant Garde" w:eastAsia="Calibri" w:hAnsi="ITC Avant Garde" w:cs="Times New Roman"/>
          <w:bCs/>
          <w:lang w:val="es-ES" w:eastAsia="es-ES"/>
        </w:rPr>
        <w:t>”, aprobado mediante Acuerdo P/IFT/EXT/161214/277 (en lo sucesivo la “Metodología de Costos”).</w:t>
      </w:r>
    </w:p>
    <w:p w14:paraId="51DFD302" w14:textId="77777777" w:rsidR="009A500D" w:rsidRDefault="00BB070C" w:rsidP="009A500D">
      <w:pPr>
        <w:numPr>
          <w:ilvl w:val="0"/>
          <w:numId w:val="1"/>
        </w:numPr>
        <w:tabs>
          <w:tab w:val="left" w:pos="142"/>
        </w:tabs>
        <w:spacing w:line="276" w:lineRule="auto"/>
        <w:ind w:left="567" w:right="23" w:hanging="567"/>
        <w:jc w:val="both"/>
        <w:rPr>
          <w:rFonts w:ascii="ITC Avant Garde" w:eastAsia="Calibri" w:hAnsi="ITC Avant Garde" w:cs="Times New Roman"/>
          <w:bCs/>
          <w:lang w:val="es-ES" w:eastAsia="es-ES"/>
        </w:rPr>
      </w:pPr>
      <w:r w:rsidRPr="00EB3BA2">
        <w:rPr>
          <w:rFonts w:ascii="ITC Avant Garde" w:eastAsia="Calibri" w:hAnsi="ITC Avant Garde" w:cs="Times New Roman"/>
          <w:b/>
          <w:bCs/>
          <w:lang w:val="es-ES" w:eastAsia="es-ES"/>
        </w:rPr>
        <w:t>Sistema Electrónico de Solicitudes de Interconexión.</w:t>
      </w:r>
      <w:r w:rsidRPr="00EB3BA2">
        <w:rPr>
          <w:rFonts w:ascii="ITC Avant Garde" w:eastAsia="Calibri" w:hAnsi="ITC Avant Garde" w:cs="Times New Roman"/>
          <w:bCs/>
          <w:lang w:val="es-ES" w:eastAsia="es-ES"/>
        </w:rPr>
        <w:t xml:space="preserve"> El 29 de diciembre de 2014 se publicó en el DOF el “</w:t>
      </w:r>
      <w:r w:rsidRPr="00EB3BA2">
        <w:rPr>
          <w:rFonts w:ascii="ITC Avant Garde" w:eastAsia="Calibri" w:hAnsi="ITC Avant Garde" w:cs="Times New Roman"/>
          <w:bCs/>
          <w:i/>
          <w:lang w:val="es-ES" w:eastAsia="es-ES"/>
        </w:rPr>
        <w:t>ACUERDO mediante el cual el Pleno del Instituto Federal de Telecomunicaciones establece el Sistema Electrónico de Solicitudes de Interconexión</w:t>
      </w:r>
      <w:r w:rsidRPr="00EB3BA2">
        <w:rPr>
          <w:rFonts w:ascii="ITC Avant Garde" w:eastAsia="Calibri" w:hAnsi="ITC Avant Garde" w:cs="Times New Roman"/>
          <w:bCs/>
          <w:lang w:val="es-ES" w:eastAsia="es-ES"/>
        </w:rPr>
        <w:t>” (en lo sucesivo, el “Acuerdo del Sistema”), mediante el cual se estableció el Sistema Electrónico de Solicitudes de Interconexión, (en lo sucesivo, el “SESI”).</w:t>
      </w:r>
    </w:p>
    <w:p w14:paraId="5855D6BC" w14:textId="77777777" w:rsidR="009A500D" w:rsidRDefault="005A5937" w:rsidP="009A500D">
      <w:pPr>
        <w:numPr>
          <w:ilvl w:val="0"/>
          <w:numId w:val="1"/>
        </w:numPr>
        <w:tabs>
          <w:tab w:val="left" w:pos="142"/>
        </w:tabs>
        <w:spacing w:line="276" w:lineRule="auto"/>
        <w:ind w:left="567" w:right="23" w:hanging="567"/>
        <w:jc w:val="both"/>
        <w:rPr>
          <w:rFonts w:ascii="ITC Avant Garde" w:eastAsia="Calibri" w:hAnsi="ITC Avant Garde" w:cs="Times New Roman"/>
          <w:bCs/>
          <w:lang w:val="es-ES" w:eastAsia="es-ES"/>
        </w:rPr>
      </w:pPr>
      <w:r w:rsidRPr="00EB3BA2">
        <w:rPr>
          <w:rFonts w:ascii="ITC Avant Garde" w:eastAsia="Calibri" w:hAnsi="ITC Avant Garde" w:cs="Times New Roman"/>
          <w:b/>
          <w:bCs/>
          <w:lang w:val="es-ES" w:eastAsia="es-ES"/>
        </w:rPr>
        <w:t>Revisión bienal.</w:t>
      </w:r>
      <w:r w:rsidRPr="00EB3BA2">
        <w:rPr>
          <w:rFonts w:ascii="ITC Avant Garde" w:eastAsia="Calibri" w:hAnsi="ITC Avant Garde" w:cs="Times New Roman"/>
          <w:bCs/>
          <w:lang w:val="es-ES" w:eastAsia="es-ES"/>
        </w:rPr>
        <w:t xml:space="preserve"> El 27 de febrero de 2017 el Pleno del Instituto, en su IV Sesión Extraordinaria aprobó mediante Acuerdo P/IFT/EXT/270217/119 la “</w:t>
      </w:r>
      <w:r w:rsidRPr="00EB3BA2">
        <w:rPr>
          <w:rFonts w:ascii="ITC Avant Garde" w:eastAsia="Calibri" w:hAnsi="ITC Avant Garde" w:cs="Times New Roman"/>
          <w:bCs/>
          <w:i/>
          <w:lang w:val="es-ES" w:eastAsia="es-ES"/>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w:t>
      </w:r>
      <w:r w:rsidRPr="00EB3BA2">
        <w:rPr>
          <w:rFonts w:ascii="ITC Avant Garde" w:eastAsia="Calibri" w:hAnsi="ITC Avant Garde" w:cs="Times New Roman"/>
          <w:bCs/>
          <w:lang w:val="es-ES" w:eastAsia="es-ES"/>
        </w:rPr>
        <w:t>” (en lo sucesivo, la “Revisión Bienal”).</w:t>
      </w:r>
    </w:p>
    <w:p w14:paraId="7362EE58" w14:textId="77777777" w:rsidR="009A500D" w:rsidRDefault="00BB070C" w:rsidP="009A500D">
      <w:pPr>
        <w:numPr>
          <w:ilvl w:val="0"/>
          <w:numId w:val="1"/>
        </w:numPr>
        <w:tabs>
          <w:tab w:val="num" w:pos="680"/>
        </w:tabs>
        <w:spacing w:line="276" w:lineRule="auto"/>
        <w:ind w:left="567" w:hanging="567"/>
        <w:jc w:val="both"/>
        <w:rPr>
          <w:rFonts w:ascii="ITC Avant Garde" w:eastAsia="Calibri" w:hAnsi="ITC Avant Garde" w:cs="Times New Roman"/>
          <w:bCs/>
          <w:lang w:val="es-ES" w:eastAsia="es-ES"/>
        </w:rPr>
      </w:pPr>
      <w:r w:rsidRPr="00EB3BA2">
        <w:rPr>
          <w:rFonts w:ascii="ITC Avant Garde" w:eastAsia="Calibri" w:hAnsi="ITC Avant Garde" w:cs="Times New Roman"/>
          <w:b/>
          <w:bCs/>
          <w:lang w:val="es-ES" w:eastAsia="es-ES"/>
        </w:rPr>
        <w:t>Publicación de las Condiciones Técnicas Mínimas y las Tarifas de Interconexión para el año 2018.</w:t>
      </w:r>
      <w:r w:rsidRPr="00EB3BA2">
        <w:rPr>
          <w:rFonts w:ascii="ITC Avant Garde" w:eastAsia="Calibri" w:hAnsi="ITC Avant Garde" w:cs="Times New Roman"/>
          <w:bCs/>
          <w:lang w:val="es-ES" w:eastAsia="es-ES"/>
        </w:rPr>
        <w:t xml:space="preserve"> El 9 de noviembre de 2017 se publicó en el DOF el “</w:t>
      </w:r>
      <w:r w:rsidRPr="00EB3BA2">
        <w:rPr>
          <w:rFonts w:ascii="ITC Avant Garde" w:eastAsia="Calibri" w:hAnsi="ITC Avant Garde" w:cs="Times New Roman"/>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EB3BA2">
        <w:rPr>
          <w:rFonts w:ascii="ITC Avant Garde" w:eastAsia="Calibri" w:hAnsi="ITC Avant Garde" w:cs="Times New Roman"/>
          <w:bCs/>
          <w:lang w:val="es-ES" w:eastAsia="es-ES"/>
        </w:rPr>
        <w:t>”, aprobado mediante Acuerdo P/IFT/021117/657 (en lo sucesivo, el “Acuerdo de CTM y Tarifas 2018”).</w:t>
      </w:r>
    </w:p>
    <w:p w14:paraId="06DB289F" w14:textId="77777777" w:rsidR="009A500D" w:rsidRDefault="002A199F" w:rsidP="009A500D">
      <w:pPr>
        <w:numPr>
          <w:ilvl w:val="0"/>
          <w:numId w:val="1"/>
        </w:numPr>
        <w:tabs>
          <w:tab w:val="num" w:pos="680"/>
        </w:tabs>
        <w:spacing w:line="276" w:lineRule="auto"/>
        <w:ind w:left="567" w:hanging="567"/>
        <w:jc w:val="both"/>
        <w:rPr>
          <w:rFonts w:ascii="ITC Avant Garde" w:eastAsia="Calibri" w:hAnsi="ITC Avant Garde" w:cs="Times New Roman"/>
          <w:bCs/>
          <w:lang w:val="es-ES" w:eastAsia="es-ES"/>
        </w:rPr>
      </w:pPr>
      <w:r w:rsidRPr="00EB3BA2">
        <w:rPr>
          <w:rFonts w:ascii="ITC Avant Garde" w:eastAsia="Calibri" w:hAnsi="ITC Avant Garde" w:cs="Times New Roman"/>
          <w:b/>
          <w:bCs/>
          <w:lang w:val="es-ES" w:eastAsia="es-ES"/>
        </w:rPr>
        <w:t>Publicación de la Modificación al Acuerdo de Condiciones Técnicas Mínimas y las Tarifas de Interconexión para el año 2018.</w:t>
      </w:r>
      <w:r w:rsidRPr="00EB3BA2">
        <w:rPr>
          <w:rFonts w:ascii="ITC Avant Garde" w:eastAsia="Calibri" w:hAnsi="ITC Avant Garde" w:cs="Times New Roman"/>
          <w:bCs/>
          <w:lang w:val="es-ES" w:eastAsia="es-ES"/>
        </w:rPr>
        <w:t xml:space="preserve"> El 28 de diciembre de 2017 se publicó en el DOF el “</w:t>
      </w:r>
      <w:r w:rsidRPr="00EB3BA2">
        <w:rPr>
          <w:rFonts w:ascii="ITC Avant Garde" w:hAnsi="ITC Avant Garde" w:cs="Times New Roman"/>
          <w:i/>
        </w:rPr>
        <w:t xml:space="preserve">ACUERDO mediante el cual el Pleno del Instituto Federal de Telecomunicaciones modifica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emitido mediante Acuerdo P/IFT/021117/657 en cumplimiento al proveído de fecha 7 de </w:t>
      </w:r>
      <w:r w:rsidRPr="00EB3BA2">
        <w:rPr>
          <w:rFonts w:ascii="ITC Avant Garde" w:hAnsi="ITC Avant Garde" w:cs="Times New Roman"/>
          <w:i/>
        </w:rPr>
        <w:lastRenderedPageBreak/>
        <w:t xml:space="preserve">diciembre de 2017 dictado por el Juzgado Segundo de Distrito en Materia Administrativa Especializado en Competencia Económica, Radiodifusión y Telecomunicaciones, con residencia en </w:t>
      </w:r>
      <w:smartTag w:uri="urn:schemas-microsoft-com:office:smarttags" w:element="PersonName">
        <w:smartTagPr>
          <w:attr w:name="ProductID" w:val="la Ciudad"/>
        </w:smartTagPr>
        <w:r w:rsidRPr="00EB3BA2">
          <w:rPr>
            <w:rFonts w:ascii="ITC Avant Garde" w:hAnsi="ITC Avant Garde" w:cs="Times New Roman"/>
            <w:i/>
          </w:rPr>
          <w:t>la Ciudad</w:t>
        </w:r>
      </w:smartTag>
      <w:r w:rsidRPr="00EB3BA2">
        <w:rPr>
          <w:rFonts w:ascii="ITC Avant Garde" w:hAnsi="ITC Avant Garde" w:cs="Times New Roman"/>
          <w:i/>
        </w:rPr>
        <w:t xml:space="preserve"> de México y jurisdicción en toda la República</w:t>
      </w:r>
      <w:r w:rsidRPr="00EB3BA2">
        <w:rPr>
          <w:rFonts w:ascii="ITC Avant Garde" w:eastAsia="Calibri" w:hAnsi="ITC Avant Garde" w:cs="Times New Roman"/>
          <w:bCs/>
          <w:lang w:val="es-ES" w:eastAsia="es-ES"/>
        </w:rPr>
        <w:t xml:space="preserve">”, aprobado mediante Acuerdo </w:t>
      </w:r>
      <w:r w:rsidRPr="00EB3BA2">
        <w:rPr>
          <w:rFonts w:ascii="ITC Avant Garde" w:hAnsi="ITC Avant Garde"/>
          <w:szCs w:val="14"/>
          <w:lang w:val="es-ES_tradnl"/>
        </w:rPr>
        <w:t>P/IFT/191217/915</w:t>
      </w:r>
      <w:r w:rsidRPr="00EB3BA2">
        <w:rPr>
          <w:rFonts w:ascii="ITC Avant Garde" w:eastAsia="Calibri" w:hAnsi="ITC Avant Garde" w:cs="Times New Roman"/>
          <w:bCs/>
          <w:lang w:val="es-ES" w:eastAsia="es-ES"/>
        </w:rPr>
        <w:t xml:space="preserve"> (en lo sucesivo, la “Modificación al Acuerdo de CTM y Tarifas 2018”).</w:t>
      </w:r>
    </w:p>
    <w:p w14:paraId="68B4D7B4" w14:textId="77777777" w:rsidR="009A500D" w:rsidRDefault="00505E94" w:rsidP="009A500D">
      <w:pPr>
        <w:numPr>
          <w:ilvl w:val="0"/>
          <w:numId w:val="1"/>
        </w:numPr>
        <w:tabs>
          <w:tab w:val="left" w:pos="142"/>
        </w:tabs>
        <w:spacing w:line="276" w:lineRule="auto"/>
        <w:ind w:left="567" w:right="23" w:hanging="567"/>
        <w:jc w:val="both"/>
        <w:rPr>
          <w:rFonts w:ascii="ITC Avant Garde" w:eastAsia="Calibri" w:hAnsi="ITC Avant Garde" w:cs="Arial"/>
          <w:b/>
          <w:bCs/>
        </w:rPr>
      </w:pPr>
      <w:r w:rsidRPr="00EB3BA2">
        <w:rPr>
          <w:rFonts w:ascii="ITC Avant Garde" w:eastAsia="Times New Roman" w:hAnsi="ITC Avant Garde" w:cs="Times New Roman"/>
          <w:b/>
          <w:bCs/>
          <w:lang w:val="es-ES" w:eastAsia="es-ES"/>
        </w:rPr>
        <w:t>Procedimiento de resolución de condiciones de interconexión no convenidas.</w:t>
      </w:r>
      <w:r w:rsidRPr="00EB3BA2">
        <w:rPr>
          <w:rFonts w:ascii="ITC Avant Garde" w:eastAsia="Times New Roman" w:hAnsi="ITC Avant Garde" w:cs="Times New Roman"/>
          <w:lang w:val="es-ES" w:eastAsia="es-ES"/>
        </w:rPr>
        <w:t xml:space="preserve"> </w:t>
      </w:r>
      <w:r w:rsidRPr="00EB3BA2">
        <w:rPr>
          <w:rFonts w:ascii="ITC Avant Garde" w:eastAsia="Times New Roman" w:hAnsi="ITC Avant Garde" w:cs="Times New Roman"/>
          <w:bCs/>
          <w:lang w:val="es-ES" w:eastAsia="es-ES"/>
        </w:rPr>
        <w:t xml:space="preserve">El 9 de octubre de 2017, el representante legal de OpenIP presentó </w:t>
      </w:r>
      <w:r w:rsidRPr="00EB3BA2">
        <w:rPr>
          <w:rFonts w:ascii="ITC Avant Garde" w:eastAsia="Times New Roman" w:hAnsi="ITC Avant Garde" w:cs="Times New Roman"/>
          <w:lang w:val="es-ES" w:eastAsia="es-ES"/>
        </w:rPr>
        <w:t>ante el Instituto, escrito mediante el cual solicitó su intervención para resolver los términos, tarifas y condiciones que no pudo convenir con Telcel para la interconexión de sus respectivas redes públicas de telecomunicaciones, (en lo sucesivo, la “Solicitud de Resolución”).</w:t>
      </w:r>
    </w:p>
    <w:p w14:paraId="058E287A" w14:textId="77777777" w:rsidR="009A500D" w:rsidRDefault="00505E94" w:rsidP="009A500D">
      <w:pPr>
        <w:spacing w:line="276" w:lineRule="auto"/>
        <w:ind w:left="567"/>
        <w:jc w:val="both"/>
        <w:rPr>
          <w:rFonts w:ascii="ITC Avant Garde" w:eastAsia="Times New Roman" w:hAnsi="ITC Avant Garde" w:cs="Times New Roman"/>
          <w:lang w:val="es-ES" w:eastAsia="es-ES"/>
        </w:rPr>
      </w:pPr>
      <w:r w:rsidRPr="00EB3BA2">
        <w:rPr>
          <w:rFonts w:ascii="ITC Avant Garde" w:eastAsia="Times New Roman" w:hAnsi="ITC Avant Garde" w:cs="Times New Roman"/>
          <w:bCs/>
          <w:lang w:val="es-ES" w:eastAsia="es-ES"/>
        </w:rPr>
        <w:t xml:space="preserve">La Solicitud de Resolución se admitió a trámite </w:t>
      </w:r>
      <w:r w:rsidRPr="00EB3BA2">
        <w:rPr>
          <w:rFonts w:ascii="ITC Avant Garde" w:eastAsia="Times New Roman" w:hAnsi="ITC Avant Garde" w:cs="Times New Roman"/>
          <w:lang w:val="es-ES" w:eastAsia="es-ES"/>
        </w:rPr>
        <w:t xml:space="preserve">asignándole el número de expediente </w:t>
      </w:r>
      <w:r w:rsidRPr="00EB3BA2">
        <w:rPr>
          <w:rFonts w:ascii="ITC Avant Garde" w:eastAsia="Times New Roman" w:hAnsi="ITC Avant Garde" w:cs="Times New Roman"/>
          <w:b/>
          <w:lang w:val="es-ES" w:eastAsia="es-ES"/>
        </w:rPr>
        <w:t>IFT/221/UPR/DG-RIRST/188.091017/ITX.</w:t>
      </w:r>
      <w:r w:rsidRPr="00EB3BA2">
        <w:rPr>
          <w:rFonts w:ascii="ITC Avant Garde" w:eastAsia="Times New Roman" w:hAnsi="ITC Avant Garde" w:cs="Times New Roman"/>
          <w:bCs/>
          <w:lang w:val="es-ES" w:eastAsia="es-ES"/>
        </w:rPr>
        <w:t xml:space="preserve"> </w:t>
      </w:r>
      <w:r w:rsidRPr="00EB3BA2">
        <w:rPr>
          <w:rFonts w:ascii="ITC Avant Garde" w:eastAsia="Times New Roman" w:hAnsi="ITC Avant Garde" w:cs="Times New Roman"/>
          <w:lang w:val="es-ES" w:eastAsia="es-ES"/>
        </w:rPr>
        <w:t>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37EDAE1C" w14:textId="77777777" w:rsidR="009A500D" w:rsidRDefault="00505E94" w:rsidP="009A500D">
      <w:pPr>
        <w:spacing w:line="276" w:lineRule="auto"/>
        <w:ind w:left="567"/>
        <w:jc w:val="both"/>
        <w:rPr>
          <w:rFonts w:ascii="ITC Avant Garde" w:eastAsia="Times New Roman" w:hAnsi="ITC Avant Garde" w:cs="Times New Roman"/>
          <w:lang w:val="es-ES" w:eastAsia="es-ES"/>
        </w:rPr>
      </w:pPr>
      <w:r w:rsidRPr="00EB3BA2">
        <w:rPr>
          <w:rFonts w:ascii="ITC Avant Garde" w:eastAsia="Times New Roman" w:hAnsi="ITC Avant Garde" w:cs="Times New Roman"/>
          <w:bCs/>
          <w:lang w:val="es-ES" w:eastAsia="es-ES"/>
        </w:rPr>
        <w:t xml:space="preserve">Es así que con fecha 8 de marzo de 2018, </w:t>
      </w:r>
      <w:r w:rsidRPr="00EB3BA2">
        <w:rPr>
          <w:rFonts w:ascii="ITC Avant Garde" w:eastAsia="Times New Roman" w:hAnsi="ITC Avant Garde" w:cs="Times New Roman"/>
          <w:lang w:val="es-ES" w:eastAsia="es-ES"/>
        </w:rPr>
        <w:t>el Instituto notificó a las partes, que el procedimiento guardaba estado para que el Pleno del Instituto dictase la resolución correspondiente.</w:t>
      </w:r>
    </w:p>
    <w:p w14:paraId="0448A150" w14:textId="77777777" w:rsidR="009A500D" w:rsidRDefault="00BB070C" w:rsidP="009A500D">
      <w:pPr>
        <w:widowControl w:val="0"/>
        <w:spacing w:line="276" w:lineRule="auto"/>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En virtud de los referidos Antecedentes, y</w:t>
      </w:r>
    </w:p>
    <w:p w14:paraId="3A86DD00" w14:textId="77777777" w:rsidR="009A500D" w:rsidRPr="009A500D" w:rsidRDefault="00BB070C" w:rsidP="009A500D">
      <w:pPr>
        <w:pStyle w:val="Ttulo2"/>
        <w:spacing w:after="240" w:line="276" w:lineRule="auto"/>
        <w:jc w:val="center"/>
        <w:rPr>
          <w:rFonts w:ascii="ITC Avant Garde" w:hAnsi="ITC Avant Garde"/>
          <w:szCs w:val="22"/>
          <w:lang w:val="es-ES" w:eastAsia="es-ES"/>
        </w:rPr>
      </w:pPr>
      <w:bookmarkStart w:id="1" w:name="HipótesisNormativa"/>
      <w:r w:rsidRPr="009A500D">
        <w:rPr>
          <w:rFonts w:ascii="ITC Avant Garde" w:hAnsi="ITC Avant Garde"/>
          <w:szCs w:val="22"/>
          <w:lang w:val="es-ES" w:eastAsia="es-ES"/>
        </w:rPr>
        <w:t>CONSIDERANDO</w:t>
      </w:r>
    </w:p>
    <w:p w14:paraId="3E7F2AC3" w14:textId="77777777" w:rsidR="009A500D" w:rsidRDefault="00BB070C" w:rsidP="009A500D">
      <w:pPr>
        <w:spacing w:line="276" w:lineRule="auto"/>
        <w:jc w:val="both"/>
        <w:rPr>
          <w:rFonts w:ascii="ITC Avant Garde" w:eastAsia="Calibri" w:hAnsi="ITC Avant Garde" w:cs="Times New Roman"/>
          <w:bCs/>
          <w:lang w:val="es-ES" w:eastAsia="es-ES"/>
        </w:rPr>
      </w:pPr>
      <w:bookmarkStart w:id="2" w:name="primero"/>
      <w:bookmarkStart w:id="3" w:name="quinto"/>
      <w:r w:rsidRPr="00EB3BA2">
        <w:rPr>
          <w:rFonts w:ascii="ITC Avant Garde" w:eastAsia="Calibri" w:hAnsi="ITC Avant Garde" w:cs="Times New Roman"/>
          <w:b/>
          <w:bCs/>
          <w:lang w:val="es-ES" w:eastAsia="es-ES"/>
        </w:rPr>
        <w:t>PRIMERO.-</w:t>
      </w:r>
      <w:r w:rsidRPr="00EB3BA2">
        <w:rPr>
          <w:rFonts w:ascii="ITC Avant Garde" w:eastAsia="Times New Roman" w:hAnsi="ITC Avant Garde" w:cs="Arial"/>
          <w:b/>
          <w:bCs/>
          <w:szCs w:val="20"/>
          <w:lang w:val="es-ES"/>
        </w:rPr>
        <w:t xml:space="preserve"> </w:t>
      </w:r>
      <w:r w:rsidRPr="00EB3BA2">
        <w:rPr>
          <w:rFonts w:ascii="ITC Avant Garde" w:eastAsia="Calibri" w:hAnsi="ITC Avant Garde" w:cs="Times New Roman"/>
          <w:b/>
          <w:bCs/>
          <w:lang w:val="es-ES" w:eastAsia="es-ES"/>
        </w:rPr>
        <w:t>Competencia del Instituto.</w:t>
      </w:r>
      <w:r w:rsidRPr="00EB3BA2">
        <w:rPr>
          <w:rFonts w:ascii="ITC Avant Garde" w:eastAsia="Calibri" w:hAnsi="ITC Avant Garde" w:cs="Times New Roman"/>
          <w:bCs/>
          <w:lang w:val="es-ES" w:eastAsia="es-ES"/>
        </w:rPr>
        <w:t xml:space="preserve"> De conformidad con los artículos 6, apartado B fracción II,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w:t>
      </w:r>
      <w:r w:rsidRPr="00EB3BA2">
        <w:rPr>
          <w:rFonts w:ascii="ITC Avant Garde" w:eastAsia="Calibri" w:hAnsi="ITC Avant Garde" w:cs="Times New Roman"/>
          <w:bCs/>
          <w:lang w:val="es-ES" w:eastAsia="es-ES"/>
        </w:rPr>
        <w:lastRenderedPageBreak/>
        <w:t xml:space="preserve">confiere la Constitución y en los términos que fijan la LFTR y demás disposiciones aplicables. </w:t>
      </w:r>
    </w:p>
    <w:p w14:paraId="00BEF6DB" w14:textId="77777777"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Cs/>
          <w:lang w:val="es-ES" w:eastAsia="es-ES"/>
        </w:rPr>
        <w:t>Con fundamento 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5586FD1A" w14:textId="77777777"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Cs/>
          <w:lang w:val="es-ES" w:eastAsia="es-ES"/>
        </w:rPr>
        <w:t>Por lo anterior y de conformidad con lo dispuesto en los artículos indicados, el Pleno del Instituto es competente para emitir la presente Resolución que determina los términos, condiciones y tarifas de interconexión no convenidas entre los concesionarios que operan redes públicas de telecomunicaciones, que forman parte en el presente procedimiento.</w:t>
      </w:r>
      <w:bookmarkEnd w:id="2"/>
    </w:p>
    <w:p w14:paraId="7E69B468" w14:textId="77777777" w:rsidR="009A500D" w:rsidRDefault="00BB070C" w:rsidP="009A500D">
      <w:pPr>
        <w:autoSpaceDE w:val="0"/>
        <w:autoSpaceDN w:val="0"/>
        <w:spacing w:line="276" w:lineRule="auto"/>
        <w:jc w:val="both"/>
        <w:rPr>
          <w:rFonts w:ascii="ITC Avant Garde" w:eastAsia="Calibri" w:hAnsi="ITC Avant Garde" w:cs="Times New Roman"/>
          <w:bCs/>
          <w:lang w:val="es-ES" w:eastAsia="es-ES"/>
        </w:rPr>
      </w:pPr>
      <w:bookmarkStart w:id="4" w:name="segundo"/>
      <w:r w:rsidRPr="00EB3BA2">
        <w:rPr>
          <w:rFonts w:ascii="ITC Avant Garde" w:eastAsia="Calibri" w:hAnsi="ITC Avant Garde" w:cs="Times New Roman"/>
          <w:b/>
          <w:bCs/>
          <w:lang w:val="es-ES" w:eastAsia="es-ES"/>
        </w:rPr>
        <w:t>SEGUNDO.- Importancia y obligatoriedad de la interconexión e Interés Público</w:t>
      </w:r>
      <w:r w:rsidRPr="00EB3BA2">
        <w:rPr>
          <w:rFonts w:ascii="ITC Avant Garde" w:eastAsia="Calibri" w:hAnsi="ITC Avant Garde" w:cs="Times New Roman"/>
          <w:bCs/>
          <w:lang w:val="es-ES" w:eastAsia="es-ES"/>
        </w:rPr>
        <w:t>. 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68FCD28" w14:textId="77777777"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Cs/>
          <w:lang w:val="es-ES" w:eastAsia="es-ES"/>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42B18AC2" w14:textId="77777777"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Cs/>
          <w:lang w:val="es-ES" w:eastAsia="es-ES"/>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1A9FD436" w14:textId="77777777"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Cs/>
          <w:lang w:val="es-ES" w:eastAsia="es-ES"/>
        </w:rPr>
        <w:lastRenderedPageBreak/>
        <w:t>Ahora bien,</w:t>
      </w:r>
      <w:bookmarkEnd w:id="4"/>
      <w:r w:rsidRPr="00EB3BA2">
        <w:rPr>
          <w:rFonts w:ascii="ITC Avant Garde" w:eastAsia="Calibri" w:hAnsi="ITC Avant Garde" w:cs="Times New Roman"/>
          <w:bCs/>
          <w:lang w:val="es-ES" w:eastAsia="es-ES"/>
        </w:rPr>
        <w:t xml:space="preserve"> </w:t>
      </w:r>
      <w:bookmarkStart w:id="5" w:name="tercero1"/>
      <w:r w:rsidRPr="00EB3BA2">
        <w:rPr>
          <w:rFonts w:ascii="ITC Avant Garde" w:eastAsia="Calibri" w:hAnsi="ITC Avant Garde" w:cs="Times New Roman"/>
          <w:bCs/>
          <w:lang w:val="es-ES" w:eastAsia="es-ES"/>
        </w:rPr>
        <w:t>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5"/>
    <w:p w14:paraId="1A9C3F13" w14:textId="77777777"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Cs/>
          <w:lang w:val="es-ES" w:eastAsia="es-ES"/>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00EFFFF0" w14:textId="77777777"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Cs/>
          <w:lang w:val="es-ES" w:eastAsia="es-ES"/>
        </w:rPr>
        <w:t>En consecuencia, en autos está acreditado que</w:t>
      </w:r>
      <w:r w:rsidRPr="00EB3BA2">
        <w:rPr>
          <w:rFonts w:ascii="ITC Avant Garde" w:eastAsia="Times New Roman" w:hAnsi="ITC Avant Garde" w:cs="Arial"/>
          <w:spacing w:val="-2"/>
        </w:rPr>
        <w:t xml:space="preserve"> OpenIP y Telcel </w:t>
      </w:r>
      <w:r w:rsidRPr="00EB3BA2">
        <w:rPr>
          <w:rFonts w:ascii="ITC Avant Garde" w:eastAsia="Calibri" w:hAnsi="ITC Avant Garde" w:cs="Times New Roman"/>
          <w:bCs/>
          <w:lang w:val="es-ES" w:eastAsia="es-ES"/>
        </w:rPr>
        <w:t>tienen el carácter de concesionarios que operan una red pública de telecomunicaciones y que efectivamente</w:t>
      </w:r>
      <w:r w:rsidRPr="00EB3BA2">
        <w:rPr>
          <w:rFonts w:ascii="ITC Avant Garde" w:eastAsia="Times New Roman" w:hAnsi="ITC Avant Garde" w:cs="Arial"/>
          <w:spacing w:val="-2"/>
        </w:rPr>
        <w:t xml:space="preserve"> OpenIP </w:t>
      </w:r>
      <w:r w:rsidRPr="00EB3BA2">
        <w:rPr>
          <w:rFonts w:ascii="ITC Avant Garde" w:eastAsia="Calibri" w:hAnsi="ITC Avant Garde" w:cs="Times New Roman"/>
          <w:bCs/>
          <w:lang w:val="es-ES" w:eastAsia="es-ES"/>
        </w:rPr>
        <w:t>requirió a</w:t>
      </w:r>
      <w:r w:rsidRPr="00EB3BA2">
        <w:rPr>
          <w:rFonts w:ascii="ITC Avant Garde" w:eastAsia="Times New Roman" w:hAnsi="ITC Avant Garde" w:cs="Arial"/>
          <w:spacing w:val="-2"/>
        </w:rPr>
        <w:t xml:space="preserve"> </w:t>
      </w:r>
      <w:r w:rsidRPr="00EB3BA2">
        <w:rPr>
          <w:rFonts w:ascii="ITC Avant Garde" w:eastAsia="Times New Roman" w:hAnsi="ITC Avant Garde" w:cs="Times New Roman"/>
          <w:szCs w:val="20"/>
          <w:lang w:val="es-ES" w:eastAsia="es-ES"/>
        </w:rPr>
        <w:t xml:space="preserve">Telcel </w:t>
      </w:r>
      <w:r w:rsidRPr="00EB3BA2">
        <w:rPr>
          <w:rFonts w:ascii="ITC Avant Garde" w:eastAsia="Calibri" w:hAnsi="ITC Avant Garde" w:cs="Times New Roman"/>
          <w:bCs/>
          <w:lang w:val="es-ES" w:eastAsia="es-ES"/>
        </w:rPr>
        <w:t xml:space="preserve">el inicio de negociaciones para convenir los términos, condiciones y tarifas de interconexión, según se desprende de los Antecedentes I, II y </w:t>
      </w:r>
      <w:r w:rsidR="00E344C8" w:rsidRPr="00EB3BA2">
        <w:rPr>
          <w:rFonts w:ascii="ITC Avant Garde" w:eastAsia="Calibri" w:hAnsi="ITC Avant Garde" w:cs="Times New Roman"/>
          <w:bCs/>
          <w:lang w:val="es-ES" w:eastAsia="es-ES"/>
        </w:rPr>
        <w:t xml:space="preserve">IX </w:t>
      </w:r>
      <w:r w:rsidRPr="00EB3BA2">
        <w:rPr>
          <w:rFonts w:ascii="ITC Avant Garde" w:eastAsia="Calibri" w:hAnsi="ITC Avant Garde" w:cs="Times New Roman"/>
          <w:bCs/>
          <w:lang w:val="es-ES" w:eastAsia="es-ES"/>
        </w:rPr>
        <w:t>de la presente Resolución.</w:t>
      </w:r>
    </w:p>
    <w:p w14:paraId="62F8B676" w14:textId="77777777"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Cs/>
          <w:lang w:val="es-ES" w:eastAsia="es-ES"/>
        </w:rPr>
        <w:t>Por ello, conforme al artículo 124 de la LFTR</w:t>
      </w:r>
      <w:r w:rsidRPr="00EB3BA2">
        <w:rPr>
          <w:rFonts w:ascii="ITC Avant Garde" w:eastAsia="Times New Roman" w:hAnsi="ITC Avant Garde" w:cs="Arial"/>
        </w:rPr>
        <w:t xml:space="preserve">, </w:t>
      </w:r>
      <w:r w:rsidRPr="00EB3BA2">
        <w:rPr>
          <w:rFonts w:ascii="ITC Avant Garde" w:eastAsia="Times New Roman" w:hAnsi="ITC Avant Garde" w:cs="Arial"/>
          <w:spacing w:val="-2"/>
        </w:rPr>
        <w:t xml:space="preserve">OpenIP y Telcel </w:t>
      </w:r>
      <w:r w:rsidRPr="00EB3BA2">
        <w:rPr>
          <w:rFonts w:ascii="ITC Avant Garde" w:eastAsia="Calibri" w:hAnsi="ITC Avant Garde" w:cs="Times New Roman"/>
          <w:bCs/>
          <w:lang w:val="es-ES" w:eastAsia="es-ES"/>
        </w:rPr>
        <w:t>están obligados a garantizar la eficiente interconexión de sus respectivas redes públicas de telecomunicaciones, formalizando en todo caso, la suscripción del convenio respectivo que estipule los términos, condiciones y tarifas aplicables.</w:t>
      </w:r>
    </w:p>
    <w:p w14:paraId="1F06A202" w14:textId="77777777"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
          <w:bCs/>
          <w:lang w:val="es-ES" w:eastAsia="es-ES"/>
        </w:rPr>
        <w:t>TERCERO.- Valoración de pruebas.-</w:t>
      </w:r>
      <w:r w:rsidRPr="00EB3BA2">
        <w:rPr>
          <w:rFonts w:ascii="ITC Avant Garde" w:eastAsia="Calibri" w:hAnsi="ITC Avant Garde" w:cs="Times New Roman"/>
          <w:bCs/>
          <w:lang w:val="es-ES" w:eastAsia="es-ES"/>
        </w:rPr>
        <w:t xml:space="preserve"> 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7E743959" w14:textId="0B78AE96" w:rsidR="009A500D" w:rsidRDefault="00BB070C" w:rsidP="009A500D">
      <w:pPr>
        <w:spacing w:line="276" w:lineRule="auto"/>
        <w:jc w:val="both"/>
        <w:rPr>
          <w:rFonts w:ascii="ITC Avant Garde" w:eastAsia="Calibri" w:hAnsi="ITC Avant Garde" w:cs="Times New Roman"/>
          <w:bCs/>
          <w:lang w:val="es-ES" w:eastAsia="es-ES"/>
        </w:rPr>
      </w:pPr>
      <w:r w:rsidRPr="00EB3BA2">
        <w:rPr>
          <w:rFonts w:ascii="ITC Avant Garde" w:eastAsia="Calibri" w:hAnsi="ITC Avant Garde" w:cs="Times New Roman"/>
          <w:bCs/>
          <w:lang w:val="es-ES" w:eastAsia="es-ES"/>
        </w:rPr>
        <w:lastRenderedPageBreak/>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w:t>
      </w:r>
      <w:r w:rsidR="009A500D">
        <w:rPr>
          <w:rFonts w:ascii="ITC Avant Garde" w:eastAsia="Calibri" w:hAnsi="ITC Avant Garde" w:cs="Times New Roman"/>
          <w:bCs/>
          <w:lang w:val="es-ES" w:eastAsia="es-ES"/>
        </w:rPr>
        <w:t>ltado final de dicha valuación.</w:t>
      </w:r>
    </w:p>
    <w:p w14:paraId="7CEE7FF1"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En tal sentido el Instituto valora las pruebas aportadas por las partes en los siguientes términos:</w:t>
      </w:r>
    </w:p>
    <w:p w14:paraId="30F26DB2" w14:textId="77777777" w:rsidR="009A500D" w:rsidRDefault="00BB070C" w:rsidP="009A500D">
      <w:pPr>
        <w:numPr>
          <w:ilvl w:val="1"/>
          <w:numId w:val="22"/>
        </w:numPr>
        <w:spacing w:line="276" w:lineRule="auto"/>
        <w:jc w:val="both"/>
        <w:rPr>
          <w:rFonts w:ascii="ITC Avant Garde" w:eastAsia="Times New Roman" w:hAnsi="ITC Avant Garde" w:cs="Times New Roman"/>
          <w:b/>
          <w:szCs w:val="24"/>
          <w:lang w:eastAsia="es-ES"/>
        </w:rPr>
      </w:pPr>
      <w:r w:rsidRPr="00EB3BA2">
        <w:rPr>
          <w:rFonts w:ascii="ITC Avant Garde" w:eastAsia="Times New Roman" w:hAnsi="ITC Avant Garde" w:cs="Times New Roman"/>
          <w:b/>
          <w:szCs w:val="24"/>
          <w:lang w:eastAsia="es-ES"/>
        </w:rPr>
        <w:t>Pruebas ofrecidas por ambas partes.</w:t>
      </w:r>
    </w:p>
    <w:p w14:paraId="0D98BE6F" w14:textId="77777777" w:rsidR="009A500D" w:rsidRDefault="00BB070C" w:rsidP="009A500D">
      <w:pPr>
        <w:numPr>
          <w:ilvl w:val="0"/>
          <w:numId w:val="23"/>
        </w:numPr>
        <w:spacing w:line="276" w:lineRule="auto"/>
        <w:ind w:right="48"/>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La presuncional, consistente en las presunciones que se deducen de un hecho conocido para averiguar la verdad de otro desconocido, se le da valor probatorio en términos de los artículos, 197 y 218 del CFPC al ser ésta la consecuencia lógica y natural de hechos conocidos y probados al momento de hacer la deducción respectiva.</w:t>
      </w:r>
    </w:p>
    <w:p w14:paraId="5C80D866" w14:textId="77777777" w:rsidR="009A500D" w:rsidRDefault="00BB070C" w:rsidP="009A500D">
      <w:pPr>
        <w:numPr>
          <w:ilvl w:val="0"/>
          <w:numId w:val="23"/>
        </w:numPr>
        <w:spacing w:line="276" w:lineRule="auto"/>
        <w:ind w:right="48"/>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La instrumental de actuaciones, consistente lo actuado en el presente procedimiento, se le da valor probatorio al constituirse dicha prueba con las constancias que obran en el sumario y en términos del principio ontológico de la prueba, conforme al cual lo ordinario se presume.</w:t>
      </w:r>
    </w:p>
    <w:p w14:paraId="6A43F6B2" w14:textId="42F8C3EB" w:rsidR="009A500D" w:rsidRDefault="00BB070C" w:rsidP="009A500D">
      <w:pPr>
        <w:numPr>
          <w:ilvl w:val="1"/>
          <w:numId w:val="22"/>
        </w:numPr>
        <w:spacing w:line="276" w:lineRule="auto"/>
        <w:jc w:val="both"/>
        <w:rPr>
          <w:rFonts w:ascii="ITC Avant Garde" w:eastAsia="Times New Roman" w:hAnsi="ITC Avant Garde" w:cs="Times New Roman"/>
          <w:b/>
          <w:szCs w:val="24"/>
          <w:lang w:eastAsia="es-ES"/>
        </w:rPr>
      </w:pPr>
      <w:r w:rsidRPr="00EB3BA2">
        <w:rPr>
          <w:rFonts w:ascii="ITC Avant Garde" w:eastAsia="Times New Roman" w:hAnsi="ITC Avant Garde" w:cs="Times New Roman"/>
          <w:b/>
          <w:szCs w:val="24"/>
          <w:lang w:eastAsia="es-ES"/>
        </w:rPr>
        <w:t>Pruebas Ofrecidas por OpenIP</w:t>
      </w:r>
    </w:p>
    <w:p w14:paraId="0105C4BD" w14:textId="77777777" w:rsidR="009A500D" w:rsidRDefault="00BB070C" w:rsidP="009A500D">
      <w:pPr>
        <w:numPr>
          <w:ilvl w:val="0"/>
          <w:numId w:val="31"/>
        </w:numPr>
        <w:spacing w:line="276" w:lineRule="auto"/>
        <w:ind w:right="48"/>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Referente a la</w:t>
      </w:r>
      <w:r w:rsidR="00E07E02" w:rsidRPr="00EB3BA2">
        <w:rPr>
          <w:rFonts w:ascii="ITC Avant Garde" w:eastAsia="Times New Roman" w:hAnsi="ITC Avant Garde" w:cs="Arial"/>
          <w:szCs w:val="24"/>
          <w:lang w:eastAsia="es-ES"/>
        </w:rPr>
        <w:t>s</w:t>
      </w:r>
      <w:r w:rsidRPr="00EB3BA2">
        <w:rPr>
          <w:rFonts w:ascii="ITC Avant Garde" w:eastAsia="Times New Roman" w:hAnsi="ITC Avant Garde" w:cs="Arial"/>
          <w:szCs w:val="24"/>
          <w:lang w:eastAsia="es-ES"/>
        </w:rPr>
        <w:t xml:space="preserve"> documental</w:t>
      </w:r>
      <w:r w:rsidR="00E07E02" w:rsidRPr="00EB3BA2">
        <w:rPr>
          <w:rFonts w:ascii="ITC Avant Garde" w:eastAsia="Times New Roman" w:hAnsi="ITC Avant Garde" w:cs="Arial"/>
          <w:szCs w:val="24"/>
          <w:lang w:eastAsia="es-ES"/>
        </w:rPr>
        <w:t>es</w:t>
      </w:r>
      <w:r w:rsidRPr="00EB3BA2">
        <w:rPr>
          <w:rFonts w:ascii="ITC Avant Garde" w:eastAsia="Times New Roman" w:hAnsi="ITC Avant Garde" w:cs="Arial"/>
          <w:szCs w:val="24"/>
          <w:lang w:eastAsia="es-ES"/>
        </w:rPr>
        <w:t xml:space="preserve"> privada</w:t>
      </w:r>
      <w:r w:rsidR="00E07E02" w:rsidRPr="00EB3BA2">
        <w:rPr>
          <w:rFonts w:ascii="ITC Avant Garde" w:eastAsia="Times New Roman" w:hAnsi="ITC Avant Garde" w:cs="Arial"/>
          <w:szCs w:val="24"/>
          <w:lang w:eastAsia="es-ES"/>
        </w:rPr>
        <w:t>s</w:t>
      </w:r>
      <w:r w:rsidRPr="00EB3BA2">
        <w:rPr>
          <w:rFonts w:ascii="ITC Avant Garde" w:eastAsia="Times New Roman" w:hAnsi="ITC Avant Garde" w:cs="Arial"/>
          <w:szCs w:val="24"/>
          <w:lang w:eastAsia="es-ES"/>
        </w:rPr>
        <w:t>, consistente</w:t>
      </w:r>
      <w:r w:rsidR="00E07E02" w:rsidRPr="00EB3BA2">
        <w:rPr>
          <w:rFonts w:ascii="ITC Avant Garde" w:eastAsia="Times New Roman" w:hAnsi="ITC Avant Garde" w:cs="Arial"/>
          <w:szCs w:val="24"/>
          <w:lang w:eastAsia="es-ES"/>
        </w:rPr>
        <w:t>s</w:t>
      </w:r>
      <w:r w:rsidRPr="00EB3BA2">
        <w:rPr>
          <w:rFonts w:ascii="ITC Avant Garde" w:eastAsia="Times New Roman" w:hAnsi="ITC Avant Garde" w:cs="Arial"/>
          <w:szCs w:val="24"/>
          <w:lang w:eastAsia="es-ES"/>
        </w:rPr>
        <w:t xml:space="preserve"> en</w:t>
      </w:r>
      <w:r w:rsidR="003E3893" w:rsidRPr="00EB3BA2">
        <w:rPr>
          <w:rFonts w:ascii="ITC Avant Garde" w:eastAsia="Times New Roman" w:hAnsi="ITC Avant Garde" w:cs="Arial"/>
          <w:szCs w:val="24"/>
          <w:lang w:eastAsia="es-ES"/>
        </w:rPr>
        <w:t>:</w:t>
      </w:r>
      <w:r w:rsidRPr="00EB3BA2">
        <w:rPr>
          <w:rFonts w:ascii="ITC Avant Garde" w:eastAsia="Times New Roman" w:hAnsi="ITC Avant Garde" w:cs="Arial"/>
          <w:szCs w:val="24"/>
          <w:lang w:eastAsia="es-ES"/>
        </w:rPr>
        <w:t xml:space="preserve"> la impresión de la pantalla del SESI bajo el número IFT/UPR/5340</w:t>
      </w:r>
      <w:r w:rsidR="00E07E02" w:rsidRPr="00EB3BA2">
        <w:rPr>
          <w:rFonts w:ascii="ITC Avant Garde" w:eastAsia="Times New Roman" w:hAnsi="ITC Avant Garde" w:cs="Arial"/>
          <w:szCs w:val="24"/>
          <w:lang w:eastAsia="es-ES"/>
        </w:rPr>
        <w:t>, el escrito por el cual OpenIP solicitó a Telcel el inicio de las negociaciones de interconexión y el escrito por parte de OpenIP en alcance a la solicitud de inicio de negociaciones de fecha 20 de septiembre de 2017;</w:t>
      </w:r>
      <w:r w:rsidR="003E3893" w:rsidRPr="00EB3BA2">
        <w:rPr>
          <w:rFonts w:ascii="ITC Avant Garde" w:eastAsia="Times New Roman" w:hAnsi="ITC Avant Garde" w:cs="Arial"/>
          <w:szCs w:val="24"/>
          <w:lang w:eastAsia="es-ES"/>
        </w:rPr>
        <w:t xml:space="preserve"> </w:t>
      </w:r>
      <w:r w:rsidR="00E07E02" w:rsidRPr="00EB3BA2">
        <w:rPr>
          <w:rFonts w:ascii="ITC Avant Garde" w:eastAsia="Times New Roman" w:hAnsi="ITC Avant Garde" w:cs="Arial"/>
          <w:szCs w:val="24"/>
          <w:lang w:eastAsia="es-ES"/>
        </w:rPr>
        <w:t>s</w:t>
      </w:r>
      <w:r w:rsidRPr="00EB3BA2">
        <w:rPr>
          <w:rFonts w:ascii="ITC Avant Garde" w:eastAsia="Times New Roman" w:hAnsi="ITC Avant Garde" w:cs="Arial"/>
          <w:szCs w:val="24"/>
          <w:lang w:eastAsia="es-ES"/>
        </w:rPr>
        <w:t>e le</w:t>
      </w:r>
      <w:r w:rsidR="00E07E02" w:rsidRPr="00EB3BA2">
        <w:rPr>
          <w:rFonts w:ascii="ITC Avant Garde" w:eastAsia="Times New Roman" w:hAnsi="ITC Avant Garde" w:cs="Arial"/>
          <w:szCs w:val="24"/>
          <w:lang w:eastAsia="es-ES"/>
        </w:rPr>
        <w:t>s</w:t>
      </w:r>
      <w:r w:rsidRPr="00EB3BA2">
        <w:rPr>
          <w:rFonts w:ascii="ITC Avant Garde" w:eastAsia="Times New Roman" w:hAnsi="ITC Avant Garde" w:cs="Arial"/>
          <w:szCs w:val="24"/>
          <w:lang w:eastAsia="es-ES"/>
        </w:rPr>
        <w:t xml:space="preserve"> otorga valor probatorio en términos del artículo 50 de la LFPA, así como los artículos 133, 197 y 210-A del CFPC, al hacer prueba de que, en efecto, mediante solicitud ingresada en el SESI, OpenIP solicitó el inicio de negociaciones a Telcel tendientes a convenir los términos y condiciones en materia de interconexión, con lo que queda acreditado que se cumplió con el requisito de procedencia referente a la existencia de negociaciones previas entre los concesionarios.</w:t>
      </w:r>
    </w:p>
    <w:p w14:paraId="5CD2CE78" w14:textId="77777777" w:rsidR="009A500D" w:rsidRDefault="00BB070C" w:rsidP="009A500D">
      <w:pPr>
        <w:numPr>
          <w:ilvl w:val="1"/>
          <w:numId w:val="22"/>
        </w:numPr>
        <w:spacing w:line="276" w:lineRule="auto"/>
        <w:jc w:val="both"/>
        <w:rPr>
          <w:rFonts w:ascii="ITC Avant Garde" w:eastAsia="Times New Roman" w:hAnsi="ITC Avant Garde" w:cs="Times New Roman"/>
          <w:b/>
          <w:szCs w:val="24"/>
          <w:lang w:eastAsia="es-ES"/>
        </w:rPr>
      </w:pPr>
      <w:r w:rsidRPr="00EB3BA2">
        <w:rPr>
          <w:rFonts w:ascii="ITC Avant Garde" w:eastAsia="Times New Roman" w:hAnsi="ITC Avant Garde" w:cs="Times New Roman"/>
          <w:b/>
          <w:szCs w:val="24"/>
          <w:lang w:eastAsia="es-ES"/>
        </w:rPr>
        <w:t xml:space="preserve"> Pruebas ofrecidas por Telcel</w:t>
      </w:r>
      <w:r w:rsidRPr="00EB3BA2">
        <w:rPr>
          <w:rFonts w:ascii="ITC Avant Garde" w:eastAsia="Times New Roman" w:hAnsi="ITC Avant Garde" w:cs="Arial"/>
          <w:b/>
          <w:spacing w:val="-2"/>
          <w:szCs w:val="24"/>
          <w:lang w:eastAsia="es-ES"/>
        </w:rPr>
        <w:t>.</w:t>
      </w:r>
    </w:p>
    <w:p w14:paraId="42CFC1B9" w14:textId="77777777" w:rsidR="009A500D" w:rsidRDefault="00BB070C" w:rsidP="009A500D">
      <w:pPr>
        <w:numPr>
          <w:ilvl w:val="0"/>
          <w:numId w:val="32"/>
        </w:numPr>
        <w:spacing w:line="276" w:lineRule="auto"/>
        <w:ind w:right="48"/>
        <w:jc w:val="both"/>
        <w:rPr>
          <w:rFonts w:ascii="ITC Avant Garde" w:eastAsia="Calibri" w:hAnsi="ITC Avant Garde" w:cs="Times New Roman"/>
        </w:rPr>
      </w:pPr>
      <w:r w:rsidRPr="00EB3BA2">
        <w:rPr>
          <w:rFonts w:ascii="ITC Avant Garde" w:eastAsia="Calibri" w:hAnsi="ITC Avant Garde" w:cs="Times New Roman"/>
        </w:rPr>
        <w:lastRenderedPageBreak/>
        <w:t xml:space="preserve">Con relación a las documentales públicas consistentes en las constancias de inscripción identificadas con los números  011442 y 011621, emitidas por la Unidad de Concesiones y Servicios de este Instituto, referentes a la inscripción de los Contratos del Servicio de Intercambio Electrónico de Mensajes Cortos (SIEMC), este Instituto les da valor probatorio en términos de lo establecido en los artículos 197, 202, 210-A del CFPC, al hacer prueba plena de la </w:t>
      </w:r>
      <w:r w:rsidR="003E3893" w:rsidRPr="00EB3BA2">
        <w:rPr>
          <w:rFonts w:ascii="ITC Avant Garde" w:eastAsia="Calibri" w:hAnsi="ITC Avant Garde" w:cs="Times New Roman"/>
        </w:rPr>
        <w:t>inscripción de los contratos</w:t>
      </w:r>
      <w:r w:rsidRPr="00EB3BA2">
        <w:rPr>
          <w:rFonts w:ascii="ITC Avant Garde" w:eastAsia="Calibri" w:hAnsi="ITC Avant Garde" w:cs="Times New Roman"/>
        </w:rPr>
        <w:t xml:space="preserve"> por parte de este Instituto.</w:t>
      </w:r>
    </w:p>
    <w:p w14:paraId="5492AA05" w14:textId="21B705B3" w:rsidR="009A500D" w:rsidRDefault="00BB070C" w:rsidP="009A500D">
      <w:pPr>
        <w:numPr>
          <w:ilvl w:val="0"/>
          <w:numId w:val="32"/>
        </w:numPr>
        <w:spacing w:line="276" w:lineRule="auto"/>
        <w:ind w:right="48"/>
        <w:jc w:val="both"/>
        <w:rPr>
          <w:rFonts w:ascii="ITC Avant Garde" w:eastAsia="Times New Roman" w:hAnsi="ITC Avant Garde" w:cs="Arial"/>
          <w:b/>
          <w:szCs w:val="24"/>
          <w:lang w:eastAsia="es-ES"/>
        </w:rPr>
      </w:pPr>
      <w:r w:rsidRPr="00EB3BA2">
        <w:rPr>
          <w:rFonts w:ascii="ITC Avant Garde" w:eastAsia="Times New Roman" w:hAnsi="ITC Avant Garde" w:cs="Times New Roman"/>
          <w:szCs w:val="24"/>
          <w:lang w:eastAsia="es-ES"/>
        </w:rPr>
        <w:t>Referente a la prueba pericial en materia de Ingeniería de las Telecomunicaciones ofrecida por Telcel, este Instituto valora la misma en términos del artículo 211 del CFPC de la siguiente manera:</w:t>
      </w:r>
    </w:p>
    <w:p w14:paraId="7C3EC21E" w14:textId="77777777" w:rsidR="009A500D" w:rsidRDefault="00BB070C" w:rsidP="009A500D">
      <w:pPr>
        <w:spacing w:line="276" w:lineRule="auto"/>
        <w:rPr>
          <w:rFonts w:ascii="ITC Avant Garde" w:eastAsia="Calibri" w:hAnsi="ITC Avant Garde" w:cs="Times New Roman"/>
          <w:b/>
        </w:rPr>
      </w:pPr>
      <w:r w:rsidRPr="00EB3BA2">
        <w:rPr>
          <w:rFonts w:ascii="ITC Avant Garde" w:eastAsia="Calibri" w:hAnsi="ITC Avant Garde" w:cs="Times New Roman"/>
          <w:b/>
        </w:rPr>
        <w:t>Preguntas en materia de Ingeniería de las Telecomunicaciones propuestas por Telcel.</w:t>
      </w:r>
    </w:p>
    <w:p w14:paraId="288CDA5E"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b/>
        </w:rPr>
        <w:t>Pregunta 1 formulada por Telcel. Se solicitó al perito determinar las principales diferencias entre el servicio de intercambio de mensajes cortos Persona a Persona y el servicio de envío masivo de mensajes cortos Aplicación a Persona.</w:t>
      </w:r>
    </w:p>
    <w:p w14:paraId="679816C9"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El perito de Telcel realizó una comparación entre ambos servicios, señalando que el servicio de intercambio de mensajes cortos Persona a Persona (en lo sucesivo, “P2P”) corresponde a un intercambio de mensajes de contenido personal entre los usuarios de un mismo concesionario o con los usuarios de otro concesionario del servicio móvil, para lo cual, se utilizan dispositivos móviles y donde se genera un intercambio de tráfico balanceado entre las partes.</w:t>
      </w:r>
    </w:p>
    <w:p w14:paraId="6709DC02"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Por lo que respecta al servicio de envío de mensajes cortos en su modalidad de Aplicación a Persona (en lo sucesivo, “A2P”), el perito señaló que generalmente consiste en el envío masivo y unilateral de mensajes cortos, no intercambio, cuyo contenido es de naturaleza comercial, publicitaria o informativa, y que es generada por empresas o entidades comerciales mediante el uso de sistemas informáticos automatizados, donde el destino corresponde a usuarios de redes públicas de telecomunicaciones.  </w:t>
      </w:r>
    </w:p>
    <w:p w14:paraId="393D823B"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señala que de acuerdo con la definición de Interconexión establecida en la LFTR, el Servicio de Intercambio de Mensajes Cortos debe verificarse entre los usuarios de redes públicas de telecomunicaciones, </w:t>
      </w:r>
      <w:r w:rsidRPr="00EB3BA2">
        <w:rPr>
          <w:rFonts w:ascii="ITC Avant Garde" w:eastAsia="Times New Roman" w:hAnsi="ITC Avant Garde" w:cs="Times New Roman"/>
        </w:rPr>
        <w:lastRenderedPageBreak/>
        <w:t>siendo que en el servicio de A2P se requiere sólo del uso de la red pública de telecomunicaciones del concesionario donde se terminan los mensajes cortos, por lo que el perito señala que dicha modalidad no es acorde con el concepto de Interconexión establecido en la legislación vigente.</w:t>
      </w:r>
    </w:p>
    <w:p w14:paraId="00C6308A"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0CBB7659"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Al respecto, el Instituto coincide parcialmente en la descripción realizada por el perito de Telcel respecto a las diferencias entre el servicio de intercambio de mensajes cortos Persona a Persona (en lo sucesivo, P2P) y el servicio de envío masivo de mensajes cortos Aplicación a Persona dado que, para este segundo esquema, el servicio de mensajes también puede realizarse de persona a aplicación (en lo sucesivo, P2A), generando un intercambio de mensajes entre las partes y no únicamente de forma unilateral como lo señala el perito.</w:t>
      </w:r>
    </w:p>
    <w:p w14:paraId="0A6D526B" w14:textId="6A773069" w:rsidR="00BB070C" w:rsidRPr="00EB3BA2"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Asimismo, se señala que los mensajes cortos A2P son generados por sistemas informáticos que se encuentran integrados a la red pública de los concesionarios o que se comunican a la misma para el envío de los mensajes cortos en los cuales se hace uso de la red pública de telecomunicaciones para la entrega de dichos mensajes. En el caso de mensajes P2A los mismos se originan en la red pública de telecomunicaciones y se entregan a las</w:t>
      </w:r>
      <w:r w:rsidR="009A500D">
        <w:rPr>
          <w:rFonts w:ascii="ITC Avant Garde" w:eastAsia="Times New Roman" w:hAnsi="ITC Avant Garde" w:cs="Times New Roman"/>
        </w:rPr>
        <w:t xml:space="preserve"> aplicaciones correspondientes.</w:t>
      </w:r>
    </w:p>
    <w:p w14:paraId="6144FD5F" w14:textId="77777777" w:rsidR="009A500D" w:rsidRDefault="00BB070C" w:rsidP="009A500D">
      <w:pPr>
        <w:widowControl w:val="0"/>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2 formulada por Telcel. Se solicitó al perito indicar el tipo de marcación que se emplea usualmente en el servicio de intercambio de mensajes cortos Persona a Persona, así como el tipo de marcación utilizado en el servicio corporativo de envío masivo de mensajes cortos Aplicación a Persona.</w:t>
      </w:r>
    </w:p>
    <w:p w14:paraId="0A796DC0"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El perito de Telcel, respondió que la marcación que se emplea en el servicio mensajes cortos P2P, es a través de números de directorio o MSISDN a 10 dígitos, mismos que son asignados a los equipos terminales móviles de los usuarios del servicio de voz de cada concesionario. </w:t>
      </w:r>
    </w:p>
    <w:p w14:paraId="52CF4E09"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Asimismo, el Perito señaló que la marcación empleada en los mensajes cortos A2P, consiste en el uso de numeración corta que no interfiera con los rangos de numeración asignada conforme al Plan Técnico Fundamental de Numeración en vigor.</w:t>
      </w:r>
    </w:p>
    <w:p w14:paraId="4E81C4B4"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lastRenderedPageBreak/>
        <w:t>Valoración del Instituto</w:t>
      </w:r>
    </w:p>
    <w:p w14:paraId="3E2E19ED"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el Instituto coincide con lo señalado por el perito respecto a </w:t>
      </w:r>
      <w:r w:rsidR="00F46D63" w:rsidRPr="00EB3BA2">
        <w:rPr>
          <w:rFonts w:ascii="ITC Avant Garde" w:eastAsia="Times New Roman" w:hAnsi="ITC Avant Garde" w:cs="Times New Roman"/>
        </w:rPr>
        <w:t>que,</w:t>
      </w:r>
      <w:r w:rsidRPr="00EB3BA2">
        <w:rPr>
          <w:rFonts w:ascii="ITC Avant Garde" w:eastAsia="Times New Roman" w:hAnsi="ITC Avant Garde" w:cs="Times New Roman"/>
        </w:rPr>
        <w:t xml:space="preserve"> en la actualidad, el servicio de mensajes cortos P2P se realiza a través de los números de directorio o Mobile Station Integrated Services Digital Network (“MSISDN”) que permiten identificar al usuario destino, mientras que el servicio de mensajes cortos A2P y P2A se realiza a través de marcaciones cortas que permiten identificar la aplicación a la que se envía el mensaje o de la cual se origina el mensaje.</w:t>
      </w:r>
    </w:p>
    <w:p w14:paraId="6B35DFA9" w14:textId="0EB7D9E0" w:rsidR="009A500D" w:rsidRDefault="00BB070C" w:rsidP="009A500D">
      <w:pPr>
        <w:widowControl w:val="0"/>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3 formulada por Telcel. Se solicitó al perito señalar, en relación con la respuesta a la pregunta anterior, si en un caso se trata de marcaciones a 10 dígitos y en otro caso de marcaciones cortas, qué finalidad se persigue en ambos supuestos.</w:t>
      </w:r>
    </w:p>
    <w:p w14:paraId="7723D905"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El perito de Telcel respondió que a través del número a 10 dígitos que se utiliza para el intercambio de mensajes cortos P2P, se identifica la línea telefónica que utiliza el usuario, es decir, se trata de un código de identificación utilizado en principio para llamadas de voz, a través del cual se realiza también el intercambio de mensajes cortos. </w:t>
      </w:r>
    </w:p>
    <w:p w14:paraId="622BDB0B"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Por otra parte, el perito de Telcel señaló que en el caso del envío de mensajes cortos A2P, cada aplicación que se comunica con el usuario a través de mensajes cortos puede ser identificada por una marcación corta.</w:t>
      </w:r>
    </w:p>
    <w:p w14:paraId="7254834C"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759B4873"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Al respecto, el Instituto coincide con lo señalado por el perito, en el sentido de que la finalidad del número a 10 dígitos empleado para el servicio de envío de mensajes cortos P2P es identificar a la línea telefónica del usuario origen y del usuario destino del mensaje corto y, en el caso de A2P la línea telefónica destino del mensaje corto, y la marcación corta utilizada en mensajes A2P y P2A identifica a la aplicación a la que se envían o de la cual se reciben los mensajes cortos.</w:t>
      </w:r>
    </w:p>
    <w:p w14:paraId="24A48A46" w14:textId="77777777" w:rsidR="009A500D" w:rsidRDefault="00BB070C" w:rsidP="009A500D">
      <w:pPr>
        <w:widowControl w:val="0"/>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4 formulada por Telcel. Se solicitó al perito explicar cómo se realiza la entrega de mensajes cortos en el servicio corporativo de envío masivo de mensajes cortos Aplicación a Persona, y si dicho servicio requiere del uso de la infraestructura de la red telefónica.</w:t>
      </w:r>
    </w:p>
    <w:p w14:paraId="1DF5C498"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lastRenderedPageBreak/>
        <w:t>El perito de Telcel respondió que el envío de mensajes cortos A2P se origina en un sistema informático que cuenta con programas que permiten generar mensajes cortos a cientos o miles de números de destino. Dicho sistema puede hacer llegar los mensajes a la SMSC de un concesionario del servicio móvil haciendo uso del protocolo SMPP (del inglés Short Message Peer-to-Peer). Asimismo, señala que dicho servicio, requiere sólo del uso de la red pública de telecomunicaciones del concesionario donde se terminan los mensajes cortos.</w:t>
      </w:r>
    </w:p>
    <w:p w14:paraId="72BCE733"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64FCEBC9"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el Instituto coincide con lo señalado por el perito referente al proceso general de entrega de mensajes cortos A2P en este escenario, dichos mensajes son generados por sistemas informáticos que se encuentran integrados a la red del concesionario o que se comunican a la misma para el envío de los mensajes cortos, en los cuales se hace uso de la red pública de telecomunicaciones para su entrega, en el caso de mensajes </w:t>
      </w:r>
      <w:r w:rsidR="00FD10E5" w:rsidRPr="00EB3BA2">
        <w:rPr>
          <w:rFonts w:ascii="ITC Avant Garde" w:eastAsia="Times New Roman" w:hAnsi="ITC Avant Garde" w:cs="Times New Roman"/>
        </w:rPr>
        <w:t>P</w:t>
      </w:r>
      <w:r w:rsidR="0051343C" w:rsidRPr="00EB3BA2">
        <w:rPr>
          <w:rFonts w:ascii="ITC Avant Garde" w:eastAsia="Times New Roman" w:hAnsi="ITC Avant Garde" w:cs="Times New Roman"/>
        </w:rPr>
        <w:t>2</w:t>
      </w:r>
      <w:r w:rsidR="00FD10E5" w:rsidRPr="00EB3BA2">
        <w:rPr>
          <w:rFonts w:ascii="ITC Avant Garde" w:eastAsia="Times New Roman" w:hAnsi="ITC Avant Garde" w:cs="Times New Roman"/>
        </w:rPr>
        <w:t>A</w:t>
      </w:r>
      <w:r w:rsidR="0051343C" w:rsidRPr="00EB3BA2">
        <w:rPr>
          <w:rFonts w:ascii="ITC Avant Garde" w:eastAsia="Times New Roman" w:hAnsi="ITC Avant Garde" w:cs="Times New Roman"/>
        </w:rPr>
        <w:t xml:space="preserve"> </w:t>
      </w:r>
      <w:r w:rsidRPr="00EB3BA2">
        <w:rPr>
          <w:rFonts w:ascii="ITC Avant Garde" w:eastAsia="Times New Roman" w:hAnsi="ITC Avant Garde" w:cs="Times New Roman"/>
        </w:rPr>
        <w:t>los mismos se originan en la red pública de telecomunicaciones y se entregan a las aplicaciones correspondientes.</w:t>
      </w:r>
    </w:p>
    <w:p w14:paraId="3787583C" w14:textId="77777777" w:rsidR="009A500D" w:rsidRDefault="00BB070C" w:rsidP="009A500D">
      <w:pPr>
        <w:widowControl w:val="0"/>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5 formulada por Telcel. Se solicitó al perito explicar cómo se realiza el intercambio de mensajes cortos Persona a Persona y si dicho servicio requiere del uso de la infraestructura de la red telefónica.</w:t>
      </w:r>
    </w:p>
    <w:p w14:paraId="5E0C4872"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El perito de Telcel respondió que el servicio de mensajes cortos de P2P requiere del uso de infraestructura de la red telefónica y que el mismo se divide en dos partes: SM-MO (del inglés, Short Message Mobile Originated): Orig</w:t>
      </w:r>
      <w:r w:rsidR="00FD10E5" w:rsidRPr="00EB3BA2">
        <w:rPr>
          <w:rFonts w:ascii="ITC Avant Garde" w:eastAsia="Times New Roman" w:hAnsi="ITC Avant Garde" w:cs="Times New Roman"/>
        </w:rPr>
        <w:t>inación de</w:t>
      </w:r>
      <w:r w:rsidRPr="00EB3BA2">
        <w:rPr>
          <w:rFonts w:ascii="ITC Avant Garde" w:eastAsia="Times New Roman" w:hAnsi="ITC Avant Garde" w:cs="Times New Roman"/>
        </w:rPr>
        <w:t xml:space="preserve"> un mensaje desde una terminal móvil, describe el proceso en el cual el mensaje corto es originado en la terminal móvil del usuario y es entregado hasta el SMSC.</w:t>
      </w:r>
    </w:p>
    <w:p w14:paraId="08148097"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SM-MT (del inglés, Short Message Mobile Terminated): Terminación del mensaje en una terminal móvil, proceso en el cual el mensaje corto es recibido por la SMSC destino y entregado a la terminal móvil del usuario receptor.</w:t>
      </w:r>
    </w:p>
    <w:p w14:paraId="2F9AF714"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5A9CD22A"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el Instituto coincide parcialmente con el perito de Telcel </w:t>
      </w:r>
      <w:r w:rsidRPr="00EB3BA2">
        <w:rPr>
          <w:rFonts w:ascii="ITC Avant Garde" w:eastAsia="Times New Roman" w:hAnsi="ITC Avant Garde" w:cs="Times New Roman"/>
        </w:rPr>
        <w:lastRenderedPageBreak/>
        <w:t xml:space="preserve">respecto a la descripción general del proceso de entrega de mensajes cortos P2P, en la cual se observa que para la prestación del servicio de mensajes cortos se requiere la utilización de la infraestructura de la red de telecomunicaciones. </w:t>
      </w:r>
    </w:p>
    <w:p w14:paraId="61CACDF8" w14:textId="77777777" w:rsidR="009A500D" w:rsidRDefault="00BB070C" w:rsidP="009A500D">
      <w:pPr>
        <w:widowControl w:val="0"/>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6 formulada por Telcel. Se solicitó al perito señalar en qué ordenamiento se establecen las obligaciones relativas a los niveles mínimos de calidad del servicio de intercambio de mensajes cortos Persona a Persona, y si dicho ordenamiento resulta aplicable tanto a concesionarios de redes fijas como a concesionarios de redes móviles.</w:t>
      </w:r>
    </w:p>
    <w:p w14:paraId="601C2F11"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El Perito de Telcel señaló que los niveles mínimos de calidad del servicio de intercambio de Mensajes Cortos P2P, se establecen en el Plan Técnico Fundamental de Calidad del Servicio Local Móvil (en lo sucesivo, el “Plan de Calidad”), emitido por la Comisión Federal de Telecomunicaciones (en lo sucesivo, la “COFETEL”) y publicado en el Diario Oficial de la Federación el 30 de agosto de 2011. El perito señala que dicho ordenamiento resulta aplicable única y exclusivamente a concesionarios de redes móviles y que el mismo establece la metodología y programa de mediciones que la autoridad reguladora debe llevar a cabo a fin de evaluar los índices de calidad con los que los concesionarios móviles prestan sus servicios, citando diversas ligas del portal de internet del Instituto para justificar lo anterior.</w:t>
      </w:r>
    </w:p>
    <w:p w14:paraId="13B3858B"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2E6EA488"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este Instituto </w:t>
      </w:r>
      <w:r w:rsidR="00110616" w:rsidRPr="00EB3BA2">
        <w:rPr>
          <w:rFonts w:ascii="ITC Avant Garde" w:eastAsia="Times New Roman" w:hAnsi="ITC Avant Garde" w:cs="Times New Roman"/>
        </w:rPr>
        <w:t>no coincide con lo señalado por el perito ya que el ordenamiento donde se establecen los niveles de calidad en el servicio de mensajes cortos es en el “</w:t>
      </w:r>
      <w:r w:rsidR="00110616" w:rsidRPr="00EB3BA2">
        <w:rPr>
          <w:rFonts w:ascii="ITC Avant Garde" w:eastAsia="Times New Roman" w:hAnsi="ITC Avant Garde" w:cs="Times New Roman"/>
          <w:i/>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00110616" w:rsidRPr="00EB3BA2">
        <w:rPr>
          <w:rFonts w:ascii="ITC Avant Garde" w:eastAsia="Times New Roman" w:hAnsi="ITC Avant Garde" w:cs="Times New Roman"/>
        </w:rPr>
        <w:t>” (en lo sucesivo, los “Lineamientos”).</w:t>
      </w:r>
    </w:p>
    <w:p w14:paraId="65255253" w14:textId="77777777" w:rsidR="009A500D" w:rsidRDefault="00110616"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Asimismo, se </w:t>
      </w:r>
      <w:r w:rsidR="00BB070C" w:rsidRPr="00EB3BA2">
        <w:rPr>
          <w:rFonts w:ascii="ITC Avant Garde" w:eastAsia="Times New Roman" w:hAnsi="ITC Avant Garde" w:cs="Times New Roman"/>
        </w:rPr>
        <w:t>señala que e</w:t>
      </w:r>
      <w:r w:rsidR="00BB070C" w:rsidRPr="00EB3BA2">
        <w:rPr>
          <w:rFonts w:ascii="ITC Avant Garde" w:eastAsia="Calibri" w:hAnsi="ITC Avant Garde" w:cs="Times New Roman"/>
        </w:rPr>
        <w:t xml:space="preserve">l perito no es técnico jurídico, al escapar de su experiencia el ámbito de aplicación y vigencia de una disposición jurídica; </w:t>
      </w:r>
      <w:r w:rsidR="00BB070C" w:rsidRPr="00EB3BA2">
        <w:rPr>
          <w:rFonts w:ascii="ITC Avant Garde" w:eastAsia="Calibri" w:hAnsi="ITC Avant Garde" w:cs="Times New Roman"/>
        </w:rPr>
        <w:lastRenderedPageBreak/>
        <w:t xml:space="preserve">no </w:t>
      </w:r>
      <w:r w:rsidR="00A6591D" w:rsidRPr="00EB3BA2">
        <w:rPr>
          <w:rFonts w:ascii="ITC Avant Garde" w:eastAsia="Calibri" w:hAnsi="ITC Avant Garde" w:cs="Times New Roman"/>
        </w:rPr>
        <w:t>obstante,</w:t>
      </w:r>
      <w:r w:rsidR="00BB070C" w:rsidRPr="00EB3BA2">
        <w:rPr>
          <w:rFonts w:ascii="ITC Avant Garde" w:eastAsia="Calibri" w:hAnsi="ITC Avant Garde" w:cs="Times New Roman"/>
        </w:rPr>
        <w:t xml:space="preserve"> </w:t>
      </w:r>
      <w:r w:rsidRPr="00EB3BA2">
        <w:rPr>
          <w:rFonts w:ascii="ITC Avant Garde" w:eastAsia="Calibri" w:hAnsi="ITC Avant Garde" w:cs="Times New Roman"/>
        </w:rPr>
        <w:t xml:space="preserve">los Lineamientos </w:t>
      </w:r>
      <w:r w:rsidR="00BB070C" w:rsidRPr="00EB3BA2">
        <w:rPr>
          <w:rFonts w:ascii="ITC Avant Garde" w:eastAsia="Times New Roman" w:hAnsi="ITC Avant Garde" w:cs="Times New Roman"/>
        </w:rPr>
        <w:t>contiene</w:t>
      </w:r>
      <w:r w:rsidRPr="00EB3BA2">
        <w:rPr>
          <w:rFonts w:ascii="ITC Avant Garde" w:eastAsia="Times New Roman" w:hAnsi="ITC Avant Garde" w:cs="Times New Roman"/>
        </w:rPr>
        <w:t>n</w:t>
      </w:r>
      <w:r w:rsidR="00BB070C" w:rsidRPr="00EB3BA2">
        <w:rPr>
          <w:rFonts w:ascii="ITC Avant Garde" w:eastAsia="Times New Roman" w:hAnsi="ITC Avant Garde" w:cs="Times New Roman"/>
        </w:rPr>
        <w:t xml:space="preserve"> las bases y condiciones de calidad en la prestación del servicio de mensajes cortos </w:t>
      </w:r>
      <w:r w:rsidRPr="00EB3BA2">
        <w:rPr>
          <w:rFonts w:ascii="ITC Avant Garde" w:eastAsia="Times New Roman" w:hAnsi="ITC Avant Garde" w:cs="Times New Roman"/>
        </w:rPr>
        <w:t xml:space="preserve">mismo que </w:t>
      </w:r>
      <w:r w:rsidR="00BB070C" w:rsidRPr="00EB3BA2">
        <w:rPr>
          <w:rFonts w:ascii="ITC Avant Garde" w:eastAsia="Times New Roman" w:hAnsi="ITC Avant Garde" w:cs="Times New Roman"/>
        </w:rPr>
        <w:t xml:space="preserve">resulta aplicable únicamente a los concesionarios de redes públicas de telecomunicaciones autorizados para prestar el servicio local móvil. Lo anterior se encuentra establecido en el </w:t>
      </w:r>
      <w:r w:rsidRPr="00EB3BA2">
        <w:rPr>
          <w:rFonts w:ascii="ITC Avant Garde" w:eastAsia="Times New Roman" w:hAnsi="ITC Avant Garde" w:cs="Times New Roman"/>
        </w:rPr>
        <w:t xml:space="preserve">Capítulo I Disposiciones Generales: </w:t>
      </w:r>
    </w:p>
    <w:p w14:paraId="5BCD54E6" w14:textId="77777777" w:rsidR="009A500D" w:rsidRDefault="00BB070C" w:rsidP="009A500D">
      <w:pPr>
        <w:widowControl w:val="0"/>
        <w:spacing w:line="276" w:lineRule="auto"/>
        <w:ind w:left="1134" w:right="900"/>
        <w:jc w:val="both"/>
        <w:rPr>
          <w:rFonts w:ascii="ITC Avant Garde" w:eastAsia="Times New Roman" w:hAnsi="ITC Avant Garde" w:cs="Times New Roman"/>
          <w:i/>
          <w:sz w:val="18"/>
        </w:rPr>
      </w:pPr>
      <w:r w:rsidRPr="00EB3BA2">
        <w:rPr>
          <w:rFonts w:ascii="ITC Avant Garde" w:eastAsia="Times New Roman" w:hAnsi="ITC Avant Garde" w:cs="Times New Roman"/>
          <w:i/>
          <w:sz w:val="18"/>
        </w:rPr>
        <w:t>“</w:t>
      </w:r>
      <w:r w:rsidR="00110616" w:rsidRPr="00EB3BA2">
        <w:rPr>
          <w:rFonts w:ascii="ITC Avant Garde" w:eastAsia="Times New Roman" w:hAnsi="ITC Avant Garde" w:cs="Times New Roman"/>
          <w:i/>
          <w:sz w:val="18"/>
        </w:rPr>
        <w:t xml:space="preserve">SEGUNDO. </w:t>
      </w:r>
      <w:r w:rsidR="00110616" w:rsidRPr="00EB3BA2">
        <w:rPr>
          <w:rFonts w:ascii="ITC Avant Garde" w:eastAsia="Times New Roman" w:hAnsi="ITC Avant Garde" w:cs="Times New Roman"/>
          <w:i/>
          <w:sz w:val="18"/>
          <w:u w:val="single"/>
        </w:rPr>
        <w:t>Las disposiciones establecidas en los presentes lineamientos son de observancia obligatoria para los concesionarios que presten el servicio móvil, concesionarios mayoristas móviles y, en lo aplicable, para los operadores móviles virtuales</w:t>
      </w:r>
      <w:r w:rsidR="00110616" w:rsidRPr="00EB3BA2">
        <w:rPr>
          <w:rFonts w:ascii="ITC Avant Garde" w:eastAsia="Times New Roman" w:hAnsi="ITC Avant Garde" w:cs="Times New Roman"/>
          <w:i/>
          <w:sz w:val="18"/>
        </w:rPr>
        <w:t xml:space="preserve"> que proporcionan dicho servicio, siendo éstos responsables de la calidad del servicio ofrecido ante el usuario final</w:t>
      </w:r>
      <w:r w:rsidRPr="00EB3BA2">
        <w:rPr>
          <w:rFonts w:ascii="ITC Avant Garde" w:eastAsia="Times New Roman" w:hAnsi="ITC Avant Garde" w:cs="Times New Roman"/>
          <w:i/>
          <w:sz w:val="18"/>
        </w:rPr>
        <w:t>.”</w:t>
      </w:r>
    </w:p>
    <w:p w14:paraId="5A7E9EFD" w14:textId="77777777" w:rsidR="009A500D" w:rsidRDefault="00BB070C" w:rsidP="009A500D">
      <w:pPr>
        <w:widowControl w:val="0"/>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7 formulada por Telcel. Se solicitó al perito señalar en qué ordenamiento se establecen las obligaciones relativas a los niveles mínimos de calidad del servicio corporativo de envío masivo de mensajes cortos Aplicación a Persona.</w:t>
      </w:r>
    </w:p>
    <w:p w14:paraId="71F26185"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El Perito de Telcel señaló que no tiene conocimiento de la existencia en nuestro país ni en el marco internacional de un ordenamiento vigente que prevea o regule los términos y niveles mínimos de calidad de la prestación del servicio corporativo de envío masivo de mensajes cortos A2P. </w:t>
      </w:r>
    </w:p>
    <w:p w14:paraId="1F4B369A"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Asimismo, el perito de Telcel hizo énfasis respecto a que el Plan de Calidad del Servicio, no es un ordenamiento aplicable al servicio corporativo de envío masivo de mensajes cortos Aplicación a Persona, debido a que tanto la definición de Interconexión de la LFTR, así como el mencionado plan, están referidos exclusivamente al intercambio de tráfico entre redes públicas de telecomunicaciones, lo cual no sucede en el servicio A2P.</w:t>
      </w:r>
    </w:p>
    <w:p w14:paraId="2DB9420F"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 xml:space="preserve">Valoración del Instituto </w:t>
      </w:r>
    </w:p>
    <w:p w14:paraId="131D81BC"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Al respecto, este Instituto señala que e</w:t>
      </w:r>
      <w:r w:rsidRPr="00EB3BA2">
        <w:rPr>
          <w:rFonts w:ascii="ITC Avant Garde" w:eastAsia="Calibri" w:hAnsi="ITC Avant Garde" w:cs="Times New Roman"/>
        </w:rPr>
        <w:t>l perito no es técnico jurídico, al escapar de su experiencia el ámbito de aplicación y vigenci</w:t>
      </w:r>
      <w:r w:rsidR="0021317B" w:rsidRPr="00EB3BA2">
        <w:rPr>
          <w:rFonts w:ascii="ITC Avant Garde" w:eastAsia="Calibri" w:hAnsi="ITC Avant Garde" w:cs="Times New Roman"/>
        </w:rPr>
        <w:t>a de una disposición jurídica;</w:t>
      </w:r>
      <w:r w:rsidR="00110616" w:rsidRPr="00EB3BA2">
        <w:rPr>
          <w:rFonts w:ascii="ITC Avant Garde" w:eastAsia="Calibri" w:hAnsi="ITC Avant Garde" w:cs="Times New Roman"/>
        </w:rPr>
        <w:t xml:space="preserve"> en este sentido se señala que el Plan de Calidad del Servicio ha sido abrogado y la disposición técnica vigente son los Lineamientos</w:t>
      </w:r>
      <w:r w:rsidR="0021317B" w:rsidRPr="00EB3BA2">
        <w:rPr>
          <w:rFonts w:ascii="ITC Avant Garde" w:eastAsia="Calibri" w:hAnsi="ITC Avant Garde" w:cs="Times New Roman"/>
        </w:rPr>
        <w:t xml:space="preserve"> </w:t>
      </w:r>
      <w:r w:rsidRPr="00EB3BA2">
        <w:rPr>
          <w:rFonts w:ascii="ITC Avant Garde" w:eastAsia="Calibri" w:hAnsi="ITC Avant Garde" w:cs="Times New Roman"/>
        </w:rPr>
        <w:t xml:space="preserve">no </w:t>
      </w:r>
      <w:r w:rsidR="00227B45" w:rsidRPr="00EB3BA2">
        <w:rPr>
          <w:rFonts w:ascii="ITC Avant Garde" w:eastAsia="Calibri" w:hAnsi="ITC Avant Garde" w:cs="Times New Roman"/>
        </w:rPr>
        <w:t>obstante,</w:t>
      </w:r>
      <w:r w:rsidRPr="00EB3BA2">
        <w:rPr>
          <w:rFonts w:ascii="ITC Avant Garde" w:eastAsia="Calibri" w:hAnsi="ITC Avant Garde" w:cs="Times New Roman"/>
        </w:rPr>
        <w:t xml:space="preserve"> lo anterior, </w:t>
      </w:r>
      <w:r w:rsidRPr="00EB3BA2">
        <w:rPr>
          <w:rFonts w:ascii="ITC Avant Garde" w:eastAsia="Times New Roman" w:hAnsi="ITC Avant Garde" w:cs="Times New Roman"/>
        </w:rPr>
        <w:t xml:space="preserve">si bien no existe un lineamiento que regule en específico el escenario de envío masivo de mensajes cortos A2P, la red que preste dicho servicio deberá seguir los lineamientos y parámetros de calidad establecidos para </w:t>
      </w:r>
      <w:r w:rsidR="00110616" w:rsidRPr="00EB3BA2">
        <w:rPr>
          <w:rFonts w:ascii="ITC Avant Garde" w:eastAsia="Times New Roman" w:hAnsi="ITC Avant Garde" w:cs="Times New Roman"/>
        </w:rPr>
        <w:t>el servicio</w:t>
      </w:r>
      <w:r w:rsidRPr="00EB3BA2">
        <w:rPr>
          <w:rFonts w:ascii="ITC Avant Garde" w:eastAsia="Times New Roman" w:hAnsi="ITC Avant Garde" w:cs="Times New Roman"/>
        </w:rPr>
        <w:t xml:space="preserve"> de mensajes cortos conforme a la legislación vigente.</w:t>
      </w:r>
    </w:p>
    <w:p w14:paraId="175BDD60" w14:textId="77777777" w:rsidR="009A500D" w:rsidRDefault="00BB070C" w:rsidP="009A500D">
      <w:pPr>
        <w:widowControl w:val="0"/>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lastRenderedPageBreak/>
        <w:t xml:space="preserve">Pregunta 8 formulada por Telcel. Se solicitó al perito explicar quién es el usuario de origen en el servicio corporativo de envío masivo de mensajes cortos Aplicación a Persona. </w:t>
      </w:r>
    </w:p>
    <w:p w14:paraId="06EEC0D1" w14:textId="4B1CF91D"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El Perito de Telcel, señaló que </w:t>
      </w:r>
      <w:r w:rsidR="00227B45" w:rsidRPr="00EB3BA2">
        <w:rPr>
          <w:rFonts w:ascii="ITC Avant Garde" w:eastAsia="Times New Roman" w:hAnsi="ITC Avant Garde" w:cs="Times New Roman"/>
        </w:rPr>
        <w:t xml:space="preserve">en </w:t>
      </w:r>
      <w:r w:rsidRPr="00EB3BA2">
        <w:rPr>
          <w:rFonts w:ascii="ITC Avant Garde" w:eastAsia="Times New Roman" w:hAnsi="ITC Avant Garde" w:cs="Times New Roman"/>
        </w:rPr>
        <w:t>el servicio corporativo de envío masivo de mensajes cortos A2P</w:t>
      </w:r>
      <w:r w:rsidR="00227B45" w:rsidRPr="00EB3BA2">
        <w:rPr>
          <w:rFonts w:ascii="ITC Avant Garde" w:eastAsia="Times New Roman" w:hAnsi="ITC Avant Garde" w:cs="Times New Roman"/>
        </w:rPr>
        <w:t xml:space="preserve"> el usuario de origen, es un sistema informático (hardware y/o software) que genera de manera automatizada los mensajes cortos que se entregarán a usuarios de servicios de telecomunicaciones móviles o </w:t>
      </w:r>
      <w:r w:rsidR="009A500D">
        <w:rPr>
          <w:rFonts w:ascii="ITC Avant Garde" w:eastAsia="Times New Roman" w:hAnsi="ITC Avant Garde" w:cs="Times New Roman"/>
        </w:rPr>
        <w:t>a usuarios de otros servicios.</w:t>
      </w:r>
    </w:p>
    <w:p w14:paraId="796B824F"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54AFC76C"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el Instituto coincide con lo señalado por el </w:t>
      </w:r>
      <w:r w:rsidR="00227B45" w:rsidRPr="00EB3BA2">
        <w:rPr>
          <w:rFonts w:ascii="ITC Avant Garde" w:eastAsia="Times New Roman" w:hAnsi="ITC Avant Garde" w:cs="Times New Roman"/>
        </w:rPr>
        <w:t xml:space="preserve">perito </w:t>
      </w:r>
      <w:r w:rsidRPr="00EB3BA2">
        <w:rPr>
          <w:rFonts w:ascii="ITC Avant Garde" w:eastAsia="Times New Roman" w:hAnsi="ITC Avant Garde" w:cs="Times New Roman"/>
        </w:rPr>
        <w:t xml:space="preserve">de Telcel respecto a que en el escenario de envío de mensajes cortos A2P, el usuario origen corresponde a </w:t>
      </w:r>
      <w:r w:rsidR="00110616" w:rsidRPr="00EB3BA2">
        <w:rPr>
          <w:rFonts w:ascii="ITC Avant Garde" w:eastAsia="Times New Roman" w:hAnsi="ITC Avant Garde" w:cs="Times New Roman"/>
        </w:rPr>
        <w:t xml:space="preserve">un sistema informático que genera </w:t>
      </w:r>
      <w:r w:rsidRPr="00EB3BA2">
        <w:rPr>
          <w:rFonts w:ascii="ITC Avant Garde" w:eastAsia="Times New Roman" w:hAnsi="ITC Avant Garde" w:cs="Times New Roman"/>
        </w:rPr>
        <w:t>mensajes de texto a través de sistemas automatizados para cada uno de los usuarios destino o para su distribución de manera masiva.</w:t>
      </w:r>
    </w:p>
    <w:p w14:paraId="0469A5D7" w14:textId="77777777" w:rsidR="009A500D" w:rsidRDefault="00BB070C" w:rsidP="009A500D">
      <w:pPr>
        <w:widowControl w:val="0"/>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9 formulada por Telcel. Se solicitó al perito señalar desde cu</w:t>
      </w:r>
      <w:r w:rsidR="00227B45" w:rsidRPr="00EB3BA2">
        <w:rPr>
          <w:rFonts w:ascii="ITC Avant Garde" w:eastAsia="Times New Roman" w:hAnsi="ITC Avant Garde" w:cs="Times New Roman"/>
          <w:b/>
        </w:rPr>
        <w:t>á</w:t>
      </w:r>
      <w:r w:rsidRPr="00EB3BA2">
        <w:rPr>
          <w:rFonts w:ascii="ITC Avant Garde" w:eastAsia="Times New Roman" w:hAnsi="ITC Avant Garde" w:cs="Times New Roman"/>
          <w:b/>
        </w:rPr>
        <w:t>ndo existen servicios de interoperabilidad de mensajes cortos entre redes fijas y móviles.</w:t>
      </w:r>
    </w:p>
    <w:p w14:paraId="36FA47B7" w14:textId="77777777" w:rsidR="009A500D" w:rsidRDefault="00227B45"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Recientemente, con fecha del 11 de septiembre de 2017, Telcel y el concesionario fijo Qualtel, S.A. de C.V., concluyeron con la realización de pruebas para el intercambio de tráfico del servicio de</w:t>
      </w:r>
      <w:r w:rsidR="00302DA8" w:rsidRPr="00EB3BA2">
        <w:rPr>
          <w:rFonts w:ascii="ITC Avant Garde" w:eastAsia="Times New Roman" w:hAnsi="ITC Avant Garde" w:cs="Times New Roman"/>
        </w:rPr>
        <w:t xml:space="preserve"> </w:t>
      </w:r>
      <w:r w:rsidRPr="00EB3BA2">
        <w:rPr>
          <w:rFonts w:ascii="ITC Avant Garde" w:eastAsia="Times New Roman" w:hAnsi="ITC Avant Garde" w:cs="Times New Roman"/>
        </w:rPr>
        <w:t>mensajes cortos P2P, sin embargo, a la fecha aún y que Telcel y Qualtel han</w:t>
      </w:r>
      <w:r w:rsidR="00302DA8" w:rsidRPr="00EB3BA2">
        <w:rPr>
          <w:rFonts w:ascii="ITC Avant Garde" w:eastAsia="Times New Roman" w:hAnsi="ITC Avant Garde" w:cs="Times New Roman"/>
        </w:rPr>
        <w:t xml:space="preserve"> </w:t>
      </w:r>
      <w:r w:rsidRPr="00EB3BA2">
        <w:rPr>
          <w:rFonts w:ascii="ITC Avant Garde" w:eastAsia="Times New Roman" w:hAnsi="ITC Avant Garde" w:cs="Times New Roman"/>
        </w:rPr>
        <w:t>abierto comercialmente el servicio de intercambio de mensajes cortos P2P,</w:t>
      </w:r>
      <w:r w:rsidR="00302DA8" w:rsidRPr="00EB3BA2">
        <w:rPr>
          <w:rFonts w:ascii="ITC Avant Garde" w:eastAsia="Times New Roman" w:hAnsi="ITC Avant Garde" w:cs="Times New Roman"/>
        </w:rPr>
        <w:t xml:space="preserve"> </w:t>
      </w:r>
      <w:r w:rsidRPr="00EB3BA2">
        <w:rPr>
          <w:rFonts w:ascii="ITC Avant Garde" w:eastAsia="Times New Roman" w:hAnsi="ITC Avant Garde" w:cs="Times New Roman"/>
        </w:rPr>
        <w:t>Telcel ha observado un comportamiento atípico en la recepción en su red</w:t>
      </w:r>
      <w:r w:rsidR="00302DA8" w:rsidRPr="00EB3BA2">
        <w:rPr>
          <w:rFonts w:ascii="ITC Avant Garde" w:eastAsia="Times New Roman" w:hAnsi="ITC Avant Garde" w:cs="Times New Roman"/>
        </w:rPr>
        <w:t xml:space="preserve"> </w:t>
      </w:r>
      <w:r w:rsidRPr="00EB3BA2">
        <w:rPr>
          <w:rFonts w:ascii="ITC Avant Garde" w:eastAsia="Times New Roman" w:hAnsi="ITC Avant Garde" w:cs="Times New Roman"/>
        </w:rPr>
        <w:t>mensajes cortos provenientes de la red fija de Qualtel de forma normal, es</w:t>
      </w:r>
      <w:r w:rsidR="00302DA8" w:rsidRPr="00EB3BA2">
        <w:rPr>
          <w:rFonts w:ascii="ITC Avant Garde" w:eastAsia="Times New Roman" w:hAnsi="ITC Avant Garde" w:cs="Times New Roman"/>
        </w:rPr>
        <w:t xml:space="preserve"> </w:t>
      </w:r>
      <w:r w:rsidRPr="00EB3BA2">
        <w:rPr>
          <w:rFonts w:ascii="ITC Avant Garde" w:eastAsia="Times New Roman" w:hAnsi="ITC Avant Garde" w:cs="Times New Roman"/>
        </w:rPr>
        <w:t xml:space="preserve">decir, se observaron inicialmente muy pocos mensajes provenientes de la red </w:t>
      </w:r>
      <w:r w:rsidR="000A7394" w:rsidRPr="00EB3BA2">
        <w:rPr>
          <w:rFonts w:ascii="ITC Avant Garde" w:eastAsia="Times New Roman" w:hAnsi="ITC Avant Garde" w:cs="Times New Roman"/>
        </w:rPr>
        <w:t>de Qualtel sin que existiera</w:t>
      </w:r>
      <w:r w:rsidRPr="00EB3BA2">
        <w:rPr>
          <w:rFonts w:ascii="ITC Avant Garde" w:eastAsia="Times New Roman" w:hAnsi="ITC Avant Garde" w:cs="Times New Roman"/>
        </w:rPr>
        <w:t xml:space="preserve"> respuesta por parte del usuario destino Telcel,</w:t>
      </w:r>
      <w:r w:rsidR="00302DA8" w:rsidRPr="00EB3BA2">
        <w:rPr>
          <w:rFonts w:ascii="ITC Avant Garde" w:eastAsia="Times New Roman" w:hAnsi="ITC Avant Garde" w:cs="Times New Roman"/>
        </w:rPr>
        <w:t xml:space="preserve"> </w:t>
      </w:r>
      <w:r w:rsidRPr="00EB3BA2">
        <w:rPr>
          <w:rFonts w:ascii="ITC Avant Garde" w:eastAsia="Times New Roman" w:hAnsi="ITC Avant Garde" w:cs="Times New Roman"/>
        </w:rPr>
        <w:t>posteriormente se observaron una gran cantidad de mensajes provenientes de Qualtel hacia usuarios Telcel, para después volver al escenario anterior,</w:t>
      </w:r>
      <w:r w:rsidR="00302DA8" w:rsidRPr="00EB3BA2">
        <w:rPr>
          <w:rFonts w:ascii="ITC Avant Garde" w:eastAsia="Times New Roman" w:hAnsi="ITC Avant Garde" w:cs="Times New Roman"/>
        </w:rPr>
        <w:t xml:space="preserve"> </w:t>
      </w:r>
      <w:r w:rsidRPr="00EB3BA2">
        <w:rPr>
          <w:rFonts w:ascii="ITC Avant Garde" w:eastAsia="Times New Roman" w:hAnsi="ITC Avant Garde" w:cs="Times New Roman"/>
        </w:rPr>
        <w:t>volviendo a percibir muy pocos mensajes cortos de la red de Qualtel hacia la</w:t>
      </w:r>
      <w:r w:rsidR="00302DA8" w:rsidRPr="00EB3BA2">
        <w:rPr>
          <w:rFonts w:ascii="ITC Avant Garde" w:eastAsia="Times New Roman" w:hAnsi="ITC Avant Garde" w:cs="Times New Roman"/>
        </w:rPr>
        <w:t xml:space="preserve"> </w:t>
      </w:r>
      <w:r w:rsidRPr="00EB3BA2">
        <w:rPr>
          <w:rFonts w:ascii="ITC Avant Garde" w:eastAsia="Times New Roman" w:hAnsi="ITC Avant Garde" w:cs="Times New Roman"/>
        </w:rPr>
        <w:t>red de Telcel.</w:t>
      </w:r>
    </w:p>
    <w:p w14:paraId="5ACC6253"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03C2F9A7"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el Instituto considera que la respuesta del perito de Telcel </w:t>
      </w:r>
      <w:r w:rsidR="0037144F" w:rsidRPr="00EB3BA2">
        <w:rPr>
          <w:rFonts w:ascii="ITC Avant Garde" w:eastAsia="Times New Roman" w:hAnsi="ITC Avant Garde" w:cs="Times New Roman"/>
        </w:rPr>
        <w:lastRenderedPageBreak/>
        <w:t xml:space="preserve">confirma que en México ya se han realizado pruebas y es posible el intercambio de </w:t>
      </w:r>
      <w:r w:rsidR="000B19ED" w:rsidRPr="00EB3BA2">
        <w:rPr>
          <w:rFonts w:ascii="ITC Avant Garde" w:eastAsia="Times New Roman" w:hAnsi="ITC Avant Garde" w:cs="Times New Roman"/>
        </w:rPr>
        <w:t xml:space="preserve">mensajes de mensajes cortos entre redes </w:t>
      </w:r>
      <w:r w:rsidR="00EA2430" w:rsidRPr="00EB3BA2">
        <w:rPr>
          <w:rFonts w:ascii="ITC Avant Garde" w:eastAsia="Times New Roman" w:hAnsi="ITC Avant Garde" w:cs="Times New Roman"/>
        </w:rPr>
        <w:t xml:space="preserve">de telecomunicaciones móviles </w:t>
      </w:r>
      <w:r w:rsidR="000B19ED" w:rsidRPr="00EB3BA2">
        <w:rPr>
          <w:rFonts w:ascii="ITC Avant Garde" w:eastAsia="Times New Roman" w:hAnsi="ITC Avant Garde" w:cs="Times New Roman"/>
        </w:rPr>
        <w:t>y fijas</w:t>
      </w:r>
      <w:r w:rsidR="00EA2430" w:rsidRPr="00EB3BA2">
        <w:rPr>
          <w:rFonts w:ascii="ITC Avant Garde" w:eastAsia="Times New Roman" w:hAnsi="ITC Avant Garde" w:cs="Times New Roman"/>
        </w:rPr>
        <w:t>. Lo anterior</w:t>
      </w:r>
      <w:r w:rsidRPr="00EB3BA2">
        <w:rPr>
          <w:rFonts w:ascii="ITC Avant Garde" w:eastAsia="Times New Roman" w:hAnsi="ITC Avant Garde" w:cs="Times New Roman"/>
        </w:rPr>
        <w:t xml:space="preserve">, </w:t>
      </w:r>
      <w:r w:rsidR="00EA2430" w:rsidRPr="00EB3BA2">
        <w:rPr>
          <w:rFonts w:ascii="ITC Avant Garde" w:eastAsia="Times New Roman" w:hAnsi="ITC Avant Garde" w:cs="Times New Roman"/>
        </w:rPr>
        <w:t>conforme</w:t>
      </w:r>
      <w:r w:rsidR="0037144F" w:rsidRPr="00EB3BA2">
        <w:rPr>
          <w:rFonts w:ascii="ITC Avant Garde" w:eastAsia="Times New Roman" w:hAnsi="ITC Avant Garde" w:cs="Times New Roman"/>
        </w:rPr>
        <w:t xml:space="preserve"> </w:t>
      </w:r>
      <w:r w:rsidRPr="00EB3BA2">
        <w:rPr>
          <w:rFonts w:ascii="ITC Avant Garde" w:eastAsia="Times New Roman" w:hAnsi="ITC Avant Garde" w:cs="Times New Roman"/>
        </w:rPr>
        <w:t>el documento ETSI ES 202 060-2 V1.1.1 Short Message Service (SMS) for fixed networks; Network Based Solution (NBS); Part 2: Architecture and functional entities del Instituto de Estándares Europeo de Telecomunicaciones (“ETSI”, del inglés European Telecommunications Standards Institute) publicado en el año 2003, se establece la arquitectura y protocolos para la interconexión entre redes fijas y móviles para la prestación del Servicio de Mensajes Cortos.</w:t>
      </w:r>
    </w:p>
    <w:p w14:paraId="3E41F0A2"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Es así, que existen las bases bajo las cuales se puede realizar la interconexión entre redes fijas y móviles para el envío de mensajes cortos, por lo que resulta técnicamente factible realizar dicha interconexión. Por otra parte, existen diversos operadores a nivel internacional que prestan el servicio de mensajes cortos en redes fijas, tal es el caso de British Telecom en Reino Unido</w:t>
      </w:r>
      <w:r w:rsidRPr="00EB3BA2">
        <w:rPr>
          <w:rFonts w:ascii="ITC Avant Garde" w:eastAsia="Times New Roman" w:hAnsi="ITC Avant Garde" w:cs="Times New Roman"/>
          <w:vertAlign w:val="superscript"/>
        </w:rPr>
        <w:footnoteReference w:id="1"/>
      </w:r>
      <w:r w:rsidRPr="00EB3BA2">
        <w:rPr>
          <w:rFonts w:ascii="ITC Avant Garde" w:eastAsia="Times New Roman" w:hAnsi="ITC Avant Garde" w:cs="Times New Roman"/>
        </w:rPr>
        <w:t xml:space="preserve">, cuyo servicio permite el intercambio de mensajes de redes fijas a redes móviles y viceversa. </w:t>
      </w:r>
    </w:p>
    <w:p w14:paraId="1700CE84" w14:textId="77777777" w:rsidR="009A500D" w:rsidRDefault="00BB070C" w:rsidP="009A500D">
      <w:pPr>
        <w:widowControl w:val="0"/>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10 formulada por Telcel. Se solicitó al perito indicar en qué países y qué penetración tienen el servicio de intercambio de mensajes cortos Persona a Persona en redes fijas.</w:t>
      </w:r>
    </w:p>
    <w:p w14:paraId="2B0934EE"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El Perito de Telcel señaló </w:t>
      </w:r>
      <w:r w:rsidR="0021317B" w:rsidRPr="00EB3BA2">
        <w:rPr>
          <w:rFonts w:ascii="ITC Avant Garde" w:eastAsia="Times New Roman" w:hAnsi="ITC Avant Garde" w:cs="Times New Roman"/>
        </w:rPr>
        <w:t>que,</w:t>
      </w:r>
      <w:r w:rsidRPr="00EB3BA2">
        <w:rPr>
          <w:rFonts w:ascii="ITC Avant Garde" w:eastAsia="Times New Roman" w:hAnsi="ITC Avant Garde" w:cs="Times New Roman"/>
        </w:rPr>
        <w:t xml:space="preserve"> de acuerdo con sus conocimientos</w:t>
      </w:r>
      <w:r w:rsidR="00302DA8" w:rsidRPr="00EB3BA2">
        <w:rPr>
          <w:rFonts w:ascii="ITC Avant Garde" w:eastAsia="Times New Roman" w:hAnsi="ITC Avant Garde" w:cs="Times New Roman"/>
        </w:rPr>
        <w:t>, en ningún otro país</w:t>
      </w:r>
      <w:r w:rsidRPr="00EB3BA2">
        <w:rPr>
          <w:rFonts w:ascii="ITC Avant Garde" w:eastAsia="Times New Roman" w:hAnsi="ITC Avant Garde" w:cs="Times New Roman"/>
        </w:rPr>
        <w:t xml:space="preserve"> se lleva a cabo el intercambio de mensajes cortos Persona a Persona por parte de usuarios de redes fijas de manera masiva.</w:t>
      </w:r>
    </w:p>
    <w:p w14:paraId="27CD39C1" w14:textId="09A571BE"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73B39843"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el Instituto señala que existen varios ejemplos en el ámbito internacional de diferentes operadores fijos que prestan </w:t>
      </w:r>
      <w:r w:rsidR="00EA2430" w:rsidRPr="00EB3BA2">
        <w:rPr>
          <w:rFonts w:ascii="ITC Avant Garde" w:eastAsia="Times New Roman" w:hAnsi="ITC Avant Garde" w:cs="Times New Roman"/>
        </w:rPr>
        <w:t>el servicio de mensajes cortos</w:t>
      </w:r>
      <w:r w:rsidRPr="00EB3BA2">
        <w:rPr>
          <w:rFonts w:ascii="ITC Avant Garde" w:eastAsia="Times New Roman" w:hAnsi="ITC Avant Garde" w:cs="Times New Roman"/>
        </w:rPr>
        <w:t>, tal es el caso de British Telecom en Reino Unido</w:t>
      </w:r>
      <w:r w:rsidRPr="00EB3BA2">
        <w:rPr>
          <w:rFonts w:ascii="ITC Avant Garde" w:eastAsia="Times New Roman" w:hAnsi="ITC Avant Garde" w:cs="Times New Roman"/>
          <w:vertAlign w:val="superscript"/>
        </w:rPr>
        <w:footnoteReference w:id="2"/>
      </w:r>
      <w:r w:rsidR="00EA2430" w:rsidRPr="00EB3BA2">
        <w:rPr>
          <w:rFonts w:ascii="ITC Avant Garde" w:eastAsia="Times New Roman" w:hAnsi="ITC Avant Garde" w:cs="Times New Roman"/>
        </w:rPr>
        <w:t>.</w:t>
      </w:r>
      <w:r w:rsidRPr="00EB3BA2">
        <w:rPr>
          <w:rFonts w:ascii="ITC Avant Garde" w:eastAsia="Times New Roman" w:hAnsi="ITC Avant Garde" w:cs="Times New Roman"/>
        </w:rPr>
        <w:t xml:space="preserve"> Asimismo cabe señalar que actualmente en el Registro Público de Concesiones del </w:t>
      </w:r>
      <w:r w:rsidR="00EA2430" w:rsidRPr="00EB3BA2">
        <w:rPr>
          <w:rFonts w:ascii="ITC Avant Garde" w:eastAsia="Times New Roman" w:hAnsi="ITC Avant Garde" w:cs="Times New Roman"/>
        </w:rPr>
        <w:t>I</w:t>
      </w:r>
      <w:r w:rsidRPr="00EB3BA2">
        <w:rPr>
          <w:rFonts w:ascii="ITC Avant Garde" w:eastAsia="Times New Roman" w:hAnsi="ITC Avant Garde" w:cs="Times New Roman"/>
        </w:rPr>
        <w:t xml:space="preserve">nstituto se tiene evidencia de que las empresas Valor Agregado Digital, S.A. de C.V., Talktel, S.A. de C.V. y Qualtel, S.A. de C.V., tienen celebrados convenios de interconexión para la prestación del servicio de SMS entre sus </w:t>
      </w:r>
      <w:r w:rsidRPr="00EB3BA2">
        <w:rPr>
          <w:rFonts w:ascii="ITC Avant Garde" w:eastAsia="Times New Roman" w:hAnsi="ITC Avant Garde" w:cs="Times New Roman"/>
        </w:rPr>
        <w:lastRenderedPageBreak/>
        <w:t xml:space="preserve">redes fijas y la red móvil de Telcel. </w:t>
      </w:r>
    </w:p>
    <w:p w14:paraId="345C2A13" w14:textId="77777777" w:rsidR="009A500D" w:rsidRDefault="00BB070C" w:rsidP="009A500D">
      <w:pPr>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11 formulada por Telcel</w:t>
      </w:r>
      <w:r w:rsidRPr="00EB3BA2">
        <w:rPr>
          <w:rFonts w:ascii="ITC Avant Garde" w:eastAsia="Times New Roman" w:hAnsi="ITC Avant Garde" w:cs="Times New Roman"/>
        </w:rPr>
        <w:t xml:space="preserve">. </w:t>
      </w:r>
      <w:r w:rsidRPr="00EB3BA2">
        <w:rPr>
          <w:rFonts w:ascii="ITC Avant Garde" w:eastAsia="Times New Roman" w:hAnsi="ITC Avant Garde" w:cs="Times New Roman"/>
          <w:b/>
        </w:rPr>
        <w:t>Se solicitó al Perito explicar si es factible que</w:t>
      </w:r>
      <w:r w:rsidR="00302DA8" w:rsidRPr="00EB3BA2">
        <w:rPr>
          <w:rFonts w:ascii="ITC Avant Garde" w:eastAsia="Times New Roman" w:hAnsi="ITC Avant Garde" w:cs="Times New Roman"/>
          <w:b/>
        </w:rPr>
        <w:t xml:space="preserve"> un sistema informático (</w:t>
      </w:r>
      <w:r w:rsidRPr="00EB3BA2">
        <w:rPr>
          <w:rFonts w:ascii="ITC Avant Garde" w:eastAsia="Times New Roman" w:hAnsi="ITC Avant Garde" w:cs="Times New Roman"/>
          <w:b/>
        </w:rPr>
        <w:t>computadora realice la conversión de tráfico de mensajes cortos que proviene de una red fija al protocolo SMPP (Short Message Peer to Peer).</w:t>
      </w:r>
    </w:p>
    <w:p w14:paraId="3DD3BACC" w14:textId="77777777" w:rsidR="009A500D" w:rsidRDefault="0021317B"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El Perito de Telcel respondió</w:t>
      </w:r>
      <w:r w:rsidR="00BB070C" w:rsidRPr="00EB3BA2">
        <w:rPr>
          <w:rFonts w:ascii="ITC Avant Garde" w:eastAsia="Times New Roman" w:hAnsi="ITC Avant Garde" w:cs="Times New Roman"/>
        </w:rPr>
        <w:t xml:space="preserve"> que</w:t>
      </w:r>
      <w:r w:rsidRPr="00EB3BA2">
        <w:rPr>
          <w:rFonts w:ascii="ITC Avant Garde" w:eastAsia="Times New Roman" w:hAnsi="ITC Avant Garde" w:cs="Times New Roman"/>
        </w:rPr>
        <w:t>,</w:t>
      </w:r>
      <w:r w:rsidR="0034688D" w:rsidRPr="00EB3BA2">
        <w:rPr>
          <w:rFonts w:ascii="ITC Avant Garde" w:eastAsia="Times New Roman" w:hAnsi="ITC Avant Garde" w:cs="Times New Roman"/>
        </w:rPr>
        <w:t xml:space="preserve"> aunque resulta factible realizar dicha conversión, en principio, pudieran existir equipos terminales fijos con tecnología IP homologados con capacidades para generar y/o recibir Mensajes Cortos, pero el operador OpenlP no ha </w:t>
      </w:r>
      <w:r w:rsidR="00D60D4B" w:rsidRPr="00EB3BA2">
        <w:rPr>
          <w:rFonts w:ascii="ITC Avant Garde" w:eastAsia="Times New Roman" w:hAnsi="ITC Avant Garde" w:cs="Times New Roman"/>
        </w:rPr>
        <w:t>manifestado cuá</w:t>
      </w:r>
      <w:r w:rsidR="0034688D" w:rsidRPr="00EB3BA2">
        <w:rPr>
          <w:rFonts w:ascii="ITC Avant Garde" w:eastAsia="Times New Roman" w:hAnsi="ITC Avant Garde" w:cs="Times New Roman"/>
        </w:rPr>
        <w:t>les son los equipos terminales fijos homologados que usarán sus usuarios y que sean capaces de generar y/o recibir Mensajes Cortos, por lo que Telcel no cuenta con evidencia que demuestre que es posible la prestación de dicho servicio.</w:t>
      </w:r>
    </w:p>
    <w:p w14:paraId="0B379E2C" w14:textId="77777777" w:rsidR="009A500D" w:rsidRDefault="00BB070C" w:rsidP="009A500D">
      <w:pPr>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0F3EF70C"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Al respecto, el Instituto coincide con lo señalado por el Perito, toda vez que es posible que entidades que no pertenecen a la arquitectura de una red ESME, puedan interactuar con elementos internos de las redes y que funja como “traductor” por lo que es posible que una computadora realice la conversión de tráfico de mensajes cortos provenientes de una red fija a través del protocolo SMPP.</w:t>
      </w:r>
    </w:p>
    <w:p w14:paraId="0A399C29" w14:textId="1B405D10"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Por lo que respecta a las características de las terminales de las redes fijas, éstas deberán ser propuestas y acordes a los servicios ofertados por cada uno de los proveedores del servicio fijo, por lo cual no puede ser generalizado que dichas terminales no son compatibles con el servicio de mensajes cortos.</w:t>
      </w:r>
    </w:p>
    <w:p w14:paraId="32762AA6" w14:textId="77777777" w:rsidR="009A500D" w:rsidRDefault="00BB070C" w:rsidP="009A500D">
      <w:pPr>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 xml:space="preserve">Pregunta 12 formulada por Telcel. Se solicitó al Perito, que en relación a la respuesta de la pregunta anterior en la que no hay certeza práctica (sólo a nivel teórico), explique en qué consiste y cuáles son los elementos que deben integrar la arquitectura de una red telefónica fija para que sea capaz de prestar el servicio de intercambio de mensajes cortos Persona a Persona. </w:t>
      </w:r>
    </w:p>
    <w:p w14:paraId="3FF00E5C"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El Perito de Telcel respondió que para intercambiar mensajes cortos Persona a Persona por parte de una red fija se debería utilizar una solución estandarizada de IMS (IP Multimedia Subsystem) en el que las terminales </w:t>
      </w:r>
      <w:r w:rsidRPr="00EB3BA2">
        <w:rPr>
          <w:rFonts w:ascii="ITC Avant Garde" w:eastAsia="Times New Roman" w:hAnsi="ITC Avant Garde" w:cs="Times New Roman"/>
        </w:rPr>
        <w:lastRenderedPageBreak/>
        <w:t xml:space="preserve">conectadas a nivel IP se pueden comunicar con un servidor de aplicaciones que haría funciones de SMSC. Indicó que las terminales deben contemplar un cliente nativo o una aplicación descargada para permitir el envío y recepción de mensajes cortos Persona a Persona por medio de la solución IMS. El Perito indicó que no puede asegurarse que </w:t>
      </w:r>
      <w:r w:rsidR="00302DA8" w:rsidRPr="00EB3BA2">
        <w:rPr>
          <w:rFonts w:ascii="ITC Avant Garde" w:eastAsia="Times New Roman" w:hAnsi="ITC Avant Garde" w:cs="Times New Roman"/>
        </w:rPr>
        <w:t>OpenIP</w:t>
      </w:r>
      <w:r w:rsidRPr="00EB3BA2">
        <w:rPr>
          <w:rFonts w:ascii="ITC Avant Garde" w:eastAsia="Times New Roman" w:hAnsi="ITC Avant Garde" w:cs="Times New Roman"/>
        </w:rPr>
        <w:t xml:space="preserve"> cuente con una estructura propia de una red estandarizada que permita el intercambio de mensajes P2P</w:t>
      </w:r>
      <w:r w:rsidR="00302DA8" w:rsidRPr="00EB3BA2">
        <w:rPr>
          <w:rFonts w:ascii="ITC Avant Garde" w:eastAsia="Times New Roman" w:hAnsi="ITC Avant Garde" w:cs="Times New Roman"/>
        </w:rPr>
        <w:t>.</w:t>
      </w:r>
    </w:p>
    <w:p w14:paraId="475F95AB" w14:textId="77777777" w:rsidR="009A500D" w:rsidRDefault="00BB070C" w:rsidP="009A500D">
      <w:pPr>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735FAA59"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Al respecto, el Instituto coincide con lo mencionado por el Perito de Telcel, respecto a que la solución estandarizada IMS permite la comunicación y transmisión de todo tipo de servicios entre redes fijas y móviles. Adicionalmente coincide con lo mencionado en relación a contemplar un cliente nativo o aplicación para permitir el envío y recepción de mensajes cortos P2P.</w:t>
      </w:r>
    </w:p>
    <w:p w14:paraId="677CE3E1"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No </w:t>
      </w:r>
      <w:r w:rsidR="00302DA8" w:rsidRPr="00EB3BA2">
        <w:rPr>
          <w:rFonts w:ascii="ITC Avant Garde" w:eastAsia="Times New Roman" w:hAnsi="ITC Avant Garde" w:cs="Times New Roman"/>
        </w:rPr>
        <w:t>obstante,</w:t>
      </w:r>
      <w:r w:rsidRPr="00EB3BA2">
        <w:rPr>
          <w:rFonts w:ascii="ITC Avant Garde" w:eastAsia="Times New Roman" w:hAnsi="ITC Avant Garde" w:cs="Times New Roman"/>
        </w:rPr>
        <w:t xml:space="preserve"> lo anterior, en un escenario en el que no se cuenta con una red IMS el estándar ETSI ES 202 060-2 plantea la arquitectura que deberán utilizar las redes de telecomunicaciones fijas para prestar el servicio de mensajes cortos, dicho estándar muestra diferentes escenarios en los que se podrá realizar la transferencia de mensajes cortos y el elemento principal señalado es el SMSC tanto en el intercambio dentro de la red, como el intercambio entre ésta y la de otro concesionario. Es así que el escenario de intercambio de mensajes cortos P2P en redes fijas no está limitado a un escenario IMS.</w:t>
      </w:r>
    </w:p>
    <w:p w14:paraId="38A8AB60" w14:textId="77777777" w:rsidR="009A500D" w:rsidRDefault="00BB070C" w:rsidP="009A500D">
      <w:pPr>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13 formulada por Telcel. Con base en la información proporcionada por OpenIP y que obra en el expediente, que diga el Perito si es posible asegurar que los equipos terminales de los usuarios de OpenIP tendrán capacidad para recibir los mensajes cortos de los usuarios de Telcel.</w:t>
      </w:r>
    </w:p>
    <w:p w14:paraId="14C8027E"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El Perito de Telcel mencionó que no existe evidencia que afirme que los equipos terminales de los usuarios de OpenIP tendrán capacidad para recibir mensajes cortos de los usuarios de Telcel. Indicó que resulta improbable que los equipos terminales fijos de los usuarios de OpenIP sean tecnológicamente capaces de ser utilizados para prestar el servicio de intercambio de mensajes cortos P2P. </w:t>
      </w:r>
    </w:p>
    <w:p w14:paraId="224A4CB8"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lastRenderedPageBreak/>
        <w:t xml:space="preserve">Asimismo, indicó que no es </w:t>
      </w:r>
      <w:r w:rsidR="000B49FD" w:rsidRPr="00EB3BA2">
        <w:rPr>
          <w:rFonts w:ascii="ITC Avant Garde" w:eastAsia="Times New Roman" w:hAnsi="ITC Avant Garde" w:cs="Times New Roman"/>
        </w:rPr>
        <w:t>posible</w:t>
      </w:r>
      <w:r w:rsidRPr="00EB3BA2">
        <w:rPr>
          <w:rFonts w:ascii="ITC Avant Garde" w:eastAsia="Times New Roman" w:hAnsi="ITC Avant Garde" w:cs="Times New Roman"/>
        </w:rPr>
        <w:t xml:space="preserve"> que la autoridad reguladora</w:t>
      </w:r>
      <w:r w:rsidR="000B49FD" w:rsidRPr="00EB3BA2">
        <w:rPr>
          <w:rFonts w:ascii="ITC Avant Garde" w:eastAsia="Times New Roman" w:hAnsi="ITC Avant Garde" w:cs="Times New Roman"/>
        </w:rPr>
        <w:t xml:space="preserve"> no</w:t>
      </w:r>
      <w:r w:rsidRPr="00EB3BA2">
        <w:rPr>
          <w:rFonts w:ascii="ITC Avant Garde" w:eastAsia="Times New Roman" w:hAnsi="ITC Avant Garde" w:cs="Times New Roman"/>
        </w:rPr>
        <w:t xml:space="preserve"> reconozca el servicio de intercambio electrónico de mensajes cortos P2P como servicio de naturaleza móvil, pues no se trata de un servicio que sea proporcionado o haya sido proporcionado por concesionarios de servicio local fijo.</w:t>
      </w:r>
    </w:p>
    <w:p w14:paraId="720B21DB"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54AB6EB0"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se señala que no existen elementos técnicos suficientes presentados por el Perito de Telcel para poder asegurar que las terminales de los usuarios de OpenIP tienen la capacidad o no de recibir mensajes cortos, ya que en ningún momento se aportan elementos en los cuales se muestren especificaciones técnicas o datasheet (hojas de datos) que detallen las características de las terminales utilizadas. </w:t>
      </w:r>
    </w:p>
    <w:p w14:paraId="3D68FA97" w14:textId="7D983EBA" w:rsidR="009A500D" w:rsidRDefault="00BB070C" w:rsidP="009A500D">
      <w:pPr>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14 formulada por Telcel. Que diga el Perito de qué manera presta OpenIP el servicio de intercambio de mensajes cortos Persona a Persona a sus propios usuarios.</w:t>
      </w:r>
    </w:p>
    <w:p w14:paraId="773C7051"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El Perito de Telcel indicó que</w:t>
      </w:r>
      <w:r w:rsidR="000B49FD" w:rsidRPr="00EB3BA2">
        <w:rPr>
          <w:rFonts w:ascii="ITC Avant Garde" w:eastAsia="Times New Roman" w:hAnsi="ITC Avant Garde" w:cs="Times New Roman"/>
        </w:rPr>
        <w:t xml:space="preserve"> en la documentación disponible se aprecia que OpenIP no ha proporcionado información que permita determinar su arquitectura de red corresponda a una red fija o una red móvil, o bien, que permita determinar la manera por la cual Open IP presta el servicio de mensajes cortos P2P a sus propios usuarios.</w:t>
      </w:r>
    </w:p>
    <w:p w14:paraId="7D0C88AE" w14:textId="77777777" w:rsidR="009A500D" w:rsidRDefault="000B49FD"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Adicionalmente</w:t>
      </w:r>
      <w:r w:rsidR="00BB070C" w:rsidRPr="00EB3BA2">
        <w:rPr>
          <w:rFonts w:ascii="ITC Avant Garde" w:eastAsia="Times New Roman" w:hAnsi="ITC Avant Garde" w:cs="Times New Roman"/>
        </w:rPr>
        <w:t xml:space="preserve">, según su conocimiento, OpenIP no tiene usuarios activos a los que preste el servicio de intercambio de mensajes cortos Persona a Persona. Mencionó </w:t>
      </w:r>
      <w:r w:rsidRPr="00EB3BA2">
        <w:rPr>
          <w:rFonts w:ascii="ITC Avant Garde" w:eastAsia="Times New Roman" w:hAnsi="ITC Avant Garde" w:cs="Times New Roman"/>
        </w:rPr>
        <w:t>que,</w:t>
      </w:r>
      <w:r w:rsidR="00BB070C" w:rsidRPr="00EB3BA2">
        <w:rPr>
          <w:rFonts w:ascii="ITC Avant Garde" w:eastAsia="Times New Roman" w:hAnsi="ITC Avant Garde" w:cs="Times New Roman"/>
        </w:rPr>
        <w:t xml:space="preserve"> en el Registro de equipos homologados en México, OpenIP no cuenta con equipos homologados con la funcionalidad de enviar y recibir mensajes cortos.</w:t>
      </w:r>
    </w:p>
    <w:p w14:paraId="2909A9BE"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77376764" w14:textId="64E46528" w:rsidR="00BB070C" w:rsidRPr="00EB3BA2"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Al respecto, el Instituto considera que cada concesionario determina la forma en que presta sus servicios, lo anterior de acuerdo a su arquitectura, interés de tráfico, número de usuarios y otros factores particulares de sus redes por lo cual no resulta posible que otros concesionarios indiquen o conozcan la manera en que prestan sus servicios.</w:t>
      </w:r>
    </w:p>
    <w:p w14:paraId="23865241" w14:textId="77777777" w:rsidR="00BB070C" w:rsidRPr="00EB3BA2"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 </w:t>
      </w:r>
    </w:p>
    <w:p w14:paraId="08703C3C" w14:textId="77777777" w:rsidR="009A500D" w:rsidRDefault="00BB070C" w:rsidP="009A500D">
      <w:pPr>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lastRenderedPageBreak/>
        <w:t>Pregunta 15 formulada por Telcel. Que diga el Perito qué equipos terminales fijos homologados en el país conoce que puedan ser utilizadas en la prestación del servicio de intercambio de mensajes cortos Persona a Persona.</w:t>
      </w:r>
    </w:p>
    <w:p w14:paraId="6A059C10"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El Perito de Telcel indicó que, según su conocimiento, actualmente existen Teléfonos Digitales IP los cuales son equipos terminales que usan protocolo IP, sin embargo, estos equipos no están determinados como equipos terminales fijos.</w:t>
      </w:r>
    </w:p>
    <w:p w14:paraId="40B16980" w14:textId="4FC23F5C"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51367160"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Con respecto a lo anterior, </w:t>
      </w:r>
      <w:r w:rsidR="000676AE" w:rsidRPr="00EB3BA2">
        <w:rPr>
          <w:rFonts w:ascii="ITC Avant Garde" w:eastAsia="Times New Roman" w:hAnsi="ITC Avant Garde" w:cs="Times New Roman"/>
        </w:rPr>
        <w:t>se reitera</w:t>
      </w:r>
      <w:r w:rsidRPr="00EB3BA2">
        <w:rPr>
          <w:rFonts w:ascii="ITC Avant Garde" w:eastAsia="Times New Roman" w:hAnsi="ITC Avant Garde" w:cs="Times New Roman"/>
        </w:rPr>
        <w:t xml:space="preserve"> que existen soluciones tecnológicas en las que basta que la terminal posea un display para que puedan ser utilizadas para el envío o recepción de mensajes cortos, en otros casos es posible que en lugar de la recepción del mensaje se genere una llamada en la cual se reproduce el contenido del mensaje corto.</w:t>
      </w:r>
    </w:p>
    <w:p w14:paraId="440C788C"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Asimismo, cabe señalar que los Teléfonos Digitales IP a los que hace mención el Perito de Telcel pueden ser utilizados de manera eficiente por una red fija para la prestación del servicio de telefonía local fija así como servicios de mensajes cortos a usuarios finales con equipos terminales móviles. </w:t>
      </w:r>
    </w:p>
    <w:p w14:paraId="275454CE" w14:textId="77777777" w:rsidR="009A500D" w:rsidRDefault="00BB070C" w:rsidP="009A500D">
      <w:pPr>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16 formulada por Telcel. Que diga el perito qué terminales móviles homologadas en el país conoce que puedan ser utilizadas en la prestación del servicio de intercambio de mensajes cortos Persona a Persona.</w:t>
      </w:r>
    </w:p>
    <w:p w14:paraId="416E05C0"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El Perito de Telcel indicó que prácticamente todos los equipos terminales móviles disponibles en el mercado de telecomunicaciones en México, operando en 2G, 3G o 4G, son capaces de enviar y recibir mensajes cortos. Mencionó que hasta donde tiene conocimiento y constatando en páginas de fabricantes de equipos terminales móviles, se comercializan con esta funcionalidad.</w:t>
      </w:r>
    </w:p>
    <w:p w14:paraId="7C03161C"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Asimismo, el Perito de Telcel hizo referencia a la información publicada por el Instituto en su portal donde se encuentran certificados de homologación expedidos, de los cuales, un total de 1,214 están vigentes para equipos terminales móviles operando en las tecnologías señaladas además de TDMA y CDMA, a la fecha en que se elaboró el dictamen.</w:t>
      </w:r>
    </w:p>
    <w:p w14:paraId="0B937A18"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lastRenderedPageBreak/>
        <w:t>Valoración del Instituto</w:t>
      </w:r>
    </w:p>
    <w:p w14:paraId="592795B5"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el Instituto coincide con lo señalado </w:t>
      </w:r>
      <w:r w:rsidR="002809B5" w:rsidRPr="00EB3BA2">
        <w:rPr>
          <w:rFonts w:ascii="ITC Avant Garde" w:eastAsia="Times New Roman" w:hAnsi="ITC Avant Garde" w:cs="Times New Roman"/>
        </w:rPr>
        <w:t>por el perito</w:t>
      </w:r>
      <w:r w:rsidRPr="00EB3BA2">
        <w:rPr>
          <w:rFonts w:ascii="ITC Avant Garde" w:eastAsia="Times New Roman" w:hAnsi="ITC Avant Garde" w:cs="Times New Roman"/>
        </w:rPr>
        <w:t xml:space="preserve"> en el sentido de que </w:t>
      </w:r>
      <w:r w:rsidR="00E861CE" w:rsidRPr="00EB3BA2">
        <w:rPr>
          <w:rFonts w:ascii="ITC Avant Garde" w:eastAsia="Times New Roman" w:hAnsi="ITC Avant Garde" w:cs="Times New Roman"/>
        </w:rPr>
        <w:t xml:space="preserve">prácticamente todos </w:t>
      </w:r>
      <w:r w:rsidRPr="00EB3BA2">
        <w:rPr>
          <w:rFonts w:ascii="ITC Avant Garde" w:eastAsia="Times New Roman" w:hAnsi="ITC Avant Garde" w:cs="Times New Roman"/>
        </w:rPr>
        <w:t>los equipos terminales móviles disponibles en el mercado que operan en las diferentes tecnologías pueden enviar y recibir mensajes cortos</w:t>
      </w:r>
      <w:r w:rsidR="00E861CE" w:rsidRPr="00EB3BA2">
        <w:rPr>
          <w:rFonts w:ascii="ITC Avant Garde" w:eastAsia="Times New Roman" w:hAnsi="ITC Avant Garde" w:cs="Times New Roman"/>
        </w:rPr>
        <w:t xml:space="preserve">. </w:t>
      </w:r>
    </w:p>
    <w:p w14:paraId="4B04B2C7" w14:textId="77777777" w:rsidR="009A500D" w:rsidRDefault="00E861CE"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No obstante, se señala que existen diversas soluciones tecnológicas como lo es a través de la conversión de texto a voz que permiten que un usuario fija pue</w:t>
      </w:r>
      <w:r w:rsidR="002E087E" w:rsidRPr="00EB3BA2">
        <w:rPr>
          <w:rFonts w:ascii="ITC Avant Garde" w:eastAsia="Times New Roman" w:hAnsi="ITC Avant Garde" w:cs="Times New Roman"/>
        </w:rPr>
        <w:t>da recibir mensajes cortos</w:t>
      </w:r>
      <w:r w:rsidRPr="00EB3BA2">
        <w:rPr>
          <w:rFonts w:ascii="ITC Avant Garde" w:eastAsia="Times New Roman" w:hAnsi="ITC Avant Garde" w:cs="Times New Roman"/>
        </w:rPr>
        <w:t>, con lo cual no es necesario que la terminal fija soporte el servicio de mensajes cortos.</w:t>
      </w:r>
    </w:p>
    <w:p w14:paraId="7E506432" w14:textId="77777777" w:rsidR="009A500D" w:rsidRDefault="002E087E"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Asimismo</w:t>
      </w:r>
      <w:r w:rsidR="00EA2430" w:rsidRPr="00EB3BA2">
        <w:rPr>
          <w:rFonts w:ascii="ITC Avant Garde" w:eastAsia="Times New Roman" w:hAnsi="ITC Avant Garde" w:cs="Times New Roman"/>
        </w:rPr>
        <w:t>, respecto de los certificados de homologación expedidos a</w:t>
      </w:r>
      <w:r w:rsidR="00FF315F" w:rsidRPr="00EB3BA2">
        <w:rPr>
          <w:rFonts w:ascii="ITC Avant Garde" w:eastAsia="Times New Roman" w:hAnsi="ITC Avant Garde" w:cs="Times New Roman"/>
        </w:rPr>
        <w:t xml:space="preserve"> equipos terminales m</w:t>
      </w:r>
      <w:r w:rsidRPr="00EB3BA2">
        <w:rPr>
          <w:rFonts w:ascii="ITC Avant Garde" w:eastAsia="Times New Roman" w:hAnsi="ITC Avant Garde" w:cs="Times New Roman"/>
        </w:rPr>
        <w:t>óviles</w:t>
      </w:r>
      <w:r w:rsidR="00EA2430" w:rsidRPr="00EB3BA2">
        <w:rPr>
          <w:rFonts w:ascii="ITC Avant Garde" w:eastAsia="Times New Roman" w:hAnsi="ITC Avant Garde" w:cs="Times New Roman"/>
        </w:rPr>
        <w:t xml:space="preserve"> </w:t>
      </w:r>
      <w:r w:rsidR="00FF315F" w:rsidRPr="00EB3BA2">
        <w:rPr>
          <w:rFonts w:ascii="ITC Avant Garde" w:eastAsia="Times New Roman" w:hAnsi="ITC Avant Garde" w:cs="Times New Roman"/>
        </w:rPr>
        <w:t xml:space="preserve">a los que </w:t>
      </w:r>
      <w:r w:rsidR="00EA2430" w:rsidRPr="00EB3BA2">
        <w:rPr>
          <w:rFonts w:ascii="ITC Avant Garde" w:eastAsia="Times New Roman" w:hAnsi="ITC Avant Garde" w:cs="Times New Roman"/>
        </w:rPr>
        <w:t xml:space="preserve">hace referencia el perito de Telcel se señala que </w:t>
      </w:r>
      <w:r w:rsidR="00465986" w:rsidRPr="00EB3BA2">
        <w:rPr>
          <w:rFonts w:ascii="ITC Avant Garde" w:eastAsia="Times New Roman" w:hAnsi="ITC Avant Garde" w:cs="Times New Roman"/>
        </w:rPr>
        <w:t>en dichos certificados se reconoce por parte del Instituto que el dispositivo destinado al servicio de telecomunicaciones al que se hace referencia satisface las normas o disposiciones técnicas aplicables. Dichas normas o disposiciones son</w:t>
      </w:r>
      <w:r w:rsidR="00B028EA" w:rsidRPr="00EB3BA2">
        <w:rPr>
          <w:rFonts w:ascii="ITC Avant Garde" w:eastAsia="Times New Roman" w:hAnsi="ITC Avant Garde" w:cs="Times New Roman"/>
        </w:rPr>
        <w:t>, entre otras</w:t>
      </w:r>
      <w:r w:rsidR="00465986" w:rsidRPr="00EB3BA2">
        <w:rPr>
          <w:rFonts w:ascii="ITC Avant Garde" w:eastAsia="Times New Roman" w:hAnsi="ITC Avant Garde" w:cs="Times New Roman"/>
        </w:rPr>
        <w:t>:</w:t>
      </w:r>
      <w:r w:rsidR="00B028EA" w:rsidRPr="00EB3BA2">
        <w:rPr>
          <w:rFonts w:ascii="ITC Avant Garde" w:hAnsi="ITC Avant Garde"/>
          <w:b/>
        </w:rPr>
        <w:t xml:space="preserve"> IFT-004-2016, IFT-006-2016, IFT-008-2015, IFT-010-2016, IFT-011-2017, NOM-EM-018-SCFI-2016, NOM-084-SCT1-2002, NOM-196-SCFI-2015, NOM-208-SCFI-2016.</w:t>
      </w:r>
    </w:p>
    <w:p w14:paraId="20894295" w14:textId="77777777" w:rsidR="009A500D" w:rsidRDefault="00B028EA"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Es así que los certificados de homologación no precisan que las terminales móviles tengan la capacidad para prestar el servicio de mensajes cortos. </w:t>
      </w:r>
    </w:p>
    <w:p w14:paraId="4CADC338" w14:textId="77777777" w:rsidR="009A500D" w:rsidRDefault="00BB070C" w:rsidP="009A500D">
      <w:pPr>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17 formulada por Telcel. Que diga el Perito qué equipos terminales fijos homologados de OpenIP cuentan con la funcionalidad para enviar y recibir mensajes cortos. En su caso, indicar marca y modelo.</w:t>
      </w:r>
    </w:p>
    <w:p w14:paraId="1136D6D7"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El Perito de Telcel mencionó que, hasta donde él tiene conocimiento, OpenIP no cuenta con equipos terminales fijos homologados que se utilicen o puedan ser utilizados para prestar el servicio de intercambio de mensajes cortos Persona a Persona.</w:t>
      </w:r>
    </w:p>
    <w:p w14:paraId="4E65962E"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59922168"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Al respecto, el Instituto</w:t>
      </w:r>
      <w:r w:rsidR="005A07D3" w:rsidRPr="00EB3BA2">
        <w:rPr>
          <w:rFonts w:ascii="ITC Avant Garde" w:eastAsia="Times New Roman" w:hAnsi="ITC Avant Garde" w:cs="Times New Roman"/>
        </w:rPr>
        <w:t xml:space="preserve"> reitera que en los certificados de homologación expedidos a equipos terminales se reconoce por parte del Instituto que dicho dispositivo satisface las normas o disposiciones técnicas aplicables. Dichas normas o disposiciones son, entre otras:</w:t>
      </w:r>
      <w:r w:rsidR="005A07D3" w:rsidRPr="00EB3BA2">
        <w:rPr>
          <w:rFonts w:ascii="ITC Avant Garde" w:hAnsi="ITC Avant Garde"/>
          <w:b/>
        </w:rPr>
        <w:t xml:space="preserve"> IFT-004-2016, IFT-006-2016, IFT-008-2015, IFT-010-2016, IFT-011-2017, NOM-EM-018-SCFI-2016, NOM-084-SCT1-</w:t>
      </w:r>
      <w:r w:rsidR="005A07D3" w:rsidRPr="00EB3BA2">
        <w:rPr>
          <w:rFonts w:ascii="ITC Avant Garde" w:hAnsi="ITC Avant Garde"/>
          <w:b/>
        </w:rPr>
        <w:lastRenderedPageBreak/>
        <w:t>2002, NOM-196-SCFI-2015, NOM-208-SCFI-2016.</w:t>
      </w:r>
    </w:p>
    <w:p w14:paraId="04E60097" w14:textId="77777777" w:rsidR="009A500D" w:rsidRDefault="005A07D3"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Es así que los certificados de homologación no precisan que las terminales tengan la capacidad para prestar el servicio de mensajes cortos. </w:t>
      </w:r>
    </w:p>
    <w:p w14:paraId="5A482635" w14:textId="77777777" w:rsidR="009A500D" w:rsidRDefault="005A07D3" w:rsidP="009A500D">
      <w:pPr>
        <w:widowControl w:val="0"/>
        <w:spacing w:line="276" w:lineRule="auto"/>
        <w:ind w:left="708"/>
        <w:jc w:val="both"/>
        <w:rPr>
          <w:rFonts w:ascii="ITC Avant Garde" w:eastAsia="Times New Roman" w:hAnsi="ITC Avant Garde" w:cs="Times New Roman"/>
        </w:rPr>
      </w:pPr>
      <w:r w:rsidRPr="00EB3BA2">
        <w:rPr>
          <w:rFonts w:ascii="ITC Avant Garde" w:eastAsia="Times New Roman" w:hAnsi="ITC Avant Garde" w:cs="Times New Roman"/>
        </w:rPr>
        <w:t>Asimismo, se señala que</w:t>
      </w:r>
      <w:r w:rsidR="00BB070C" w:rsidRPr="00EB3BA2">
        <w:rPr>
          <w:rFonts w:ascii="ITC Avant Garde" w:eastAsia="Times New Roman" w:hAnsi="ITC Avant Garde" w:cs="Times New Roman"/>
        </w:rPr>
        <w:t xml:space="preserve"> existen soluciones tecnológicas en las que basta que la terminal posea un display para que puedan ser utilizadas para el envío o recepción de mensajes cortos, en otros casos es posible que en lugar de la recepción del mensaje se genere una llamada en la cual se reproduce el contenido del mensaje corto.</w:t>
      </w:r>
    </w:p>
    <w:p w14:paraId="0A45AA72" w14:textId="77777777" w:rsidR="009A500D" w:rsidRDefault="00BB070C" w:rsidP="009A500D">
      <w:pPr>
        <w:spacing w:line="276" w:lineRule="auto"/>
        <w:ind w:left="709"/>
        <w:jc w:val="both"/>
        <w:rPr>
          <w:rFonts w:ascii="ITC Avant Garde" w:eastAsia="Times New Roman" w:hAnsi="ITC Avant Garde" w:cs="Times New Roman"/>
          <w:b/>
        </w:rPr>
      </w:pPr>
      <w:r w:rsidRPr="00EB3BA2">
        <w:rPr>
          <w:rFonts w:ascii="ITC Avant Garde" w:eastAsia="Times New Roman" w:hAnsi="ITC Avant Garde" w:cs="Times New Roman"/>
          <w:b/>
        </w:rPr>
        <w:t>Pregunta 18 formulada por Telcel. Que diga el Perito, en general, si de la información existente en el expediente y/o de cualquier otra información de carácter público a la que el Perito tenga acceso, es posible determinar que OpenIP cuenta con equipos terminales fijos capaces de prestar el servicio de intercambio de mensajes cortos Persona a Persona.</w:t>
      </w:r>
    </w:p>
    <w:p w14:paraId="3383B9EB" w14:textId="77777777" w:rsidR="009A500D" w:rsidRDefault="00BB070C" w:rsidP="009A500D">
      <w:pPr>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El Perito de Telcel indicó </w:t>
      </w:r>
      <w:r w:rsidR="00796497" w:rsidRPr="00EB3BA2">
        <w:rPr>
          <w:rFonts w:ascii="ITC Avant Garde" w:eastAsia="Times New Roman" w:hAnsi="ITC Avant Garde" w:cs="Times New Roman"/>
        </w:rPr>
        <w:t>que,</w:t>
      </w:r>
      <w:r w:rsidRPr="00EB3BA2">
        <w:rPr>
          <w:rFonts w:ascii="ITC Avant Garde" w:eastAsia="Times New Roman" w:hAnsi="ITC Avant Garde" w:cs="Times New Roman"/>
        </w:rPr>
        <w:t xml:space="preserve"> con base en la información pública disponible por parte del Instituto, no se aprecia que </w:t>
      </w:r>
      <w:r w:rsidR="00796497" w:rsidRPr="00EB3BA2">
        <w:rPr>
          <w:rFonts w:ascii="ITC Avant Garde" w:eastAsia="Times New Roman" w:hAnsi="ITC Avant Garde" w:cs="Times New Roman"/>
        </w:rPr>
        <w:t xml:space="preserve">OpenIP </w:t>
      </w:r>
      <w:r w:rsidRPr="00EB3BA2">
        <w:rPr>
          <w:rFonts w:ascii="ITC Avant Garde" w:eastAsia="Times New Roman" w:hAnsi="ITC Avant Garde" w:cs="Times New Roman"/>
        </w:rPr>
        <w:t>cuente con equipos terminales fijos homologados que sean utilizados o se puedan utilizar para prestar el servicio de intercambio de mensajes cortos P2P.</w:t>
      </w:r>
    </w:p>
    <w:p w14:paraId="55B3A711" w14:textId="77777777" w:rsidR="009A500D" w:rsidRDefault="00BB070C" w:rsidP="009A500D">
      <w:pPr>
        <w:widowControl w:val="0"/>
        <w:spacing w:line="276" w:lineRule="auto"/>
        <w:ind w:left="709"/>
        <w:jc w:val="both"/>
        <w:rPr>
          <w:rFonts w:ascii="ITC Avant Garde" w:eastAsia="Times New Roman" w:hAnsi="ITC Avant Garde" w:cs="Times New Roman"/>
          <w:u w:val="single"/>
        </w:rPr>
      </w:pPr>
      <w:r w:rsidRPr="00EB3BA2">
        <w:rPr>
          <w:rFonts w:ascii="ITC Avant Garde" w:eastAsia="Times New Roman" w:hAnsi="ITC Avant Garde" w:cs="Times New Roman"/>
          <w:u w:val="single"/>
        </w:rPr>
        <w:t>Valoración del Instituto</w:t>
      </w:r>
    </w:p>
    <w:p w14:paraId="3EAC91EB" w14:textId="77777777" w:rsidR="009A500D" w:rsidRDefault="00BB070C"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w:t>
      </w:r>
      <w:r w:rsidR="001A2ACD" w:rsidRPr="00EB3BA2">
        <w:rPr>
          <w:rFonts w:ascii="ITC Avant Garde" w:eastAsia="Times New Roman" w:hAnsi="ITC Avant Garde" w:cs="Times New Roman"/>
        </w:rPr>
        <w:t>se reitera</w:t>
      </w:r>
      <w:r w:rsidR="00D67712" w:rsidRPr="00EB3BA2">
        <w:rPr>
          <w:rFonts w:ascii="ITC Avant Garde" w:eastAsia="Times New Roman" w:hAnsi="ITC Avant Garde" w:cs="Times New Roman"/>
        </w:rPr>
        <w:t xml:space="preserve"> que en los certificados de homologación expedidos a equipos terminales se reconoce por parte del Instituto que dicho dispositivo satisface las normas o disposiciones técnicas aplicables, por lo que dichos certificados de homologación no precisan que las terminales tengan la capacidad para prestar el servicio de mensajes cortos. </w:t>
      </w:r>
    </w:p>
    <w:p w14:paraId="7D51CCA9" w14:textId="77777777" w:rsidR="009A500D" w:rsidRDefault="00D67712" w:rsidP="009A500D">
      <w:pPr>
        <w:widowControl w:val="0"/>
        <w:spacing w:line="276" w:lineRule="auto"/>
        <w:ind w:left="708"/>
        <w:jc w:val="both"/>
        <w:rPr>
          <w:rFonts w:ascii="ITC Avant Garde" w:eastAsia="Times New Roman" w:hAnsi="ITC Avant Garde" w:cs="Times New Roman"/>
        </w:rPr>
      </w:pPr>
      <w:r w:rsidRPr="00EB3BA2">
        <w:rPr>
          <w:rFonts w:ascii="ITC Avant Garde" w:eastAsia="Times New Roman" w:hAnsi="ITC Avant Garde" w:cs="Times New Roman"/>
        </w:rPr>
        <w:t>Asimismo, se señala que existen soluciones tecnológicas en las que basta que la terminal posea un display para que puedan ser utilizadas para el envío o recepción de mensajes cortos, en otros casos es posible que en lugar de la recepción del mensaje se genere una llamada en la cual se reproduce el contenido del mensaje corto.</w:t>
      </w:r>
    </w:p>
    <w:p w14:paraId="0F74F90E" w14:textId="74410460" w:rsidR="009A500D" w:rsidRDefault="000676AE" w:rsidP="009A500D">
      <w:pPr>
        <w:widowControl w:val="0"/>
        <w:spacing w:line="276" w:lineRule="auto"/>
        <w:ind w:left="709"/>
        <w:jc w:val="both"/>
        <w:rPr>
          <w:rFonts w:ascii="ITC Avant Garde" w:eastAsia="Times New Roman" w:hAnsi="ITC Avant Garde" w:cs="Times New Roman"/>
        </w:rPr>
      </w:pPr>
      <w:r w:rsidRPr="00EB3BA2">
        <w:rPr>
          <w:rFonts w:ascii="ITC Avant Garde" w:eastAsia="Times New Roman" w:hAnsi="ITC Avant Garde" w:cs="Times New Roman"/>
        </w:rPr>
        <w:t>Es así que, para la prestación del servicio de mensajes cortos en telefonía fija no es indispensable contar con un equipo terminal que tenga la funcionalidad para la prestación del servicio de mensajes cortos.</w:t>
      </w:r>
      <w:r w:rsidRPr="00EB3BA2" w:rsidDel="000676AE">
        <w:rPr>
          <w:rFonts w:ascii="ITC Avant Garde" w:eastAsia="Times New Roman" w:hAnsi="ITC Avant Garde" w:cs="Times New Roman"/>
        </w:rPr>
        <w:t xml:space="preserve"> </w:t>
      </w:r>
    </w:p>
    <w:p w14:paraId="667CEE3C" w14:textId="77777777" w:rsidR="009A500D" w:rsidRDefault="00BB070C" w:rsidP="009A500D">
      <w:pPr>
        <w:widowControl w:val="0"/>
        <w:spacing w:line="276" w:lineRule="auto"/>
        <w:jc w:val="both"/>
        <w:rPr>
          <w:rFonts w:ascii="ITC Avant Garde" w:eastAsia="Times New Roman" w:hAnsi="ITC Avant Garde" w:cs="Times New Roman"/>
        </w:rPr>
      </w:pPr>
      <w:r w:rsidRPr="00EB3BA2">
        <w:rPr>
          <w:rFonts w:ascii="ITC Avant Garde" w:eastAsia="Times New Roman" w:hAnsi="ITC Avant Garde" w:cs="Times New Roman"/>
        </w:rPr>
        <w:lastRenderedPageBreak/>
        <w:t xml:space="preserve">Finalmente se señala </w:t>
      </w:r>
      <w:r w:rsidR="00F03969" w:rsidRPr="00EB3BA2">
        <w:rPr>
          <w:rFonts w:ascii="ITC Avant Garde" w:eastAsia="Times New Roman" w:hAnsi="ITC Avant Garde" w:cs="Times New Roman"/>
        </w:rPr>
        <w:t>que,</w:t>
      </w:r>
      <w:r w:rsidRPr="00EB3BA2">
        <w:rPr>
          <w:rFonts w:ascii="ITC Avant Garde" w:eastAsia="Times New Roman" w:hAnsi="ITC Avant Garde" w:cs="Times New Roman"/>
        </w:rPr>
        <w:t xml:space="preserve"> con base en el cuestionario presentado, así como de las respuestas otorgadas por el perito de Telcel, no se acredita que las pretensiones de OpenIP sean improcedentes.</w:t>
      </w:r>
    </w:p>
    <w:bookmarkEnd w:id="3"/>
    <w:p w14:paraId="02372A95" w14:textId="77777777" w:rsidR="009A500D" w:rsidRDefault="00BB070C" w:rsidP="009A500D">
      <w:pPr>
        <w:spacing w:line="276" w:lineRule="auto"/>
        <w:jc w:val="both"/>
        <w:rPr>
          <w:rFonts w:ascii="ITC Avant Garde" w:eastAsia="Times New Roman" w:hAnsi="ITC Avant Garde" w:cs="Times New Roman"/>
          <w:lang w:eastAsia="es-ES"/>
        </w:rPr>
      </w:pPr>
      <w:r w:rsidRPr="00EB3BA2">
        <w:rPr>
          <w:rFonts w:ascii="ITC Avant Garde" w:eastAsia="Calibri" w:hAnsi="ITC Avant Garde" w:cs="Times New Roman"/>
          <w:b/>
          <w:szCs w:val="24"/>
        </w:rPr>
        <w:t>CUARTO.-</w:t>
      </w:r>
      <w:r w:rsidRPr="00EB3BA2">
        <w:rPr>
          <w:rFonts w:ascii="ITC Avant Garde" w:eastAsia="Times New Roman" w:hAnsi="ITC Avant Garde" w:cs="Times New Roman"/>
          <w:b/>
          <w:lang w:eastAsia="es-ES"/>
        </w:rPr>
        <w:t xml:space="preserve"> </w:t>
      </w:r>
      <w:bookmarkEnd w:id="1"/>
      <w:r w:rsidRPr="00EB3BA2">
        <w:rPr>
          <w:rFonts w:ascii="ITC Avant Garde" w:eastAsia="Times New Roman" w:hAnsi="ITC Avant Garde" w:cs="Times New Roman"/>
          <w:b/>
          <w:lang w:eastAsia="es-ES"/>
        </w:rPr>
        <w:t>Condiciones no convenidas sujetas a resolución</w:t>
      </w:r>
      <w:r w:rsidRPr="00EB3BA2">
        <w:rPr>
          <w:rFonts w:ascii="ITC Avant Garde" w:eastAsia="Times New Roman" w:hAnsi="ITC Avant Garde" w:cs="Times New Roman"/>
          <w:lang w:eastAsia="es-ES"/>
        </w:rPr>
        <w:t>.- En la Solicitud de Resolución de fecha 9 de octubre de 2017, OpenIP plantea los siguientes términos, condiciones y tarifas de interconexión que no pudo convenir con Telcel:</w:t>
      </w:r>
    </w:p>
    <w:p w14:paraId="7941D992" w14:textId="77777777" w:rsidR="009A500D" w:rsidRDefault="00BB070C" w:rsidP="009A500D">
      <w:pPr>
        <w:widowControl w:val="0"/>
        <w:numPr>
          <w:ilvl w:val="0"/>
          <w:numId w:val="14"/>
        </w:numPr>
        <w:tabs>
          <w:tab w:val="center" w:pos="44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 xml:space="preserve">La interconexión de sus redes y </w:t>
      </w:r>
      <w:r w:rsidR="00D21A0F" w:rsidRPr="00EB3BA2">
        <w:rPr>
          <w:rFonts w:ascii="ITC Avant Garde" w:eastAsia="Times New Roman" w:hAnsi="ITC Avant Garde" w:cs="Times New Roman"/>
          <w:szCs w:val="24"/>
          <w:lang w:eastAsia="es-ES"/>
        </w:rPr>
        <w:t xml:space="preserve">suscripción del </w:t>
      </w:r>
      <w:r w:rsidRPr="00EB3BA2">
        <w:rPr>
          <w:rFonts w:ascii="ITC Avant Garde" w:eastAsia="Times New Roman" w:hAnsi="ITC Avant Garde" w:cs="Times New Roman"/>
          <w:szCs w:val="24"/>
          <w:lang w:eastAsia="es-ES"/>
        </w:rPr>
        <w:t>convenio marco de interconexión.</w:t>
      </w:r>
    </w:p>
    <w:p w14:paraId="5DE4F0B3" w14:textId="77777777" w:rsidR="009A500D" w:rsidRDefault="00BB070C" w:rsidP="009A500D">
      <w:pPr>
        <w:widowControl w:val="0"/>
        <w:numPr>
          <w:ilvl w:val="0"/>
          <w:numId w:val="14"/>
        </w:numPr>
        <w:tabs>
          <w:tab w:val="center" w:pos="44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Tarifas que OpenIP deberá pagar a Telcel por el servicio de terminación de llamadas de voz, para el periodo comprendido de</w:t>
      </w:r>
      <w:r w:rsidR="00D21A0F" w:rsidRPr="00EB3BA2">
        <w:rPr>
          <w:rFonts w:ascii="ITC Avant Garde" w:eastAsia="Times New Roman" w:hAnsi="ITC Avant Garde" w:cs="Times New Roman"/>
          <w:szCs w:val="24"/>
          <w:lang w:eastAsia="es-ES"/>
        </w:rPr>
        <w:t xml:space="preserve"> la fecha de emisión de la Resolución al </w:t>
      </w:r>
      <w:r w:rsidRPr="00EB3BA2">
        <w:rPr>
          <w:rFonts w:ascii="ITC Avant Garde" w:eastAsia="Times New Roman" w:hAnsi="ITC Avant Garde" w:cs="Times New Roman"/>
          <w:szCs w:val="24"/>
          <w:lang w:eastAsia="es-ES"/>
        </w:rPr>
        <w:t>31 de diciembre de 2018.</w:t>
      </w:r>
    </w:p>
    <w:p w14:paraId="2B57B394" w14:textId="77777777" w:rsidR="009A500D" w:rsidRDefault="00BB070C" w:rsidP="009A500D">
      <w:pPr>
        <w:widowControl w:val="0"/>
        <w:numPr>
          <w:ilvl w:val="0"/>
          <w:numId w:val="14"/>
        </w:numPr>
        <w:tabs>
          <w:tab w:val="center" w:pos="31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 xml:space="preserve">Tarifas que OpenIP deberá pagar a Telcel por el servicio de </w:t>
      </w:r>
      <w:r w:rsidR="00D21A0F" w:rsidRPr="00EB3BA2">
        <w:rPr>
          <w:rFonts w:ascii="ITC Avant Garde" w:eastAsia="Times New Roman" w:hAnsi="ITC Avant Garde" w:cs="Times New Roman"/>
          <w:szCs w:val="24"/>
          <w:lang w:eastAsia="es-ES"/>
        </w:rPr>
        <w:t xml:space="preserve">terminación de </w:t>
      </w:r>
      <w:r w:rsidRPr="00EB3BA2">
        <w:rPr>
          <w:rFonts w:ascii="ITC Avant Garde" w:eastAsia="Times New Roman" w:hAnsi="ITC Avant Garde" w:cs="Times New Roman"/>
          <w:szCs w:val="24"/>
          <w:lang w:eastAsia="es-ES"/>
        </w:rPr>
        <w:t xml:space="preserve">Mensajes Cortos a la red móvil, para el periodo comprendido </w:t>
      </w:r>
      <w:r w:rsidR="00D21A0F" w:rsidRPr="00EB3BA2">
        <w:rPr>
          <w:rFonts w:ascii="ITC Avant Garde" w:eastAsia="Times New Roman" w:hAnsi="ITC Avant Garde" w:cs="Times New Roman"/>
          <w:szCs w:val="24"/>
          <w:lang w:eastAsia="es-ES"/>
        </w:rPr>
        <w:t>de la fecha de emisión de la Resolución</w:t>
      </w:r>
      <w:r w:rsidRPr="00EB3BA2">
        <w:rPr>
          <w:rFonts w:ascii="ITC Avant Garde" w:eastAsia="Times New Roman" w:hAnsi="ITC Avant Garde" w:cs="Times New Roman"/>
          <w:szCs w:val="24"/>
          <w:lang w:eastAsia="es-ES"/>
        </w:rPr>
        <w:t xml:space="preserve"> al 31 de diciembre de 2018.</w:t>
      </w:r>
    </w:p>
    <w:p w14:paraId="7C6EB30C" w14:textId="77777777" w:rsidR="009A500D" w:rsidRDefault="00D21A0F" w:rsidP="009A500D">
      <w:pPr>
        <w:widowControl w:val="0"/>
        <w:numPr>
          <w:ilvl w:val="0"/>
          <w:numId w:val="14"/>
        </w:numPr>
        <w:tabs>
          <w:tab w:val="left" w:pos="851"/>
          <w:tab w:val="center" w:pos="31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Tarifas para el servicio de tránsito.</w:t>
      </w:r>
    </w:p>
    <w:p w14:paraId="1CD341F1"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Por su parte, en la Respuesta de Telcel,</w:t>
      </w:r>
      <w:r w:rsidRPr="00EB3BA2">
        <w:rPr>
          <w:rFonts w:ascii="ITC Avant Garde" w:eastAsia="Times New Roman" w:hAnsi="ITC Avant Garde" w:cs="Times New Roman"/>
        </w:rPr>
        <w:t xml:space="preserve"> además de formular manifestaciones respecto a la improcedencia tanto de la Solicitud de Resolución como del presente procedimiento administrativo, plantearon las siguientes</w:t>
      </w:r>
      <w:r w:rsidRPr="00EB3BA2">
        <w:rPr>
          <w:rFonts w:ascii="ITC Avant Garde" w:eastAsia="Calibri" w:hAnsi="ITC Avant Garde" w:cs="Times New Roman"/>
        </w:rPr>
        <w:t xml:space="preserve"> condiciones no convenidas con OpenIP:</w:t>
      </w:r>
    </w:p>
    <w:p w14:paraId="524638BE" w14:textId="77777777" w:rsidR="009A500D" w:rsidRDefault="00D21A0F" w:rsidP="009A500D">
      <w:pPr>
        <w:widowControl w:val="0"/>
        <w:numPr>
          <w:ilvl w:val="0"/>
          <w:numId w:val="14"/>
        </w:numPr>
        <w:tabs>
          <w:tab w:val="left" w:pos="851"/>
          <w:tab w:val="center" w:pos="31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Tarifas de Interconexión que Telcel deberá pagar a OpenIP por los servicios de terminación de tráfico público conmutado y por el servicio de terminación de mensajes en la red de OpenIP.</w:t>
      </w:r>
    </w:p>
    <w:p w14:paraId="5266C283" w14:textId="77777777" w:rsidR="009A500D" w:rsidRDefault="00BB070C" w:rsidP="009A500D">
      <w:pPr>
        <w:spacing w:line="276" w:lineRule="auto"/>
        <w:jc w:val="both"/>
        <w:rPr>
          <w:rFonts w:ascii="ITC Avant Garde" w:eastAsia="Times New Roman" w:hAnsi="ITC Avant Garde" w:cs="Times New Roman"/>
        </w:rPr>
      </w:pPr>
      <w:r w:rsidRPr="00EB3BA2">
        <w:rPr>
          <w:rFonts w:ascii="ITC Avant Garde" w:eastAsia="Times New Roman" w:hAnsi="ITC Avant Garde" w:cs="Times New Roman"/>
        </w:rPr>
        <w:t xml:space="preserve">Al respecto, el artículo 129 de la </w:t>
      </w:r>
      <w:r w:rsidR="0040667E" w:rsidRPr="00EB3BA2">
        <w:rPr>
          <w:rFonts w:ascii="ITC Avant Garde" w:eastAsia="Times New Roman" w:hAnsi="ITC Avant Garde" w:cs="Times New Roman"/>
        </w:rPr>
        <w:t>LFTR</w:t>
      </w:r>
      <w:r w:rsidRPr="00EB3BA2">
        <w:rPr>
          <w:rFonts w:ascii="ITC Avant Garde" w:eastAsia="Times New Roman" w:hAnsi="ITC Avant Garde" w:cs="Times New Roman"/>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498DFB5" w14:textId="77777777" w:rsidR="009A500D" w:rsidRDefault="00BB070C" w:rsidP="009A500D">
      <w:pPr>
        <w:spacing w:line="276" w:lineRule="auto"/>
        <w:jc w:val="both"/>
        <w:rPr>
          <w:rFonts w:ascii="ITC Avant Garde" w:eastAsia="Times New Roman" w:hAnsi="ITC Avant Garde" w:cs="Times New Roman"/>
        </w:rPr>
      </w:pPr>
      <w:r w:rsidRPr="00EB3BA2">
        <w:rPr>
          <w:rFonts w:ascii="ITC Avant Garde" w:eastAsia="Times New Roman" w:hAnsi="ITC Avant Garde" w:cs="Times New Roman"/>
        </w:rPr>
        <w:lastRenderedPageBreak/>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C809BFC" w14:textId="77777777" w:rsidR="009A500D" w:rsidRDefault="00BB070C" w:rsidP="009A500D">
      <w:pPr>
        <w:spacing w:line="276" w:lineRule="auto"/>
        <w:jc w:val="both"/>
        <w:rPr>
          <w:rFonts w:ascii="ITC Avant Garde" w:eastAsia="Times New Roman" w:hAnsi="ITC Avant Garde" w:cs="Times New Roman"/>
        </w:rPr>
      </w:pPr>
      <w:r w:rsidRPr="00EB3BA2">
        <w:rPr>
          <w:rFonts w:ascii="ITC Avant Garde" w:eastAsia="Times New Roman" w:hAnsi="ITC Avant Garde" w:cs="Times New Roman"/>
        </w:rPr>
        <w:t>Es así que el Instituto deberá resolver sobre las tarifas, términos y condiciones que no hayan podido convenir las partes durante los sesenta días naturales que tienen para suscribir el convenio.</w:t>
      </w:r>
    </w:p>
    <w:p w14:paraId="26C57431" w14:textId="77777777" w:rsidR="009A500D" w:rsidRDefault="00BB070C" w:rsidP="009A500D">
      <w:pPr>
        <w:spacing w:line="276" w:lineRule="auto"/>
        <w:jc w:val="both"/>
        <w:rPr>
          <w:rFonts w:ascii="ITC Avant Garde" w:eastAsia="Times New Roman" w:hAnsi="ITC Avant Garde" w:cs="Times New Roman"/>
        </w:rPr>
      </w:pPr>
      <w:r w:rsidRPr="00EB3BA2">
        <w:rPr>
          <w:rFonts w:ascii="ITC Avant Garde" w:eastAsia="Times New Roman" w:hAnsi="ITC Avant Garde" w:cs="Times New Roman"/>
        </w:rPr>
        <w:t xml:space="preserve">Por lo que, en términos del artículo 129 de la </w:t>
      </w:r>
      <w:r w:rsidR="0040667E" w:rsidRPr="00EB3BA2">
        <w:rPr>
          <w:rFonts w:ascii="ITC Avant Garde" w:eastAsia="Times New Roman" w:hAnsi="ITC Avant Garde" w:cs="Times New Roman"/>
        </w:rPr>
        <w:t>LFTR</w:t>
      </w:r>
      <w:r w:rsidRPr="00EB3BA2">
        <w:rPr>
          <w:rFonts w:ascii="ITC Avant Garde" w:eastAsia="Times New Roman" w:hAnsi="ITC Avant Garde" w:cs="Times New Roman"/>
        </w:rPr>
        <w:t xml:space="preserve"> es procedente resolver las condiciones solicitadas por ambas partes.</w:t>
      </w:r>
    </w:p>
    <w:p w14:paraId="32F1D752" w14:textId="77777777" w:rsidR="009A500D" w:rsidRDefault="00BB070C" w:rsidP="009A500D">
      <w:pPr>
        <w:widowControl w:val="0"/>
        <w:tabs>
          <w:tab w:val="left" w:pos="720"/>
          <w:tab w:val="center" w:pos="4419"/>
          <w:tab w:val="right" w:pos="8838"/>
        </w:tabs>
        <w:spacing w:line="276" w:lineRule="auto"/>
        <w:jc w:val="both"/>
        <w:rPr>
          <w:rFonts w:ascii="ITC Avant Garde" w:eastAsia="Calibri" w:hAnsi="ITC Avant Garde" w:cs="Times New Roman"/>
          <w:lang w:val="es-ES_tradnl" w:eastAsia="es-ES"/>
        </w:rPr>
      </w:pPr>
      <w:r w:rsidRPr="00EB3BA2">
        <w:rPr>
          <w:rFonts w:ascii="ITC Avant Garde" w:eastAsia="Calibri" w:hAnsi="ITC Avant Garde" w:cs="Arial"/>
          <w:lang w:val="es-ES"/>
        </w:rPr>
        <w:t>En ese sentido, Telcel manifiest</w:t>
      </w:r>
      <w:r w:rsidR="0011421B" w:rsidRPr="00EB3BA2">
        <w:rPr>
          <w:rFonts w:ascii="ITC Avant Garde" w:eastAsia="Calibri" w:hAnsi="ITC Avant Garde" w:cs="Arial"/>
          <w:lang w:val="es-ES"/>
        </w:rPr>
        <w:t>a que se considere como condición</w:t>
      </w:r>
      <w:r w:rsidRPr="00EB3BA2">
        <w:rPr>
          <w:rFonts w:ascii="ITC Avant Garde" w:eastAsia="Calibri" w:hAnsi="ITC Avant Garde" w:cs="Arial"/>
          <w:lang w:val="es-ES"/>
        </w:rPr>
        <w:t xml:space="preserve"> no convenida la mencionada en el inciso e), e</w:t>
      </w:r>
      <w:r w:rsidRPr="00EB3BA2">
        <w:rPr>
          <w:rFonts w:ascii="ITC Avant Garde" w:eastAsia="Times New Roman" w:hAnsi="ITC Avant Garde" w:cs="Times New Roman"/>
          <w:lang w:val="es-ES" w:eastAsia="es-ES"/>
        </w:rPr>
        <w:t xml:space="preserve">n virtud de lo anterior, las condiciones no convenidas planteadas por las partes </w:t>
      </w:r>
      <w:r w:rsidRPr="00EB3BA2">
        <w:rPr>
          <w:rFonts w:ascii="ITC Avant Garde" w:eastAsia="Calibri" w:hAnsi="ITC Avant Garde" w:cs="Times New Roman"/>
        </w:rPr>
        <w:t>sobre las cuales se pronunciará el Instituto, son las siguientes:</w:t>
      </w:r>
    </w:p>
    <w:p w14:paraId="240CBAAD" w14:textId="77777777" w:rsidR="009A500D" w:rsidRDefault="00BB070C" w:rsidP="009A500D">
      <w:pPr>
        <w:widowControl w:val="0"/>
        <w:numPr>
          <w:ilvl w:val="0"/>
          <w:numId w:val="26"/>
        </w:numPr>
        <w:tabs>
          <w:tab w:val="center" w:pos="44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 xml:space="preserve">La interconexión de sus redes y </w:t>
      </w:r>
      <w:r w:rsidR="00D21A0F" w:rsidRPr="00EB3BA2">
        <w:rPr>
          <w:rFonts w:ascii="ITC Avant Garde" w:eastAsia="Times New Roman" w:hAnsi="ITC Avant Garde" w:cs="Times New Roman"/>
          <w:szCs w:val="24"/>
          <w:lang w:eastAsia="es-ES"/>
        </w:rPr>
        <w:t xml:space="preserve">suscripción del </w:t>
      </w:r>
      <w:r w:rsidRPr="00EB3BA2">
        <w:rPr>
          <w:rFonts w:ascii="ITC Avant Garde" w:eastAsia="Times New Roman" w:hAnsi="ITC Avant Garde" w:cs="Times New Roman"/>
          <w:szCs w:val="24"/>
          <w:lang w:eastAsia="es-ES"/>
        </w:rPr>
        <w:t>convenio marco de interconexión.</w:t>
      </w:r>
    </w:p>
    <w:p w14:paraId="31D78D4A" w14:textId="77777777" w:rsidR="009A500D" w:rsidRDefault="00BB070C" w:rsidP="009A500D">
      <w:pPr>
        <w:widowControl w:val="0"/>
        <w:numPr>
          <w:ilvl w:val="0"/>
          <w:numId w:val="26"/>
        </w:numPr>
        <w:tabs>
          <w:tab w:val="center" w:pos="44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La tarifa de interconexión por servicios de terminación del Servicio Local en usuarios móviles que OpenIP deberá pagar a Telcel para el periodo comprendido de</w:t>
      </w:r>
      <w:r w:rsidR="00D21A0F" w:rsidRPr="00EB3BA2">
        <w:rPr>
          <w:rFonts w:ascii="ITC Avant Garde" w:eastAsia="Times New Roman" w:hAnsi="ITC Avant Garde" w:cs="Times New Roman"/>
          <w:szCs w:val="24"/>
          <w:lang w:eastAsia="es-ES"/>
        </w:rPr>
        <w:t xml:space="preserve"> la fecha de emisión de la Resolución </w:t>
      </w:r>
      <w:r w:rsidRPr="00EB3BA2">
        <w:rPr>
          <w:rFonts w:ascii="ITC Avant Garde" w:eastAsia="Times New Roman" w:hAnsi="ITC Avant Garde" w:cs="Times New Roman"/>
          <w:szCs w:val="24"/>
          <w:lang w:eastAsia="es-ES"/>
        </w:rPr>
        <w:t>al 31 de diciembre de 2018.</w:t>
      </w:r>
    </w:p>
    <w:p w14:paraId="74ACBF99" w14:textId="77777777" w:rsidR="009A500D" w:rsidRDefault="00BB070C" w:rsidP="009A500D">
      <w:pPr>
        <w:widowControl w:val="0"/>
        <w:numPr>
          <w:ilvl w:val="0"/>
          <w:numId w:val="26"/>
        </w:numPr>
        <w:tabs>
          <w:tab w:val="center" w:pos="44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 xml:space="preserve">La tarifa de interconexión por servicios de terminación de Mensajes Cortos que OpenIP </w:t>
      </w:r>
      <w:r w:rsidR="00D21A0F" w:rsidRPr="00EB3BA2">
        <w:rPr>
          <w:rFonts w:ascii="ITC Avant Garde" w:eastAsia="Times New Roman" w:hAnsi="ITC Avant Garde" w:cs="Times New Roman"/>
          <w:szCs w:val="24"/>
          <w:lang w:eastAsia="es-ES"/>
        </w:rPr>
        <w:t xml:space="preserve">y Telcel </w:t>
      </w:r>
      <w:r w:rsidRPr="00EB3BA2">
        <w:rPr>
          <w:rFonts w:ascii="ITC Avant Garde" w:eastAsia="Times New Roman" w:hAnsi="ITC Avant Garde" w:cs="Times New Roman"/>
          <w:szCs w:val="24"/>
          <w:lang w:eastAsia="es-ES"/>
        </w:rPr>
        <w:t>deberá</w:t>
      </w:r>
      <w:r w:rsidR="00D21A0F" w:rsidRPr="00EB3BA2">
        <w:rPr>
          <w:rFonts w:ascii="ITC Avant Garde" w:eastAsia="Times New Roman" w:hAnsi="ITC Avant Garde" w:cs="Times New Roman"/>
          <w:szCs w:val="24"/>
          <w:lang w:eastAsia="es-ES"/>
        </w:rPr>
        <w:t>n</w:t>
      </w:r>
      <w:r w:rsidRPr="00EB3BA2">
        <w:rPr>
          <w:rFonts w:ascii="ITC Avant Garde" w:eastAsia="Times New Roman" w:hAnsi="ITC Avant Garde" w:cs="Times New Roman"/>
          <w:szCs w:val="24"/>
          <w:lang w:eastAsia="es-ES"/>
        </w:rPr>
        <w:t xml:space="preserve"> pagar</w:t>
      </w:r>
      <w:r w:rsidR="00D21A0F" w:rsidRPr="00EB3BA2">
        <w:rPr>
          <w:rFonts w:ascii="ITC Avant Garde" w:eastAsia="Times New Roman" w:hAnsi="ITC Avant Garde" w:cs="Times New Roman"/>
          <w:szCs w:val="24"/>
          <w:lang w:eastAsia="es-ES"/>
        </w:rPr>
        <w:t xml:space="preserve">se de manera </w:t>
      </w:r>
      <w:r w:rsidR="00FC7A5C" w:rsidRPr="00EB3BA2">
        <w:rPr>
          <w:rFonts w:ascii="ITC Avant Garde" w:eastAsia="Times New Roman" w:hAnsi="ITC Avant Garde" w:cs="Times New Roman"/>
          <w:szCs w:val="24"/>
          <w:lang w:eastAsia="es-ES"/>
        </w:rPr>
        <w:t>recíproca</w:t>
      </w:r>
      <w:r w:rsidRPr="00EB3BA2">
        <w:rPr>
          <w:rFonts w:ascii="ITC Avant Garde" w:eastAsia="Times New Roman" w:hAnsi="ITC Avant Garde" w:cs="Times New Roman"/>
          <w:szCs w:val="24"/>
          <w:lang w:eastAsia="es-ES"/>
        </w:rPr>
        <w:t xml:space="preserve"> para el periodo comprendido de</w:t>
      </w:r>
      <w:r w:rsidR="00D21A0F" w:rsidRPr="00EB3BA2">
        <w:rPr>
          <w:rFonts w:ascii="ITC Avant Garde" w:eastAsia="Times New Roman" w:hAnsi="ITC Avant Garde" w:cs="Times New Roman"/>
          <w:szCs w:val="24"/>
          <w:lang w:eastAsia="es-ES"/>
        </w:rPr>
        <w:t xml:space="preserve"> </w:t>
      </w:r>
      <w:r w:rsidRPr="00EB3BA2">
        <w:rPr>
          <w:rFonts w:ascii="ITC Avant Garde" w:eastAsia="Times New Roman" w:hAnsi="ITC Avant Garde" w:cs="Times New Roman"/>
          <w:szCs w:val="24"/>
          <w:lang w:eastAsia="es-ES"/>
        </w:rPr>
        <w:t>l</w:t>
      </w:r>
      <w:r w:rsidR="00D21A0F" w:rsidRPr="00EB3BA2">
        <w:rPr>
          <w:rFonts w:ascii="ITC Avant Garde" w:eastAsia="Times New Roman" w:hAnsi="ITC Avant Garde" w:cs="Times New Roman"/>
          <w:szCs w:val="24"/>
          <w:lang w:eastAsia="es-ES"/>
        </w:rPr>
        <w:t xml:space="preserve">a fecha de emisión a la Resolución </w:t>
      </w:r>
      <w:r w:rsidRPr="00EB3BA2">
        <w:rPr>
          <w:rFonts w:ascii="ITC Avant Garde" w:eastAsia="Times New Roman" w:hAnsi="ITC Avant Garde" w:cs="Times New Roman"/>
          <w:szCs w:val="24"/>
          <w:lang w:eastAsia="es-ES"/>
        </w:rPr>
        <w:t>al 31 de diciembre de 2018.</w:t>
      </w:r>
    </w:p>
    <w:p w14:paraId="6FE5F964" w14:textId="77777777" w:rsidR="009A500D" w:rsidRDefault="00BB070C" w:rsidP="009A500D">
      <w:pPr>
        <w:widowControl w:val="0"/>
        <w:numPr>
          <w:ilvl w:val="0"/>
          <w:numId w:val="26"/>
        </w:numPr>
        <w:tabs>
          <w:tab w:val="center" w:pos="44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La tarifa de interconexión por servicios de terminación del Servicio Local en usuarios fijos que Telcel deberá pagar a OpenIP, para el periodo comprendido de</w:t>
      </w:r>
      <w:r w:rsidR="00971ED4" w:rsidRPr="00EB3BA2">
        <w:rPr>
          <w:rFonts w:ascii="ITC Avant Garde" w:eastAsia="Times New Roman" w:hAnsi="ITC Avant Garde" w:cs="Times New Roman"/>
          <w:szCs w:val="24"/>
          <w:lang w:eastAsia="es-ES"/>
        </w:rPr>
        <w:t xml:space="preserve"> </w:t>
      </w:r>
      <w:r w:rsidRPr="00EB3BA2">
        <w:rPr>
          <w:rFonts w:ascii="ITC Avant Garde" w:eastAsia="Times New Roman" w:hAnsi="ITC Avant Garde" w:cs="Times New Roman"/>
          <w:szCs w:val="24"/>
          <w:lang w:eastAsia="es-ES"/>
        </w:rPr>
        <w:t>l</w:t>
      </w:r>
      <w:r w:rsidR="00971ED4" w:rsidRPr="00EB3BA2">
        <w:rPr>
          <w:rFonts w:ascii="ITC Avant Garde" w:eastAsia="Times New Roman" w:hAnsi="ITC Avant Garde" w:cs="Times New Roman"/>
          <w:szCs w:val="24"/>
          <w:lang w:eastAsia="es-ES"/>
        </w:rPr>
        <w:t>a fecha de emisión de la Resolución al</w:t>
      </w:r>
      <w:r w:rsidRPr="00EB3BA2">
        <w:rPr>
          <w:rFonts w:ascii="ITC Avant Garde" w:eastAsia="Times New Roman" w:hAnsi="ITC Avant Garde" w:cs="Times New Roman"/>
          <w:szCs w:val="24"/>
          <w:lang w:eastAsia="es-ES"/>
        </w:rPr>
        <w:t>31 de diciembre de 2018.</w:t>
      </w:r>
    </w:p>
    <w:p w14:paraId="044200F4" w14:textId="77777777" w:rsidR="009A500D" w:rsidRDefault="00971ED4" w:rsidP="009A500D">
      <w:pPr>
        <w:widowControl w:val="0"/>
        <w:numPr>
          <w:ilvl w:val="0"/>
          <w:numId w:val="26"/>
        </w:numPr>
        <w:tabs>
          <w:tab w:val="center" w:pos="4419"/>
          <w:tab w:val="right" w:pos="8838"/>
        </w:tabs>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Tarifa para el servicio de tránsito.</w:t>
      </w:r>
    </w:p>
    <w:p w14:paraId="5B2C43BD" w14:textId="77777777" w:rsidR="009A500D" w:rsidRDefault="00B2567B" w:rsidP="009A500D">
      <w:pPr>
        <w:spacing w:line="276" w:lineRule="auto"/>
        <w:jc w:val="both"/>
        <w:rPr>
          <w:rFonts w:ascii="ITC Avant Garde" w:eastAsia="Times New Roman" w:hAnsi="ITC Avant Garde"/>
          <w:lang w:eastAsia="es-ES"/>
        </w:rPr>
      </w:pPr>
      <w:r w:rsidRPr="00EB3BA2">
        <w:rPr>
          <w:rFonts w:ascii="ITC Avant Garde" w:eastAsia="Times New Roman" w:hAnsi="ITC Avant Garde"/>
          <w:lang w:eastAsia="es-ES"/>
        </w:rPr>
        <w:lastRenderedPageBreak/>
        <w:t>Es importante mencionar que, si bien la Solicitud de Resolución del presente desacuerdo de interconexión se presentó con posterioridad al 15 de julio de 2017, es procedente la intervención del Instituto toda vez que los concesionarios no se encuentran en el supuesto establecido en el penúltimo párrafo del artículo 129 de la LFTR toda vez que, sus redes públicas de telecomunicaciones no se encuentran interconectadas.</w:t>
      </w:r>
    </w:p>
    <w:p w14:paraId="55225F30" w14:textId="77777777" w:rsidR="009A500D" w:rsidRDefault="00042E79" w:rsidP="009A500D">
      <w:pPr>
        <w:jc w:val="both"/>
        <w:rPr>
          <w:rFonts w:ascii="ITC Avant Garde" w:eastAsia="Times New Roman" w:hAnsi="ITC Avant Garde"/>
        </w:rPr>
      </w:pPr>
      <w:r w:rsidRPr="00EB3BA2">
        <w:rPr>
          <w:rFonts w:ascii="ITC Avant Garde" w:eastAsia="Times New Roman" w:hAnsi="ITC Avant Garde"/>
        </w:rPr>
        <w:t>Por lo anterior, previamente al análisis de las condiciones no convenidas, el Instituto procede, en primera instancia, a analizar específicamente las argumentaciones generales de Telcel en relación con el presente procedimiento, para posteriormente resolver sobre aquellos puntos de desacuerdo que en materia de interconexión fueron sometidos por las partes.</w:t>
      </w:r>
    </w:p>
    <w:p w14:paraId="07DB6088" w14:textId="77777777" w:rsidR="009A500D" w:rsidRDefault="00042E79" w:rsidP="009A500D">
      <w:pPr>
        <w:numPr>
          <w:ilvl w:val="0"/>
          <w:numId w:val="16"/>
        </w:numPr>
        <w:spacing w:line="276" w:lineRule="auto"/>
        <w:ind w:left="426" w:hanging="426"/>
        <w:jc w:val="both"/>
        <w:rPr>
          <w:rFonts w:ascii="ITC Avant Garde" w:eastAsia="Times New Roman" w:hAnsi="ITC Avant Garde" w:cs="Arial"/>
          <w:b/>
          <w:szCs w:val="24"/>
          <w:lang w:eastAsia="es-ES"/>
        </w:rPr>
      </w:pPr>
      <w:r w:rsidRPr="00EB3BA2">
        <w:rPr>
          <w:rFonts w:ascii="ITC Avant Garde" w:eastAsia="Times New Roman" w:hAnsi="ITC Avant Garde" w:cs="Arial"/>
          <w:b/>
          <w:szCs w:val="24"/>
          <w:lang w:eastAsia="es-ES"/>
        </w:rPr>
        <w:t>Improcedencia de la solicitud de OpenIP, en relación con el servicio de intercambio electrónico de mensajes cortos</w:t>
      </w:r>
    </w:p>
    <w:p w14:paraId="22267E4F" w14:textId="77777777" w:rsidR="009A500D" w:rsidRDefault="00BB070C" w:rsidP="009A500D">
      <w:pPr>
        <w:spacing w:line="276" w:lineRule="auto"/>
        <w:jc w:val="both"/>
        <w:rPr>
          <w:rFonts w:ascii="ITC Avant Garde" w:eastAsia="Times New Roman" w:hAnsi="ITC Avant Garde" w:cs="Times New Roman"/>
          <w:iCs/>
          <w:lang w:val="es-ES" w:eastAsia="es-MX"/>
        </w:rPr>
      </w:pPr>
      <w:r w:rsidRPr="00EB3BA2">
        <w:rPr>
          <w:rFonts w:ascii="ITC Avant Garde" w:eastAsia="Times New Roman" w:hAnsi="ITC Avant Garde" w:cs="Times New Roman"/>
          <w:b/>
          <w:iCs/>
          <w:lang w:val="es-ES" w:eastAsia="es-MX"/>
        </w:rPr>
        <w:t>Argumentos de las partes</w:t>
      </w:r>
    </w:p>
    <w:p w14:paraId="559E95AC" w14:textId="77777777" w:rsidR="009A500D" w:rsidRDefault="0011421B" w:rsidP="009A500D">
      <w:pPr>
        <w:spacing w:line="276" w:lineRule="auto"/>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 xml:space="preserve">En el escrito presentado el </w:t>
      </w:r>
      <w:r w:rsidR="00BB070C" w:rsidRPr="00EB3BA2">
        <w:rPr>
          <w:rFonts w:ascii="ITC Avant Garde" w:eastAsia="Times New Roman" w:hAnsi="ITC Avant Garde" w:cs="Times New Roman"/>
          <w:lang w:eastAsia="es-ES"/>
        </w:rPr>
        <w:t xml:space="preserve">9 de octubre de 2017, OpenIP solicitó </w:t>
      </w:r>
      <w:r w:rsidR="00A61DBB" w:rsidRPr="00EB3BA2">
        <w:rPr>
          <w:rFonts w:ascii="ITC Avant Garde" w:eastAsia="Times New Roman" w:hAnsi="ITC Avant Garde" w:cs="Times New Roman"/>
          <w:lang w:eastAsia="es-ES"/>
        </w:rPr>
        <w:t xml:space="preserve">determinar las </w:t>
      </w:r>
      <w:r w:rsidR="00BB070C" w:rsidRPr="00EB3BA2">
        <w:rPr>
          <w:rFonts w:ascii="ITC Avant Garde" w:eastAsia="Times New Roman" w:hAnsi="ITC Avant Garde" w:cs="Times New Roman"/>
          <w:lang w:eastAsia="es-ES"/>
        </w:rPr>
        <w:t xml:space="preserve">tarifas para el Servicio de Mensajes Cortos. </w:t>
      </w:r>
    </w:p>
    <w:p w14:paraId="2EAA04B4" w14:textId="77777777" w:rsidR="009A500D" w:rsidRDefault="00BB070C" w:rsidP="009A500D">
      <w:pPr>
        <w:spacing w:line="276" w:lineRule="auto"/>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Por su parte Telcel afirma</w:t>
      </w:r>
      <w:r w:rsidR="00C37F12" w:rsidRPr="00EB3BA2">
        <w:rPr>
          <w:rFonts w:ascii="ITC Avant Garde" w:eastAsia="Times New Roman" w:hAnsi="ITC Avant Garde" w:cs="Times New Roman"/>
          <w:lang w:eastAsia="es-ES"/>
        </w:rPr>
        <w:t xml:space="preserve"> que </w:t>
      </w:r>
      <w:r w:rsidRPr="00EB3BA2">
        <w:rPr>
          <w:rFonts w:ascii="ITC Avant Garde" w:eastAsia="Times New Roman" w:hAnsi="ITC Avant Garde" w:cs="Times New Roman"/>
          <w:lang w:eastAsia="es-ES"/>
        </w:rPr>
        <w:t>el Instituto al admitir a trámite la solicitud de inicio de desacuerdo en ningún momento observó lo dispuesto en el numeral II del artículo 129 de la LFTR, pues tenía la obligación de cuestionarse y cuestionar al concesionario sobre la procedencia y viabilidad de lo solicitado.</w:t>
      </w:r>
    </w:p>
    <w:p w14:paraId="023A232F" w14:textId="77777777" w:rsidR="009A500D" w:rsidRDefault="00BB070C" w:rsidP="009A500D">
      <w:pPr>
        <w:spacing w:line="276" w:lineRule="auto"/>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 xml:space="preserve">En este sentido, Telcel </w:t>
      </w:r>
      <w:r w:rsidR="005552DF" w:rsidRPr="00EB3BA2">
        <w:rPr>
          <w:rFonts w:ascii="ITC Avant Garde" w:eastAsia="Times New Roman" w:hAnsi="ITC Avant Garde" w:cs="Times New Roman"/>
          <w:lang w:eastAsia="es-ES"/>
        </w:rPr>
        <w:t xml:space="preserve">señala </w:t>
      </w:r>
      <w:r w:rsidRPr="00EB3BA2">
        <w:rPr>
          <w:rFonts w:ascii="ITC Avant Garde" w:eastAsia="Times New Roman" w:hAnsi="ITC Avant Garde" w:cs="Times New Roman"/>
          <w:lang w:eastAsia="es-ES"/>
        </w:rPr>
        <w:t>que esta autoridad administrativa debió solicitar a OpenIP la información necesaria para corroborar los siguientes puntos:</w:t>
      </w:r>
    </w:p>
    <w:p w14:paraId="2882ADF3" w14:textId="77777777" w:rsidR="009A500D" w:rsidRDefault="00BB070C" w:rsidP="009A500D">
      <w:pPr>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Que conforme a su arquitectura de red efectivamente se encuentra en condiciones de prestar el servicio de intercambio electrónico de mensajes cortos Persona a Persona y que de ninguna manera pretende establecer ilegítimamente el servicio corporativo de entrega masiva de mensajes cortos Aplicación a Persona, ya que la prestación del servicios de mensajes cortos, en tanto servicio de interconexión, se encuentra restringida al intercambio de mensajes cortos entre los usuarios de las redes interconectadas.</w:t>
      </w:r>
    </w:p>
    <w:p w14:paraId="25593501" w14:textId="77777777" w:rsidR="009A500D" w:rsidRDefault="00BB070C" w:rsidP="009A500D">
      <w:pPr>
        <w:spacing w:line="276" w:lineRule="auto"/>
        <w:jc w:val="both"/>
        <w:rPr>
          <w:rFonts w:ascii="ITC Avant Garde" w:eastAsia="Times New Roman" w:hAnsi="ITC Avant Garde" w:cs="Times New Roman"/>
          <w:szCs w:val="24"/>
          <w:lang w:eastAsia="es-ES"/>
        </w:rPr>
      </w:pPr>
      <w:r w:rsidRPr="00EB3BA2">
        <w:rPr>
          <w:rFonts w:ascii="ITC Avant Garde" w:eastAsia="Times New Roman" w:hAnsi="ITC Avant Garde" w:cs="Times New Roman"/>
          <w:szCs w:val="24"/>
          <w:lang w:eastAsia="es-ES"/>
        </w:rPr>
        <w:t>El Instituto debió considerar que cuenta con usuarios activos a los que actualmente presta el servicio de intercambio electrónico de mensajes cortos Persona a Persona dentro de su propia red.</w:t>
      </w:r>
    </w:p>
    <w:p w14:paraId="16C85BC4"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lastRenderedPageBreak/>
        <w:t>Por otro lado, Telcel manifiesta que OpenIP no acredita los términos y condiciones bajo los cuales presta a sus usuarios los servicios de mensajes cortos, situación que según Telcel debería constar en cumplimiento de su título de concesión, en el código de prácticas comerciales.</w:t>
      </w:r>
    </w:p>
    <w:p w14:paraId="6A88CE2B"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De igual forma Telcel menciona que realizó una búsqueda para encontrar los términos en que el Concesionario presta sus servicios, las tarifas registradas para ello, así como el código de prácticas comerciales relativo. Sin embargo, no fue posible siquiera hallar un portal de lnternet que se refiera a OpenIP.</w:t>
      </w:r>
    </w:p>
    <w:p w14:paraId="26DF10BD"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 xml:space="preserve">Afirma que </w:t>
      </w:r>
      <w:r w:rsidR="00D9635C" w:rsidRPr="00EB3BA2">
        <w:rPr>
          <w:rFonts w:ascii="ITC Avant Garde" w:eastAsia="Calibri" w:hAnsi="ITC Avant Garde" w:cs="Times New Roman"/>
        </w:rPr>
        <w:t>OpenIP</w:t>
      </w:r>
      <w:r w:rsidRPr="00EB3BA2">
        <w:rPr>
          <w:rFonts w:ascii="ITC Avant Garde" w:eastAsia="Calibri" w:hAnsi="ITC Avant Garde" w:cs="Times New Roman"/>
        </w:rPr>
        <w:t xml:space="preserve"> no ofreció evidencia alguna de terminales homologadas capaces de recibir y enviar mensajes cortos entre sus usuarios. Considerando lo infrecuente de la petición, resulta conveniente para determinar la viabilidad técnica del servicio de interconexión, así como para determinar características técnicas que asegurarán su adecuada prestación (incluyendo para la realización de pruebas tales como las relativas al empleo de los mismos esquemas de caracteres alfanuméricos); máxime que, a diferencia de la amplia experiencia que con redes y terminales móviles existe respecto del servicio prestado por Telcel, así como la madurez tecnológica y grado de estandarización del servicio en el entorno móvil, no existe experiencia a nivel nacional de una interconexión con algún concesionario fijo en el servicio de mensajes cortos, por lo que OpenIP debió aportar todos los elementos técnicos a su alcance, lo que en la especie argumenta no sucedió.</w:t>
      </w:r>
    </w:p>
    <w:p w14:paraId="35D916FB"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Que el concesionario no pretende obtener ingresos de manera ilegítima, aprovechando la imposibilidad de cobro establecida a Telcel, mediante la entrega masiva de mensajes cortos Aplicación a Persona. Manifiesta que esta autoridad tiene la obligación de asegurarse que los concesionarios se encuentren en aptitud de prestar los servicios que requieran, tanto desde el punto de vista técnico como regulatorio, previamente a dar trámite a cualquier solicitud, advirtiendo que este Instituto deberá tomar en consideración si en efecto el concesionario cumplió con los requisitos referidos con anterioridad.</w:t>
      </w:r>
    </w:p>
    <w:p w14:paraId="6E1F76FB"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 xml:space="preserve">Manifiesta Telcel que no resulta factible ni procedente utilizar el Convenio Marco de Interconexión ni ninguno de los Puntos de Interconexión a través de los cuales se realiza interconexión de tráfico de voz, pues en dicho Convenio no se prevén los términos y condiciones propios del servicio de intercambio de mensajes cortos, ni ninguno de los Puntos de Interconexión del intercambio de tráfico de voz </w:t>
      </w:r>
      <w:r w:rsidRPr="00EB3BA2">
        <w:rPr>
          <w:rFonts w:ascii="ITC Avant Garde" w:eastAsia="Calibri" w:hAnsi="ITC Avant Garde" w:cs="Times New Roman"/>
        </w:rPr>
        <w:lastRenderedPageBreak/>
        <w:t>corresponden a los puntos en los que Telcel realiza el intercambio de mensajes cortos con los concesionarios del servicio móvil.</w:t>
      </w:r>
    </w:p>
    <w:p w14:paraId="3AB83579" w14:textId="77777777" w:rsidR="009A500D" w:rsidRDefault="004850F0"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Señala Telcel que aun en el supuesto inadmitido que este Instituto estuviere facultado para resolver el desacuerdo de interconexión planteado por el Concesionario, a continuación, se exponen las razones que acreditan la improcedencia de la solicitud, pues: (i) el Servicio de SMS únicamente puede darse entre concesionarios móviles, y (ii) dicho servicio únicamente admite mensajes de Persona a Persona o P2P, pero de manera alguna bajo la plataforma de Aplicación a Persona o A2P.</w:t>
      </w:r>
    </w:p>
    <w:p w14:paraId="3390CE5C" w14:textId="77777777" w:rsidR="009A500D" w:rsidRDefault="00BB070C" w:rsidP="009A500D">
      <w:pPr>
        <w:numPr>
          <w:ilvl w:val="0"/>
          <w:numId w:val="17"/>
        </w:numPr>
        <w:spacing w:line="276" w:lineRule="auto"/>
        <w:ind w:right="-94"/>
        <w:jc w:val="both"/>
        <w:rPr>
          <w:rFonts w:ascii="ITC Avant Garde" w:eastAsia="Times New Roman" w:hAnsi="ITC Avant Garde" w:cs="Times New Roman"/>
          <w:b/>
          <w:szCs w:val="24"/>
          <w:lang w:eastAsia="es-ES"/>
        </w:rPr>
      </w:pPr>
      <w:r w:rsidRPr="00EB3BA2">
        <w:rPr>
          <w:rFonts w:ascii="ITC Avant Garde" w:eastAsia="Times New Roman" w:hAnsi="ITC Avant Garde" w:cs="Times New Roman"/>
          <w:b/>
          <w:szCs w:val="24"/>
          <w:lang w:eastAsia="es-ES"/>
        </w:rPr>
        <w:t>El Servicio de Intercambio Electrónico de Mensajes Cortos es un servicio de naturaleza móvil.</w:t>
      </w:r>
    </w:p>
    <w:p w14:paraId="7DA13DD0" w14:textId="77777777" w:rsidR="009A500D" w:rsidRDefault="00BB070C" w:rsidP="009A500D">
      <w:pPr>
        <w:spacing w:line="276" w:lineRule="auto"/>
        <w:ind w:right="-94"/>
        <w:jc w:val="both"/>
        <w:rPr>
          <w:rFonts w:ascii="ITC Avant Garde" w:eastAsia="Calibri" w:hAnsi="ITC Avant Garde" w:cs="Times New Roman"/>
        </w:rPr>
      </w:pPr>
      <w:r w:rsidRPr="00EB3BA2">
        <w:rPr>
          <w:rFonts w:ascii="ITC Avant Garde" w:eastAsia="Calibri" w:hAnsi="ITC Avant Garde" w:cs="Times New Roman"/>
        </w:rPr>
        <w:t>Señala Telcel que es improcedente la solicitud de OpenIP en la medida en la que no tiene una red móvil, sino una red fija; siendo que únicamente los concesionarios del servicio local móvil están facultados técnicamente para prestar el servicio de mensajes cortos persona a persona. Más allá de qué, como refirió, en la práctica este servicio únicamente acontece entre concesionarios de esa naturaleza, lo que se corrobora conforme a lo dispuesto por el ente regulador de las telecomunicaciones en México, como por las disposiciones legislativas y aplicables.</w:t>
      </w:r>
    </w:p>
    <w:p w14:paraId="370EEDFC" w14:textId="77777777" w:rsidR="009A500D" w:rsidRDefault="00BB070C" w:rsidP="009A500D">
      <w:pPr>
        <w:spacing w:line="276" w:lineRule="auto"/>
        <w:ind w:right="-94"/>
        <w:jc w:val="both"/>
        <w:rPr>
          <w:rFonts w:ascii="ITC Avant Garde" w:eastAsia="Calibri" w:hAnsi="ITC Avant Garde" w:cs="Times New Roman"/>
        </w:rPr>
      </w:pPr>
      <w:r w:rsidRPr="00EB3BA2">
        <w:rPr>
          <w:rFonts w:ascii="ITC Avant Garde" w:eastAsia="Calibri" w:hAnsi="ITC Avant Garde" w:cs="Times New Roman"/>
        </w:rPr>
        <w:t xml:space="preserve">Considera que la </w:t>
      </w:r>
      <w:r w:rsidR="0040667E" w:rsidRPr="00EB3BA2">
        <w:rPr>
          <w:rFonts w:ascii="ITC Avant Garde" w:eastAsia="Calibri" w:hAnsi="ITC Avant Garde" w:cs="Times New Roman"/>
        </w:rPr>
        <w:t>LFTR</w:t>
      </w:r>
      <w:r w:rsidRPr="00EB3BA2">
        <w:rPr>
          <w:rFonts w:ascii="ITC Avant Garde" w:eastAsia="Calibri" w:hAnsi="ITC Avant Garde" w:cs="Times New Roman"/>
        </w:rPr>
        <w:t xml:space="preserve"> vigente, no contiene regulación alguna respecto del servicio de mensajes cortos tratándose de las redes de servicios fijos de telecomunicaciones. Por el contrario, diversas disposiciones regulatorias establecen de manera expresa la naturaleza móvil de tal servicio, argumentando que lo mismo sucede con otras resoluciones administrativas vigentes, incluido el Plan de Calidad en vigor, considera al servicio de mensajes cortos como un servicio de naturaleza móvil y, en consecuencia, su prestación atañe de manera exclusiva a los concesionarios del servicio local móvil, señalando para tal efecto los Considerandos Octavo y Noveno de dicho Plan Técnico.</w:t>
      </w:r>
    </w:p>
    <w:p w14:paraId="12F96014" w14:textId="77777777" w:rsidR="009A500D" w:rsidRDefault="00BB070C" w:rsidP="009A500D">
      <w:pPr>
        <w:spacing w:line="276" w:lineRule="auto"/>
        <w:ind w:right="-94"/>
        <w:jc w:val="both"/>
        <w:rPr>
          <w:rFonts w:ascii="ITC Avant Garde" w:eastAsia="Calibri" w:hAnsi="ITC Avant Garde" w:cs="Times New Roman"/>
        </w:rPr>
      </w:pPr>
      <w:r w:rsidRPr="00EB3BA2">
        <w:rPr>
          <w:rFonts w:ascii="ITC Avant Garde" w:eastAsia="Calibri" w:hAnsi="ITC Avant Garde" w:cs="Times New Roman"/>
        </w:rPr>
        <w:t xml:space="preserve">Concluye que el servicio de mensajes cortos es un servicio que, dada su naturaleza técnica y regulatoria está restringido a ser prestado únicamente entre concesionarios del servicio local móvil. </w:t>
      </w:r>
    </w:p>
    <w:p w14:paraId="68149C40" w14:textId="77777777" w:rsidR="009A500D" w:rsidRDefault="00BB070C" w:rsidP="009A500D">
      <w:pPr>
        <w:numPr>
          <w:ilvl w:val="0"/>
          <w:numId w:val="17"/>
        </w:numPr>
        <w:spacing w:line="276" w:lineRule="auto"/>
        <w:ind w:right="-94"/>
        <w:jc w:val="both"/>
        <w:rPr>
          <w:rFonts w:ascii="ITC Avant Garde" w:eastAsia="Times New Roman" w:hAnsi="ITC Avant Garde" w:cs="Times New Roman"/>
          <w:b/>
          <w:szCs w:val="24"/>
          <w:lang w:eastAsia="es-ES"/>
        </w:rPr>
      </w:pPr>
      <w:r w:rsidRPr="00EB3BA2">
        <w:rPr>
          <w:rFonts w:ascii="ITC Avant Garde" w:eastAsia="Times New Roman" w:hAnsi="ITC Avant Garde" w:cs="Times New Roman"/>
          <w:b/>
          <w:szCs w:val="24"/>
          <w:lang w:eastAsia="es-ES"/>
        </w:rPr>
        <w:t>El Servicio de Intercambio Electrónico de Mensajes Cortos es un servicio Persona a Persona, no de Aplicación a Persona.</w:t>
      </w:r>
    </w:p>
    <w:p w14:paraId="1E48BFA3" w14:textId="77777777" w:rsidR="009A500D" w:rsidRDefault="00BB070C" w:rsidP="009A500D">
      <w:pPr>
        <w:spacing w:line="276" w:lineRule="auto"/>
        <w:ind w:right="-94"/>
        <w:jc w:val="both"/>
        <w:rPr>
          <w:rFonts w:ascii="ITC Avant Garde" w:eastAsia="Calibri" w:hAnsi="ITC Avant Garde" w:cs="Times New Roman"/>
        </w:rPr>
      </w:pPr>
      <w:r w:rsidRPr="00EB3BA2">
        <w:rPr>
          <w:rFonts w:ascii="ITC Avant Garde" w:eastAsia="Calibri" w:hAnsi="ITC Avant Garde" w:cs="Times New Roman"/>
        </w:rPr>
        <w:lastRenderedPageBreak/>
        <w:t>Telcel en este apartado indica la diferencia entre un servicio de mensajería (mensajes cortos) Persona a Persona y uno Aplicación a Persona, manifestando que la propia ley reconoce que para que un servicio pueda caer bajo el supuesto de interconexión, se requiere cumplir con el supuesto de reciprocidad, esto es en el caso de los mensajes cortos, que permita el intercambio de los mismos entre los usuarios de ambas redes.</w:t>
      </w:r>
    </w:p>
    <w:p w14:paraId="79289C16" w14:textId="77777777" w:rsidR="009A500D" w:rsidRDefault="00BB070C" w:rsidP="009A500D">
      <w:pPr>
        <w:spacing w:line="276" w:lineRule="auto"/>
        <w:ind w:right="-94"/>
        <w:jc w:val="both"/>
        <w:rPr>
          <w:rFonts w:ascii="ITC Avant Garde" w:eastAsia="Calibri" w:hAnsi="ITC Avant Garde" w:cs="Times New Roman"/>
        </w:rPr>
      </w:pPr>
      <w:r w:rsidRPr="00EB3BA2">
        <w:rPr>
          <w:rFonts w:ascii="ITC Avant Garde" w:eastAsia="Calibri" w:hAnsi="ITC Avant Garde" w:cs="Times New Roman"/>
        </w:rPr>
        <w:t>Manifiesta que en efecto, la prestación del servicio de transporte de mensajes cortos Aplicación a Persona no requiere el otorgamiento de un título de concesión de red pública de telecomunicaciones, por no tratarse de una comunicación entre usuarios de redes de telecomunicaciones, sino que la originación se realiza mediante equipos y por medios informáticos al alcance de cualquier solicitante y es susceptible de ser recibido mediante la instalación de un servidor y un enlace contratados a proveedores de tales servicios, es decir, no requiere del uso de ningún elemento de una red telefónica y de acuerdo con lo anterior es un servicio comercial disponible y al alcance de cualquier agente económico, el que simplemente adquiere una bolsa con número determinado de mensajes cortos para ser transportados a los suscriptores de sus servicios. Es decir, no es un servicio propio de una red de telecomunicaciones, sino de un sistema informático.</w:t>
      </w:r>
    </w:p>
    <w:p w14:paraId="5D16D3BC" w14:textId="77777777" w:rsidR="009A500D" w:rsidRDefault="00BB070C" w:rsidP="009A500D">
      <w:pPr>
        <w:numPr>
          <w:ilvl w:val="0"/>
          <w:numId w:val="17"/>
        </w:numPr>
        <w:spacing w:line="276" w:lineRule="auto"/>
        <w:ind w:right="-94"/>
        <w:jc w:val="both"/>
        <w:rPr>
          <w:rFonts w:ascii="ITC Avant Garde" w:eastAsia="Times New Roman" w:hAnsi="ITC Avant Garde" w:cs="Times New Roman"/>
          <w:b/>
          <w:szCs w:val="24"/>
          <w:lang w:eastAsia="es-ES"/>
        </w:rPr>
      </w:pPr>
      <w:r w:rsidRPr="00EB3BA2">
        <w:rPr>
          <w:rFonts w:ascii="ITC Avant Garde" w:eastAsia="Times New Roman" w:hAnsi="ITC Avant Garde" w:cs="Times New Roman"/>
          <w:b/>
          <w:szCs w:val="24"/>
          <w:lang w:eastAsia="es-ES"/>
        </w:rPr>
        <w:t>Los mensajes cortos en la industria de las telecomunicaciones</w:t>
      </w:r>
    </w:p>
    <w:p w14:paraId="6FEE6E19" w14:textId="77777777" w:rsidR="009A500D" w:rsidRDefault="00BB070C" w:rsidP="009A500D">
      <w:pPr>
        <w:spacing w:line="276" w:lineRule="auto"/>
        <w:ind w:right="-94"/>
        <w:jc w:val="both"/>
        <w:rPr>
          <w:rFonts w:ascii="ITC Avant Garde" w:eastAsia="Calibri" w:hAnsi="ITC Avant Garde" w:cs="Times New Roman"/>
        </w:rPr>
      </w:pPr>
      <w:r w:rsidRPr="00EB3BA2">
        <w:rPr>
          <w:rFonts w:ascii="ITC Avant Garde" w:eastAsia="Calibri" w:hAnsi="ITC Avant Garde" w:cs="Times New Roman"/>
        </w:rPr>
        <w:t xml:space="preserve">En este apartado, reitera Telcel que a la fecha no existe un marco normativo que regule de manera nítida la prestación de los servicios de mensajes cortos, razón por la cual es necesario recurrir a las prácticas de la industria para determinar qué tipo de términos y condiciones son aplicables. </w:t>
      </w:r>
    </w:p>
    <w:p w14:paraId="640C1011"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 xml:space="preserve">Telcel señala que bajo el supuesto inadmitido de que la prestación del servicio de mensajería corta fuera procedente entre las redes de </w:t>
      </w:r>
      <w:r w:rsidR="00D9635C" w:rsidRPr="00EB3BA2">
        <w:rPr>
          <w:rFonts w:ascii="ITC Avant Garde" w:eastAsia="Calibri" w:hAnsi="ITC Avant Garde" w:cs="Times New Roman"/>
        </w:rPr>
        <w:t>OpenIP</w:t>
      </w:r>
      <w:r w:rsidRPr="00EB3BA2">
        <w:rPr>
          <w:rFonts w:ascii="ITC Avant Garde" w:eastAsia="Calibri" w:hAnsi="ITC Avant Garde" w:cs="Times New Roman"/>
        </w:rPr>
        <w:t xml:space="preserve"> y Telcel, se deberá estar en todo momento a los lineamientos que se infieren de los Contratos SIEMC. Por lo que, al respecto Telcel reproduce en su escrito de manifestaciones los términos y condiciones que considera relevantes contenidos en el Modelo de los Contratos SIEMC, deduciendo que resulta lógico que la prestación del servicio previsto en los Contratos SIEMC sea Persona a Persona y no de aplicación a Persona, pues el punto de partida del intercambio de mensajes cortos lo constituye el servicio de SMS que cada concesionario presta en su propia red. </w:t>
      </w:r>
    </w:p>
    <w:p w14:paraId="1F9617AB"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lastRenderedPageBreak/>
        <w:t>Por lo que, advierte Telcel que las prácticas del sector, por conducto de los Contratos SIEMC, hacen especial énfasis en la prevención y detección de prácticas prohibidas como el envío masivo de mensajes cortos a través de diversas aplicaciones (Aplicación a Persona), pues buscan evitar precisamente la comisión de prácticas como la que OpenIP tiene planeada con los usuarios de Telcel, esto es, enviar de manera unilateral, indiscriminada y masiva mensajes cortos de contenido comercial, publicitario, informativo, financiero, etc.</w:t>
      </w:r>
    </w:p>
    <w:p w14:paraId="7000B50D"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Señala el concesionario que el servicio corporativo de entrega masiva de mensajes cortos A2P no utiliza los elementos de una red telefónica, sino que el esquema de operación es mediante servidores informáticos que se conectan a redes públicas de telecomunicaciones, de modo similar a una conexión a Internet. Esto es, no se trata de un servicio local de telefonía fija.</w:t>
      </w:r>
    </w:p>
    <w:p w14:paraId="245B2F3B"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Telcel explica que en el escenario internacional está en plena discusión la preocupación por la proliferación del servicio de mensajes cortos A2P y la necesidad de diferenciarlo del servicio de mensajes cortos P2P. La Central de Servicio de Mensajes Cortos, que constituye el elemento de la red de telefonía móvil que envía y recibe mensajes cortos, se encuentra dimensionada para intercambiar determinado volumen de tráfico de mensajes cortos, por lo que resulta claro entonces, que si no se regula y previene la comisión de prácticas fraudulentas, como el spam, el envío masivo e indiscriminado de mensajes cortos A2P puede ocasionar, no únicamente actos de molestia a los usuarios de los concesionarios móviles, sino afectaciones reales y saturación a los equipos dispuestos por éstos últimos para la prestación del servicio de mensajes cortos P2P.</w:t>
      </w:r>
    </w:p>
    <w:p w14:paraId="1395DC23"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 xml:space="preserve">Finalmente, Telcel en su escrito de alegatos reitera lo descrito en párrafos anteriores respecto de las condiciones y tarifas no convenidas para la interconexión entre Telcel y OpenIP aplicables al servicio de mensajes cortos mediante interconexión directa, durante el periodo comprendido del 1° de enero al 31 de diciembre de 2018. </w:t>
      </w:r>
    </w:p>
    <w:p w14:paraId="44AE978C" w14:textId="77777777" w:rsidR="009A500D" w:rsidRDefault="00BB070C" w:rsidP="009A500D">
      <w:pPr>
        <w:spacing w:line="276" w:lineRule="auto"/>
        <w:jc w:val="both"/>
        <w:rPr>
          <w:rFonts w:ascii="ITC Avant Garde" w:eastAsia="Calibri" w:hAnsi="ITC Avant Garde" w:cs="Times New Roman"/>
          <w:b/>
        </w:rPr>
      </w:pPr>
      <w:r w:rsidRPr="00EB3BA2">
        <w:rPr>
          <w:rFonts w:ascii="ITC Avant Garde" w:eastAsia="Calibri" w:hAnsi="ITC Avant Garde" w:cs="Times New Roman"/>
          <w:b/>
        </w:rPr>
        <w:t>Consideraciones del Instituto</w:t>
      </w:r>
    </w:p>
    <w:p w14:paraId="7825AFF0" w14:textId="77777777" w:rsidR="009A500D" w:rsidRDefault="00BB070C" w:rsidP="009A500D">
      <w:pPr>
        <w:numPr>
          <w:ilvl w:val="0"/>
          <w:numId w:val="20"/>
        </w:numPr>
        <w:spacing w:line="276" w:lineRule="auto"/>
        <w:jc w:val="both"/>
        <w:rPr>
          <w:rFonts w:ascii="ITC Avant Garde" w:eastAsia="Times New Roman" w:hAnsi="ITC Avant Garde" w:cs="Tahoma"/>
          <w:b/>
          <w:bCs/>
          <w:szCs w:val="24"/>
          <w:lang w:eastAsia="es-MX"/>
        </w:rPr>
      </w:pPr>
      <w:r w:rsidRPr="00EB3BA2">
        <w:rPr>
          <w:rFonts w:ascii="ITC Avant Garde" w:eastAsia="Times New Roman" w:hAnsi="ITC Avant Garde" w:cs="Tahoma"/>
          <w:b/>
          <w:bCs/>
          <w:szCs w:val="24"/>
          <w:lang w:eastAsia="es-MX"/>
        </w:rPr>
        <w:t>Requisitos de procedencia</w:t>
      </w:r>
    </w:p>
    <w:p w14:paraId="76BE0E13" w14:textId="77777777" w:rsidR="009A500D" w:rsidRDefault="00BB070C" w:rsidP="009A500D">
      <w:pPr>
        <w:spacing w:line="276" w:lineRule="auto"/>
        <w:jc w:val="both"/>
        <w:rPr>
          <w:rFonts w:ascii="ITC Avant Garde" w:eastAsia="Calibri" w:hAnsi="ITC Avant Garde" w:cs="Times New Roman"/>
          <w:lang w:val="es-ES_tradnl"/>
        </w:rPr>
      </w:pPr>
      <w:r w:rsidRPr="00EB3BA2">
        <w:rPr>
          <w:rFonts w:ascii="ITC Avant Garde" w:eastAsia="Times New Roman" w:hAnsi="ITC Avant Garde" w:cs="Times New Roman"/>
        </w:rPr>
        <w:t xml:space="preserve">De conformidad con lo establecido por el artículo 129 de la </w:t>
      </w:r>
      <w:r w:rsidR="0040667E" w:rsidRPr="00EB3BA2">
        <w:rPr>
          <w:rFonts w:ascii="ITC Avant Garde" w:eastAsia="Times New Roman" w:hAnsi="ITC Avant Garde" w:cs="Times New Roman"/>
        </w:rPr>
        <w:t>LFTR</w:t>
      </w:r>
      <w:r w:rsidRPr="00EB3BA2">
        <w:rPr>
          <w:rFonts w:ascii="ITC Avant Garde" w:eastAsia="Times New Roman" w:hAnsi="ITC Avant Garde" w:cs="Times New Roman"/>
        </w:rPr>
        <w:t xml:space="preserve">, el Instituto tiene la facultad de </w:t>
      </w:r>
      <w:r w:rsidRPr="00EB3BA2">
        <w:rPr>
          <w:rFonts w:ascii="ITC Avant Garde" w:eastAsia="Calibri" w:hAnsi="ITC Avant Garde" w:cs="Times New Roman"/>
          <w:lang w:val="es-ES_tradnl"/>
        </w:rPr>
        <w:t xml:space="preserve">admitir, sustanciar y resolver, a efecto de que no se vean vulnerados </w:t>
      </w:r>
      <w:r w:rsidRPr="00EB3BA2">
        <w:rPr>
          <w:rFonts w:ascii="ITC Avant Garde" w:eastAsia="Calibri" w:hAnsi="ITC Avant Garde" w:cs="Times New Roman"/>
          <w:lang w:val="es-ES_tradnl"/>
        </w:rPr>
        <w:lastRenderedPageBreak/>
        <w:t xml:space="preserve">los derechos de los concesionarios en materia de interconexión de redes públicas de telecomunicaciones, ello conforme a los requisitos del citado precepto legal.  </w:t>
      </w:r>
    </w:p>
    <w:p w14:paraId="481ECA8D" w14:textId="77777777" w:rsidR="009A500D" w:rsidRDefault="00BB070C" w:rsidP="009A500D">
      <w:pPr>
        <w:spacing w:line="276" w:lineRule="auto"/>
        <w:jc w:val="both"/>
        <w:rPr>
          <w:rFonts w:ascii="ITC Avant Garde" w:eastAsia="Calibri" w:hAnsi="ITC Avant Garde" w:cs="Times New Roman"/>
          <w:lang w:val="es-ES_tradnl"/>
        </w:rPr>
      </w:pPr>
      <w:r w:rsidRPr="00EB3BA2">
        <w:rPr>
          <w:rFonts w:ascii="ITC Avant Garde" w:eastAsia="Calibri" w:hAnsi="ITC Avant Garde" w:cs="Times New Roman"/>
          <w:lang w:val="es-ES_tradnl"/>
        </w:rPr>
        <w:t>En este sentido, para admitir a trámite una solicitud de resolución se deben verificar los requisitos de procedencia, mismos que al efecto se cumplieron:</w:t>
      </w:r>
    </w:p>
    <w:p w14:paraId="14B86C50" w14:textId="77777777" w:rsidR="009A500D" w:rsidRDefault="00BB070C" w:rsidP="009A500D">
      <w:pPr>
        <w:numPr>
          <w:ilvl w:val="0"/>
          <w:numId w:val="18"/>
        </w:numPr>
        <w:spacing w:line="276" w:lineRule="auto"/>
        <w:jc w:val="both"/>
        <w:rPr>
          <w:rFonts w:ascii="ITC Avant Garde" w:eastAsia="Times New Roman" w:hAnsi="ITC Avant Garde" w:cs="Times New Roman"/>
          <w:szCs w:val="24"/>
          <w:lang w:val="es-ES_tradnl" w:eastAsia="es-ES"/>
        </w:rPr>
      </w:pPr>
      <w:r w:rsidRPr="00EB3BA2">
        <w:rPr>
          <w:rFonts w:ascii="ITC Avant Garde" w:eastAsia="Times New Roman" w:hAnsi="ITC Avant Garde" w:cs="Times New Roman"/>
          <w:szCs w:val="24"/>
          <w:lang w:val="es-ES_tradnl" w:eastAsia="es-ES"/>
        </w:rPr>
        <w:t>El solicitante es un concesionario de red pública de telecomunicaciones.</w:t>
      </w:r>
    </w:p>
    <w:p w14:paraId="1F156C8C" w14:textId="77777777" w:rsidR="009A500D" w:rsidRDefault="00BB070C" w:rsidP="009A500D">
      <w:pPr>
        <w:numPr>
          <w:ilvl w:val="0"/>
          <w:numId w:val="18"/>
        </w:numPr>
        <w:spacing w:line="276" w:lineRule="auto"/>
        <w:jc w:val="both"/>
        <w:rPr>
          <w:rFonts w:ascii="ITC Avant Garde" w:eastAsia="Times New Roman" w:hAnsi="ITC Avant Garde" w:cs="Times New Roman"/>
          <w:szCs w:val="24"/>
          <w:lang w:val="es-ES_tradnl" w:eastAsia="es-ES"/>
        </w:rPr>
      </w:pPr>
      <w:r w:rsidRPr="00EB3BA2">
        <w:rPr>
          <w:rFonts w:ascii="ITC Avant Garde" w:eastAsia="Times New Roman" w:hAnsi="ITC Avant Garde" w:cs="Times New Roman"/>
          <w:szCs w:val="24"/>
          <w:lang w:val="es-ES_tradnl" w:eastAsia="es-ES"/>
        </w:rPr>
        <w:t>La persona a quien se le solicitaron las negociaciones, es un concesionario de red pública de telecomunicaciones registrado en el SESI.</w:t>
      </w:r>
    </w:p>
    <w:p w14:paraId="4483B93A" w14:textId="77777777" w:rsidR="009A500D" w:rsidRDefault="00BB070C" w:rsidP="009A500D">
      <w:pPr>
        <w:numPr>
          <w:ilvl w:val="0"/>
          <w:numId w:val="18"/>
        </w:numPr>
        <w:spacing w:line="276" w:lineRule="auto"/>
        <w:jc w:val="both"/>
        <w:rPr>
          <w:rFonts w:ascii="ITC Avant Garde" w:eastAsia="Times New Roman" w:hAnsi="ITC Avant Garde" w:cs="Times New Roman"/>
          <w:szCs w:val="24"/>
          <w:lang w:val="es-ES_tradnl" w:eastAsia="es-ES"/>
        </w:rPr>
      </w:pPr>
      <w:r w:rsidRPr="00EB3BA2">
        <w:rPr>
          <w:rFonts w:ascii="ITC Avant Garde" w:eastAsia="Times New Roman" w:hAnsi="ITC Avant Garde" w:cs="Times New Roman"/>
          <w:szCs w:val="24"/>
          <w:lang w:val="es-ES_tradnl" w:eastAsia="es-ES"/>
        </w:rPr>
        <w:t>Transcurrió el plazo de 60 días naturales para las negociaciones en el SESI, tal y como se advierte de la solicitud IFT/UPR/</w:t>
      </w:r>
      <w:r w:rsidRPr="00EB3BA2">
        <w:rPr>
          <w:rFonts w:ascii="ITC Avant Garde" w:eastAsia="Times New Roman" w:hAnsi="ITC Avant Garde" w:cs="Times New Roman"/>
          <w:szCs w:val="24"/>
          <w:lang w:eastAsia="es-ES"/>
        </w:rPr>
        <w:t>5340</w:t>
      </w:r>
      <w:r w:rsidRPr="00EB3BA2">
        <w:rPr>
          <w:rFonts w:ascii="ITC Avant Garde" w:eastAsia="Times New Roman" w:hAnsi="ITC Avant Garde" w:cs="Times New Roman"/>
          <w:szCs w:val="24"/>
          <w:lang w:val="es-ES_tradnl" w:eastAsia="es-ES"/>
        </w:rPr>
        <w:t>.</w:t>
      </w:r>
    </w:p>
    <w:p w14:paraId="33FF1C28" w14:textId="77777777" w:rsidR="009A500D" w:rsidRDefault="00BB070C" w:rsidP="009A500D">
      <w:pPr>
        <w:numPr>
          <w:ilvl w:val="0"/>
          <w:numId w:val="18"/>
        </w:numPr>
        <w:spacing w:line="276" w:lineRule="auto"/>
        <w:jc w:val="both"/>
        <w:rPr>
          <w:rFonts w:ascii="ITC Avant Garde" w:eastAsia="Times New Roman" w:hAnsi="ITC Avant Garde" w:cs="Times New Roman"/>
          <w:szCs w:val="24"/>
          <w:lang w:val="es-ES_tradnl" w:eastAsia="es-ES"/>
        </w:rPr>
      </w:pPr>
      <w:r w:rsidRPr="00EB3BA2">
        <w:rPr>
          <w:rFonts w:ascii="ITC Avant Garde" w:eastAsia="Times New Roman" w:hAnsi="ITC Avant Garde" w:cs="Times New Roman"/>
          <w:szCs w:val="24"/>
          <w:lang w:val="es-ES_tradnl" w:eastAsia="es-ES"/>
        </w:rPr>
        <w:t>Una vez que se agotó el plazo precisado en el párrafo anterior, la solicitud se presentó dentro de los 45 días hábiles contados a partir del día hábil siguiente al en que hubiere concluido dicho plazo, como consta en el ocurso presentado por OpenIP el 9 de octubre de 2017.</w:t>
      </w:r>
    </w:p>
    <w:p w14:paraId="4BA925EF" w14:textId="77777777" w:rsidR="009A500D" w:rsidRDefault="00BB070C" w:rsidP="009A500D">
      <w:pPr>
        <w:numPr>
          <w:ilvl w:val="0"/>
          <w:numId w:val="18"/>
        </w:numPr>
        <w:spacing w:line="276" w:lineRule="auto"/>
        <w:jc w:val="both"/>
        <w:rPr>
          <w:rFonts w:ascii="ITC Avant Garde" w:eastAsia="Times New Roman" w:hAnsi="ITC Avant Garde" w:cs="Times New Roman"/>
          <w:szCs w:val="24"/>
          <w:lang w:val="es-ES_tradnl" w:eastAsia="es-ES"/>
        </w:rPr>
      </w:pPr>
      <w:r w:rsidRPr="00EB3BA2">
        <w:rPr>
          <w:rFonts w:ascii="ITC Avant Garde" w:eastAsia="Times New Roman" w:hAnsi="ITC Avant Garde" w:cs="Times New Roman"/>
          <w:szCs w:val="24"/>
          <w:lang w:val="es-ES_tradnl" w:eastAsia="es-ES"/>
        </w:rPr>
        <w:t>Los términos, tarifas y condiciones se negociaron a través del SESI, tal como se advierte de la solicitud IFT/UPR/</w:t>
      </w:r>
      <w:r w:rsidRPr="00EB3BA2">
        <w:rPr>
          <w:rFonts w:ascii="ITC Avant Garde" w:eastAsia="Times New Roman" w:hAnsi="ITC Avant Garde" w:cs="Times New Roman"/>
          <w:szCs w:val="24"/>
          <w:lang w:eastAsia="es-ES"/>
        </w:rPr>
        <w:t>5340</w:t>
      </w:r>
      <w:r w:rsidRPr="00EB3BA2">
        <w:rPr>
          <w:rFonts w:ascii="ITC Avant Garde" w:eastAsia="Times New Roman" w:hAnsi="ITC Avant Garde" w:cs="Times New Roman"/>
          <w:szCs w:val="24"/>
          <w:lang w:val="es-ES_tradnl" w:eastAsia="es-ES"/>
        </w:rPr>
        <w:t>.</w:t>
      </w:r>
    </w:p>
    <w:p w14:paraId="18C77394" w14:textId="77777777" w:rsidR="009A500D" w:rsidRDefault="00BB070C" w:rsidP="009A500D">
      <w:pPr>
        <w:spacing w:line="276" w:lineRule="auto"/>
        <w:jc w:val="both"/>
        <w:rPr>
          <w:rFonts w:ascii="ITC Avant Garde" w:eastAsia="Calibri" w:hAnsi="ITC Avant Garde" w:cs="Times New Roman"/>
          <w:lang w:val="es-ES_tradnl"/>
        </w:rPr>
      </w:pPr>
      <w:r w:rsidRPr="00EB3BA2">
        <w:rPr>
          <w:rFonts w:ascii="ITC Avant Garde" w:eastAsia="Calibri" w:hAnsi="ITC Avant Garde" w:cs="Times New Roman"/>
          <w:lang w:val="es-ES_tradnl"/>
        </w:rPr>
        <w:t xml:space="preserve">En virtud de lo señalado, la Dirección General de Regulación de Interconexión y Reventa de Servicios de Telecomunicaciones al pronunciarse sobre la procedencia y admisión de la solicitud de OpenIP mediante Acuerdo 16/10/001/2017 consideró que dicho concesionario cumplió con la hipótesis normativa que establece el artículo 129 de la </w:t>
      </w:r>
      <w:r w:rsidR="0040667E" w:rsidRPr="00EB3BA2">
        <w:rPr>
          <w:rFonts w:ascii="ITC Avant Garde" w:eastAsia="Calibri" w:hAnsi="ITC Avant Garde" w:cs="Times New Roman"/>
          <w:lang w:val="es-ES_tradnl"/>
        </w:rPr>
        <w:t>LFTR</w:t>
      </w:r>
      <w:r w:rsidRPr="00EB3BA2">
        <w:rPr>
          <w:rFonts w:ascii="ITC Avant Garde" w:eastAsia="Calibri" w:hAnsi="ITC Avant Garde" w:cs="Times New Roman"/>
          <w:lang w:val="es-ES_tradnl"/>
        </w:rPr>
        <w:t>, ya que se tuvo la certeza y se acreditó fehacientemente quienes eran las partes, las condiciones de interconexión no convenidas, su temporalidad, así como las negociaciones entre los concesionarios llevadas a cabo a través del SESI, cumpliendo con el plazo establecido por la ley para las negociaciones y para ingresar la respectiva solicitud de interconexión.</w:t>
      </w:r>
    </w:p>
    <w:p w14:paraId="275A30AB" w14:textId="77777777" w:rsidR="009A500D" w:rsidRDefault="00BB070C" w:rsidP="009A500D">
      <w:pPr>
        <w:spacing w:line="276" w:lineRule="auto"/>
        <w:jc w:val="both"/>
        <w:rPr>
          <w:rFonts w:ascii="ITC Avant Garde" w:eastAsia="Times New Roman" w:hAnsi="ITC Avant Garde" w:cs="Times New Roman"/>
          <w:b/>
          <w:szCs w:val="24"/>
          <w:lang w:eastAsia="es-ES"/>
        </w:rPr>
      </w:pPr>
      <w:r w:rsidRPr="00EB3BA2">
        <w:rPr>
          <w:rFonts w:ascii="ITC Avant Garde" w:eastAsia="Times New Roman" w:hAnsi="ITC Avant Garde" w:cs="Times New Roman"/>
          <w:lang w:val="es-ES" w:eastAsia="es-ES"/>
        </w:rPr>
        <w:t xml:space="preserve">Además, de conformidad con el último párrafo del artículo 129 de la </w:t>
      </w:r>
      <w:r w:rsidR="0040667E" w:rsidRPr="00EB3BA2">
        <w:rPr>
          <w:rFonts w:ascii="ITC Avant Garde" w:eastAsia="Times New Roman" w:hAnsi="ITC Avant Garde" w:cs="Times New Roman"/>
          <w:lang w:val="es-ES" w:eastAsia="es-ES"/>
        </w:rPr>
        <w:t>LFTR</w:t>
      </w:r>
      <w:r w:rsidRPr="00EB3BA2">
        <w:rPr>
          <w:rFonts w:ascii="ITC Avant Garde" w:eastAsia="Times New Roman" w:hAnsi="ITC Avant Garde" w:cs="Times New Roman"/>
          <w:lang w:val="es-ES" w:eastAsia="es-ES"/>
        </w:rPr>
        <w:t xml:space="preserve"> el Instituto tiene la obligación de favorecer la pronta y efectiva interconexión entre redes públicas de telecomunicaciones, por lo que </w:t>
      </w:r>
      <w:r w:rsidRPr="00EB3BA2">
        <w:rPr>
          <w:rFonts w:ascii="ITC Avant Garde" w:eastAsia="Times New Roman" w:hAnsi="ITC Avant Garde" w:cs="Times New Roman"/>
          <w:u w:val="single"/>
          <w:lang w:val="es-ES" w:eastAsia="es-ES"/>
        </w:rPr>
        <w:t>debe evitar actuaciones procesales que tengan como consecuencia retrasar las condiciones no convenidas que permitan la prestación de los servicios públicos de telecomunicaciones</w:t>
      </w:r>
      <w:r w:rsidRPr="00EB3BA2">
        <w:rPr>
          <w:rFonts w:ascii="ITC Avant Garde" w:eastAsia="Times New Roman" w:hAnsi="ITC Avant Garde" w:cs="Times New Roman"/>
          <w:lang w:val="es-ES" w:eastAsia="es-ES"/>
        </w:rPr>
        <w:t>, es decir, que es clara la facultad del Instituto de resolver y no retrasar los procedimientos relativos a las condiciones no convenidas como en el presente caso, pues con ello se permite la prestación de los servicios públicos.</w:t>
      </w:r>
    </w:p>
    <w:p w14:paraId="780B436D" w14:textId="77777777" w:rsidR="009A500D" w:rsidRDefault="00BB070C" w:rsidP="009A500D">
      <w:pPr>
        <w:spacing w:line="276" w:lineRule="auto"/>
        <w:jc w:val="both"/>
        <w:rPr>
          <w:rFonts w:ascii="ITC Avant Garde" w:eastAsia="Times New Roman" w:hAnsi="ITC Avant Garde" w:cs="Times New Roman"/>
        </w:rPr>
      </w:pPr>
      <w:r w:rsidRPr="00EB3BA2">
        <w:rPr>
          <w:rFonts w:ascii="ITC Avant Garde" w:eastAsia="Times New Roman" w:hAnsi="ITC Avant Garde" w:cs="Times New Roman"/>
        </w:rPr>
        <w:lastRenderedPageBreak/>
        <w:t xml:space="preserve">Máxime que las Resoluciones que emite este órgano son de interés público, más aún si consideramos que la misma </w:t>
      </w:r>
      <w:r w:rsidR="0040667E" w:rsidRPr="00EB3BA2">
        <w:rPr>
          <w:rFonts w:ascii="ITC Avant Garde" w:eastAsia="Times New Roman" w:hAnsi="ITC Avant Garde" w:cs="Times New Roman"/>
        </w:rPr>
        <w:t>LFTR</w:t>
      </w:r>
      <w:r w:rsidRPr="00EB3BA2">
        <w:rPr>
          <w:rFonts w:ascii="ITC Avant Garde" w:eastAsia="Times New Roman" w:hAnsi="ITC Avant Garde" w:cs="Times New Roman"/>
        </w:rPr>
        <w:t xml:space="preserve"> en su artículo 125 indica que la interconexión de las redes públicas de telecomunicaciones, sus tarifas, términos y condiciones, son de orden público e interés social.</w:t>
      </w:r>
    </w:p>
    <w:p w14:paraId="5C6FB56D" w14:textId="77777777" w:rsidR="009A500D" w:rsidRDefault="00BB070C" w:rsidP="009A500D">
      <w:pPr>
        <w:spacing w:line="276" w:lineRule="auto"/>
        <w:jc w:val="both"/>
        <w:rPr>
          <w:rFonts w:ascii="ITC Avant Garde" w:eastAsia="Times New Roman" w:hAnsi="ITC Avant Garde" w:cs="Times New Roman"/>
          <w:lang w:val="es-ES" w:eastAsia="es-ES"/>
        </w:rPr>
      </w:pPr>
      <w:r w:rsidRPr="00EB3BA2">
        <w:rPr>
          <w:rFonts w:ascii="ITC Avant Garde" w:eastAsia="Times New Roman" w:hAnsi="ITC Avant Garde" w:cs="Times New Roman"/>
          <w:lang w:val="es-ES" w:eastAsia="es-ES"/>
        </w:rPr>
        <w:t xml:space="preserve">En ese sentido, de conformidad con el artículo 129 de la </w:t>
      </w:r>
      <w:r w:rsidR="0040667E" w:rsidRPr="00EB3BA2">
        <w:rPr>
          <w:rFonts w:ascii="ITC Avant Garde" w:eastAsia="Times New Roman" w:hAnsi="ITC Avant Garde" w:cs="Times New Roman"/>
          <w:lang w:val="es-ES" w:eastAsia="es-ES"/>
        </w:rPr>
        <w:t>LFTR</w:t>
      </w:r>
      <w:r w:rsidRPr="00EB3BA2">
        <w:rPr>
          <w:rFonts w:ascii="ITC Avant Garde" w:eastAsia="Times New Roman" w:hAnsi="ITC Avant Garde" w:cs="Times New Roman"/>
          <w:lang w:val="es-ES" w:eastAsia="es-ES"/>
        </w:rPr>
        <w:t xml:space="preserve"> el Instituto está obligado a resolver y establecer los términos y condiciones de interconexión que no hayan podido convenir los concesionarios respecto de sus redes públicas de telecomunicaciones, una vez que se solicite su intervención, y que se satisfagan los supuestos establecidos en el propio artículo 129, lo que en la especie se cumplió.  </w:t>
      </w:r>
    </w:p>
    <w:p w14:paraId="6091EFA9" w14:textId="77777777" w:rsidR="009A500D" w:rsidRDefault="00BB070C" w:rsidP="009A500D">
      <w:pPr>
        <w:spacing w:line="276" w:lineRule="auto"/>
        <w:jc w:val="both"/>
        <w:rPr>
          <w:rFonts w:ascii="ITC Avant Garde" w:eastAsia="Times New Roman" w:hAnsi="ITC Avant Garde" w:cs="Times New Roman"/>
          <w:szCs w:val="20"/>
          <w:lang w:val="es-ES" w:eastAsia="es-ES"/>
        </w:rPr>
      </w:pPr>
      <w:r w:rsidRPr="00EB3BA2">
        <w:rPr>
          <w:rFonts w:ascii="ITC Avant Garde" w:eastAsia="Times New Roman" w:hAnsi="ITC Avant Garde" w:cs="Times New Roman"/>
        </w:rPr>
        <w:t>Por lo anterior, carece de razón Telcel cuando se pronuncia sobre la supuesta ilegalidad de la admisión del presente desacuerdo de interconexión, señalando que el</w:t>
      </w:r>
      <w:r w:rsidRPr="00EB3BA2">
        <w:rPr>
          <w:rFonts w:ascii="ITC Avant Garde" w:eastAsia="Times New Roman" w:hAnsi="ITC Avant Garde" w:cs="Times New Roman"/>
          <w:szCs w:val="20"/>
          <w:lang w:val="es-ES" w:eastAsia="es-ES"/>
        </w:rPr>
        <w:t xml:space="preserve"> Instituto debió verificar previamente a admitir a trámite la solicitud de OpenIP, diversos requisitos como son factibilidad técnica, arquitectura de la red, usuarios activos, entre otros, ya que lejos de ser requisitos de procedencia, las cuestiones planteadas corresponden a elementos en donde cada una de las partes posee una diferente interpretación y que la misma constituye la materia misma del desacuerdo, por lo que únicamente corresponde al Pleno del Instituto resolver.</w:t>
      </w:r>
    </w:p>
    <w:p w14:paraId="05EB957A" w14:textId="77777777" w:rsidR="009A500D" w:rsidRDefault="00BB070C" w:rsidP="009A500D">
      <w:pPr>
        <w:spacing w:line="276" w:lineRule="auto"/>
        <w:ind w:right="20"/>
        <w:jc w:val="both"/>
        <w:rPr>
          <w:rFonts w:ascii="ITC Avant Garde" w:eastAsia="Times New Roman" w:hAnsi="ITC Avant Garde" w:cs="Times New Roman"/>
          <w:szCs w:val="20"/>
          <w:lang w:val="es-ES" w:eastAsia="es-ES"/>
        </w:rPr>
      </w:pPr>
      <w:r w:rsidRPr="00EB3BA2">
        <w:rPr>
          <w:rFonts w:ascii="ITC Avant Garde" w:eastAsia="Times New Roman" w:hAnsi="ITC Avant Garde" w:cs="Times New Roman"/>
          <w:szCs w:val="20"/>
          <w:lang w:val="es-ES" w:eastAsia="es-ES"/>
        </w:rPr>
        <w:t xml:space="preserve">A mayor abundamiento, en el procedimiento de interconexión sustanciado por este Instituto de acuerdo con el artículo 129 de la </w:t>
      </w:r>
      <w:r w:rsidR="0040667E" w:rsidRPr="00EB3BA2">
        <w:rPr>
          <w:rFonts w:ascii="ITC Avant Garde" w:eastAsia="Times New Roman" w:hAnsi="ITC Avant Garde" w:cs="Times New Roman"/>
          <w:szCs w:val="20"/>
          <w:lang w:val="es-ES" w:eastAsia="es-ES"/>
        </w:rPr>
        <w:t>LFTR</w:t>
      </w:r>
      <w:r w:rsidRPr="00EB3BA2">
        <w:rPr>
          <w:rFonts w:ascii="ITC Avant Garde" w:eastAsia="Times New Roman" w:hAnsi="ITC Avant Garde" w:cs="Times New Roman"/>
          <w:szCs w:val="20"/>
          <w:lang w:val="es-ES" w:eastAsia="es-ES"/>
        </w:rPr>
        <w:t xml:space="preserve">, no se delimitan facultades de verificación, por lo </w:t>
      </w:r>
      <w:r w:rsidR="007624DF" w:rsidRPr="00EB3BA2">
        <w:rPr>
          <w:rFonts w:ascii="ITC Avant Garde" w:eastAsia="Times New Roman" w:hAnsi="ITC Avant Garde" w:cs="Times New Roman"/>
          <w:szCs w:val="20"/>
          <w:lang w:val="es-ES" w:eastAsia="es-ES"/>
        </w:rPr>
        <w:t>que,</w:t>
      </w:r>
      <w:r w:rsidRPr="00EB3BA2">
        <w:rPr>
          <w:rFonts w:ascii="ITC Avant Garde" w:eastAsia="Times New Roman" w:hAnsi="ITC Avant Garde" w:cs="Times New Roman"/>
          <w:szCs w:val="20"/>
          <w:lang w:val="es-ES" w:eastAsia="es-ES"/>
        </w:rPr>
        <w:t xml:space="preserve"> si OpenIP incurriese en una irregularidad derivado de las cuestiones señaladas por Telcel, estas se tendrían que hacer valer a través de procedimiento diverso al que nos ocupa.</w:t>
      </w:r>
    </w:p>
    <w:p w14:paraId="4EEF1587" w14:textId="77777777" w:rsidR="009A500D" w:rsidRDefault="00BB070C" w:rsidP="009A500D">
      <w:pPr>
        <w:spacing w:line="276" w:lineRule="auto"/>
        <w:ind w:right="20"/>
        <w:jc w:val="both"/>
        <w:rPr>
          <w:rFonts w:ascii="ITC Avant Garde" w:eastAsia="Times New Roman" w:hAnsi="ITC Avant Garde" w:cs="Times New Roman"/>
          <w:szCs w:val="20"/>
          <w:lang w:val="es-ES" w:eastAsia="es-ES"/>
        </w:rPr>
      </w:pPr>
      <w:r w:rsidRPr="00EB3BA2">
        <w:rPr>
          <w:rFonts w:ascii="ITC Avant Garde" w:eastAsia="Times New Roman" w:hAnsi="ITC Avant Garde" w:cs="Times New Roman"/>
          <w:szCs w:val="20"/>
          <w:lang w:val="es-ES" w:eastAsia="es-ES"/>
        </w:rPr>
        <w:t>Cabe señalar que el objeto del procedimiento de interconexión sustanciado no es comprobar actos intermedios entre los concesionarios, sino resolver los desacuerdos que se susciten entre ellos en materia de interconexión respecto de sus redes públicas, sometiendo a Resolución los términos, condiciones y tarifas que no se pudieron convenir.</w:t>
      </w:r>
    </w:p>
    <w:p w14:paraId="076EC4C0" w14:textId="77777777" w:rsidR="009A500D" w:rsidRDefault="00BB070C" w:rsidP="009A500D">
      <w:pPr>
        <w:spacing w:line="276" w:lineRule="auto"/>
        <w:ind w:right="20"/>
        <w:jc w:val="both"/>
        <w:rPr>
          <w:rFonts w:ascii="ITC Avant Garde" w:eastAsia="Times New Roman" w:hAnsi="ITC Avant Garde" w:cs="Times New Roman"/>
          <w:szCs w:val="20"/>
          <w:lang w:val="es-ES" w:eastAsia="es-ES"/>
        </w:rPr>
      </w:pPr>
      <w:r w:rsidRPr="00EB3BA2">
        <w:rPr>
          <w:rFonts w:ascii="ITC Avant Garde" w:eastAsia="Times New Roman" w:hAnsi="ITC Avant Garde" w:cs="Times New Roman"/>
          <w:szCs w:val="20"/>
          <w:lang w:val="es-ES" w:eastAsia="es-ES"/>
        </w:rPr>
        <w:t xml:space="preserve">La solicitud de intervención formulada por un concesionario de redes públicas de telecomunicaciones ante el órgano regulador que deriva un procedimiento en forma de juicio, constituye un mecanismo jurídico a través del cual el promovente ejerce su derecho de instancia ante la autoridad para obtener respuesta sobre la </w:t>
      </w:r>
      <w:r w:rsidRPr="00EB3BA2">
        <w:rPr>
          <w:rFonts w:ascii="ITC Avant Garde" w:eastAsia="Times New Roman" w:hAnsi="ITC Avant Garde" w:cs="Times New Roman"/>
          <w:szCs w:val="20"/>
          <w:lang w:val="es-ES" w:eastAsia="es-ES"/>
        </w:rPr>
        <w:lastRenderedPageBreak/>
        <w:t xml:space="preserve">determinación de las condiciones de interconexión que no se hayan podido convenir. </w:t>
      </w:r>
    </w:p>
    <w:p w14:paraId="79C57BDE" w14:textId="77777777" w:rsidR="009A500D" w:rsidRDefault="00BB070C" w:rsidP="009A500D">
      <w:pPr>
        <w:spacing w:line="276" w:lineRule="auto"/>
        <w:ind w:right="20"/>
        <w:jc w:val="both"/>
        <w:rPr>
          <w:rFonts w:ascii="ITC Avant Garde" w:eastAsia="Times New Roman" w:hAnsi="ITC Avant Garde" w:cs="Times New Roman"/>
          <w:szCs w:val="20"/>
          <w:lang w:val="es-ES" w:eastAsia="es-ES"/>
        </w:rPr>
      </w:pPr>
      <w:r w:rsidRPr="00EB3BA2">
        <w:rPr>
          <w:rFonts w:ascii="ITC Avant Garde" w:eastAsia="Times New Roman" w:hAnsi="ITC Avant Garde" w:cs="Times New Roman"/>
          <w:szCs w:val="20"/>
          <w:lang w:val="es-ES" w:eastAsia="es-ES"/>
        </w:rPr>
        <w:t>En este sentido, en los procedimientos para la resolución de esos desacuerdos iniciados a instancia de parte, el órgano regulador está obligado frente a los concesionarios intervinientes a respetar el derecho fundamental de acceso a la justicia, con la finalidad de garantizar efectivamente las condiciones jurídicas que posibiliten el reconocimiento y el ejercicio de su derecho de instancia, mediante la emisión de una Resolución.</w:t>
      </w:r>
    </w:p>
    <w:p w14:paraId="067D9D89" w14:textId="77777777" w:rsidR="009A500D" w:rsidRDefault="00BB070C" w:rsidP="009A500D">
      <w:pPr>
        <w:numPr>
          <w:ilvl w:val="0"/>
          <w:numId w:val="20"/>
        </w:numPr>
        <w:spacing w:line="276" w:lineRule="auto"/>
        <w:jc w:val="both"/>
        <w:rPr>
          <w:rFonts w:ascii="ITC Avant Garde" w:eastAsia="Times New Roman" w:hAnsi="ITC Avant Garde" w:cs="Tahoma"/>
          <w:b/>
          <w:bCs/>
          <w:szCs w:val="24"/>
          <w:lang w:val="es-ES" w:eastAsia="es-MX"/>
        </w:rPr>
      </w:pPr>
      <w:r w:rsidRPr="00EB3BA2">
        <w:rPr>
          <w:rFonts w:ascii="ITC Avant Garde" w:eastAsia="Times New Roman" w:hAnsi="ITC Avant Garde" w:cs="Tahoma"/>
          <w:b/>
          <w:bCs/>
          <w:szCs w:val="24"/>
          <w:lang w:val="es-ES" w:eastAsia="es-MX"/>
        </w:rPr>
        <w:t>Obligatoriedad de la interconexión</w:t>
      </w:r>
      <w:r w:rsidR="003F149C" w:rsidRPr="00EB3BA2">
        <w:rPr>
          <w:rFonts w:ascii="ITC Avant Garde" w:eastAsia="Times New Roman" w:hAnsi="ITC Avant Garde" w:cs="Tahoma"/>
          <w:b/>
          <w:bCs/>
          <w:szCs w:val="24"/>
          <w:lang w:val="es-ES" w:eastAsia="es-MX"/>
        </w:rPr>
        <w:t xml:space="preserve"> (servicio de mensajes cortos)</w:t>
      </w:r>
    </w:p>
    <w:p w14:paraId="5BDEA8CB"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 xml:space="preserve">Respecto del argumento de Telcel sobre que resulta improcedente la solicitud de OpenIP debido a que únicamente los concesionarios del servicio local móvil están facultados técnicamente para prestar el servicio de mensajes cortos P2P, se señala que dicho argumento es impreciso ya que técnicamente es factible que una red fija proporcione el servicio de mensajes cortos a sus propios usuarios e incluso se interconecte a concesionarios móviles para el intercambio de tráfico correspondiente a la prestación de dicho servicio. </w:t>
      </w:r>
    </w:p>
    <w:p w14:paraId="42B99C3E"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Es así que existe un conjunto de estándares del Instituto Europeo de Estándares en Telecomunicaciones (ETSI) sobre el servicio de mensajes cortos en redes fijas “Short Message Service for fixed networks” para la solución basada en la implementación del servicio en la red fija conformados por:</w:t>
      </w:r>
    </w:p>
    <w:p w14:paraId="3AEB86D8" w14:textId="07FE52C2" w:rsidR="00BB070C" w:rsidRPr="00EB3BA2" w:rsidRDefault="00BB070C" w:rsidP="009A500D">
      <w:pPr>
        <w:numPr>
          <w:ilvl w:val="0"/>
          <w:numId w:val="19"/>
        </w:numPr>
        <w:autoSpaceDE w:val="0"/>
        <w:autoSpaceDN w:val="0"/>
        <w:adjustRightInd w:val="0"/>
        <w:spacing w:line="276" w:lineRule="auto"/>
        <w:jc w:val="both"/>
        <w:rPr>
          <w:rFonts w:ascii="Helvetica" w:eastAsia="Times New Roman" w:hAnsi="Helvetica" w:cs="Helvetica"/>
          <w:b/>
          <w:bCs/>
          <w:sz w:val="34"/>
          <w:szCs w:val="34"/>
          <w:lang w:eastAsia="es-MX"/>
        </w:rPr>
      </w:pPr>
      <w:r w:rsidRPr="00EB3BA2">
        <w:rPr>
          <w:rFonts w:ascii="ITC Avant Garde" w:eastAsia="Times New Roman" w:hAnsi="ITC Avant Garde" w:cs="Times New Roman"/>
          <w:szCs w:val="24"/>
          <w:lang w:eastAsia="es-ES"/>
        </w:rPr>
        <w:t xml:space="preserve">ETSI ES 202 060-1 Part 1 Overview </w:t>
      </w:r>
    </w:p>
    <w:p w14:paraId="78A0D838" w14:textId="77777777" w:rsidR="00BB070C" w:rsidRPr="00EB3BA2" w:rsidRDefault="00BB070C" w:rsidP="009A500D">
      <w:pPr>
        <w:numPr>
          <w:ilvl w:val="0"/>
          <w:numId w:val="19"/>
        </w:numPr>
        <w:autoSpaceDE w:val="0"/>
        <w:autoSpaceDN w:val="0"/>
        <w:adjustRightInd w:val="0"/>
        <w:spacing w:line="276" w:lineRule="auto"/>
        <w:jc w:val="both"/>
        <w:rPr>
          <w:rFonts w:ascii="ITC Avant Garde" w:eastAsia="Times New Roman" w:hAnsi="ITC Avant Garde" w:cs="Times New Roman"/>
          <w:szCs w:val="24"/>
          <w:lang w:val="en-US" w:eastAsia="es-ES"/>
        </w:rPr>
      </w:pPr>
      <w:r w:rsidRPr="00EB3BA2">
        <w:rPr>
          <w:rFonts w:ascii="ITC Avant Garde" w:eastAsia="Times New Roman" w:hAnsi="ITC Avant Garde" w:cs="Times New Roman"/>
          <w:szCs w:val="24"/>
          <w:lang w:val="en-US" w:eastAsia="es-ES"/>
        </w:rPr>
        <w:t>ETSI ES 202 060-2 Part 2 Architecture and functional entities</w:t>
      </w:r>
    </w:p>
    <w:p w14:paraId="4D93CEAF" w14:textId="77777777" w:rsidR="00BB070C" w:rsidRPr="00EB3BA2" w:rsidRDefault="00BB070C" w:rsidP="009A500D">
      <w:pPr>
        <w:numPr>
          <w:ilvl w:val="0"/>
          <w:numId w:val="19"/>
        </w:numPr>
        <w:autoSpaceDE w:val="0"/>
        <w:autoSpaceDN w:val="0"/>
        <w:adjustRightInd w:val="0"/>
        <w:spacing w:line="276" w:lineRule="auto"/>
        <w:jc w:val="both"/>
        <w:rPr>
          <w:rFonts w:ascii="ITC Avant Garde" w:eastAsia="Times New Roman" w:hAnsi="ITC Avant Garde" w:cs="Times New Roman"/>
          <w:szCs w:val="24"/>
          <w:lang w:val="en-US" w:eastAsia="es-ES"/>
        </w:rPr>
      </w:pPr>
      <w:r w:rsidRPr="00EB3BA2">
        <w:rPr>
          <w:rFonts w:ascii="ITC Avant Garde" w:eastAsia="Times New Roman" w:hAnsi="ITC Avant Garde" w:cs="Times New Roman"/>
          <w:szCs w:val="24"/>
          <w:lang w:val="en-US" w:eastAsia="es-ES"/>
        </w:rPr>
        <w:t>ETSI ES 202 060-3 Part 3 Integrated Services Digital Network (ISDN) access protocol</w:t>
      </w:r>
    </w:p>
    <w:p w14:paraId="3A6CF09B" w14:textId="77777777" w:rsidR="00BB070C" w:rsidRPr="00EB3BA2" w:rsidRDefault="00BB070C" w:rsidP="009A500D">
      <w:pPr>
        <w:numPr>
          <w:ilvl w:val="0"/>
          <w:numId w:val="19"/>
        </w:numPr>
        <w:autoSpaceDE w:val="0"/>
        <w:autoSpaceDN w:val="0"/>
        <w:adjustRightInd w:val="0"/>
        <w:spacing w:line="276" w:lineRule="auto"/>
        <w:jc w:val="both"/>
        <w:rPr>
          <w:rFonts w:ascii="ITC Avant Garde" w:eastAsia="Times New Roman" w:hAnsi="ITC Avant Garde" w:cs="Times New Roman"/>
          <w:szCs w:val="24"/>
          <w:lang w:val="en-US" w:eastAsia="es-ES"/>
        </w:rPr>
      </w:pPr>
      <w:r w:rsidRPr="00EB3BA2">
        <w:rPr>
          <w:rFonts w:ascii="ITC Avant Garde" w:eastAsia="Times New Roman" w:hAnsi="ITC Avant Garde" w:cs="Times New Roman"/>
          <w:szCs w:val="24"/>
          <w:lang w:val="en-US" w:eastAsia="es-ES"/>
        </w:rPr>
        <w:t>ETSI ES 202 060-4 Part 4 Interworking between Signalling System No.7 and Digital Subscriber Signalling System No. one (DSS1)</w:t>
      </w:r>
    </w:p>
    <w:p w14:paraId="08F58D86" w14:textId="77777777" w:rsidR="009A500D" w:rsidRDefault="00BB070C" w:rsidP="009A500D">
      <w:pPr>
        <w:numPr>
          <w:ilvl w:val="0"/>
          <w:numId w:val="19"/>
        </w:numPr>
        <w:autoSpaceDE w:val="0"/>
        <w:autoSpaceDN w:val="0"/>
        <w:adjustRightInd w:val="0"/>
        <w:spacing w:line="276" w:lineRule="auto"/>
        <w:jc w:val="both"/>
        <w:rPr>
          <w:rFonts w:ascii="ITC Avant Garde" w:eastAsia="Times New Roman" w:hAnsi="ITC Avant Garde" w:cs="Times New Roman"/>
          <w:szCs w:val="24"/>
          <w:lang w:val="en-US" w:eastAsia="es-ES"/>
        </w:rPr>
      </w:pPr>
      <w:r w:rsidRPr="00EB3BA2">
        <w:rPr>
          <w:rFonts w:ascii="ITC Avant Garde" w:eastAsia="Times New Roman" w:hAnsi="ITC Avant Garde" w:cs="Times New Roman"/>
          <w:szCs w:val="24"/>
          <w:lang w:val="en-US" w:eastAsia="es-ES"/>
        </w:rPr>
        <w:t>ETSI ES 202 060-5 Part 5 Network access protocol</w:t>
      </w:r>
    </w:p>
    <w:p w14:paraId="5A47F96A"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 xml:space="preserve">En dichos estándares se establecen las entidades funcionales necesarias, los protocolos, así como la arquitectura para la interconexión entre diferentes redes lo cual permite la implementación del servicio de mensajes cortos en redes fijas. Es así que técnicamente es factible que una red fija pueda prestar el servicio de envío y </w:t>
      </w:r>
      <w:r w:rsidRPr="00EB3BA2">
        <w:rPr>
          <w:rFonts w:ascii="ITC Avant Garde" w:eastAsia="Calibri" w:hAnsi="ITC Avant Garde" w:cs="Times New Roman"/>
        </w:rPr>
        <w:lastRenderedPageBreak/>
        <w:t>recepción de mensajes cortos e incluso se interconecte con otras redes fijas o móviles para el intercambio de tráfico correspondiente a dicho servicio.</w:t>
      </w:r>
    </w:p>
    <w:p w14:paraId="07F77069"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Adicionalmente, existen varios ejemplos en el ámbito internacional de diferentes operadores fijos que prestan dicho servicio, tal es el caso de British Telecom en Reino Unido</w:t>
      </w:r>
      <w:r w:rsidRPr="00EB3BA2">
        <w:rPr>
          <w:rFonts w:ascii="ITC Avant Garde" w:eastAsia="Calibri" w:hAnsi="ITC Avant Garde" w:cs="Times New Roman"/>
          <w:vertAlign w:val="superscript"/>
        </w:rPr>
        <w:footnoteReference w:id="3"/>
      </w:r>
      <w:r w:rsidRPr="00EB3BA2">
        <w:rPr>
          <w:rFonts w:ascii="ITC Avant Garde" w:eastAsia="Calibri" w:hAnsi="ITC Avant Garde" w:cs="Times New Roman"/>
        </w:rPr>
        <w:t xml:space="preserve">. </w:t>
      </w:r>
    </w:p>
    <w:p w14:paraId="298B63B9" w14:textId="77777777" w:rsidR="009A500D" w:rsidRDefault="00BB070C" w:rsidP="009A500D">
      <w:pPr>
        <w:spacing w:line="276" w:lineRule="auto"/>
        <w:jc w:val="both"/>
        <w:rPr>
          <w:rFonts w:ascii="ITC Avant Garde" w:eastAsia="Calibri" w:hAnsi="ITC Avant Garde" w:cs="Times New Roman"/>
        </w:rPr>
      </w:pPr>
      <w:r w:rsidRPr="00EB3BA2">
        <w:rPr>
          <w:rFonts w:ascii="ITC Avant Garde" w:eastAsia="Calibri" w:hAnsi="ITC Avant Garde" w:cs="Times New Roman"/>
        </w:rPr>
        <w:t xml:space="preserve">Respecto al señalamiento de Telcel en el sentido de que el servicio corporativo de entrega masiva de mensajes cortos A2P no utiliza elementos de una red telefónica se reitera que si bien en el esquema de operación de este tipo de mensajes se utiliza un sistema informático que genera los mensajes, dicho sistema no es suficiente para la prestación del servicio ya que si bien es cierto que la originación del mensaje se realiza en una fuente que puede ser externa a la red de telecomunicaciones, el envío del mismo se realiza a través de la red, es así que resulta necesaria la utilización de una red pública de telecomunicaciones para la prestación del servicio. </w:t>
      </w:r>
    </w:p>
    <w:p w14:paraId="6028F6EC"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Respecto del argumento de Telcel en el sentido de que la LFTR no contiene regulación alguna respecto de mensajes cortos, se señala que el artículo 127 en su fracción I</w:t>
      </w:r>
      <w:r w:rsidRPr="00EB3BA2">
        <w:rPr>
          <w:rFonts w:ascii="ITC Avant Garde" w:eastAsia="Times New Roman" w:hAnsi="ITC Avant Garde" w:cs="Times New Roman"/>
          <w:szCs w:val="20"/>
          <w:lang w:val="es-ES" w:eastAsia="es-ES"/>
        </w:rPr>
        <w:t xml:space="preserve"> señala que el servicio de mensajes cortos es parte integrante de los servicios de interconexión por lo que se encuentra regulado de acuerdo a lo que dicho ordenamiento establece respecto de los servicios de interconexión.</w:t>
      </w:r>
    </w:p>
    <w:p w14:paraId="6B9AD9F1"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 xml:space="preserve">En el mismo sentido, respecto a que el Plan de Calidad en vigor considera al servicio de mensajes cortos como un servicio de naturaleza móvil se señala que, si bien es cierto que el Plan Técnico Fundamental de Calidad del Servicio Local Móvil establece los parámetros a los cuales se deberá sujetar la prestación del servicio de mensajes cortos en redes móviles, la interpretación de Telcel respecto a que por ello dicho Plan reconoce la naturaleza móvil del servicio resulta infundado ya que dicho Plan está dirigido a los autorizados para prestar el servicio local móvil sin que ello implique que los servicios para los que se determinan los parámetros de calidad tienen naturaleza móvil, tan es así que el mismo plan señala los parámetros de calidad para el servicio de voz lo cual no implica que dicho servicio sea o deba ser prestado únicamente por concesionarios de redes móviles. </w:t>
      </w:r>
    </w:p>
    <w:p w14:paraId="7B694FD2"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lastRenderedPageBreak/>
        <w:t>Asimismo, el argumento de Telcel en el sentido de que la solicitud es improcedente en virtud de que el servicio de intercambio electrónico de mensajes cortos es un servicio de Persona a Persona y no de Aplicación a Persona, siendo que esté último excede el alcance de la definición de interconexión, se considera improcedente por las siguientes razones:</w:t>
      </w:r>
    </w:p>
    <w:p w14:paraId="298C78EF" w14:textId="77777777" w:rsidR="009A500D" w:rsidRDefault="00BB070C" w:rsidP="009A500D">
      <w:pPr>
        <w:tabs>
          <w:tab w:val="left" w:pos="3332"/>
        </w:tabs>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 xml:space="preserve">Como se ha señalado anteriormente, desde un punto de vista técnico es perfectamente factible que una red fija pueda prestar el servicio de envío y recepción de mensajes cortos e incluso se interconecte con otras redes fijas o móviles, y que dicho servicio se realice bajo la modalidad P2P. </w:t>
      </w:r>
    </w:p>
    <w:p w14:paraId="0EBBFEE9" w14:textId="77777777" w:rsidR="009A500D" w:rsidRDefault="00BB070C" w:rsidP="009A500D">
      <w:pPr>
        <w:tabs>
          <w:tab w:val="left" w:pos="3332"/>
        </w:tabs>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Es así que, de conformidad con el marco legal y regulatorio vigente, los servicios de SMS se encuentran comprendidos dentro de los servicios de interconexión que señala el artículo 127 de la LFTR, por lo que es una obligación de los concesionarios interconectar sus redes para el intercambio de los mismos, por lo menos en la modalidad P2P.</w:t>
      </w:r>
    </w:p>
    <w:p w14:paraId="6BCFA0F9" w14:textId="77777777" w:rsidR="009A500D" w:rsidRDefault="00BB070C" w:rsidP="009A500D">
      <w:pPr>
        <w:spacing w:line="276" w:lineRule="auto"/>
        <w:ind w:right="20"/>
        <w:jc w:val="both"/>
        <w:rPr>
          <w:rFonts w:ascii="ITC Avant Garde" w:eastAsia="Times New Roman" w:hAnsi="ITC Avant Garde" w:cs="Times New Roman"/>
          <w:szCs w:val="20"/>
          <w:lang w:val="es-ES" w:eastAsia="es-ES"/>
        </w:rPr>
      </w:pPr>
      <w:r w:rsidRPr="00EB3BA2">
        <w:rPr>
          <w:rFonts w:ascii="ITC Avant Garde" w:eastAsia="Times New Roman" w:hAnsi="ITC Avant Garde" w:cs="Times New Roman"/>
          <w:szCs w:val="20"/>
          <w:lang w:val="es-ES" w:eastAsia="es-ES"/>
        </w:rPr>
        <w:t>En tal virtud, los argumentos de Telcel en este punto no se centran en objetar que se pueda dar la interconexión de servicio de mensajes cortos entre diferentes redes públicas de telecomunicaciones, sino que, simplemente no se puede dar bajo un tipo particular de modalidad y presume que es bajo esta modalidad que su contraparte desea prestar el servicio.</w:t>
      </w:r>
    </w:p>
    <w:p w14:paraId="41D107F8" w14:textId="77777777" w:rsidR="009A500D" w:rsidRDefault="00BB070C" w:rsidP="009A500D">
      <w:pPr>
        <w:tabs>
          <w:tab w:val="left" w:pos="3332"/>
        </w:tabs>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Ahora bien, es importante mencionar que los requisitos para llevar a cabo la interconexión han sido establecidos en la ley y en las diversas disposiciones regulatorias vigentes, por lo que Telcel no se puede constituir en autoridad a efecto de llevar a cabo verificaciones previas a sus contrapartes para determinar si es procedente una solicitud de interconexión.</w:t>
      </w:r>
    </w:p>
    <w:p w14:paraId="20ACDD49" w14:textId="77777777" w:rsidR="009A500D" w:rsidRDefault="00BB070C" w:rsidP="009A500D">
      <w:pPr>
        <w:tabs>
          <w:tab w:val="left" w:pos="3332"/>
        </w:tabs>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Es decir, no es procedente negar la interconexión requiriendo una verificación previa de la factibilidad técnica, la existencia de equipos homologados o inclusive la existencia de usuarios, ya que, la interconexión en sí misma puede ser un requisito previo para que un concesionario pueda llevar a cabo el desarrollo de un plan de negocios y la comercialización de un determinado servicio.</w:t>
      </w:r>
    </w:p>
    <w:p w14:paraId="1EA726C5" w14:textId="77777777" w:rsidR="009A500D" w:rsidRDefault="00BB070C" w:rsidP="009A500D">
      <w:pPr>
        <w:tabs>
          <w:tab w:val="left" w:pos="3332"/>
        </w:tabs>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 xml:space="preserve">Más aun, no resulta procedente negar la interconexión bajo la presunción de Telcel de la existencia de la prestación de dicho servicio bajo la plataforma A2P por parte de OpenIP, ello en virtud de que, el que el intercambio de SMS bajo la modalidad A2P exceda el alcance de la definición de interconexión se trata meramente de </w:t>
      </w:r>
      <w:r w:rsidRPr="00EB3BA2">
        <w:rPr>
          <w:rFonts w:ascii="ITC Avant Garde" w:eastAsia="Calibri" w:hAnsi="ITC Avant Garde" w:cs="Times New Roman"/>
        </w:rPr>
        <w:lastRenderedPageBreak/>
        <w:t xml:space="preserve">una interpretación de Telcel y de la presunción de una conducta de OpenIP que en todo caso sería un hecho futuro e incierto, por lo que se trata únicamente de suposiciones. </w:t>
      </w:r>
    </w:p>
    <w:p w14:paraId="105120BB" w14:textId="77777777" w:rsidR="009A500D" w:rsidRDefault="00BB070C" w:rsidP="009A500D">
      <w:pPr>
        <w:spacing w:line="276" w:lineRule="auto"/>
        <w:jc w:val="both"/>
        <w:rPr>
          <w:rFonts w:ascii="ITC Avant Garde" w:eastAsia="Times New Roman" w:hAnsi="ITC Avant Garde" w:cs="Times New Roman"/>
          <w:szCs w:val="20"/>
          <w:lang w:val="es-ES" w:eastAsia="es-ES"/>
        </w:rPr>
      </w:pPr>
      <w:r w:rsidRPr="00EB3BA2">
        <w:rPr>
          <w:rFonts w:ascii="ITC Avant Garde" w:eastAsia="Times New Roman" w:hAnsi="ITC Avant Garde" w:cs="Times New Roman"/>
          <w:szCs w:val="20"/>
        </w:rPr>
        <w:t xml:space="preserve">En virtud de lo anterior se observa que </w:t>
      </w:r>
      <w:r w:rsidRPr="00EB3BA2">
        <w:rPr>
          <w:rFonts w:ascii="ITC Avant Garde" w:eastAsia="Times New Roman" w:hAnsi="ITC Avant Garde" w:cs="Times New Roman"/>
          <w:szCs w:val="20"/>
          <w:lang w:val="es-ES" w:eastAsia="es-ES"/>
        </w:rPr>
        <w:t xml:space="preserve">el artículo 133 de la </w:t>
      </w:r>
      <w:r w:rsidR="0040667E" w:rsidRPr="00EB3BA2">
        <w:rPr>
          <w:rFonts w:ascii="ITC Avant Garde" w:eastAsia="Times New Roman" w:hAnsi="ITC Avant Garde" w:cs="Times New Roman"/>
          <w:szCs w:val="20"/>
          <w:lang w:val="es-ES" w:eastAsia="es-ES"/>
        </w:rPr>
        <w:t>LFTR</w:t>
      </w:r>
      <w:r w:rsidRPr="00EB3BA2">
        <w:rPr>
          <w:rFonts w:ascii="ITC Avant Garde" w:eastAsia="Times New Roman" w:hAnsi="ITC Avant Garde" w:cs="Times New Roman"/>
          <w:szCs w:val="20"/>
          <w:lang w:val="es-ES" w:eastAsia="es-ES"/>
        </w:rPr>
        <w:t xml:space="preserve"> señala que la prestación de todos los servicios de interconexión señalados en el artículo 127 de la propia ley será obligatoria para el agente económico preponderante, mientras que la fracción I de dicho precepto legal señala que el servicio de mensajes cortos es parte integrante de los servicios de interconexión.</w:t>
      </w:r>
    </w:p>
    <w:p w14:paraId="1ADAA9DC" w14:textId="77777777" w:rsidR="009A500D" w:rsidRDefault="00BB070C" w:rsidP="009A500D">
      <w:pPr>
        <w:spacing w:line="276" w:lineRule="auto"/>
        <w:ind w:right="20"/>
        <w:jc w:val="both"/>
        <w:rPr>
          <w:rFonts w:ascii="ITC Avant Garde" w:eastAsia="Times New Roman" w:hAnsi="ITC Avant Garde" w:cs="Times New Roman"/>
          <w:szCs w:val="20"/>
          <w:lang w:val="es-ES" w:eastAsia="es-ES"/>
        </w:rPr>
      </w:pPr>
      <w:r w:rsidRPr="00EB3BA2">
        <w:rPr>
          <w:rFonts w:ascii="ITC Avant Garde" w:eastAsia="Times New Roman" w:hAnsi="ITC Avant Garde" w:cs="Times New Roman"/>
          <w:szCs w:val="20"/>
          <w:lang w:val="es-ES" w:eastAsia="es-ES"/>
        </w:rPr>
        <w:t>De lo que se concluye que en términos de los artículos 118 y 125 de la LFTR Telcel está obligado a otorgar a OpenIP la interconexión para el servicio de mensajes cortos.</w:t>
      </w:r>
    </w:p>
    <w:p w14:paraId="5F0179C9" w14:textId="77777777" w:rsidR="009A500D" w:rsidRDefault="00BB070C" w:rsidP="009A500D">
      <w:pPr>
        <w:numPr>
          <w:ilvl w:val="0"/>
          <w:numId w:val="20"/>
        </w:numPr>
        <w:spacing w:line="276" w:lineRule="auto"/>
        <w:ind w:right="20"/>
        <w:jc w:val="both"/>
        <w:rPr>
          <w:rFonts w:ascii="ITC Avant Garde" w:eastAsia="Times New Roman" w:hAnsi="ITC Avant Garde" w:cs="Times New Roman"/>
          <w:b/>
          <w:szCs w:val="24"/>
          <w:lang w:eastAsia="es-ES"/>
        </w:rPr>
      </w:pPr>
      <w:r w:rsidRPr="00EB3BA2">
        <w:rPr>
          <w:rFonts w:ascii="ITC Avant Garde" w:eastAsia="Times New Roman" w:hAnsi="ITC Avant Garde" w:cs="Times New Roman"/>
          <w:b/>
          <w:szCs w:val="24"/>
          <w:lang w:eastAsia="es-ES"/>
        </w:rPr>
        <w:t>Prácticas indebidas</w:t>
      </w:r>
    </w:p>
    <w:p w14:paraId="4F9B4827"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En la experiencia internacional se ha observado la problemática del envío de mensajes SMS no solicitados o SPAM, la cual se traduce en perjuicio de los usuarios y operadores por diversos motivos, por ejemplo, los usuarios reciben un SMS, el cual los lleva a responderlo o a realizar llamadas a números de pago, los cuales tienen como consecuencia cobros inesperados; se les ofrecen premios a cambio de compartir cierta información personal, la cual es posteriormente comercializada a otras empresas con propósitos de marketing, entre otras prácticas de fraude hacia los usuarios</w:t>
      </w:r>
      <w:r w:rsidRPr="00EB3BA2">
        <w:rPr>
          <w:rFonts w:ascii="ITC Avant Garde" w:eastAsia="Calibri" w:hAnsi="ITC Avant Garde" w:cs="Times New Roman"/>
          <w:vertAlign w:val="superscript"/>
        </w:rPr>
        <w:footnoteReference w:id="4"/>
      </w:r>
      <w:r w:rsidRPr="00EB3BA2">
        <w:rPr>
          <w:rFonts w:ascii="ITC Avant Garde" w:eastAsia="Calibri" w:hAnsi="ITC Avant Garde" w:cs="Times New Roman"/>
        </w:rPr>
        <w:t>.</w:t>
      </w:r>
    </w:p>
    <w:p w14:paraId="17D5482E"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La reacción de los usuarios ante la recepción de SPAM es reclamar ante su operador por la recepción de mensajes a los cuales no había dado permiso; también puede ocasionar un incremento en las desconexiones (churn) debido a que los usuarios pierden confianza en su operador y, finalmente se traduce en un incremento de los costos operativos debido a que los operadores deben invertir en atención al cliente a efecto de contrarrestar las molestias causadas.</w:t>
      </w:r>
    </w:p>
    <w:p w14:paraId="41B57CB3"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 xml:space="preserve">De esta forma, el Instituto considera que la prestación del servicio debe darse en condiciones técnicas y de seguridad adecuadas, es así que las condiciones que señala Telcel sobre la prevención y detección de prácticas prohibidas como el </w:t>
      </w:r>
      <w:r w:rsidRPr="00EB3BA2">
        <w:rPr>
          <w:rFonts w:ascii="ITC Avant Garde" w:eastAsia="Calibri" w:hAnsi="ITC Avant Garde" w:cs="Times New Roman"/>
        </w:rPr>
        <w:lastRenderedPageBreak/>
        <w:t xml:space="preserve">envío masivo de mensajes </w:t>
      </w:r>
      <w:r w:rsidR="00C43A7F" w:rsidRPr="00EB3BA2">
        <w:rPr>
          <w:rFonts w:ascii="ITC Avant Garde" w:eastAsia="Calibri" w:hAnsi="ITC Avant Garde" w:cs="Times New Roman"/>
        </w:rPr>
        <w:t>cortos,</w:t>
      </w:r>
      <w:r w:rsidRPr="00EB3BA2">
        <w:rPr>
          <w:rFonts w:ascii="ITC Avant Garde" w:eastAsia="Calibri" w:hAnsi="ITC Avant Garde" w:cs="Times New Roman"/>
        </w:rPr>
        <w:t xml:space="preserve"> así como el uso de técnicas anti-SPAM deben ser aplicables.</w:t>
      </w:r>
    </w:p>
    <w:p w14:paraId="74A868A1" w14:textId="77777777" w:rsidR="009A500D" w:rsidRDefault="00BB070C" w:rsidP="009A500D">
      <w:pPr>
        <w:spacing w:line="276" w:lineRule="auto"/>
        <w:ind w:right="20"/>
        <w:jc w:val="both"/>
        <w:rPr>
          <w:rFonts w:ascii="ITC Avant Garde" w:eastAsia="Calibri" w:hAnsi="ITC Avant Garde" w:cs="Times New Roman"/>
          <w:b/>
          <w:bCs/>
        </w:rPr>
      </w:pPr>
      <w:r w:rsidRPr="00EB3BA2">
        <w:rPr>
          <w:rFonts w:ascii="ITC Avant Garde" w:eastAsia="Calibri" w:hAnsi="ITC Avant Garde" w:cs="Times New Roman"/>
        </w:rPr>
        <w:t xml:space="preserve">Es así que, con el fin de que el servicio de mensajes cortos entre OpenIP y Telcel se preste de acuerdo a las mejores prácticas a efecto de garantizar la calidad y continuidad en el servicio el Instituto considera procedente que la solicitud de OpenIP se atienda de acuerdo a las condiciones que se han venido pactando entre los operadores, mismas que se encuentran establecidas en el Anexo G “Modelo de Contrato SIEMC” contenido en el Convenio Marco de Interconexión aprobado mediante </w:t>
      </w:r>
      <w:r w:rsidR="00CB7D94" w:rsidRPr="00EB3BA2">
        <w:rPr>
          <w:rFonts w:ascii="ITC Avant Garde" w:eastAsia="Calibri" w:hAnsi="ITC Avant Garde" w:cs="Times New Roman"/>
        </w:rPr>
        <w:t>A</w:t>
      </w:r>
      <w:r w:rsidRPr="00EB3BA2">
        <w:rPr>
          <w:rFonts w:ascii="ITC Avant Garde" w:eastAsia="Calibri" w:hAnsi="ITC Avant Garde" w:cs="Times New Roman"/>
        </w:rPr>
        <w:t xml:space="preserve">cuerdo </w:t>
      </w:r>
      <w:r w:rsidRPr="00EB3BA2">
        <w:rPr>
          <w:rFonts w:ascii="ITC Avant Garde" w:eastAsia="Calibri" w:hAnsi="ITC Avant Garde" w:cs="Times New Roman"/>
          <w:bCs/>
        </w:rPr>
        <w:t>P/IFT/011117/656.</w:t>
      </w:r>
      <w:r w:rsidRPr="00EB3BA2">
        <w:rPr>
          <w:rFonts w:ascii="ITC Avant Garde" w:eastAsia="Calibri" w:hAnsi="ITC Avant Garde" w:cs="Times New Roman"/>
          <w:b/>
          <w:bCs/>
        </w:rPr>
        <w:t xml:space="preserve"> </w:t>
      </w:r>
    </w:p>
    <w:p w14:paraId="7B2710EE" w14:textId="77777777" w:rsidR="009A500D" w:rsidRDefault="00BB070C" w:rsidP="009A500D">
      <w:pPr>
        <w:spacing w:line="276" w:lineRule="auto"/>
        <w:ind w:right="20"/>
        <w:jc w:val="both"/>
        <w:rPr>
          <w:rFonts w:ascii="ITC Avant Garde" w:eastAsia="Calibri" w:hAnsi="ITC Avant Garde" w:cs="Times New Roman"/>
        </w:rPr>
      </w:pPr>
      <w:r w:rsidRPr="00EB3BA2">
        <w:rPr>
          <w:rFonts w:ascii="ITC Avant Garde" w:eastAsia="Calibri" w:hAnsi="ITC Avant Garde" w:cs="Times New Roman"/>
        </w:rPr>
        <w:t>Lo anterior, en términos de trato no discriminatorio y a efecto de fomentar el uso eficiente de las redes públicas de telecomunicaciones evitando prácticas prohibidas que pongan en riesgo la operación del servicio. Asimismo, a efecto de promover el proceso de competencia y libre concurrencia y velar por los derechos de los usuarios.</w:t>
      </w:r>
    </w:p>
    <w:p w14:paraId="2C43EC40" w14:textId="77777777" w:rsidR="009A500D" w:rsidRDefault="007110E4" w:rsidP="009A500D">
      <w:pPr>
        <w:jc w:val="both"/>
        <w:rPr>
          <w:rFonts w:ascii="ITC Avant Garde" w:hAnsi="ITC Avant Garde"/>
        </w:rPr>
      </w:pPr>
      <w:r w:rsidRPr="00EB3BA2">
        <w:rPr>
          <w:rFonts w:ascii="ITC Avant Garde" w:hAnsi="ITC Avant Garde"/>
        </w:rPr>
        <w:t>Una vez analizadas las manifestaciones generales, en términos del artículo 129 de la LFTR, se procede a resolver las condiciones no convenidas solicitadas por las partes.</w:t>
      </w:r>
    </w:p>
    <w:p w14:paraId="39CFC78B" w14:textId="77777777" w:rsidR="009A500D" w:rsidRDefault="00042E79" w:rsidP="009A500D">
      <w:pPr>
        <w:pStyle w:val="Prrafodelista"/>
        <w:numPr>
          <w:ilvl w:val="0"/>
          <w:numId w:val="35"/>
        </w:numPr>
        <w:spacing w:after="160" w:line="276" w:lineRule="auto"/>
        <w:ind w:left="426" w:hanging="426"/>
        <w:rPr>
          <w:rFonts w:ascii="ITC Avant Garde" w:hAnsi="ITC Avant Garde" w:cs="Arial"/>
        </w:rPr>
      </w:pPr>
      <w:r w:rsidRPr="00EB3BA2">
        <w:rPr>
          <w:rFonts w:ascii="ITC Avant Garde" w:hAnsi="ITC Avant Garde" w:cs="Arial"/>
          <w:b/>
        </w:rPr>
        <w:t>Interconexión entre las redes de OpenIP y Telcel y suscripción del Convenio Marco de Interconexión</w:t>
      </w:r>
    </w:p>
    <w:p w14:paraId="21DCD426" w14:textId="7DB23CB4" w:rsidR="009A500D" w:rsidRDefault="00042E79" w:rsidP="009A500D">
      <w:pPr>
        <w:spacing w:line="276" w:lineRule="auto"/>
        <w:jc w:val="both"/>
        <w:rPr>
          <w:rFonts w:ascii="ITC Avant Garde" w:eastAsia="Times New Roman" w:hAnsi="ITC Avant Garde" w:cs="Arial"/>
          <w:b/>
          <w:szCs w:val="24"/>
          <w:lang w:eastAsia="es-ES"/>
        </w:rPr>
      </w:pPr>
      <w:r w:rsidRPr="00EB3BA2">
        <w:rPr>
          <w:rFonts w:ascii="ITC Avant Garde" w:eastAsia="Times New Roman" w:hAnsi="ITC Avant Garde" w:cs="Arial"/>
          <w:b/>
          <w:szCs w:val="24"/>
          <w:lang w:eastAsia="es-ES"/>
        </w:rPr>
        <w:t>Argumentos de las partes</w:t>
      </w:r>
    </w:p>
    <w:p w14:paraId="7803B14E"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En la Solicitud de Resolución, el apoderado legal de OpenIP manifiesta que no cuenta con ningún tipo de interconexión con Telcel, lo que lo deja en serios problemas para el inicio de operaciones.</w:t>
      </w:r>
    </w:p>
    <w:p w14:paraId="215C226A"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Por su parte, Telcel manifiesta que no tiene inconveniente alguno en suscribir el Convenio Marco de Interconexión con OpenIP, siempre y cuando los servicios materia del mismo incluyan la totalidad de los términos y condiciones aplicables, según el contenido de la oferta de Telcel.</w:t>
      </w:r>
    </w:p>
    <w:p w14:paraId="4BBB1353" w14:textId="77777777" w:rsidR="009A500D" w:rsidRDefault="00042E79" w:rsidP="009A500D">
      <w:pPr>
        <w:spacing w:line="276" w:lineRule="auto"/>
        <w:jc w:val="both"/>
        <w:rPr>
          <w:rFonts w:ascii="ITC Avant Garde" w:eastAsia="Times New Roman" w:hAnsi="ITC Avant Garde" w:cs="Arial"/>
          <w:b/>
          <w:szCs w:val="24"/>
          <w:lang w:eastAsia="es-ES"/>
        </w:rPr>
      </w:pPr>
      <w:r w:rsidRPr="00EB3BA2">
        <w:rPr>
          <w:rFonts w:ascii="ITC Avant Garde" w:eastAsia="Times New Roman" w:hAnsi="ITC Avant Garde" w:cs="Arial"/>
          <w:b/>
          <w:szCs w:val="24"/>
          <w:lang w:eastAsia="es-ES"/>
        </w:rPr>
        <w:t>Consideraciones del Instituto</w:t>
      </w:r>
    </w:p>
    <w:p w14:paraId="746EEE73"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 xml:space="preserve">El artículo 125 de la LFTR establece que los concesionarios que operen redes públicas de telecomunicaciones estarán obligados a interconectar sus redes con las de otros concesionarios en condiciones no discriminatorias, transparentes, </w:t>
      </w:r>
      <w:r w:rsidRPr="00EB3BA2">
        <w:rPr>
          <w:rFonts w:ascii="ITC Avant Garde" w:eastAsia="Times New Roman" w:hAnsi="ITC Avant Garde" w:cs="Arial"/>
          <w:szCs w:val="24"/>
          <w:lang w:eastAsia="es-ES"/>
        </w:rPr>
        <w:lastRenderedPageBreak/>
        <w:t>basadas en criterios objetivos y en estricto cumplimiento a los planes que en la materia establezca el Instituto.</w:t>
      </w:r>
    </w:p>
    <w:p w14:paraId="55401609"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353DE6A1"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Ahora bien, de conformidad con el artículo 124 de la misma ley, dicha interconexión se realizará en estricto cumplimiento a los planes técnicos fundamentales que al efecto emita el Instituto.</w:t>
      </w:r>
    </w:p>
    <w:p w14:paraId="0C2ED12B"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En ese sentido, el artículo 6, fracción I, inciso c) del Plan Técnico Fundamental de Interconexión e Interoperabilidad, establece:</w:t>
      </w:r>
    </w:p>
    <w:p w14:paraId="5AC2A189" w14:textId="77777777" w:rsidR="009A500D" w:rsidRDefault="00042E79" w:rsidP="009A500D">
      <w:pPr>
        <w:spacing w:line="276" w:lineRule="auto"/>
        <w:ind w:left="426" w:right="333"/>
        <w:jc w:val="both"/>
        <w:rPr>
          <w:rFonts w:ascii="ITC Avant Garde" w:eastAsia="Times New Roman" w:hAnsi="ITC Avant Garde" w:cs="Arial"/>
          <w:i/>
          <w:sz w:val="18"/>
          <w:szCs w:val="18"/>
          <w:lang w:eastAsia="es-ES"/>
        </w:rPr>
      </w:pPr>
      <w:r w:rsidRPr="00EB3BA2">
        <w:rPr>
          <w:rFonts w:ascii="ITC Avant Garde" w:eastAsia="Times New Roman" w:hAnsi="ITC Avant Garde" w:cs="Arial"/>
          <w:i/>
          <w:sz w:val="18"/>
          <w:szCs w:val="18"/>
          <w:lang w:eastAsia="es-ES"/>
        </w:rPr>
        <w:t>“</w:t>
      </w:r>
      <w:r w:rsidRPr="00EB3BA2">
        <w:rPr>
          <w:rFonts w:ascii="ITC Avant Garde" w:eastAsia="Times New Roman" w:hAnsi="ITC Avant Garde" w:cs="Arial"/>
          <w:b/>
          <w:i/>
          <w:sz w:val="18"/>
          <w:szCs w:val="18"/>
          <w:lang w:eastAsia="es-ES"/>
        </w:rPr>
        <w:t>Artículo 6.</w:t>
      </w:r>
      <w:r w:rsidRPr="00EB3BA2">
        <w:rPr>
          <w:rFonts w:ascii="ITC Avant Garde" w:eastAsia="Times New Roman" w:hAnsi="ITC Avant Garde" w:cs="Arial"/>
          <w:i/>
          <w:sz w:val="18"/>
          <w:szCs w:val="18"/>
          <w:lang w:eastAsia="es-ES"/>
        </w:rPr>
        <w:t xml:space="preserve"> En la Interconexión que lleven a cabo los Concesionarios deberán observar al menos las siguientes condiciones:</w:t>
      </w:r>
    </w:p>
    <w:p w14:paraId="7D97157F" w14:textId="77777777" w:rsidR="009A500D" w:rsidRDefault="00042E79" w:rsidP="009A500D">
      <w:pPr>
        <w:spacing w:line="276" w:lineRule="auto"/>
        <w:ind w:left="426" w:right="333"/>
        <w:jc w:val="both"/>
        <w:rPr>
          <w:rFonts w:ascii="ITC Avant Garde" w:eastAsia="Times New Roman" w:hAnsi="ITC Avant Garde" w:cs="Arial"/>
          <w:i/>
          <w:sz w:val="18"/>
          <w:szCs w:val="18"/>
          <w:lang w:eastAsia="es-ES"/>
        </w:rPr>
      </w:pPr>
      <w:r w:rsidRPr="00EB3BA2">
        <w:rPr>
          <w:rFonts w:ascii="ITC Avant Garde" w:eastAsia="Times New Roman" w:hAnsi="ITC Avant Garde" w:cs="Arial"/>
          <w:i/>
          <w:sz w:val="18"/>
          <w:szCs w:val="18"/>
          <w:lang w:eastAsia="es-ES"/>
        </w:rPr>
        <w:t>I.</w:t>
      </w:r>
      <w:r w:rsidRPr="00EB3BA2">
        <w:rPr>
          <w:rFonts w:ascii="ITC Avant Garde" w:eastAsia="Times New Roman" w:hAnsi="ITC Avant Garde" w:cs="Arial"/>
          <w:i/>
          <w:sz w:val="18"/>
          <w:szCs w:val="18"/>
          <w:lang w:eastAsia="es-ES"/>
        </w:rPr>
        <w:tab/>
        <w:t>Técnicas.</w:t>
      </w:r>
    </w:p>
    <w:p w14:paraId="08A25146" w14:textId="77BBE041" w:rsidR="00042E79" w:rsidRPr="00EB3BA2" w:rsidRDefault="00042E79" w:rsidP="009A500D">
      <w:pPr>
        <w:spacing w:line="276" w:lineRule="auto"/>
        <w:ind w:left="426" w:right="333"/>
        <w:jc w:val="both"/>
        <w:rPr>
          <w:rFonts w:ascii="ITC Avant Garde" w:eastAsia="Times New Roman" w:hAnsi="ITC Avant Garde" w:cs="Arial"/>
          <w:i/>
          <w:sz w:val="18"/>
          <w:szCs w:val="18"/>
          <w:lang w:eastAsia="es-ES"/>
        </w:rPr>
      </w:pPr>
      <w:r w:rsidRPr="00EB3BA2">
        <w:rPr>
          <w:rFonts w:ascii="ITC Avant Garde" w:eastAsia="Times New Roman" w:hAnsi="ITC Avant Garde" w:cs="Arial"/>
          <w:i/>
          <w:sz w:val="18"/>
          <w:szCs w:val="18"/>
          <w:lang w:eastAsia="es-ES"/>
        </w:rPr>
        <w:t>[…]</w:t>
      </w:r>
    </w:p>
    <w:p w14:paraId="5614B01D" w14:textId="77777777" w:rsidR="00042E79" w:rsidRPr="00EB3BA2" w:rsidRDefault="00042E79" w:rsidP="009A500D">
      <w:pPr>
        <w:spacing w:line="276" w:lineRule="auto"/>
        <w:ind w:left="426" w:right="333"/>
        <w:jc w:val="both"/>
        <w:rPr>
          <w:rFonts w:ascii="ITC Avant Garde" w:eastAsia="Times New Roman" w:hAnsi="ITC Avant Garde" w:cs="Arial"/>
          <w:i/>
          <w:sz w:val="18"/>
          <w:szCs w:val="18"/>
          <w:lang w:eastAsia="es-ES"/>
        </w:rPr>
      </w:pPr>
      <w:r w:rsidRPr="00EB3BA2">
        <w:rPr>
          <w:rFonts w:ascii="ITC Avant Garde" w:eastAsia="Times New Roman" w:hAnsi="ITC Avant Garde" w:cs="Arial"/>
          <w:i/>
          <w:sz w:val="18"/>
          <w:szCs w:val="18"/>
          <w:lang w:eastAsia="es-ES"/>
        </w:rPr>
        <w:t xml:space="preserve">c) La descripción de diagramas de Interconexión de las RPTs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05E55930" w14:textId="77777777" w:rsidR="009A500D" w:rsidRDefault="00042E79" w:rsidP="009A500D">
      <w:pPr>
        <w:spacing w:line="276" w:lineRule="auto"/>
        <w:ind w:left="426" w:right="333"/>
        <w:jc w:val="both"/>
        <w:rPr>
          <w:rFonts w:ascii="ITC Avant Garde" w:eastAsia="Times New Roman" w:hAnsi="ITC Avant Garde" w:cs="Arial"/>
          <w:i/>
          <w:sz w:val="18"/>
          <w:szCs w:val="18"/>
          <w:lang w:eastAsia="es-ES"/>
        </w:rPr>
      </w:pPr>
      <w:r w:rsidRPr="00EB3BA2">
        <w:rPr>
          <w:rFonts w:ascii="ITC Avant Garde" w:eastAsia="Times New Roman" w:hAnsi="ITC Avant Garde" w:cs="Arial"/>
          <w:i/>
          <w:sz w:val="18"/>
          <w:szCs w:val="18"/>
          <w:lang w:eastAsia="es-ES"/>
        </w:rPr>
        <w:t>[…]”</w:t>
      </w:r>
    </w:p>
    <w:p w14:paraId="3EDBC542"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En términos de los ordenamientos antes señalados, es un derecho de las partes elegir interconectarse de manera directa o indirecta con el otro.</w:t>
      </w:r>
    </w:p>
    <w:p w14:paraId="6A0547E1"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Por su parte, las Medidas Cuartas y Undécima de las Medidas Móviles contenidas en la Resolución del AEP y de la Resolución Bienal, establece a la letra lo siguiente:</w:t>
      </w:r>
    </w:p>
    <w:p w14:paraId="02B2F977" w14:textId="77777777" w:rsidR="009A500D" w:rsidRDefault="00042E79" w:rsidP="009A500D">
      <w:pPr>
        <w:spacing w:line="276" w:lineRule="auto"/>
        <w:ind w:left="426" w:right="333"/>
        <w:jc w:val="both"/>
        <w:rPr>
          <w:rFonts w:ascii="ITC Avant Garde" w:hAnsi="ITC Avant Garde"/>
          <w:i/>
          <w:sz w:val="18"/>
          <w:szCs w:val="18"/>
        </w:rPr>
      </w:pPr>
      <w:r w:rsidRPr="00EB3BA2">
        <w:rPr>
          <w:rFonts w:ascii="ITC Avant Garde" w:hAnsi="ITC Avant Garde"/>
          <w:b/>
          <w:bCs/>
          <w:i/>
          <w:sz w:val="18"/>
          <w:szCs w:val="18"/>
        </w:rPr>
        <w:t xml:space="preserve">“CUARTA.- </w:t>
      </w:r>
      <w:r w:rsidRPr="00EB3BA2">
        <w:rPr>
          <w:rFonts w:ascii="ITC Avant Garde" w:hAnsi="ITC Avant Garde"/>
          <w:i/>
          <w:sz w:val="18"/>
          <w:szCs w:val="18"/>
        </w:rPr>
        <w:t>El Agente Económico Preponderante deberá prestar a los Concesionarios Solicitantes, el Servicio de Interconexión para la Terminación de Tráfico en sus redes; para tal efecto y conforme le sea requerido por el Concesionario Solicitante, dicha Interconexión será proporcionada de manera directa o a través del servicio de Tránsito provisto por un tercer concesionario.</w:t>
      </w:r>
    </w:p>
    <w:p w14:paraId="051D36AE" w14:textId="77777777" w:rsidR="009A500D" w:rsidRDefault="00042E79" w:rsidP="009A500D">
      <w:pPr>
        <w:spacing w:line="276" w:lineRule="auto"/>
        <w:ind w:left="426" w:right="333"/>
        <w:jc w:val="both"/>
        <w:rPr>
          <w:rFonts w:ascii="ITC Avant Garde" w:eastAsia="Times New Roman" w:hAnsi="ITC Avant Garde" w:cs="Arial"/>
          <w:i/>
          <w:sz w:val="18"/>
          <w:szCs w:val="18"/>
          <w:lang w:eastAsia="es-ES"/>
        </w:rPr>
      </w:pPr>
      <w:r w:rsidRPr="00EB3BA2">
        <w:rPr>
          <w:rFonts w:ascii="ITC Avant Garde" w:eastAsia="Times New Roman" w:hAnsi="ITC Avant Garde" w:cs="Arial"/>
          <w:i/>
          <w:sz w:val="18"/>
          <w:szCs w:val="18"/>
          <w:lang w:eastAsia="es-ES"/>
        </w:rPr>
        <w:t>(…)</w:t>
      </w:r>
    </w:p>
    <w:p w14:paraId="5856A7E3" w14:textId="2718FFE2" w:rsidR="00042E79" w:rsidRPr="00EB3BA2" w:rsidRDefault="00042E79" w:rsidP="009A500D">
      <w:pPr>
        <w:spacing w:line="276" w:lineRule="auto"/>
        <w:ind w:left="426" w:right="333"/>
        <w:jc w:val="both"/>
        <w:rPr>
          <w:rFonts w:ascii="ITC Avant Garde" w:eastAsia="Times New Roman" w:hAnsi="ITC Avant Garde" w:cs="Arial"/>
          <w:i/>
          <w:sz w:val="18"/>
          <w:szCs w:val="18"/>
          <w:lang w:eastAsia="es-ES"/>
        </w:rPr>
      </w:pPr>
      <w:r w:rsidRPr="00EB3BA2">
        <w:rPr>
          <w:rFonts w:ascii="ITC Avant Garde" w:eastAsia="Times New Roman" w:hAnsi="ITC Avant Garde" w:cs="Arial"/>
          <w:b/>
          <w:i/>
          <w:sz w:val="18"/>
          <w:szCs w:val="18"/>
          <w:lang w:eastAsia="es-ES"/>
        </w:rPr>
        <w:lastRenderedPageBreak/>
        <w:t>UNDÉCIMA.-</w:t>
      </w:r>
      <w:r w:rsidRPr="00EB3BA2">
        <w:rPr>
          <w:rFonts w:ascii="ITC Avant Garde" w:eastAsia="Times New Roman" w:hAnsi="ITC Avant Garde" w:cs="Arial"/>
          <w:i/>
          <w:sz w:val="18"/>
          <w:szCs w:val="18"/>
          <w:lang w:eastAsia="es-ES"/>
        </w:rPr>
        <w:t xml:space="preserve"> El Agente Económico Preponderante deberá ofrecer los términos y condiciones contenidas en el Convenio Marco de Interconexión que sean requeridos por el Concesionario Solicitante, mismos que serán formalizados mediante la suscripción de un Convenio de Interconexión.</w:t>
      </w:r>
    </w:p>
    <w:p w14:paraId="1B262651" w14:textId="77777777" w:rsidR="009A500D" w:rsidRDefault="00042E79" w:rsidP="009A500D">
      <w:pPr>
        <w:spacing w:line="276" w:lineRule="auto"/>
        <w:ind w:left="426" w:right="333"/>
        <w:jc w:val="right"/>
        <w:rPr>
          <w:rFonts w:ascii="ITC Avant Garde" w:eastAsia="Times New Roman" w:hAnsi="ITC Avant Garde" w:cs="Arial"/>
          <w:i/>
          <w:sz w:val="18"/>
          <w:szCs w:val="18"/>
          <w:lang w:eastAsia="es-ES"/>
        </w:rPr>
      </w:pPr>
      <w:r w:rsidRPr="00EB3BA2">
        <w:rPr>
          <w:rFonts w:ascii="ITC Avant Garde" w:eastAsia="Times New Roman" w:hAnsi="ITC Avant Garde" w:cs="Arial"/>
          <w:i/>
          <w:sz w:val="18"/>
          <w:szCs w:val="18"/>
          <w:lang w:eastAsia="es-ES"/>
        </w:rPr>
        <w:t>(…)”</w:t>
      </w:r>
    </w:p>
    <w:p w14:paraId="77EF841B"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En ese sentido, Telcel se encuentra obligado a proporcionar a OpenIP el servicio de interconexión en cualquiera de las modalidades mencionadas, esto es, a través de la interconexión directa Telcel está obligado a recibir el tráfico entrante de OpenIP en los puntos de interconexión que se han dispuesto para tal efecto, o bien, recibir el tráfico entrante de OpenIP a través del servicio de tránsito provisto por un tercer concesionario.</w:t>
      </w:r>
    </w:p>
    <w:p w14:paraId="7030AB60"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Lo anterior sin perjuicio del derecho que tiene Telcel de entregar su tráfico hacia la red de OpenIP, mediante el servicio de tránsito provisto por un tercer concesionario.</w:t>
      </w:r>
    </w:p>
    <w:p w14:paraId="1975A121" w14:textId="77777777" w:rsidR="009A500D" w:rsidRDefault="00042E79"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En virtud de lo anterior, de conformidad con el artículo 129, fracción IX de la LFTR, la interconexión efectiva entre las redes de Telcel y OpenIP y el intercambio de tráfico deberán iniciar a más tardar dentro de los treinta (30) días naturales contados a partir del día siguiente a la notificación de la presente Resolución.</w:t>
      </w:r>
    </w:p>
    <w:p w14:paraId="033B2109" w14:textId="77777777" w:rsidR="009A500D" w:rsidRDefault="00BB070C" w:rsidP="009A500D">
      <w:pPr>
        <w:pStyle w:val="Prrafodelista"/>
        <w:numPr>
          <w:ilvl w:val="0"/>
          <w:numId w:val="35"/>
        </w:numPr>
        <w:spacing w:after="160" w:line="276" w:lineRule="auto"/>
        <w:ind w:left="426" w:hanging="426"/>
        <w:rPr>
          <w:rFonts w:ascii="ITC Avant Garde" w:hAnsi="ITC Avant Garde" w:cs="Arial"/>
          <w:b/>
        </w:rPr>
      </w:pPr>
      <w:r w:rsidRPr="00EB3BA2">
        <w:rPr>
          <w:rFonts w:ascii="ITC Avant Garde" w:hAnsi="ITC Avant Garde" w:cs="Arial"/>
          <w:b/>
        </w:rPr>
        <w:t>Tarifas de interconexión</w:t>
      </w:r>
    </w:p>
    <w:p w14:paraId="55628FB9" w14:textId="77777777" w:rsidR="009A500D" w:rsidRDefault="00BB070C" w:rsidP="009A500D">
      <w:pPr>
        <w:spacing w:line="276" w:lineRule="auto"/>
        <w:ind w:right="20"/>
        <w:jc w:val="both"/>
        <w:rPr>
          <w:rFonts w:ascii="ITC Avant Garde" w:eastAsia="Calibri" w:hAnsi="ITC Avant Garde" w:cs="Arial"/>
          <w:b/>
        </w:rPr>
      </w:pPr>
      <w:r w:rsidRPr="00EB3BA2">
        <w:rPr>
          <w:rFonts w:ascii="ITC Avant Garde" w:eastAsia="Calibri" w:hAnsi="ITC Avant Garde" w:cs="Arial"/>
          <w:b/>
        </w:rPr>
        <w:t>Argumentos de las partes</w:t>
      </w:r>
    </w:p>
    <w:p w14:paraId="7F70768F" w14:textId="77777777" w:rsidR="009A500D" w:rsidRDefault="00BB070C" w:rsidP="009A500D">
      <w:pPr>
        <w:spacing w:line="276" w:lineRule="auto"/>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 xml:space="preserve">En la Solicitud de Resolución OpenIP solicitó a este Instituto resolver los términos, condiciones y tarifas de interconexión para el servicio de SMS, </w:t>
      </w:r>
      <w:r w:rsidR="00AF3EFF" w:rsidRPr="00EB3BA2">
        <w:rPr>
          <w:rFonts w:ascii="ITC Avant Garde" w:eastAsia="Times New Roman" w:hAnsi="ITC Avant Garde" w:cs="Times New Roman"/>
          <w:lang w:eastAsia="es-ES"/>
        </w:rPr>
        <w:t>t</w:t>
      </w:r>
      <w:r w:rsidRPr="00EB3BA2">
        <w:rPr>
          <w:rFonts w:ascii="ITC Avant Garde" w:eastAsia="Times New Roman" w:hAnsi="ITC Avant Garde" w:cs="Times New Roman"/>
          <w:lang w:eastAsia="es-ES"/>
        </w:rPr>
        <w:t>erminación de voz pública conmutada a la red de Telcel, así como la tarifa de tránsito que deberá pagar a Telcel.</w:t>
      </w:r>
    </w:p>
    <w:p w14:paraId="34393B92" w14:textId="77777777" w:rsidR="009A500D" w:rsidRDefault="00BB070C" w:rsidP="009A500D">
      <w:pPr>
        <w:spacing w:line="276" w:lineRule="auto"/>
        <w:ind w:right="20"/>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Por su parte, Telcel señala que no ha prestado hasta el momento el servicio de tránsito en virtud de que (i) no cuenta con una red de tránsito y (ii) estaría en aptitud de prestar el servicio de tránsito a través de los miembros del Agente Económico Preponderante que cuentan con una red de tránsito y que desde hace muchos años han venido prestando dicho servicio a prácticamente todos los concesionarios de la industria que lo han solicitado.</w:t>
      </w:r>
    </w:p>
    <w:p w14:paraId="6276AA79" w14:textId="77777777" w:rsidR="009A500D" w:rsidRDefault="00BB070C" w:rsidP="009A500D">
      <w:pPr>
        <w:spacing w:line="276" w:lineRule="auto"/>
        <w:ind w:right="20"/>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 xml:space="preserve">Asimismo, señala que es el Agente Económico Preponderante el que está obligado a prestar el servicio de tránsito a los concesionarios que así lo requieran. En este sentido, el Pleno de ese Instituto designó como Agente Económico Preponderante </w:t>
      </w:r>
      <w:r w:rsidRPr="00EB3BA2">
        <w:rPr>
          <w:rFonts w:ascii="ITC Avant Garde" w:eastAsia="Times New Roman" w:hAnsi="ITC Avant Garde" w:cs="Times New Roman"/>
          <w:lang w:eastAsia="es-ES"/>
        </w:rPr>
        <w:lastRenderedPageBreak/>
        <w:t xml:space="preserve">al Grupo de interés Económico integrado, entre otros, por los concesionarios Telcel, Teléfonos de México, S.A.B. de C.V. y Teléfonos del Noroeste, S.A. de C.V. (estos dos últimos conjuntamente y en lo sucesivo "Telmex”). Señala </w:t>
      </w:r>
      <w:r w:rsidR="009358A2" w:rsidRPr="00EB3BA2">
        <w:rPr>
          <w:rFonts w:ascii="ITC Avant Garde" w:eastAsia="Times New Roman" w:hAnsi="ITC Avant Garde" w:cs="Times New Roman"/>
          <w:lang w:eastAsia="es-ES"/>
        </w:rPr>
        <w:t>que,</w:t>
      </w:r>
      <w:r w:rsidRPr="00EB3BA2">
        <w:rPr>
          <w:rFonts w:ascii="ITC Avant Garde" w:eastAsia="Times New Roman" w:hAnsi="ITC Avant Garde" w:cs="Times New Roman"/>
          <w:lang w:eastAsia="es-ES"/>
        </w:rPr>
        <w:t xml:space="preserve"> de esta manera, el cumplimiento a la medida Sexta de las Medidas Móviles se ve satisfecho siempre y cuando el miembro del Agente Económico Preponderante que cuenta con una red de tránsito ofrezca dicho servicio para el transporte de tráfico hacia cualquier red dentro del territorio nacional con la que mantenga servicios de interconexión directa.</w:t>
      </w:r>
    </w:p>
    <w:p w14:paraId="5113D8FE" w14:textId="77777777" w:rsidR="009A500D" w:rsidRDefault="00BB070C" w:rsidP="009A500D">
      <w:pPr>
        <w:spacing w:line="276" w:lineRule="auto"/>
        <w:ind w:right="20"/>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De igual manera, Telcel señala que no lleva a cabo la actividad regulada consistente en la prestación del servicio de tránsito, sin que ello se traduzca en modo alguno en que el Agente Económico Preponderante no preste el servicio de tránsito a los operadores que lo soliciten, pues efectivamente lo presta a través de Telmex.</w:t>
      </w:r>
    </w:p>
    <w:p w14:paraId="05891F7B" w14:textId="77777777" w:rsidR="009A500D" w:rsidRDefault="00BB070C" w:rsidP="009A500D">
      <w:pPr>
        <w:spacing w:line="276" w:lineRule="auto"/>
        <w:jc w:val="both"/>
        <w:rPr>
          <w:rFonts w:ascii="ITC Avant Garde" w:eastAsia="Times New Roman" w:hAnsi="ITC Avant Garde" w:cs="Arial"/>
        </w:rPr>
      </w:pPr>
      <w:r w:rsidRPr="00EB3BA2">
        <w:rPr>
          <w:rFonts w:ascii="ITC Avant Garde" w:eastAsia="Times New Roman" w:hAnsi="ITC Avant Garde" w:cs="Arial"/>
        </w:rPr>
        <w:t xml:space="preserve">Asimismo, Telcel señala que obligarlo a prestar el servicio de tránsito es contrario al principio de eficiencia y </w:t>
      </w:r>
      <w:r w:rsidR="009358A2" w:rsidRPr="00EB3BA2">
        <w:rPr>
          <w:rFonts w:ascii="ITC Avant Garde" w:eastAsia="Times New Roman" w:hAnsi="ITC Avant Garde" w:cs="Arial"/>
        </w:rPr>
        <w:t>que,</w:t>
      </w:r>
      <w:r w:rsidRPr="00EB3BA2">
        <w:rPr>
          <w:rFonts w:ascii="ITC Avant Garde" w:eastAsia="Times New Roman" w:hAnsi="ITC Avant Garde" w:cs="Arial"/>
        </w:rPr>
        <w:t xml:space="preserve"> si ese instituto resolviera indebidamente que Telcel deberá prestar por sí solo el servicio de tránsito, y no a través de los miembros del Agente Económico Preponderante que cuentan con una red de tránsito, se obligaría innecesariamente a Telcel a realizar cuantiosas inversiones y adecuaciones a su red.</w:t>
      </w:r>
    </w:p>
    <w:p w14:paraId="4CBDD340" w14:textId="77777777" w:rsidR="009A500D" w:rsidRDefault="00BB070C" w:rsidP="009A500D">
      <w:pPr>
        <w:spacing w:line="276" w:lineRule="auto"/>
        <w:ind w:right="20"/>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Telcel menciona que la prestación del servicio de tránsito a cargo de Telcel implicaría la necesidad de que los concesionarios incurrieran en costos adicionales, al verse en la necesidad de cubrir una tarifa de tránsito que atendiera a los costos derivados de las inversiones que Telcel tuviera que realizar para contar con una red de tránsito, incluyendo los relacionados a la conmutación y transmisión. Señala que, si ese Instituto resolviera que Telcel debe prestar el servicio de tránsito por sus propios medios y sin utilizar la red de tránsito de Telmex entonces Telcel tendría que replicar, sin razón suficiente para ello, la arquitectura de red de Telmex para establecer las jerarquías de interconexión que actualmente no tiene.</w:t>
      </w:r>
    </w:p>
    <w:p w14:paraId="18594CD8" w14:textId="77777777" w:rsidR="009A500D" w:rsidRDefault="00BB070C" w:rsidP="009A500D">
      <w:pPr>
        <w:spacing w:line="276" w:lineRule="auto"/>
        <w:ind w:right="20"/>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 xml:space="preserve">Telcel menciona </w:t>
      </w:r>
      <w:r w:rsidR="0021317B" w:rsidRPr="00EB3BA2">
        <w:rPr>
          <w:rFonts w:ascii="ITC Avant Garde" w:eastAsia="Times New Roman" w:hAnsi="ITC Avant Garde" w:cs="Times New Roman"/>
          <w:lang w:eastAsia="es-ES"/>
        </w:rPr>
        <w:t>que,</w:t>
      </w:r>
      <w:r w:rsidRPr="00EB3BA2">
        <w:rPr>
          <w:rFonts w:ascii="ITC Avant Garde" w:eastAsia="Times New Roman" w:hAnsi="ITC Avant Garde" w:cs="Times New Roman"/>
          <w:lang w:eastAsia="es-ES"/>
        </w:rPr>
        <w:t xml:space="preserve"> por otra parte, se debe considerar que dentro de la experiencia internacional la prestación de los servicios de tránsito corresponde a los operadores fijos</w:t>
      </w:r>
      <w:r w:rsidR="00A97014" w:rsidRPr="00EB3BA2">
        <w:rPr>
          <w:rFonts w:ascii="ITC Avant Garde" w:eastAsia="Times New Roman" w:hAnsi="ITC Avant Garde" w:cs="Times New Roman"/>
          <w:lang w:eastAsia="es-ES"/>
        </w:rPr>
        <w:t>históricos</w:t>
      </w:r>
      <w:r w:rsidRPr="00EB3BA2">
        <w:rPr>
          <w:rFonts w:ascii="ITC Avant Garde" w:eastAsia="Times New Roman" w:hAnsi="ITC Avant Garde" w:cs="Times New Roman"/>
          <w:lang w:eastAsia="es-ES"/>
        </w:rPr>
        <w:t>.</w:t>
      </w:r>
      <w:r w:rsidRPr="00EB3BA2">
        <w:rPr>
          <w:rFonts w:ascii="Calibri" w:eastAsia="Calibri" w:hAnsi="Calibri" w:cs="Times New Roman"/>
        </w:rPr>
        <w:t xml:space="preserve"> </w:t>
      </w:r>
      <w:r w:rsidRPr="00EB3BA2">
        <w:rPr>
          <w:rFonts w:ascii="ITC Avant Garde" w:eastAsia="Times New Roman" w:hAnsi="ITC Avant Garde" w:cs="Times New Roman"/>
          <w:lang w:eastAsia="es-ES"/>
        </w:rPr>
        <w:t xml:space="preserve">Telcel argumenta </w:t>
      </w:r>
      <w:r w:rsidR="0021317B" w:rsidRPr="00EB3BA2">
        <w:rPr>
          <w:rFonts w:ascii="ITC Avant Garde" w:eastAsia="Times New Roman" w:hAnsi="ITC Avant Garde" w:cs="Times New Roman"/>
          <w:lang w:eastAsia="es-ES"/>
        </w:rPr>
        <w:t>que,</w:t>
      </w:r>
      <w:r w:rsidRPr="00EB3BA2">
        <w:rPr>
          <w:rFonts w:ascii="ITC Avant Garde" w:eastAsia="Times New Roman" w:hAnsi="ITC Avant Garde" w:cs="Times New Roman"/>
          <w:lang w:eastAsia="es-ES"/>
        </w:rPr>
        <w:t xml:space="preserve"> tanto en diversos países de América Latina como en México, lo más eficiente y lo óptimo, es que la prestación de los servicios de tránsito se lleve a cabo por el operador fijo </w:t>
      </w:r>
      <w:r w:rsidR="00A97014" w:rsidRPr="00EB3BA2">
        <w:rPr>
          <w:rFonts w:ascii="ITC Avant Garde" w:eastAsia="Times New Roman" w:hAnsi="ITC Avant Garde" w:cs="Times New Roman"/>
          <w:lang w:eastAsia="es-ES"/>
        </w:rPr>
        <w:t>histórico</w:t>
      </w:r>
      <w:r w:rsidRPr="00EB3BA2">
        <w:rPr>
          <w:rFonts w:ascii="ITC Avant Garde" w:eastAsia="Times New Roman" w:hAnsi="ITC Avant Garde" w:cs="Times New Roman"/>
          <w:lang w:eastAsia="es-ES"/>
        </w:rPr>
        <w:t>, Telmex en el caso que nos ocupa.</w:t>
      </w:r>
    </w:p>
    <w:p w14:paraId="6A09F1B0" w14:textId="77777777" w:rsidR="009A500D" w:rsidRDefault="00BB070C" w:rsidP="009A500D">
      <w:pPr>
        <w:spacing w:line="276" w:lineRule="auto"/>
        <w:ind w:right="20"/>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lastRenderedPageBreak/>
        <w:t>Asimismo, Telcel señala que el Instituto debe tener presente que la eventual prestación de los servicios de tránsito por parte de Telcel, por sí sola y sin utilizar la red de tránsito de Telmex, se realizaría (i) respecto de las redes con las que Telcel se encuentre interconectado de forma directa y bidireccional, exclusivamente, y (ii) considerando los puntos de interconexión que Telcel tiene.</w:t>
      </w:r>
    </w:p>
    <w:p w14:paraId="35DD2C76" w14:textId="77777777" w:rsidR="009A500D" w:rsidRDefault="00BB070C" w:rsidP="009A500D">
      <w:pPr>
        <w:spacing w:line="276" w:lineRule="auto"/>
        <w:ind w:right="20"/>
        <w:jc w:val="both"/>
        <w:rPr>
          <w:rFonts w:ascii="ITC Avant Garde" w:eastAsia="Times New Roman" w:hAnsi="ITC Avant Garde" w:cs="Times New Roman"/>
          <w:lang w:eastAsia="es-ES"/>
        </w:rPr>
      </w:pPr>
      <w:r w:rsidRPr="00EB3BA2">
        <w:rPr>
          <w:rFonts w:ascii="ITC Avant Garde" w:eastAsia="Times New Roman" w:hAnsi="ITC Avant Garde" w:cs="Times New Roman"/>
          <w:lang w:eastAsia="es-ES"/>
        </w:rPr>
        <w:t>De igual forma manifiesta que en caso de que el Instituto decida determinar las tarifas de interconexión solicitadas por OpenIP, determine también las tarifas de interconexión que Telcel deberá pagar al concesionario por servicios de terminación de tráfico público conmutado y por servicio de terminación de mensajes en la Red de OpenIP, para el periodo comprendido del 1 de enero al 31 de diciembre de 2018.</w:t>
      </w:r>
    </w:p>
    <w:p w14:paraId="64A1704A" w14:textId="77777777" w:rsidR="009A500D" w:rsidRDefault="00BB070C" w:rsidP="009A500D">
      <w:pPr>
        <w:spacing w:line="276" w:lineRule="auto"/>
        <w:ind w:right="20"/>
        <w:jc w:val="both"/>
        <w:rPr>
          <w:rFonts w:ascii="ITC Avant Garde" w:eastAsia="Calibri" w:hAnsi="ITC Avant Garde" w:cs="Arial"/>
          <w:b/>
        </w:rPr>
      </w:pPr>
      <w:r w:rsidRPr="00EB3BA2">
        <w:rPr>
          <w:rFonts w:ascii="ITC Avant Garde" w:eastAsia="Calibri" w:hAnsi="ITC Avant Garde" w:cs="Arial"/>
          <w:b/>
        </w:rPr>
        <w:t>Consideraciones del Instituto</w:t>
      </w:r>
    </w:p>
    <w:p w14:paraId="42FCF591" w14:textId="77777777" w:rsidR="009A500D" w:rsidRDefault="00BB070C" w:rsidP="009A500D">
      <w:pPr>
        <w:spacing w:line="276" w:lineRule="auto"/>
        <w:jc w:val="both"/>
        <w:rPr>
          <w:rFonts w:ascii="ITC Avant Garde" w:eastAsia="Calibri" w:hAnsi="ITC Avant Garde" w:cs="Arial"/>
        </w:rPr>
      </w:pPr>
      <w:r w:rsidRPr="00EB3BA2">
        <w:rPr>
          <w:rFonts w:ascii="ITC Avant Garde" w:eastAsia="Times New Roman" w:hAnsi="ITC Avant Garde" w:cs="Times New Roman"/>
          <w:lang w:val="es-ES" w:eastAsia="es-ES"/>
        </w:rPr>
        <w:t>Respecto a la prestación del servicio de tránsito por parte de Telcel, se señala que e</w:t>
      </w:r>
      <w:r w:rsidRPr="00EB3BA2">
        <w:rPr>
          <w:rFonts w:ascii="ITC Avant Garde" w:eastAsia="Calibri" w:hAnsi="ITC Avant Garde" w:cs="Arial"/>
        </w:rPr>
        <w:t>l artículo 127 de la LFTR determina los servicios que se consideran de interconexión, a saber:</w:t>
      </w:r>
    </w:p>
    <w:p w14:paraId="65D5E1FE" w14:textId="205DA12D"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 xml:space="preserve">“Artículo 127. Para efectos de la presente Ley se considerarán servicios de interconexión, entre otros, los siguientes: </w:t>
      </w:r>
    </w:p>
    <w:p w14:paraId="594BCB74" w14:textId="77777777"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 xml:space="preserve">I. Conducción de tráfico, que incluye su originación y terminación, así como llamadas y servicios de mensajes cortos; </w:t>
      </w:r>
    </w:p>
    <w:p w14:paraId="4BC8F67C" w14:textId="77777777"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 xml:space="preserve">II. Enlaces de transmisión; </w:t>
      </w:r>
    </w:p>
    <w:p w14:paraId="77A4C89D" w14:textId="77777777"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 xml:space="preserve">III. Puertos de acceso; </w:t>
      </w:r>
    </w:p>
    <w:p w14:paraId="07B11983" w14:textId="77777777"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 xml:space="preserve">IV. Señalización; </w:t>
      </w:r>
    </w:p>
    <w:p w14:paraId="302C6E6A" w14:textId="77777777"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 xml:space="preserve">V. Tránsito; </w:t>
      </w:r>
    </w:p>
    <w:p w14:paraId="33949859" w14:textId="77777777"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 xml:space="preserve">VI. Coubicación; </w:t>
      </w:r>
    </w:p>
    <w:p w14:paraId="66A55EE1" w14:textId="77777777"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 xml:space="preserve">VII. Compartición de infraestructura; </w:t>
      </w:r>
    </w:p>
    <w:p w14:paraId="7135C1B1" w14:textId="77777777"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 xml:space="preserve">VIII. Auxiliares conexos, y </w:t>
      </w:r>
    </w:p>
    <w:p w14:paraId="365488FB" w14:textId="77777777" w:rsidR="00BB070C" w:rsidRPr="00EB3BA2"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IX. Facturación y Cobranza.”</w:t>
      </w:r>
    </w:p>
    <w:p w14:paraId="6417CB64" w14:textId="77777777" w:rsidR="00BB070C" w:rsidRPr="00EB3BA2"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 xml:space="preserve"> </w:t>
      </w:r>
    </w:p>
    <w:p w14:paraId="3DEC11B4"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 xml:space="preserve">En ese sentido, el artículo 133 de la citada ley señala que la prestación de todos los servicios de interconexión señalados en el artículo 127 será obligatoria para el </w:t>
      </w:r>
      <w:r w:rsidRPr="00EB3BA2">
        <w:rPr>
          <w:rFonts w:ascii="ITC Avant Garde" w:eastAsia="Calibri" w:hAnsi="ITC Avant Garde" w:cs="Arial"/>
        </w:rPr>
        <w:lastRenderedPageBreak/>
        <w:t>agente económico preponderante o con poder sustancial, y los señalados en las fracciones I a IV de dicho artículo serán obligatorios para el resto de los concesionarios.</w:t>
      </w:r>
    </w:p>
    <w:p w14:paraId="7558C509" w14:textId="77777777" w:rsidR="009A500D" w:rsidRDefault="00BB070C" w:rsidP="009A500D">
      <w:pPr>
        <w:widowControl w:val="0"/>
        <w:spacing w:line="276" w:lineRule="auto"/>
        <w:jc w:val="both"/>
        <w:rPr>
          <w:rFonts w:ascii="ITC Avant Garde" w:eastAsia="Times New Roman" w:hAnsi="ITC Avant Garde" w:cs="Times New Roman"/>
        </w:rPr>
      </w:pPr>
      <w:r w:rsidRPr="00EB3BA2">
        <w:rPr>
          <w:rFonts w:ascii="ITC Avant Garde" w:eastAsia="Times New Roman" w:hAnsi="ITC Avant Garde" w:cs="Times New Roman"/>
        </w:rPr>
        <w:t>En este orden de ideas, el servicio de tránsito es indispensable para lograr una eficiente interconexión entre redes públicas de telecomunicaciones, ya que de no existir todas las redes tendrían que interconectarse de manera directa entre sí, aumentando los costos de los servicios de telecomunicaciones considerablemente, lo que haría inviable la prestación de servicios a concesionarios de menor tamaño.</w:t>
      </w:r>
    </w:p>
    <w:p w14:paraId="38C8A908"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En tal virtud, se observa que de la Resolución del AEP a que se refiere el Antecedente III se desprende que Telcel forma parte del agente económico preponderante en el sector telecomunicaciones, y por lo tanto se encuentra obligado a prestar el servicio de tránsito en términos de los artículos 127 y 133 de la LFTR.</w:t>
      </w:r>
    </w:p>
    <w:p w14:paraId="544F75B9" w14:textId="77777777" w:rsidR="009A500D" w:rsidRDefault="00BB070C" w:rsidP="009A500D">
      <w:pPr>
        <w:tabs>
          <w:tab w:val="left" w:pos="2603"/>
        </w:tabs>
        <w:spacing w:line="276" w:lineRule="auto"/>
        <w:jc w:val="both"/>
        <w:rPr>
          <w:rFonts w:ascii="ITC Avant Garde" w:eastAsia="Times New Roman" w:hAnsi="ITC Avant Garde" w:cs="Arial"/>
          <w:bCs/>
        </w:rPr>
      </w:pPr>
      <w:r w:rsidRPr="00EB3BA2">
        <w:rPr>
          <w:rFonts w:ascii="ITC Avant Garde" w:eastAsia="Times New Roman" w:hAnsi="ITC Avant Garde" w:cs="Arial"/>
          <w:bCs/>
        </w:rPr>
        <w:t xml:space="preserve">Asimismo, en la Medida Sexta de las Medidas Móviles, también queda establecida la obligación del AEP de prestar el servicio de tránsito, como se muestra a continuación: </w:t>
      </w:r>
    </w:p>
    <w:p w14:paraId="2919573A" w14:textId="77777777" w:rsidR="009A500D" w:rsidRDefault="00BB070C" w:rsidP="009A500D">
      <w:pPr>
        <w:tabs>
          <w:tab w:val="left" w:pos="2603"/>
        </w:tabs>
        <w:spacing w:line="276" w:lineRule="auto"/>
        <w:ind w:left="567" w:right="615"/>
        <w:jc w:val="both"/>
        <w:rPr>
          <w:rFonts w:ascii="ITC Avant Garde" w:eastAsia="Times New Roman" w:hAnsi="ITC Avant Garde" w:cs="Arial"/>
          <w:bCs/>
          <w:i/>
          <w:sz w:val="18"/>
          <w:szCs w:val="18"/>
        </w:rPr>
      </w:pPr>
      <w:r w:rsidRPr="00EB3BA2">
        <w:rPr>
          <w:rFonts w:ascii="ITC Avant Garde" w:eastAsia="Times New Roman" w:hAnsi="ITC Avant Garde" w:cs="Arial"/>
          <w:bCs/>
          <w:i/>
          <w:sz w:val="18"/>
          <w:szCs w:val="18"/>
        </w:rPr>
        <w:t>“SEXTA.- El Agente Económico Preponderante estará obligado a prestar el servicio de Tránsito a los Concesionarios Solicitantes que así se lo requieran y se encuentren interconectados directa o indirectamente con la red del Agente Económico Preponderante.”</w:t>
      </w:r>
    </w:p>
    <w:p w14:paraId="045AB2F4" w14:textId="77777777" w:rsidR="009A500D" w:rsidRDefault="00BB070C" w:rsidP="009A500D">
      <w:pPr>
        <w:spacing w:line="276" w:lineRule="auto"/>
        <w:jc w:val="both"/>
        <w:rPr>
          <w:rFonts w:ascii="ITC Avant Garde" w:eastAsia="Times New Roman" w:hAnsi="ITC Avant Garde" w:cs="Arial"/>
          <w:bCs/>
        </w:rPr>
      </w:pPr>
      <w:r w:rsidRPr="00EB3BA2">
        <w:rPr>
          <w:rFonts w:ascii="ITC Avant Garde" w:eastAsia="Times New Roman" w:hAnsi="ITC Avant Garde" w:cs="Arial"/>
          <w:bCs/>
        </w:rPr>
        <w:t>De este modo, al ser Telcel un integrante del AEP se encuentra obligado a prestar el servicio de tránsito a los concesionarios que así se lo requieran, obligación que además fue reiterada en el Convenio Marco de Interconexión que el Instituto aprobó mediante acuerdo P/IFT/011117/656.</w:t>
      </w:r>
    </w:p>
    <w:p w14:paraId="7C1BD624" w14:textId="77777777" w:rsidR="009A500D" w:rsidRDefault="00BB070C" w:rsidP="009A500D">
      <w:pPr>
        <w:spacing w:line="276" w:lineRule="auto"/>
        <w:ind w:left="567" w:right="615"/>
        <w:rPr>
          <w:rFonts w:ascii="ITC Avant Garde" w:eastAsia="Times New Roman" w:hAnsi="ITC Avant Garde" w:cs="Arial"/>
          <w:bCs/>
          <w:i/>
          <w:sz w:val="18"/>
          <w:szCs w:val="18"/>
        </w:rPr>
      </w:pPr>
      <w:r w:rsidRPr="00EB3BA2">
        <w:rPr>
          <w:rFonts w:ascii="ITC Avant Garde" w:eastAsia="Calibri" w:hAnsi="ITC Avant Garde" w:cs="Segoe UI"/>
          <w:i/>
          <w:sz w:val="18"/>
          <w:szCs w:val="18"/>
        </w:rPr>
        <w:t>“5.6 TRÁNSITO.</w:t>
      </w:r>
      <w:r w:rsidRPr="00EB3BA2">
        <w:rPr>
          <w:rFonts w:ascii="ITC Avant Garde" w:eastAsia="Calibri" w:hAnsi="ITC Avant Garde" w:cs="Segoe UI"/>
          <w:i/>
          <w:sz w:val="18"/>
          <w:szCs w:val="18"/>
        </w:rPr>
        <w:br/>
      </w:r>
      <w:r w:rsidRPr="00EB3BA2">
        <w:rPr>
          <w:rFonts w:ascii="ITC Avant Garde" w:eastAsia="Calibri" w:hAnsi="ITC Avant Garde" w:cs="Segoe UI"/>
          <w:i/>
          <w:sz w:val="18"/>
          <w:szCs w:val="18"/>
        </w:rPr>
        <w:br/>
        <w:t>TELCEL deberá ofrecer el Servicio de Tránsito para la Terminación de Tráfico en las redes con las que TELCEL se encuentre interconectado de forma directa bidireccional.”</w:t>
      </w:r>
    </w:p>
    <w:p w14:paraId="569A1BF0" w14:textId="77777777" w:rsidR="009A500D" w:rsidRDefault="00BB070C" w:rsidP="009A500D">
      <w:pPr>
        <w:spacing w:line="276" w:lineRule="auto"/>
        <w:jc w:val="both"/>
        <w:rPr>
          <w:rFonts w:ascii="ITC Avant Garde" w:eastAsia="Times New Roman" w:hAnsi="ITC Avant Garde" w:cs="Arial"/>
          <w:bCs/>
        </w:rPr>
      </w:pPr>
      <w:r w:rsidRPr="00EB3BA2">
        <w:rPr>
          <w:rFonts w:ascii="ITC Avant Garde" w:eastAsia="Times New Roman" w:hAnsi="ITC Avant Garde" w:cs="Arial"/>
          <w:bCs/>
        </w:rPr>
        <w:t xml:space="preserve">Ahora bien, no escapa a este Instituto que, con respecto a la jerarquización de la red móvil de Telcel, desde un punto de vista técnico las redes móviles operan con una arquitectura de red distinta a las redes fijas, dado que las redes móviles por su propia naturaleza están diseñadas con el fin de atender usuarios que no tienen una ubicación física determinada, por lo cual no atienden a la misma estructura de </w:t>
      </w:r>
      <w:r w:rsidRPr="00EB3BA2">
        <w:rPr>
          <w:rFonts w:ascii="ITC Avant Garde" w:eastAsia="Times New Roman" w:hAnsi="ITC Avant Garde" w:cs="Arial"/>
          <w:bCs/>
        </w:rPr>
        <w:lastRenderedPageBreak/>
        <w:t xml:space="preserve">jerarquía de redes, que las redes fijas. En el caso de operadores móviles, las centrales de conmutación de tráfico poseen las mismas capacidades para enviar el tráfico hacia cualquier destino nacional por lo cual no es necesaria una distinción del tráfico que cada central atiende, lo anterior, a diferencia de las redes fijas donde existen diferentes tipos de centrales encargadas de atender tráfico de una naturaleza específica. </w:t>
      </w:r>
    </w:p>
    <w:p w14:paraId="24989FE6"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Ahora bien, para la determinación de las tarifas de interconexión en las redes públicas de telecomunicaciones de</w:t>
      </w:r>
      <w:r w:rsidRPr="00EB3BA2">
        <w:rPr>
          <w:rFonts w:ascii="ITC Avant Garde" w:eastAsia="Times New Roman" w:hAnsi="ITC Avant Garde" w:cs="Arial"/>
        </w:rPr>
        <w:t xml:space="preserve"> OpenIP y </w:t>
      </w:r>
      <w:r w:rsidRPr="00EB3BA2">
        <w:rPr>
          <w:rFonts w:ascii="ITC Avant Garde" w:eastAsia="Calibri" w:hAnsi="ITC Avant Garde" w:cs="Arial"/>
        </w:rPr>
        <w:t xml:space="preserve">Telcel se debe considerar que la propia LFTR establece el marco normativo y regulatorio aplicable para la fijación de las tarifas de interconexión. </w:t>
      </w:r>
    </w:p>
    <w:p w14:paraId="0803A0FA" w14:textId="77777777" w:rsidR="009A500D" w:rsidRDefault="00BB070C" w:rsidP="009A500D">
      <w:pPr>
        <w:widowControl w:val="0"/>
        <w:spacing w:line="276" w:lineRule="auto"/>
        <w:jc w:val="both"/>
        <w:rPr>
          <w:rFonts w:ascii="ITC Avant Garde" w:eastAsia="Calibri" w:hAnsi="ITC Avant Garde" w:cs="Arial"/>
        </w:rPr>
      </w:pPr>
      <w:r w:rsidRPr="00EB3BA2">
        <w:rPr>
          <w:rFonts w:ascii="ITC Avant Garde" w:eastAsia="Times New Roman" w:hAnsi="ITC Avant Garde" w:cs="Arial"/>
        </w:rPr>
        <w:t xml:space="preserve">A tal efecto, </w:t>
      </w:r>
      <w:r w:rsidRPr="00EB3BA2">
        <w:rPr>
          <w:rFonts w:ascii="ITC Avant Garde" w:eastAsia="Calibri" w:hAnsi="ITC Avant Garde" w:cs="Arial"/>
        </w:rPr>
        <w:t>el artículo 131 de la LFTR dispone lo siguiente:</w:t>
      </w:r>
    </w:p>
    <w:p w14:paraId="44E829E7" w14:textId="77777777" w:rsidR="009A500D"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w:t>
      </w:r>
      <w:r w:rsidRPr="00EB3BA2">
        <w:rPr>
          <w:rFonts w:ascii="ITC Avant Garde" w:eastAsia="Calibri" w:hAnsi="ITC Avant Garde" w:cs="Arial"/>
          <w:b/>
          <w:i/>
          <w:sz w:val="18"/>
          <w:szCs w:val="18"/>
        </w:rPr>
        <w:t>Artículo 131.</w:t>
      </w:r>
      <w:r w:rsidRPr="00EB3BA2">
        <w:rPr>
          <w:rFonts w:ascii="ITC Avant Garde" w:eastAsia="Calibri" w:hAnsi="ITC Avant Garde" w:cs="Arial"/>
          <w:i/>
          <w:sz w:val="18"/>
          <w:szCs w:val="18"/>
        </w:rPr>
        <w:t xml:space="preserve"> […]</w:t>
      </w:r>
    </w:p>
    <w:p w14:paraId="213FF1E3" w14:textId="77777777" w:rsidR="009A500D"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w:t>
      </w:r>
    </w:p>
    <w:p w14:paraId="0E59EAD7" w14:textId="77777777" w:rsidR="009A500D"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b) Para el tráfico que termine en la red de los demás concesionarios, la tarifa de interconexión será negociada libremente.</w:t>
      </w:r>
    </w:p>
    <w:p w14:paraId="629174B6" w14:textId="77777777" w:rsidR="009A500D"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3B7B754" w14:textId="77777777" w:rsidR="009A500D"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D49C21E" w14:textId="77777777" w:rsidR="009A500D"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1DAD7EC6" w14:textId="77777777" w:rsidR="009A500D" w:rsidRDefault="00BB070C" w:rsidP="009A500D">
      <w:pPr>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i/>
          <w:sz w:val="18"/>
          <w:szCs w:val="18"/>
        </w:rPr>
        <w:t>[…]”</w:t>
      </w:r>
    </w:p>
    <w:p w14:paraId="2D79232C" w14:textId="77777777" w:rsidR="009A500D" w:rsidRDefault="00BB070C" w:rsidP="009A500D">
      <w:pPr>
        <w:spacing w:line="276" w:lineRule="auto"/>
        <w:ind w:right="20"/>
        <w:jc w:val="both"/>
        <w:rPr>
          <w:rFonts w:ascii="ITC Avant Garde" w:eastAsia="Calibri" w:hAnsi="ITC Avant Garde" w:cs="Arial"/>
          <w:b/>
        </w:rPr>
      </w:pPr>
      <w:r w:rsidRPr="00EB3BA2">
        <w:rPr>
          <w:rFonts w:ascii="ITC Avant Garde" w:eastAsia="Calibri"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12694A2D" w14:textId="77777777" w:rsidR="009A500D" w:rsidRDefault="00BB070C" w:rsidP="009A500D">
      <w:pPr>
        <w:spacing w:line="276" w:lineRule="auto"/>
        <w:ind w:right="20"/>
        <w:jc w:val="both"/>
        <w:rPr>
          <w:rFonts w:ascii="ITC Avant Garde" w:eastAsia="Calibri" w:hAnsi="ITC Avant Garde" w:cs="Arial"/>
        </w:rPr>
      </w:pPr>
      <w:r w:rsidRPr="00EB3BA2">
        <w:rPr>
          <w:rFonts w:ascii="ITC Avant Garde" w:eastAsia="Calibri" w:hAnsi="ITC Avant Garde" w:cs="Arial"/>
        </w:rPr>
        <w:lastRenderedPageBreak/>
        <w:t>En este orden de ideas, el artículo 137 de la LFTR señala a la letra lo siguiente:</w:t>
      </w:r>
    </w:p>
    <w:p w14:paraId="393BA3BD" w14:textId="77777777" w:rsidR="009A500D" w:rsidRDefault="00BB070C" w:rsidP="009A500D">
      <w:pPr>
        <w:tabs>
          <w:tab w:val="left" w:pos="4678"/>
        </w:tabs>
        <w:spacing w:line="276" w:lineRule="auto"/>
        <w:ind w:left="567" w:right="615"/>
        <w:jc w:val="both"/>
        <w:rPr>
          <w:rFonts w:ascii="ITC Avant Garde" w:eastAsia="Calibri" w:hAnsi="ITC Avant Garde" w:cs="Arial"/>
          <w:i/>
          <w:sz w:val="18"/>
          <w:szCs w:val="18"/>
        </w:rPr>
      </w:pPr>
      <w:r w:rsidRPr="00EB3BA2">
        <w:rPr>
          <w:rFonts w:ascii="ITC Avant Garde" w:eastAsia="Calibri" w:hAnsi="ITC Avant Garde" w:cs="Arial"/>
          <w:b/>
          <w:i/>
          <w:sz w:val="18"/>
          <w:szCs w:val="18"/>
        </w:rPr>
        <w:t>“Artículo 137.</w:t>
      </w:r>
      <w:r w:rsidRPr="00EB3BA2">
        <w:rPr>
          <w:rFonts w:ascii="ITC Avant Garde" w:eastAsia="Calibri"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B876300" w14:textId="77777777" w:rsidR="009A500D" w:rsidRDefault="00BB070C" w:rsidP="009A500D">
      <w:pPr>
        <w:spacing w:line="276" w:lineRule="auto"/>
        <w:ind w:right="20"/>
        <w:jc w:val="both"/>
        <w:rPr>
          <w:rFonts w:ascii="ITC Avant Garde" w:eastAsia="Calibri" w:hAnsi="ITC Avant Garde" w:cs="Arial"/>
        </w:rPr>
      </w:pPr>
      <w:r w:rsidRPr="00EB3BA2">
        <w:rPr>
          <w:rFonts w:ascii="ITC Avant Garde" w:eastAsia="Calibri" w:hAnsi="ITC Avant Garde" w:cs="Arial"/>
        </w:rPr>
        <w:t>En apego a la Metodología de Costos y en cumplimiento a lo establecido en el artículo 137 de la LFTR, el Instituto publicó en el DOF el 9 de noviembre</w:t>
      </w:r>
      <w:r w:rsidR="00196970" w:rsidRPr="00EB3BA2">
        <w:rPr>
          <w:rFonts w:ascii="ITC Avant Garde" w:eastAsia="Calibri" w:hAnsi="ITC Avant Garde" w:cs="Arial"/>
        </w:rPr>
        <w:t xml:space="preserve"> y el 27 de diciembre</w:t>
      </w:r>
      <w:r w:rsidRPr="00EB3BA2">
        <w:rPr>
          <w:rFonts w:ascii="ITC Avant Garde" w:eastAsia="Calibri" w:hAnsi="ITC Avant Garde" w:cs="Arial"/>
        </w:rPr>
        <w:t xml:space="preserve"> de 2017, el Acuerdo de CTM y Tarifas 2018</w:t>
      </w:r>
      <w:r w:rsidR="00196970" w:rsidRPr="00EB3BA2">
        <w:rPr>
          <w:rFonts w:ascii="ITC Avant Garde" w:eastAsia="Calibri" w:hAnsi="ITC Avant Garde" w:cs="Arial"/>
        </w:rPr>
        <w:t xml:space="preserve"> y la Modificación al Acuerdo de CTM y Tarifas 2018, respectivamente, los cuales</w:t>
      </w:r>
      <w:r w:rsidRPr="00EB3BA2">
        <w:rPr>
          <w:rFonts w:ascii="ITC Avant Garde" w:eastAsia="Calibri" w:hAnsi="ITC Avant Garde" w:cs="Arial"/>
        </w:rPr>
        <w:t xml:space="preserve"> contiene</w:t>
      </w:r>
      <w:r w:rsidR="00196970" w:rsidRPr="00EB3BA2">
        <w:rPr>
          <w:rFonts w:ascii="ITC Avant Garde" w:eastAsia="Calibri" w:hAnsi="ITC Avant Garde" w:cs="Arial"/>
        </w:rPr>
        <w:t>n</w:t>
      </w:r>
      <w:r w:rsidRPr="00EB3BA2">
        <w:rPr>
          <w:rFonts w:ascii="ITC Avant Garde" w:eastAsia="Calibri" w:hAnsi="ITC Avant Garde" w:cs="Arial"/>
        </w:rPr>
        <w:t xml:space="preserve"> las tarifas para los Servicios de Interconexión que han resultado de la Metodología de Costos, y que el Instituto utilizará para resolver los desacuerdos de interconexión en materia de tarifas aplicables del 1 de enero al 31 de diciembre del 2018</w:t>
      </w:r>
      <w:r w:rsidR="00C43A7F" w:rsidRPr="00EB3BA2">
        <w:rPr>
          <w:rFonts w:ascii="ITC Avant Garde" w:eastAsia="Calibri" w:hAnsi="ITC Avant Garde" w:cs="Arial"/>
        </w:rPr>
        <w:t xml:space="preserve">, </w:t>
      </w:r>
      <w:r w:rsidR="00196970" w:rsidRPr="00EB3BA2">
        <w:rPr>
          <w:rFonts w:ascii="ITC Avant Garde" w:eastAsia="Calibri" w:hAnsi="ITC Avant Garde" w:cs="Arial"/>
        </w:rPr>
        <w:t xml:space="preserve">así como </w:t>
      </w:r>
      <w:r w:rsidR="00196970" w:rsidRPr="00EB3BA2">
        <w:rPr>
          <w:rFonts w:ascii="ITC Avant Garde" w:hAnsi="ITC Avant Garde"/>
        </w:rPr>
        <w:t>las tarifas que deberán pagarse de manera obligatoria por parte de los concesionarios de redes públicas de telecomunicaciones que terminen tráfico en la red móvil de Telcel a partir del 1 de enero de 2018.</w:t>
      </w:r>
    </w:p>
    <w:p w14:paraId="51050CBB" w14:textId="77777777" w:rsidR="009A500D" w:rsidRDefault="00BB070C" w:rsidP="009A500D">
      <w:pPr>
        <w:spacing w:line="276" w:lineRule="auto"/>
        <w:ind w:right="20"/>
        <w:jc w:val="both"/>
        <w:rPr>
          <w:rFonts w:ascii="ITC Avant Garde" w:eastAsia="Calibri" w:hAnsi="ITC Avant Garde" w:cs="Arial"/>
        </w:rPr>
      </w:pPr>
      <w:r w:rsidRPr="00EB3BA2">
        <w:rPr>
          <w:rFonts w:ascii="ITC Avant Garde" w:eastAsia="Calibri"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56BBD7E9" w14:textId="77777777" w:rsidR="009A500D" w:rsidRDefault="00BB070C" w:rsidP="009A500D">
      <w:pPr>
        <w:spacing w:line="276" w:lineRule="auto"/>
        <w:ind w:right="20"/>
        <w:jc w:val="both"/>
        <w:rPr>
          <w:rFonts w:ascii="ITC Avant Garde" w:eastAsia="Calibri" w:hAnsi="ITC Avant Garde" w:cs="Arial"/>
        </w:rPr>
      </w:pPr>
      <w:r w:rsidRPr="00EB3BA2">
        <w:rPr>
          <w:rFonts w:ascii="ITC Avant Garde" w:eastAsia="Calibri" w:hAnsi="ITC Avant Garde" w:cs="Arial"/>
        </w:rPr>
        <w:t xml:space="preserve">En consecuencia, las tarifas de interconexión, objeto del presente procedimiento, así como la tasación de las llamadas han sido debidamente publicitadas por la autoridad en el Acuerdo </w:t>
      </w:r>
      <w:r w:rsidR="00BA0633" w:rsidRPr="00EB3BA2">
        <w:rPr>
          <w:rFonts w:ascii="ITC Avant Garde" w:eastAsia="Calibri" w:hAnsi="ITC Avant Garde" w:cs="Arial"/>
        </w:rPr>
        <w:t>de CTM y Tarifas 2018 y la Modificación al Acuerdo de CTM y Tarifas 2018</w:t>
      </w:r>
      <w:r w:rsidRPr="00EB3BA2">
        <w:rPr>
          <w:rFonts w:ascii="ITC Avant Garde" w:eastAsia="Calibri" w:hAnsi="ITC Avant Garde" w:cs="Arial"/>
        </w:rPr>
        <w:t>, mismo</w:t>
      </w:r>
      <w:r w:rsidR="00BA0633" w:rsidRPr="00EB3BA2">
        <w:rPr>
          <w:rFonts w:ascii="ITC Avant Garde" w:eastAsia="Calibri" w:hAnsi="ITC Avant Garde" w:cs="Arial"/>
        </w:rPr>
        <w:t>s</w:t>
      </w:r>
      <w:r w:rsidRPr="00EB3BA2">
        <w:rPr>
          <w:rFonts w:ascii="ITC Avant Garde" w:eastAsia="Calibri" w:hAnsi="ITC Avant Garde" w:cs="Arial"/>
        </w:rPr>
        <w:t xml:space="preserve"> que al ser de conocimiento público hace innecesario su reproducción en el cuerpo de la presente Resolución. </w:t>
      </w:r>
    </w:p>
    <w:p w14:paraId="41A336E9" w14:textId="77777777" w:rsidR="009A500D" w:rsidRDefault="00532768" w:rsidP="009A500D">
      <w:pPr>
        <w:spacing w:line="276" w:lineRule="auto"/>
        <w:ind w:right="20"/>
        <w:jc w:val="both"/>
        <w:rPr>
          <w:rFonts w:ascii="ITC Avant Garde" w:eastAsia="Calibri" w:hAnsi="ITC Avant Garde" w:cs="Arial"/>
        </w:rPr>
      </w:pPr>
      <w:r w:rsidRPr="00A61CD6">
        <w:rPr>
          <w:rFonts w:ascii="ITC Avant Garde" w:eastAsia="Calibri" w:hAnsi="ITC Avant Garde" w:cs="Arial"/>
        </w:rPr>
        <w:t xml:space="preserve">Si bien en el Acuerdo de CTM y Tarifas 2018 se estableció la vigencia de las tarifas a partir del 1 de enero de 2018, en virtud de que las redes de </w:t>
      </w:r>
      <w:r>
        <w:rPr>
          <w:rFonts w:ascii="ITC Avant Garde" w:eastAsia="Calibri" w:hAnsi="ITC Avant Garde" w:cs="Arial"/>
        </w:rPr>
        <w:t>OpenIP y Telcel</w:t>
      </w:r>
      <w:r w:rsidRPr="00A61CD6">
        <w:rPr>
          <w:rFonts w:ascii="ITC Avant Garde" w:eastAsia="Calibri" w:hAnsi="ITC Avant Garde" w:cs="Arial"/>
        </w:rPr>
        <w:t xml:space="preserve"> no se encuentran interconectadas, las tarifas que se determinen serán aplicables a partir de la emisión de la presente Resolución. </w:t>
      </w:r>
    </w:p>
    <w:p w14:paraId="64448457" w14:textId="77777777" w:rsidR="009A500D" w:rsidRDefault="00BB070C" w:rsidP="009A500D">
      <w:pPr>
        <w:spacing w:line="276" w:lineRule="auto"/>
        <w:ind w:right="20"/>
        <w:jc w:val="both"/>
        <w:rPr>
          <w:rFonts w:ascii="ITC Avant Garde" w:eastAsia="Calibri" w:hAnsi="ITC Avant Garde" w:cs="Arial"/>
        </w:rPr>
      </w:pPr>
      <w:r w:rsidRPr="00EB3BA2">
        <w:rPr>
          <w:rFonts w:ascii="ITC Avant Garde" w:eastAsia="Calibri" w:hAnsi="ITC Avant Garde" w:cs="Arial"/>
        </w:rPr>
        <w:t xml:space="preserve">De acuerdo a lo anterior, la tarifa que Telcel </w:t>
      </w:r>
      <w:r w:rsidRPr="00EB3BA2">
        <w:rPr>
          <w:rFonts w:ascii="ITC Avant Garde" w:eastAsia="Calibri" w:hAnsi="ITC Avant Garde" w:cs="Times New Roman"/>
          <w:spacing w:val="-4"/>
          <w:lang w:val="es-ES"/>
        </w:rPr>
        <w:t xml:space="preserve">deberá pagar a OpenIP, </w:t>
      </w:r>
      <w:r w:rsidRPr="00EB3BA2">
        <w:rPr>
          <w:rFonts w:ascii="ITC Avant Garde" w:eastAsia="Calibri" w:hAnsi="ITC Avant Garde" w:cs="Arial"/>
        </w:rPr>
        <w:t>por los servicios de terminación del Servicio Local en usuarios fijos, será la siguiente:</w:t>
      </w:r>
    </w:p>
    <w:p w14:paraId="16714259" w14:textId="77777777" w:rsidR="009A500D" w:rsidRDefault="00BB070C" w:rsidP="009A500D">
      <w:pPr>
        <w:numPr>
          <w:ilvl w:val="0"/>
          <w:numId w:val="13"/>
        </w:numPr>
        <w:spacing w:line="276" w:lineRule="auto"/>
        <w:jc w:val="both"/>
        <w:rPr>
          <w:rFonts w:ascii="ITC Avant Garde" w:eastAsia="Times New Roman" w:hAnsi="ITC Avant Garde" w:cs="Times New Roman"/>
          <w:b/>
          <w:spacing w:val="-4"/>
          <w:szCs w:val="24"/>
          <w:lang w:val="es-ES_tradnl" w:eastAsia="es-ES"/>
        </w:rPr>
      </w:pPr>
      <w:r w:rsidRPr="00EB3BA2">
        <w:rPr>
          <w:rFonts w:ascii="ITC Avant Garde" w:eastAsia="Times New Roman" w:hAnsi="ITC Avant Garde" w:cs="Times New Roman"/>
          <w:b/>
          <w:spacing w:val="-4"/>
          <w:szCs w:val="24"/>
          <w:lang w:val="es-ES_tradnl" w:eastAsia="es-ES"/>
        </w:rPr>
        <w:t>Del 1</w:t>
      </w:r>
      <w:r w:rsidR="00AF3EFF" w:rsidRPr="00EB3BA2">
        <w:rPr>
          <w:rFonts w:ascii="ITC Avant Garde" w:eastAsia="Times New Roman" w:hAnsi="ITC Avant Garde" w:cs="Times New Roman"/>
          <w:b/>
          <w:spacing w:val="-4"/>
          <w:szCs w:val="24"/>
          <w:lang w:val="es-ES_tradnl" w:eastAsia="es-ES"/>
        </w:rPr>
        <w:t>1 de abril</w:t>
      </w:r>
      <w:r w:rsidRPr="00EB3BA2">
        <w:rPr>
          <w:rFonts w:ascii="ITC Avant Garde" w:eastAsia="Times New Roman" w:hAnsi="ITC Avant Garde" w:cs="Times New Roman"/>
          <w:b/>
          <w:spacing w:val="-4"/>
          <w:szCs w:val="24"/>
          <w:lang w:val="es-ES_tradnl" w:eastAsia="es-ES"/>
        </w:rPr>
        <w:t xml:space="preserve"> al 31 de diciembre de 2018, $0.002836 pesos M.N. por minuto de interconexión.</w:t>
      </w:r>
    </w:p>
    <w:p w14:paraId="4CC8E06C"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lang w:val="es-ES_tradnl"/>
        </w:rPr>
        <w:lastRenderedPageBreak/>
        <w:t xml:space="preserve">Asimismo, la tarifa que </w:t>
      </w:r>
      <w:r w:rsidR="00D9635C" w:rsidRPr="00EB3BA2">
        <w:rPr>
          <w:rFonts w:ascii="ITC Avant Garde" w:eastAsia="Calibri" w:hAnsi="ITC Avant Garde" w:cs="Arial"/>
          <w:lang w:val="es-ES_tradnl"/>
        </w:rPr>
        <w:t>OpenIP</w:t>
      </w:r>
      <w:r w:rsidRPr="00EB3BA2">
        <w:rPr>
          <w:rFonts w:ascii="ITC Avant Garde" w:eastAsia="Calibri" w:hAnsi="ITC Avant Garde" w:cs="Arial"/>
          <w:lang w:val="es-ES_tradnl"/>
        </w:rPr>
        <w:t xml:space="preserve"> deberá pagar a Telcel por</w:t>
      </w:r>
      <w:r w:rsidRPr="00EB3BA2">
        <w:rPr>
          <w:rFonts w:ascii="ITC Avant Garde" w:eastAsia="Calibri" w:hAnsi="ITC Avant Garde" w:cs="Arial"/>
        </w:rPr>
        <w:t xml:space="preserve"> servicios de terminación del Servicio Local en usuarios móviles bajo la modalidad “El que llama paga” será la siguiente:</w:t>
      </w:r>
    </w:p>
    <w:p w14:paraId="79FB9BBA" w14:textId="77777777" w:rsidR="009A500D" w:rsidRDefault="00BB070C" w:rsidP="009A500D">
      <w:pPr>
        <w:numPr>
          <w:ilvl w:val="0"/>
          <w:numId w:val="13"/>
        </w:numPr>
        <w:spacing w:line="276" w:lineRule="auto"/>
        <w:jc w:val="both"/>
        <w:rPr>
          <w:rFonts w:ascii="ITC Avant Garde" w:eastAsia="Times New Roman" w:hAnsi="ITC Avant Garde" w:cs="Times New Roman"/>
          <w:b/>
          <w:spacing w:val="-4"/>
          <w:szCs w:val="24"/>
          <w:lang w:val="es-ES_tradnl" w:eastAsia="es-ES"/>
        </w:rPr>
      </w:pPr>
      <w:r w:rsidRPr="00EB3BA2">
        <w:rPr>
          <w:rFonts w:ascii="ITC Avant Garde" w:eastAsia="Times New Roman" w:hAnsi="ITC Avant Garde" w:cs="Times New Roman"/>
          <w:b/>
          <w:spacing w:val="-4"/>
          <w:szCs w:val="24"/>
          <w:lang w:val="es-ES_tradnl" w:eastAsia="es-ES"/>
        </w:rPr>
        <w:t xml:space="preserve">Del </w:t>
      </w:r>
      <w:r w:rsidR="00AF3EFF" w:rsidRPr="00EB3BA2">
        <w:rPr>
          <w:rFonts w:ascii="ITC Avant Garde" w:eastAsia="Times New Roman" w:hAnsi="ITC Avant Garde" w:cs="Times New Roman"/>
          <w:b/>
          <w:spacing w:val="-4"/>
          <w:szCs w:val="24"/>
          <w:lang w:val="es-ES_tradnl" w:eastAsia="es-ES"/>
        </w:rPr>
        <w:t xml:space="preserve"> 11 de abril</w:t>
      </w:r>
      <w:r w:rsidRPr="00EB3BA2">
        <w:rPr>
          <w:rFonts w:ascii="ITC Avant Garde" w:eastAsia="Times New Roman" w:hAnsi="ITC Avant Garde" w:cs="Times New Roman"/>
          <w:b/>
          <w:spacing w:val="-4"/>
          <w:szCs w:val="24"/>
          <w:lang w:val="es-ES_tradnl" w:eastAsia="es-ES"/>
        </w:rPr>
        <w:t xml:space="preserve"> al 31 de diciembre de 2018, $0.028562 pesos M.N. por minuto de interconexión.</w:t>
      </w:r>
    </w:p>
    <w:p w14:paraId="3797ADFD" w14:textId="77777777" w:rsidR="009A500D" w:rsidRDefault="00BB070C" w:rsidP="009A500D">
      <w:pPr>
        <w:spacing w:line="276" w:lineRule="auto"/>
        <w:jc w:val="both"/>
        <w:rPr>
          <w:rFonts w:ascii="ITC Avant Garde" w:eastAsia="Times New Roman" w:hAnsi="ITC Avant Garde" w:cs="Arial"/>
        </w:rPr>
      </w:pPr>
      <w:r w:rsidRPr="00EB3BA2">
        <w:rPr>
          <w:rFonts w:ascii="ITC Avant Garde" w:eastAsia="Times New Roman" w:hAnsi="ITC Avant Garde" w:cs="Arial"/>
        </w:rPr>
        <w:t xml:space="preserve">La tarifa </w:t>
      </w:r>
      <w:r w:rsidRPr="00EB3BA2">
        <w:rPr>
          <w:rFonts w:ascii="ITC Avant Garde" w:eastAsia="Times New Roman" w:hAnsi="ITC Avant Garde" w:cs="Arial"/>
          <w:lang w:val="es-ES_tradnl"/>
        </w:rPr>
        <w:t>que OpenIP deberá pagar a Telcel por</w:t>
      </w:r>
      <w:r w:rsidRPr="00EB3BA2">
        <w:rPr>
          <w:rFonts w:ascii="ITC Avant Garde" w:eastAsia="Times New Roman" w:hAnsi="ITC Avant Garde" w:cs="Arial"/>
        </w:rPr>
        <w:t xml:space="preserve"> </w:t>
      </w:r>
      <w:r w:rsidRPr="00EB3BA2">
        <w:rPr>
          <w:rFonts w:ascii="ITC Avant Garde" w:eastAsia="Calibri" w:hAnsi="ITC Avant Garde" w:cs="Arial"/>
        </w:rPr>
        <w:t xml:space="preserve">los servicios de terminación de mensajes cortos (SMS) en usuarios móviles, será la siguiente: </w:t>
      </w:r>
    </w:p>
    <w:p w14:paraId="36290848" w14:textId="77777777" w:rsidR="009A500D" w:rsidRDefault="00BB070C" w:rsidP="009A500D">
      <w:pPr>
        <w:numPr>
          <w:ilvl w:val="0"/>
          <w:numId w:val="13"/>
        </w:numPr>
        <w:spacing w:line="276" w:lineRule="auto"/>
        <w:jc w:val="both"/>
        <w:rPr>
          <w:rFonts w:ascii="ITC Avant Garde" w:eastAsia="Times New Roman" w:hAnsi="ITC Avant Garde" w:cs="Arial"/>
          <w:b/>
          <w:szCs w:val="24"/>
          <w:lang w:eastAsia="es-ES"/>
        </w:rPr>
      </w:pPr>
      <w:r w:rsidRPr="00EB3BA2">
        <w:rPr>
          <w:rFonts w:ascii="ITC Avant Garde" w:eastAsia="Times New Roman" w:hAnsi="ITC Avant Garde" w:cs="Arial"/>
          <w:b/>
          <w:szCs w:val="24"/>
          <w:lang w:eastAsia="es-ES"/>
        </w:rPr>
        <w:t>Del</w:t>
      </w:r>
      <w:r w:rsidR="00AF3EFF" w:rsidRPr="00EB3BA2">
        <w:rPr>
          <w:rFonts w:ascii="ITC Avant Garde" w:eastAsia="Times New Roman" w:hAnsi="ITC Avant Garde" w:cs="Arial"/>
          <w:b/>
          <w:szCs w:val="24"/>
          <w:lang w:eastAsia="es-ES"/>
        </w:rPr>
        <w:t xml:space="preserve"> 11 de abril</w:t>
      </w:r>
      <w:r w:rsidRPr="00EB3BA2">
        <w:rPr>
          <w:rFonts w:ascii="ITC Avant Garde" w:eastAsia="Times New Roman" w:hAnsi="ITC Avant Garde" w:cs="Arial"/>
          <w:b/>
          <w:szCs w:val="24"/>
          <w:lang w:eastAsia="es-ES"/>
        </w:rPr>
        <w:t xml:space="preserve"> al 31 de diciembre de 2018, $0.007269 pesos M.N. por mensaje.</w:t>
      </w:r>
    </w:p>
    <w:p w14:paraId="3BD30190" w14:textId="77777777" w:rsidR="009A500D" w:rsidRDefault="00BB070C" w:rsidP="009A500D">
      <w:pPr>
        <w:spacing w:line="276" w:lineRule="auto"/>
        <w:jc w:val="both"/>
        <w:rPr>
          <w:rFonts w:ascii="ITC Avant Garde" w:eastAsia="Times New Roman" w:hAnsi="ITC Avant Garde" w:cs="Arial"/>
        </w:rPr>
      </w:pPr>
      <w:r w:rsidRPr="00EB3BA2">
        <w:rPr>
          <w:rFonts w:ascii="ITC Avant Garde" w:eastAsia="Times New Roman" w:hAnsi="ITC Avant Garde" w:cs="Arial"/>
        </w:rPr>
        <w:t xml:space="preserve">La tarifa </w:t>
      </w:r>
      <w:r w:rsidRPr="00EB3BA2">
        <w:rPr>
          <w:rFonts w:ascii="ITC Avant Garde" w:eastAsia="Times New Roman" w:hAnsi="ITC Avant Garde" w:cs="Arial"/>
          <w:lang w:val="es-ES_tradnl"/>
        </w:rPr>
        <w:t>que Telcel deberá pagar a OpenIP</w:t>
      </w:r>
      <w:r w:rsidRPr="00EB3BA2">
        <w:rPr>
          <w:rFonts w:ascii="ITC Avant Garde" w:eastAsia="Times New Roman" w:hAnsi="ITC Avant Garde" w:cs="Arial"/>
        </w:rPr>
        <w:t xml:space="preserve"> </w:t>
      </w:r>
      <w:r w:rsidRPr="00EB3BA2">
        <w:rPr>
          <w:rFonts w:ascii="ITC Avant Garde" w:eastAsia="Calibri" w:hAnsi="ITC Avant Garde" w:cs="Arial"/>
        </w:rPr>
        <w:t xml:space="preserve">por los servicios de terminación de mensajes cortos (SMS) en usuarios fijos, será la siguiente: </w:t>
      </w:r>
    </w:p>
    <w:p w14:paraId="1123966C" w14:textId="77777777" w:rsidR="009A500D" w:rsidRDefault="00BB070C" w:rsidP="009A500D">
      <w:pPr>
        <w:numPr>
          <w:ilvl w:val="0"/>
          <w:numId w:val="13"/>
        </w:numPr>
        <w:spacing w:line="276" w:lineRule="auto"/>
        <w:jc w:val="both"/>
        <w:rPr>
          <w:rFonts w:ascii="ITC Avant Garde" w:eastAsia="Times New Roman" w:hAnsi="ITC Avant Garde" w:cs="Arial"/>
          <w:b/>
          <w:szCs w:val="24"/>
          <w:lang w:val="es-ES" w:eastAsia="es-ES"/>
        </w:rPr>
      </w:pPr>
      <w:r w:rsidRPr="00EB3BA2">
        <w:rPr>
          <w:rFonts w:ascii="ITC Avant Garde" w:eastAsia="Times New Roman" w:hAnsi="ITC Avant Garde" w:cs="Arial"/>
          <w:b/>
          <w:szCs w:val="24"/>
          <w:lang w:eastAsia="es-ES"/>
        </w:rPr>
        <w:t xml:space="preserve">Del </w:t>
      </w:r>
      <w:r w:rsidR="00AF3EFF" w:rsidRPr="00EB3BA2">
        <w:rPr>
          <w:rFonts w:ascii="ITC Avant Garde" w:eastAsia="Times New Roman" w:hAnsi="ITC Avant Garde" w:cs="Arial"/>
          <w:b/>
          <w:szCs w:val="24"/>
          <w:lang w:eastAsia="es-ES"/>
        </w:rPr>
        <w:t xml:space="preserve">11 de abril </w:t>
      </w:r>
      <w:r w:rsidRPr="00EB3BA2">
        <w:rPr>
          <w:rFonts w:ascii="ITC Avant Garde" w:eastAsia="Times New Roman" w:hAnsi="ITC Avant Garde" w:cs="Arial"/>
          <w:b/>
          <w:szCs w:val="24"/>
          <w:lang w:eastAsia="es-ES"/>
        </w:rPr>
        <w:t xml:space="preserve"> al 31 de diciembre de 2018, </w:t>
      </w:r>
      <w:r w:rsidRPr="00EB3BA2">
        <w:rPr>
          <w:rFonts w:ascii="ITC Avant Garde" w:eastAsia="Times New Roman" w:hAnsi="ITC Avant Garde" w:cs="Arial"/>
          <w:b/>
          <w:szCs w:val="24"/>
          <w:lang w:val="es-ES" w:eastAsia="es-ES"/>
        </w:rPr>
        <w:t>$0.016082 pesos M.N. por mensaje.</w:t>
      </w:r>
    </w:p>
    <w:p w14:paraId="646AC612" w14:textId="77777777" w:rsidR="009A500D" w:rsidRDefault="00BB070C" w:rsidP="009A500D">
      <w:pPr>
        <w:spacing w:line="276" w:lineRule="auto"/>
        <w:jc w:val="both"/>
        <w:rPr>
          <w:rFonts w:ascii="ITC Avant Garde" w:eastAsia="Times New Roman" w:hAnsi="ITC Avant Garde" w:cs="Arial"/>
        </w:rPr>
      </w:pPr>
      <w:r w:rsidRPr="00EB3BA2">
        <w:rPr>
          <w:rFonts w:ascii="ITC Avant Garde" w:eastAsia="Times New Roman" w:hAnsi="ITC Avant Garde" w:cs="Arial"/>
        </w:rPr>
        <w:t xml:space="preserve">La tarifa </w:t>
      </w:r>
      <w:r w:rsidRPr="00EB3BA2">
        <w:rPr>
          <w:rFonts w:ascii="ITC Avant Garde" w:eastAsia="Calibri" w:hAnsi="ITC Avant Garde" w:cs="Arial"/>
          <w:lang w:val="es-ES_tradnl"/>
        </w:rPr>
        <w:t>que OpenIP deberá pagar a Telcel por</w:t>
      </w:r>
      <w:r w:rsidRPr="00EB3BA2">
        <w:rPr>
          <w:rFonts w:ascii="ITC Avant Garde" w:eastAsia="Calibri" w:hAnsi="ITC Avant Garde" w:cs="Arial"/>
        </w:rPr>
        <w:t xml:space="preserve"> servicios</w:t>
      </w:r>
      <w:r w:rsidRPr="00EB3BA2">
        <w:rPr>
          <w:rFonts w:ascii="ITC Avant Garde" w:eastAsia="Times New Roman" w:hAnsi="ITC Avant Garde" w:cs="Arial"/>
        </w:rPr>
        <w:t xml:space="preserve"> de tránsito será la </w:t>
      </w:r>
      <w:r w:rsidRPr="00EB3BA2">
        <w:rPr>
          <w:rFonts w:ascii="ITC Avant Garde" w:eastAsia="Calibri" w:hAnsi="ITC Avant Garde" w:cs="Times New Roman"/>
          <w:spacing w:val="-4"/>
          <w:lang w:val="es-ES"/>
        </w:rPr>
        <w:t>siguiente:</w:t>
      </w:r>
    </w:p>
    <w:p w14:paraId="261C3AF0" w14:textId="77777777" w:rsidR="009A500D" w:rsidRDefault="00BB070C" w:rsidP="009A500D">
      <w:pPr>
        <w:numPr>
          <w:ilvl w:val="0"/>
          <w:numId w:val="13"/>
        </w:numPr>
        <w:spacing w:line="276" w:lineRule="auto"/>
        <w:jc w:val="both"/>
        <w:rPr>
          <w:rFonts w:ascii="ITC Avant Garde" w:eastAsia="Times New Roman" w:hAnsi="ITC Avant Garde" w:cs="Times New Roman"/>
          <w:b/>
          <w:spacing w:val="-4"/>
          <w:szCs w:val="24"/>
          <w:lang w:val="es-ES_tradnl" w:eastAsia="es-ES"/>
        </w:rPr>
      </w:pPr>
      <w:r w:rsidRPr="00EB3BA2">
        <w:rPr>
          <w:rFonts w:ascii="ITC Avant Garde" w:eastAsia="Times New Roman" w:hAnsi="ITC Avant Garde" w:cs="Times New Roman"/>
          <w:b/>
          <w:spacing w:val="-4"/>
          <w:szCs w:val="24"/>
          <w:lang w:val="es-ES_tradnl" w:eastAsia="es-ES"/>
        </w:rPr>
        <w:t xml:space="preserve">Del </w:t>
      </w:r>
      <w:r w:rsidR="00B26663" w:rsidRPr="00EB3BA2">
        <w:rPr>
          <w:rFonts w:ascii="ITC Avant Garde" w:eastAsia="Times New Roman" w:hAnsi="ITC Avant Garde" w:cs="Times New Roman"/>
          <w:b/>
          <w:spacing w:val="-4"/>
          <w:szCs w:val="24"/>
          <w:lang w:val="es-ES_tradnl" w:eastAsia="es-ES"/>
        </w:rPr>
        <w:t xml:space="preserve"> 11 de abril </w:t>
      </w:r>
      <w:r w:rsidRPr="00EB3BA2">
        <w:rPr>
          <w:rFonts w:ascii="ITC Avant Garde" w:eastAsia="Times New Roman" w:hAnsi="ITC Avant Garde" w:cs="Times New Roman"/>
          <w:b/>
          <w:spacing w:val="-4"/>
          <w:szCs w:val="24"/>
          <w:lang w:val="es-ES_tradnl" w:eastAsia="es-ES"/>
        </w:rPr>
        <w:t xml:space="preserve"> al 31 de diciembre de 2018, $0.003809 pesos M.N. por minuto de interconexión.</w:t>
      </w:r>
    </w:p>
    <w:p w14:paraId="3E61D38D" w14:textId="77777777" w:rsidR="009A500D" w:rsidRDefault="00BB070C" w:rsidP="009A500D">
      <w:pPr>
        <w:spacing w:line="276" w:lineRule="auto"/>
        <w:jc w:val="both"/>
        <w:rPr>
          <w:rFonts w:ascii="ITC Avant Garde" w:eastAsia="Calibri" w:hAnsi="ITC Avant Garde" w:cs="Arial"/>
          <w:shd w:val="clear" w:color="auto" w:fill="FFFFFF"/>
        </w:rPr>
      </w:pPr>
      <w:r w:rsidRPr="00EB3BA2">
        <w:rPr>
          <w:rFonts w:ascii="ITC Avant Garde" w:eastAsia="Calibri" w:hAnsi="ITC Avant Garde" w:cs="Times New Roman"/>
          <w:spacing w:val="-4"/>
        </w:rPr>
        <w:t xml:space="preserve"> </w:t>
      </w:r>
      <w:r w:rsidRPr="00EB3BA2">
        <w:rPr>
          <w:rFonts w:ascii="ITC Avant Garde" w:eastAsia="Calibri" w:hAnsi="ITC Avant Garde" w:cs="Arial"/>
        </w:rPr>
        <w:t>En la aplicación de las tarifas indicadas en los incisos a), b) y e) anteriores,</w:t>
      </w:r>
      <w:r w:rsidRPr="00EB3BA2">
        <w:rPr>
          <w:rFonts w:ascii="ITC Avant Garde" w:eastAsia="Calibri" w:hAnsi="ITC Avant Garde" w:cs="Times New Roman"/>
          <w:spacing w:val="-4"/>
        </w:rPr>
        <w:t xml:space="preserve">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Pr="00EB3BA2">
        <w:rPr>
          <w:rFonts w:ascii="ITC Avant Garde" w:eastAsia="Calibri" w:hAnsi="ITC Avant Garde" w:cs="Arial"/>
          <w:sz w:val="15"/>
          <w:szCs w:val="15"/>
          <w:shd w:val="clear" w:color="auto" w:fill="FFFFFF"/>
        </w:rPr>
        <w:t>.</w:t>
      </w:r>
    </w:p>
    <w:p w14:paraId="20E62101"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Asimismo, dichas tarifas ya incluyen el costo correspondiente a los puertos necesarios para la interconexión.</w:t>
      </w:r>
    </w:p>
    <w:p w14:paraId="36284D95"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 xml:space="preserve">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40667E" w:rsidRPr="00EB3BA2">
        <w:rPr>
          <w:rFonts w:ascii="ITC Avant Garde" w:eastAsia="Calibri" w:hAnsi="ITC Avant Garde" w:cs="Arial"/>
        </w:rPr>
        <w:t>LFTR</w:t>
      </w:r>
      <w:r w:rsidRPr="00EB3BA2">
        <w:rPr>
          <w:rFonts w:ascii="ITC Avant Garde" w:eastAsia="Calibri" w:hAnsi="ITC Avant Garde" w:cs="Arial"/>
        </w:rPr>
        <w:t>, la presente Resolución será inscrita en el Registro Público de Telecomunicaciones a cargo del propio Instituto.</w:t>
      </w:r>
    </w:p>
    <w:p w14:paraId="671F610B"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lastRenderedPageBreak/>
        <w:t xml:space="preserve">Lo anterior, sin perjuicio de que OpenIP y Telcel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r w:rsidR="0040667E" w:rsidRPr="00EB3BA2">
        <w:rPr>
          <w:rFonts w:ascii="ITC Avant Garde" w:eastAsia="Calibri" w:hAnsi="ITC Avant Garde" w:cs="Arial"/>
        </w:rPr>
        <w:t>LFTR</w:t>
      </w:r>
      <w:r w:rsidRPr="00EB3BA2">
        <w:rPr>
          <w:rFonts w:ascii="ITC Avant Garde" w:eastAsia="Calibri" w:hAnsi="ITC Avant Garde" w:cs="Arial"/>
        </w:rPr>
        <w:t>.</w:t>
      </w:r>
    </w:p>
    <w:p w14:paraId="36698A3F" w14:textId="77777777" w:rsidR="009A500D" w:rsidRDefault="00BB070C" w:rsidP="009A500D">
      <w:pPr>
        <w:spacing w:line="276" w:lineRule="auto"/>
        <w:ind w:right="20"/>
        <w:jc w:val="both"/>
        <w:rPr>
          <w:rFonts w:ascii="ITC Avant Garde" w:eastAsia="Calibri" w:hAnsi="ITC Avant Garde" w:cs="Arial"/>
        </w:rPr>
      </w:pPr>
      <w:r w:rsidRPr="00EB3BA2">
        <w:rPr>
          <w:rFonts w:ascii="ITC Avant Garde" w:eastAsia="Calibri" w:hAnsi="ITC Avant Garde" w:cs="Arial"/>
        </w:rPr>
        <w:t xml:space="preserve">Con base en lo anterior y con fundamento en lo dispuesto por los artículos, 28, párrafo décimo quinto y décimo sexto de la Constitución Política de los Estados Unidos Mexicanos; 6, fracciones IV y VII 15, fracción X, 17, fracción I, 125, 128, 129, 131, incisos a) y b), 176, 177 fracción VII, 178, 312 y 313 de la Ley Federal de Telecomunicaciones y Radiodifusión; 32, 35, fracción I, 36, 38, 39, 45 y 57 fracción I de la Ley Federal de Procedimiento Administrativo; 197, 202, 210-A, </w:t>
      </w:r>
      <w:r w:rsidR="007D2D61" w:rsidRPr="00EB3BA2">
        <w:rPr>
          <w:rFonts w:ascii="ITC Avant Garde" w:eastAsia="Calibri" w:hAnsi="ITC Avant Garde" w:cs="Arial"/>
        </w:rPr>
        <w:t>211</w:t>
      </w:r>
      <w:r w:rsidRPr="00EB3BA2">
        <w:rPr>
          <w:rFonts w:ascii="ITC Avant Garde" w:eastAsia="Calibri" w:hAnsi="ITC Avant Garde" w:cs="Arial"/>
        </w:rPr>
        <w:t xml:space="preserve"> y 218 del Código Federal de Procedimientos Civiles; y 4 fracción I y 6, fracción XXXVIII del Estatuto Orgánico del Instituto Federal de Telecomunicaciones, el Pleno del Instituto Federal de Telecomunicaciones emite los siguientes:</w:t>
      </w:r>
    </w:p>
    <w:p w14:paraId="2AD81D71" w14:textId="7326E69A" w:rsidR="009A500D" w:rsidRPr="009A500D" w:rsidRDefault="00BB070C" w:rsidP="009A500D">
      <w:pPr>
        <w:pStyle w:val="Ttulo2"/>
        <w:spacing w:after="240" w:line="276" w:lineRule="auto"/>
        <w:jc w:val="center"/>
        <w:rPr>
          <w:rFonts w:ascii="ITC Avant Garde" w:hAnsi="ITC Avant Garde"/>
          <w:szCs w:val="22"/>
          <w:lang w:val="es-ES" w:eastAsia="es-ES"/>
        </w:rPr>
      </w:pPr>
      <w:r w:rsidRPr="009A500D">
        <w:rPr>
          <w:rFonts w:ascii="ITC Avant Garde" w:hAnsi="ITC Avant Garde"/>
          <w:szCs w:val="22"/>
          <w:lang w:val="es-ES" w:eastAsia="es-ES"/>
        </w:rPr>
        <w:t>RESOLUTIVOS</w:t>
      </w:r>
    </w:p>
    <w:p w14:paraId="314D5198"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b/>
        </w:rPr>
        <w:t>PRIMERO</w:t>
      </w:r>
      <w:r w:rsidRPr="00EB3BA2">
        <w:rPr>
          <w:rFonts w:ascii="ITC Avant Garde" w:eastAsia="Calibri" w:hAnsi="ITC Avant Garde" w:cs="Arial"/>
        </w:rPr>
        <w:t>.- Dentro de los treinta (30) días naturales contados a partir del día siguiente a la notificación de la presente Resolución, se deberá realizar de manera efectiva la interconexión directa</w:t>
      </w:r>
      <w:r w:rsidR="00924374" w:rsidRPr="00EB3BA2">
        <w:rPr>
          <w:rFonts w:ascii="ITC Avant Garde" w:eastAsia="Calibri" w:hAnsi="ITC Avant Garde" w:cs="Arial"/>
        </w:rPr>
        <w:t xml:space="preserve"> o indirecta</w:t>
      </w:r>
      <w:r w:rsidRPr="00EB3BA2">
        <w:rPr>
          <w:rFonts w:ascii="ITC Avant Garde" w:eastAsia="Calibri" w:hAnsi="ITC Avant Garde" w:cs="Arial"/>
        </w:rPr>
        <w:t xml:space="preserve"> entre la red local fija de </w:t>
      </w:r>
      <w:r w:rsidR="00924374" w:rsidRPr="00EB3BA2">
        <w:rPr>
          <w:rFonts w:ascii="ITC Avant Garde" w:eastAsia="Calibri" w:hAnsi="ITC Avant Garde" w:cs="Arial"/>
          <w:bCs/>
          <w:lang w:val="es-ES"/>
        </w:rPr>
        <w:t xml:space="preserve">OpenIP </w:t>
      </w:r>
      <w:r w:rsidRPr="00EB3BA2">
        <w:rPr>
          <w:rFonts w:ascii="ITC Avant Garde" w:eastAsia="Calibri" w:hAnsi="ITC Avant Garde" w:cs="Arial"/>
          <w:bCs/>
          <w:lang w:val="es-ES"/>
        </w:rPr>
        <w:t>Comunicaciones, S.A. de C.V.,</w:t>
      </w:r>
      <w:r w:rsidRPr="00EB3BA2">
        <w:rPr>
          <w:rFonts w:ascii="ITC Avant Garde" w:eastAsia="Calibri" w:hAnsi="ITC Avant Garde" w:cs="Arial"/>
          <w:b/>
          <w:bCs/>
          <w:lang w:val="es-ES"/>
        </w:rPr>
        <w:t xml:space="preserve"> </w:t>
      </w:r>
      <w:r w:rsidRPr="00EB3BA2">
        <w:rPr>
          <w:rFonts w:ascii="ITC Avant Garde" w:eastAsia="Calibri" w:hAnsi="ITC Avant Garde" w:cs="Arial"/>
        </w:rPr>
        <w:t>y la red local móvil de Radiomóvil Dipsa, S.A. de C.V., a efecto de que inicie el intercambio de tráfico correspondiente, de conformidad con el establecido en la fracción IX del artículo 129 de la Ley Federal de Telecomunicaciones y Radiodifusión.</w:t>
      </w:r>
    </w:p>
    <w:p w14:paraId="7651D631" w14:textId="77777777" w:rsidR="009A500D" w:rsidRDefault="00924374" w:rsidP="009A500D">
      <w:pPr>
        <w:spacing w:line="276" w:lineRule="auto"/>
        <w:jc w:val="both"/>
        <w:rPr>
          <w:rFonts w:ascii="ITC Avant Garde" w:eastAsia="Calibri" w:hAnsi="ITC Avant Garde" w:cs="Arial"/>
        </w:rPr>
      </w:pPr>
      <w:r w:rsidRPr="00EB3BA2">
        <w:rPr>
          <w:rFonts w:ascii="ITC Avant Garde" w:eastAsia="Calibri" w:hAnsi="ITC Avant Garde" w:cs="Arial"/>
        </w:rPr>
        <w:t>Para tal efecto, y en caso de que OpenIP, S.A. de C.V. elija cursar tráfico de voz hacia la red de Radiomóvil Dipsa, S.A. de C.V., mediante interconexión directa, deberá sufragar el costo del enlace de interconexión hasta el punto de interconexión de dicha empresa.</w:t>
      </w:r>
    </w:p>
    <w:p w14:paraId="7249EFE6" w14:textId="77777777" w:rsidR="009A500D" w:rsidRDefault="0034688D" w:rsidP="009A500D">
      <w:pPr>
        <w:spacing w:line="276" w:lineRule="auto"/>
        <w:jc w:val="both"/>
        <w:rPr>
          <w:rFonts w:ascii="ITC Avant Garde" w:eastAsia="Calibri" w:hAnsi="ITC Avant Garde" w:cs="Arial"/>
        </w:rPr>
      </w:pPr>
      <w:r w:rsidRPr="00EB3BA2">
        <w:rPr>
          <w:rFonts w:ascii="ITC Avant Garde" w:eastAsia="Calibri" w:hAnsi="ITC Avant Garde" w:cs="Arial"/>
        </w:rPr>
        <w:t>Tratándose del servicio de mensajes cortos (SMS), la interconexión se llevará a cabo mediante Enlaces Dedicados. Cada una de las partes será responsable de sufragar los costos asociados a su propio enlace, así como cualquier otro que derive de los servicios asociados a éste.</w:t>
      </w:r>
    </w:p>
    <w:p w14:paraId="29A5E565" w14:textId="77777777" w:rsidR="009A500D" w:rsidRDefault="00BB070C" w:rsidP="009A500D">
      <w:pPr>
        <w:spacing w:line="276" w:lineRule="auto"/>
        <w:jc w:val="both"/>
        <w:rPr>
          <w:rFonts w:ascii="ITC Avant Garde" w:eastAsia="Calibri" w:hAnsi="ITC Avant Garde" w:cs="Arial"/>
          <w:bCs/>
        </w:rPr>
      </w:pPr>
      <w:r w:rsidRPr="00EB3BA2">
        <w:rPr>
          <w:rFonts w:ascii="ITC Avant Garde" w:eastAsia="Calibri" w:hAnsi="ITC Avant Garde" w:cs="Arial"/>
          <w:b/>
        </w:rPr>
        <w:lastRenderedPageBreak/>
        <w:t>SEGUNDO.</w:t>
      </w:r>
      <w:r w:rsidR="00CB0FCC" w:rsidRPr="00EB3BA2">
        <w:rPr>
          <w:rFonts w:ascii="ITC Avant Garde" w:eastAsia="Calibri" w:hAnsi="ITC Avant Garde" w:cs="Arial"/>
          <w:b/>
        </w:rPr>
        <w:t>-</w:t>
      </w:r>
      <w:r w:rsidRPr="00EB3BA2">
        <w:rPr>
          <w:rFonts w:ascii="ITC Avant Garde" w:eastAsia="Calibri" w:hAnsi="ITC Avant Garde" w:cs="Arial"/>
          <w:b/>
        </w:rPr>
        <w:t xml:space="preserve"> </w:t>
      </w:r>
      <w:r w:rsidRPr="00EB3BA2">
        <w:rPr>
          <w:rFonts w:ascii="ITC Avant Garde" w:eastAsia="Calibri" w:hAnsi="ITC Avant Garde" w:cs="Arial"/>
        </w:rPr>
        <w:t>La interconexión</w:t>
      </w:r>
      <w:r w:rsidR="00CB0FCC" w:rsidRPr="00EB3BA2">
        <w:rPr>
          <w:rFonts w:ascii="ITC Avant Garde" w:eastAsia="Calibri" w:hAnsi="ITC Avant Garde" w:cs="Arial"/>
        </w:rPr>
        <w:t xml:space="preserve"> </w:t>
      </w:r>
      <w:r w:rsidRPr="00EB3BA2">
        <w:rPr>
          <w:rFonts w:ascii="ITC Avant Garde" w:eastAsia="Calibri" w:hAnsi="ITC Avant Garde" w:cs="Arial"/>
        </w:rPr>
        <w:t xml:space="preserve"> entre la red local fija de </w:t>
      </w:r>
      <w:r w:rsidRPr="00EB3BA2">
        <w:rPr>
          <w:rFonts w:ascii="ITC Avant Garde" w:eastAsia="Calibri" w:hAnsi="ITC Avant Garde" w:cs="Arial"/>
          <w:bCs/>
          <w:lang w:val="es-ES"/>
        </w:rPr>
        <w:t>Open</w:t>
      </w:r>
      <w:r w:rsidR="00CB0FCC" w:rsidRPr="00EB3BA2">
        <w:rPr>
          <w:rFonts w:ascii="ITC Avant Garde" w:eastAsia="Calibri" w:hAnsi="ITC Avant Garde" w:cs="Arial"/>
          <w:bCs/>
          <w:lang w:val="es-ES"/>
        </w:rPr>
        <w:t>IP</w:t>
      </w:r>
      <w:r w:rsidRPr="00EB3BA2">
        <w:rPr>
          <w:rFonts w:ascii="ITC Avant Garde" w:eastAsia="Calibri" w:hAnsi="ITC Avant Garde" w:cs="Arial"/>
          <w:bCs/>
          <w:lang w:val="es-ES"/>
        </w:rPr>
        <w:t xml:space="preserve"> Comunicaciones, S.A. de C.V.</w:t>
      </w:r>
      <w:r w:rsidRPr="00EB3BA2">
        <w:rPr>
          <w:rFonts w:ascii="ITC Avant Garde" w:eastAsia="Calibri" w:hAnsi="ITC Avant Garde" w:cs="Arial"/>
          <w:b/>
          <w:bCs/>
          <w:lang w:val="es-ES"/>
        </w:rPr>
        <w:t xml:space="preserve"> </w:t>
      </w:r>
      <w:r w:rsidRPr="00EB3BA2">
        <w:rPr>
          <w:rFonts w:ascii="ITC Avant Garde" w:eastAsia="Calibri" w:hAnsi="ITC Avant Garde" w:cs="Arial"/>
        </w:rPr>
        <w:t xml:space="preserve">y la red local móvil de Radiomóvil Dipsa, S.A. de C.V., deberá realizarse de conformidad con lo establecido en el Convenio Marco de Interconexión de Radiomóvil Dipsa, S.A. de C.V., aprobado mediante Acuerdo </w:t>
      </w:r>
      <w:r w:rsidRPr="00EB3BA2">
        <w:rPr>
          <w:rFonts w:ascii="ITC Avant Garde" w:eastAsia="Calibri" w:hAnsi="ITC Avant Garde" w:cs="Arial"/>
          <w:bCs/>
        </w:rPr>
        <w:t>P/IFT/011117/656.</w:t>
      </w:r>
    </w:p>
    <w:p w14:paraId="21B84698"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b/>
        </w:rPr>
        <w:t xml:space="preserve">TERCERO.- </w:t>
      </w:r>
      <w:r w:rsidRPr="00EB3BA2">
        <w:rPr>
          <w:rFonts w:ascii="ITC Avant Garde" w:eastAsia="Calibri" w:hAnsi="ITC Avant Garde" w:cs="Arial"/>
        </w:rPr>
        <w:t xml:space="preserve">La tarifa de interconexión que Radiomóvil Dipsa, S.A. de C.V., deberá pagar a </w:t>
      </w:r>
      <w:r w:rsidR="005D1814" w:rsidRPr="00EB3BA2">
        <w:rPr>
          <w:rFonts w:ascii="ITC Avant Garde" w:eastAsia="Calibri" w:hAnsi="ITC Avant Garde" w:cs="Arial"/>
          <w:bCs/>
          <w:lang w:val="es-ES"/>
        </w:rPr>
        <w:t xml:space="preserve">OpenIP </w:t>
      </w:r>
      <w:r w:rsidRPr="00EB3BA2">
        <w:rPr>
          <w:rFonts w:ascii="ITC Avant Garde" w:eastAsia="Calibri" w:hAnsi="ITC Avant Garde" w:cs="Arial"/>
          <w:bCs/>
          <w:lang w:val="es-ES"/>
        </w:rPr>
        <w:t>Comunicaciones, S.A. de C.V.,</w:t>
      </w:r>
      <w:r w:rsidRPr="00EB3BA2">
        <w:rPr>
          <w:rFonts w:ascii="ITC Avant Garde" w:eastAsia="Calibri" w:hAnsi="ITC Avant Garde" w:cs="Arial"/>
          <w:b/>
          <w:bCs/>
          <w:lang w:val="es-ES"/>
        </w:rPr>
        <w:t xml:space="preserve"> </w:t>
      </w:r>
      <w:r w:rsidRPr="00EB3BA2">
        <w:rPr>
          <w:rFonts w:ascii="ITC Avant Garde" w:eastAsia="Calibri" w:hAnsi="ITC Avant Garde" w:cs="Arial"/>
        </w:rPr>
        <w:t>por los servicios de terminación del Servicio Local en usuarios fijos, será la siguiente:</w:t>
      </w:r>
    </w:p>
    <w:p w14:paraId="7A9225B0" w14:textId="77777777" w:rsidR="009A500D" w:rsidRDefault="00BB070C" w:rsidP="009A500D">
      <w:pPr>
        <w:numPr>
          <w:ilvl w:val="0"/>
          <w:numId w:val="21"/>
        </w:numPr>
        <w:spacing w:line="276" w:lineRule="auto"/>
        <w:jc w:val="both"/>
        <w:rPr>
          <w:rFonts w:ascii="ITC Avant Garde" w:eastAsia="Times New Roman" w:hAnsi="ITC Avant Garde" w:cs="Times New Roman"/>
          <w:b/>
          <w:spacing w:val="-4"/>
          <w:szCs w:val="24"/>
          <w:lang w:val="es-ES_tradnl" w:eastAsia="es-ES"/>
        </w:rPr>
      </w:pPr>
      <w:r w:rsidRPr="00EB3BA2">
        <w:rPr>
          <w:rFonts w:ascii="ITC Avant Garde" w:eastAsia="Times New Roman" w:hAnsi="ITC Avant Garde" w:cs="Times New Roman"/>
          <w:b/>
          <w:spacing w:val="-4"/>
          <w:szCs w:val="24"/>
          <w:lang w:val="es-ES_tradnl" w:eastAsia="es-ES"/>
        </w:rPr>
        <w:t>Del</w:t>
      </w:r>
      <w:r w:rsidR="005D1814" w:rsidRPr="00EB3BA2">
        <w:rPr>
          <w:rFonts w:ascii="ITC Avant Garde" w:eastAsia="Times New Roman" w:hAnsi="ITC Avant Garde" w:cs="Times New Roman"/>
          <w:b/>
          <w:spacing w:val="-4"/>
          <w:szCs w:val="24"/>
          <w:lang w:val="es-ES_tradnl" w:eastAsia="es-ES"/>
        </w:rPr>
        <w:t xml:space="preserve"> 11 de abril</w:t>
      </w:r>
      <w:r w:rsidRPr="00EB3BA2">
        <w:rPr>
          <w:rFonts w:ascii="ITC Avant Garde" w:eastAsia="Times New Roman" w:hAnsi="ITC Avant Garde" w:cs="Times New Roman"/>
          <w:b/>
          <w:spacing w:val="-4"/>
          <w:szCs w:val="24"/>
          <w:lang w:val="es-ES_tradnl" w:eastAsia="es-ES"/>
        </w:rPr>
        <w:t xml:space="preserve"> al 31 de diciembre de 2018, $0.002836 pesos M.N. por minuto de interconexión.</w:t>
      </w:r>
    </w:p>
    <w:p w14:paraId="0A88683E" w14:textId="77777777" w:rsidR="009A500D" w:rsidRDefault="00BB070C"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La tarifa anterior ya incluye el costo correspondiente a los puertos necesarios para la interconexión.</w:t>
      </w:r>
    </w:p>
    <w:p w14:paraId="4AB63C1B"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C3A415C"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b/>
        </w:rPr>
        <w:t xml:space="preserve">CUARTO.- </w:t>
      </w:r>
      <w:r w:rsidRPr="00EB3BA2">
        <w:rPr>
          <w:rFonts w:ascii="ITC Avant Garde" w:eastAsia="Calibri" w:hAnsi="ITC Avant Garde" w:cs="Arial"/>
        </w:rPr>
        <w:t xml:space="preserve">La tarifa de interconexión que </w:t>
      </w:r>
      <w:r w:rsidR="005D1814" w:rsidRPr="00EB3BA2">
        <w:rPr>
          <w:rFonts w:ascii="ITC Avant Garde" w:eastAsia="Calibri" w:hAnsi="ITC Avant Garde" w:cs="Arial"/>
          <w:bCs/>
          <w:lang w:val="es-ES"/>
        </w:rPr>
        <w:t>OpenIP</w:t>
      </w:r>
      <w:r w:rsidRPr="00EB3BA2">
        <w:rPr>
          <w:rFonts w:ascii="ITC Avant Garde" w:eastAsia="Calibri" w:hAnsi="ITC Avant Garde" w:cs="Arial"/>
          <w:bCs/>
          <w:lang w:val="es-ES"/>
        </w:rPr>
        <w:t xml:space="preserve"> Comunicaciones, S.A. de C.V.,</w:t>
      </w:r>
      <w:r w:rsidRPr="00EB3BA2">
        <w:rPr>
          <w:rFonts w:ascii="ITC Avant Garde" w:eastAsia="Calibri" w:hAnsi="ITC Avant Garde" w:cs="Arial"/>
          <w:b/>
          <w:bCs/>
          <w:lang w:val="es-ES"/>
        </w:rPr>
        <w:t xml:space="preserve"> </w:t>
      </w:r>
      <w:r w:rsidRPr="00EB3BA2">
        <w:rPr>
          <w:rFonts w:ascii="ITC Avant Garde" w:eastAsia="Calibri" w:hAnsi="ITC Avant Garde" w:cs="Arial"/>
        </w:rPr>
        <w:t xml:space="preserve">deberá pagar a </w:t>
      </w:r>
      <w:r w:rsidRPr="00EB3BA2">
        <w:rPr>
          <w:rFonts w:ascii="ITC Avant Garde" w:eastAsia="Calibri" w:hAnsi="ITC Avant Garde" w:cs="Arial"/>
          <w:bCs/>
        </w:rPr>
        <w:t xml:space="preserve">Radiomóvil Dipsa, S.A. de C.V., </w:t>
      </w:r>
      <w:r w:rsidRPr="00EB3BA2">
        <w:rPr>
          <w:rFonts w:ascii="ITC Avant Garde" w:eastAsia="Calibri" w:hAnsi="ITC Avant Garde" w:cs="Arial"/>
        </w:rPr>
        <w:t>por los servicios de terminación del Servicio Local en usuarios móviles bajo la modalidad “El que llama paga” será la siguiente:</w:t>
      </w:r>
    </w:p>
    <w:p w14:paraId="64EC226C" w14:textId="77777777" w:rsidR="009A500D" w:rsidRDefault="00BB070C" w:rsidP="009A500D">
      <w:pPr>
        <w:numPr>
          <w:ilvl w:val="0"/>
          <w:numId w:val="27"/>
        </w:numPr>
        <w:spacing w:line="276" w:lineRule="auto"/>
        <w:jc w:val="both"/>
        <w:rPr>
          <w:rFonts w:ascii="ITC Avant Garde" w:eastAsia="Times New Roman" w:hAnsi="ITC Avant Garde" w:cs="Times New Roman"/>
          <w:b/>
          <w:spacing w:val="-4"/>
          <w:szCs w:val="24"/>
          <w:lang w:val="es-ES_tradnl" w:eastAsia="es-ES"/>
        </w:rPr>
      </w:pPr>
      <w:r w:rsidRPr="00EB3BA2">
        <w:rPr>
          <w:rFonts w:ascii="ITC Avant Garde" w:eastAsia="Times New Roman" w:hAnsi="ITC Avant Garde" w:cs="Times New Roman"/>
          <w:b/>
          <w:spacing w:val="-4"/>
          <w:szCs w:val="24"/>
          <w:lang w:val="es-ES_tradnl" w:eastAsia="es-ES"/>
        </w:rPr>
        <w:t xml:space="preserve">Del </w:t>
      </w:r>
      <w:r w:rsidR="005D1814" w:rsidRPr="00EB3BA2">
        <w:rPr>
          <w:rFonts w:ascii="ITC Avant Garde" w:eastAsia="Times New Roman" w:hAnsi="ITC Avant Garde" w:cs="Times New Roman"/>
          <w:b/>
          <w:spacing w:val="-4"/>
          <w:szCs w:val="24"/>
          <w:lang w:val="es-ES_tradnl" w:eastAsia="es-ES"/>
        </w:rPr>
        <w:t xml:space="preserve"> 11 de abril</w:t>
      </w:r>
      <w:r w:rsidRPr="00EB3BA2">
        <w:rPr>
          <w:rFonts w:ascii="ITC Avant Garde" w:eastAsia="Times New Roman" w:hAnsi="ITC Avant Garde" w:cs="Times New Roman"/>
          <w:b/>
          <w:spacing w:val="-4"/>
          <w:szCs w:val="24"/>
          <w:lang w:val="es-ES_tradnl" w:eastAsia="es-ES"/>
        </w:rPr>
        <w:t xml:space="preserve"> al 31 de diciembre de 2018, $0.028562 pesos M.N. por minuto de interconexión.</w:t>
      </w:r>
    </w:p>
    <w:p w14:paraId="3A0D010B" w14:textId="77777777" w:rsidR="009A500D" w:rsidRDefault="00BB070C"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La tarifa anterior ya incluye el costo correspondiente a los puertos necesarios para la interconexión.</w:t>
      </w:r>
    </w:p>
    <w:p w14:paraId="7FB45826"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7D50C0F" w14:textId="77777777" w:rsidR="009A500D" w:rsidRDefault="00BB070C" w:rsidP="009A500D">
      <w:pPr>
        <w:spacing w:line="276" w:lineRule="auto"/>
        <w:jc w:val="both"/>
        <w:rPr>
          <w:rFonts w:ascii="ITC Avant Garde" w:eastAsia="Times New Roman" w:hAnsi="ITC Avant Garde" w:cs="Arial"/>
        </w:rPr>
      </w:pPr>
      <w:r w:rsidRPr="00EB3BA2">
        <w:rPr>
          <w:rFonts w:ascii="ITC Avant Garde" w:eastAsia="Calibri" w:hAnsi="ITC Avant Garde" w:cs="Arial"/>
          <w:b/>
        </w:rPr>
        <w:t xml:space="preserve">QUINTO.- </w:t>
      </w:r>
      <w:r w:rsidRPr="00EB3BA2">
        <w:rPr>
          <w:rFonts w:ascii="ITC Avant Garde" w:eastAsia="Calibri" w:hAnsi="ITC Avant Garde" w:cs="Arial"/>
        </w:rPr>
        <w:t xml:space="preserve">La tarifa de interconexión que Radiomóvil Dipsa, S.A. de C.V., deberá pagar a </w:t>
      </w:r>
      <w:r w:rsidR="005D1814" w:rsidRPr="00EB3BA2">
        <w:rPr>
          <w:rFonts w:ascii="ITC Avant Garde" w:eastAsia="Calibri" w:hAnsi="ITC Avant Garde" w:cs="Arial"/>
          <w:bCs/>
          <w:lang w:val="es-ES"/>
        </w:rPr>
        <w:t>OpenIP</w:t>
      </w:r>
      <w:r w:rsidRPr="00EB3BA2">
        <w:rPr>
          <w:rFonts w:ascii="ITC Avant Garde" w:eastAsia="Calibri" w:hAnsi="ITC Avant Garde" w:cs="Arial"/>
          <w:bCs/>
          <w:lang w:val="es-ES"/>
        </w:rPr>
        <w:t xml:space="preserve"> Comunicaciones, S.A. de C.V.,</w:t>
      </w:r>
      <w:r w:rsidRPr="00EB3BA2">
        <w:rPr>
          <w:rFonts w:ascii="ITC Avant Garde" w:eastAsia="Calibri" w:hAnsi="ITC Avant Garde" w:cs="Arial"/>
          <w:b/>
          <w:bCs/>
          <w:lang w:val="es-ES"/>
        </w:rPr>
        <w:t xml:space="preserve"> </w:t>
      </w:r>
      <w:r w:rsidRPr="00EB3BA2">
        <w:rPr>
          <w:rFonts w:ascii="ITC Avant Garde" w:eastAsia="Times New Roman" w:hAnsi="ITC Avant Garde" w:cs="Arial"/>
          <w:lang w:val="es-ES_tradnl"/>
        </w:rPr>
        <w:t>por</w:t>
      </w:r>
      <w:r w:rsidRPr="00EB3BA2">
        <w:rPr>
          <w:rFonts w:ascii="ITC Avant Garde" w:eastAsia="Calibri" w:hAnsi="ITC Avant Garde" w:cs="Arial"/>
        </w:rPr>
        <w:t xml:space="preserve"> los servicios de terminación de mensajes cortos (SMS) en usuarios fijos, será la siguiente: </w:t>
      </w:r>
    </w:p>
    <w:p w14:paraId="50EB0F60" w14:textId="77777777" w:rsidR="009A500D" w:rsidRDefault="00BB070C" w:rsidP="009A500D">
      <w:pPr>
        <w:numPr>
          <w:ilvl w:val="0"/>
          <w:numId w:val="28"/>
        </w:numPr>
        <w:spacing w:line="276" w:lineRule="auto"/>
        <w:jc w:val="both"/>
        <w:rPr>
          <w:rFonts w:ascii="ITC Avant Garde" w:eastAsia="Times New Roman" w:hAnsi="ITC Avant Garde" w:cs="Arial"/>
          <w:b/>
          <w:szCs w:val="24"/>
          <w:lang w:val="es-ES" w:eastAsia="es-ES"/>
        </w:rPr>
      </w:pPr>
      <w:r w:rsidRPr="00EB3BA2">
        <w:rPr>
          <w:rFonts w:ascii="ITC Avant Garde" w:eastAsia="Times New Roman" w:hAnsi="ITC Avant Garde" w:cs="Arial"/>
          <w:b/>
          <w:szCs w:val="24"/>
          <w:lang w:eastAsia="es-ES"/>
        </w:rPr>
        <w:t>Del</w:t>
      </w:r>
      <w:r w:rsidR="005D1814" w:rsidRPr="00EB3BA2">
        <w:rPr>
          <w:rFonts w:ascii="ITC Avant Garde" w:eastAsia="Times New Roman" w:hAnsi="ITC Avant Garde" w:cs="Arial"/>
          <w:b/>
          <w:szCs w:val="24"/>
          <w:lang w:eastAsia="es-ES"/>
        </w:rPr>
        <w:t xml:space="preserve"> 11 de abril</w:t>
      </w:r>
      <w:r w:rsidRPr="00EB3BA2">
        <w:rPr>
          <w:rFonts w:ascii="ITC Avant Garde" w:eastAsia="Times New Roman" w:hAnsi="ITC Avant Garde" w:cs="Arial"/>
          <w:b/>
          <w:szCs w:val="24"/>
          <w:lang w:eastAsia="es-ES"/>
        </w:rPr>
        <w:t xml:space="preserve"> al 31 de diciembre de 2018, </w:t>
      </w:r>
      <w:r w:rsidRPr="00EB3BA2">
        <w:rPr>
          <w:rFonts w:ascii="ITC Avant Garde" w:eastAsia="Times New Roman" w:hAnsi="ITC Avant Garde" w:cs="Arial"/>
          <w:b/>
          <w:szCs w:val="24"/>
          <w:lang w:val="es-ES" w:eastAsia="es-ES"/>
        </w:rPr>
        <w:t>$0.016082 pesos M.N. por mensaje.</w:t>
      </w:r>
    </w:p>
    <w:p w14:paraId="41913CEC"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lastRenderedPageBreak/>
        <w:t>La tarifa anterior ya incluye el costo correspondiente a los puertos necesarios para la interconexión.</w:t>
      </w:r>
    </w:p>
    <w:p w14:paraId="1AC91FBA" w14:textId="77777777" w:rsidR="009A500D" w:rsidRDefault="00BB070C" w:rsidP="009A500D">
      <w:pPr>
        <w:spacing w:line="276" w:lineRule="auto"/>
        <w:jc w:val="both"/>
        <w:rPr>
          <w:rFonts w:ascii="ITC Avant Garde" w:eastAsia="Times New Roman" w:hAnsi="ITC Avant Garde" w:cs="Arial"/>
        </w:rPr>
      </w:pPr>
      <w:r w:rsidRPr="00EB3BA2">
        <w:rPr>
          <w:rFonts w:ascii="ITC Avant Garde" w:eastAsia="Calibri" w:hAnsi="ITC Avant Garde" w:cs="Arial"/>
          <w:b/>
        </w:rPr>
        <w:t xml:space="preserve">SEXTO.- </w:t>
      </w:r>
      <w:r w:rsidRPr="00EB3BA2">
        <w:rPr>
          <w:rFonts w:ascii="ITC Avant Garde" w:eastAsia="Calibri" w:hAnsi="ITC Avant Garde" w:cs="Arial"/>
        </w:rPr>
        <w:t xml:space="preserve">La tarifa de interconexión que </w:t>
      </w:r>
      <w:r w:rsidR="005D1814" w:rsidRPr="00EB3BA2">
        <w:rPr>
          <w:rFonts w:ascii="ITC Avant Garde" w:eastAsia="Calibri" w:hAnsi="ITC Avant Garde" w:cs="Arial"/>
          <w:bCs/>
          <w:lang w:val="es-ES"/>
        </w:rPr>
        <w:t>OpenIP</w:t>
      </w:r>
      <w:r w:rsidRPr="00EB3BA2">
        <w:rPr>
          <w:rFonts w:ascii="ITC Avant Garde" w:eastAsia="Calibri" w:hAnsi="ITC Avant Garde" w:cs="Arial"/>
          <w:bCs/>
          <w:lang w:val="es-ES"/>
        </w:rPr>
        <w:t xml:space="preserve"> Comunicaciones, S.A. de C.V.,</w:t>
      </w:r>
      <w:r w:rsidRPr="00EB3BA2">
        <w:rPr>
          <w:rFonts w:ascii="ITC Avant Garde" w:eastAsia="Calibri" w:hAnsi="ITC Avant Garde" w:cs="Arial"/>
          <w:b/>
          <w:bCs/>
          <w:lang w:val="es-ES"/>
        </w:rPr>
        <w:t xml:space="preserve"> </w:t>
      </w:r>
      <w:r w:rsidRPr="00EB3BA2">
        <w:rPr>
          <w:rFonts w:ascii="ITC Avant Garde" w:eastAsia="Calibri" w:hAnsi="ITC Avant Garde" w:cs="Arial"/>
        </w:rPr>
        <w:t xml:space="preserve">deberá pagar a </w:t>
      </w:r>
      <w:r w:rsidRPr="00EB3BA2">
        <w:rPr>
          <w:rFonts w:ascii="ITC Avant Garde" w:eastAsia="Calibri" w:hAnsi="ITC Avant Garde" w:cs="Arial"/>
          <w:bCs/>
        </w:rPr>
        <w:t xml:space="preserve">Radiomóvil Dipsa, S.A. de C.V., </w:t>
      </w:r>
      <w:r w:rsidRPr="00EB3BA2">
        <w:rPr>
          <w:rFonts w:ascii="ITC Avant Garde" w:eastAsia="Calibri" w:hAnsi="ITC Avant Garde" w:cs="Arial"/>
        </w:rPr>
        <w:t>por</w:t>
      </w:r>
      <w:r w:rsidRPr="00EB3BA2">
        <w:rPr>
          <w:rFonts w:ascii="ITC Avant Garde" w:eastAsia="Times New Roman" w:hAnsi="ITC Avant Garde" w:cs="Arial"/>
        </w:rPr>
        <w:t xml:space="preserve"> </w:t>
      </w:r>
      <w:r w:rsidRPr="00EB3BA2">
        <w:rPr>
          <w:rFonts w:ascii="ITC Avant Garde" w:eastAsia="Calibri" w:hAnsi="ITC Avant Garde" w:cs="Arial"/>
        </w:rPr>
        <w:t xml:space="preserve">los servicios de terminación de mensajes cortos (SMS) en usuarios móviles, será la siguiente: </w:t>
      </w:r>
    </w:p>
    <w:p w14:paraId="23591CCF" w14:textId="77777777" w:rsidR="009A500D" w:rsidRDefault="00BB070C" w:rsidP="009A500D">
      <w:pPr>
        <w:numPr>
          <w:ilvl w:val="0"/>
          <w:numId w:val="29"/>
        </w:numPr>
        <w:spacing w:line="276" w:lineRule="auto"/>
        <w:jc w:val="both"/>
        <w:rPr>
          <w:rFonts w:ascii="ITC Avant Garde" w:eastAsia="Times New Roman" w:hAnsi="ITC Avant Garde" w:cs="Arial"/>
          <w:b/>
          <w:szCs w:val="24"/>
          <w:lang w:eastAsia="es-ES"/>
        </w:rPr>
      </w:pPr>
      <w:r w:rsidRPr="00EB3BA2">
        <w:rPr>
          <w:rFonts w:ascii="ITC Avant Garde" w:eastAsia="Times New Roman" w:hAnsi="ITC Avant Garde" w:cs="Arial"/>
          <w:b/>
          <w:szCs w:val="24"/>
          <w:lang w:eastAsia="es-ES"/>
        </w:rPr>
        <w:t>Del</w:t>
      </w:r>
      <w:r w:rsidR="005D1814" w:rsidRPr="00EB3BA2">
        <w:rPr>
          <w:rFonts w:ascii="ITC Avant Garde" w:eastAsia="Times New Roman" w:hAnsi="ITC Avant Garde" w:cs="Arial"/>
          <w:b/>
          <w:szCs w:val="24"/>
          <w:lang w:eastAsia="es-ES"/>
        </w:rPr>
        <w:t xml:space="preserve"> 11 de abril</w:t>
      </w:r>
      <w:r w:rsidRPr="00EB3BA2">
        <w:rPr>
          <w:rFonts w:ascii="ITC Avant Garde" w:eastAsia="Times New Roman" w:hAnsi="ITC Avant Garde" w:cs="Arial"/>
          <w:b/>
          <w:szCs w:val="24"/>
          <w:lang w:eastAsia="es-ES"/>
        </w:rPr>
        <w:t xml:space="preserve"> al 31 de diciembre de 2018, $0.007269 pesos M.N. por mensaje.</w:t>
      </w:r>
    </w:p>
    <w:p w14:paraId="699EE89E"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La tarifa anterior ya incluye el costo correspondiente a los puertos necesarios para la interconexión.</w:t>
      </w:r>
    </w:p>
    <w:p w14:paraId="3B7F5CAD" w14:textId="77777777" w:rsidR="009A500D" w:rsidRDefault="00BB070C" w:rsidP="009A500D">
      <w:pPr>
        <w:spacing w:line="276" w:lineRule="auto"/>
        <w:jc w:val="both"/>
        <w:rPr>
          <w:rFonts w:ascii="ITC Avant Garde" w:eastAsia="Times New Roman" w:hAnsi="ITC Avant Garde" w:cs="Arial"/>
        </w:rPr>
      </w:pPr>
      <w:r w:rsidRPr="00EB3BA2">
        <w:rPr>
          <w:rFonts w:ascii="ITC Avant Garde" w:eastAsia="Calibri" w:hAnsi="ITC Avant Garde" w:cs="Arial"/>
          <w:b/>
        </w:rPr>
        <w:t xml:space="preserve">SÉPTIMO.- </w:t>
      </w:r>
      <w:r w:rsidRPr="00EB3BA2">
        <w:rPr>
          <w:rFonts w:ascii="ITC Avant Garde" w:eastAsia="Calibri" w:hAnsi="ITC Avant Garde" w:cs="Arial"/>
        </w:rPr>
        <w:t xml:space="preserve">La tarifa de interconexión que </w:t>
      </w:r>
      <w:r w:rsidR="005D1814" w:rsidRPr="00EB3BA2">
        <w:rPr>
          <w:rFonts w:ascii="ITC Avant Garde" w:eastAsia="Calibri" w:hAnsi="ITC Avant Garde" w:cs="Arial"/>
          <w:bCs/>
          <w:lang w:val="es-ES"/>
        </w:rPr>
        <w:t>OpenIP</w:t>
      </w:r>
      <w:r w:rsidRPr="00EB3BA2">
        <w:rPr>
          <w:rFonts w:ascii="ITC Avant Garde" w:eastAsia="Calibri" w:hAnsi="ITC Avant Garde" w:cs="Arial"/>
          <w:bCs/>
          <w:lang w:val="es-ES"/>
        </w:rPr>
        <w:t xml:space="preserve"> Comunicaciones, S.A. de C.V.,</w:t>
      </w:r>
      <w:r w:rsidRPr="00EB3BA2">
        <w:rPr>
          <w:rFonts w:ascii="ITC Avant Garde" w:eastAsia="Calibri" w:hAnsi="ITC Avant Garde" w:cs="Arial"/>
          <w:b/>
          <w:bCs/>
          <w:lang w:val="es-ES"/>
        </w:rPr>
        <w:t xml:space="preserve"> </w:t>
      </w:r>
      <w:r w:rsidRPr="00EB3BA2">
        <w:rPr>
          <w:rFonts w:ascii="ITC Avant Garde" w:eastAsia="Calibri" w:hAnsi="ITC Avant Garde" w:cs="Arial"/>
        </w:rPr>
        <w:t xml:space="preserve">deberá pagar a </w:t>
      </w:r>
      <w:r w:rsidRPr="00EB3BA2">
        <w:rPr>
          <w:rFonts w:ascii="ITC Avant Garde" w:eastAsia="Calibri" w:hAnsi="ITC Avant Garde" w:cs="Arial"/>
          <w:bCs/>
        </w:rPr>
        <w:t xml:space="preserve">Radiomóvil Dipsa, S.A. de C.V., </w:t>
      </w:r>
      <w:r w:rsidRPr="00EB3BA2">
        <w:rPr>
          <w:rFonts w:ascii="ITC Avant Garde" w:eastAsia="Calibri" w:hAnsi="ITC Avant Garde" w:cs="Arial"/>
        </w:rPr>
        <w:t>por servicios</w:t>
      </w:r>
      <w:r w:rsidRPr="00EB3BA2">
        <w:rPr>
          <w:rFonts w:ascii="ITC Avant Garde" w:eastAsia="Times New Roman" w:hAnsi="ITC Avant Garde" w:cs="Arial"/>
        </w:rPr>
        <w:t xml:space="preserve"> de tránsito será la </w:t>
      </w:r>
      <w:r w:rsidRPr="00EB3BA2">
        <w:rPr>
          <w:rFonts w:ascii="ITC Avant Garde" w:eastAsia="Calibri" w:hAnsi="ITC Avant Garde" w:cs="Times New Roman"/>
          <w:spacing w:val="-4"/>
          <w:lang w:val="es-ES"/>
        </w:rPr>
        <w:t>siguiente:</w:t>
      </w:r>
    </w:p>
    <w:p w14:paraId="1AEB62DB" w14:textId="77777777" w:rsidR="009A500D" w:rsidRDefault="00BB070C" w:rsidP="009A500D">
      <w:pPr>
        <w:numPr>
          <w:ilvl w:val="0"/>
          <w:numId w:val="30"/>
        </w:numPr>
        <w:spacing w:line="276" w:lineRule="auto"/>
        <w:jc w:val="both"/>
        <w:rPr>
          <w:rFonts w:ascii="ITC Avant Garde" w:eastAsia="Times New Roman" w:hAnsi="ITC Avant Garde" w:cs="Times New Roman"/>
          <w:b/>
          <w:spacing w:val="-4"/>
          <w:szCs w:val="24"/>
          <w:lang w:val="es-ES_tradnl" w:eastAsia="es-ES"/>
        </w:rPr>
      </w:pPr>
      <w:r w:rsidRPr="00EB3BA2">
        <w:rPr>
          <w:rFonts w:ascii="ITC Avant Garde" w:eastAsia="Times New Roman" w:hAnsi="ITC Avant Garde" w:cs="Times New Roman"/>
          <w:b/>
          <w:spacing w:val="-4"/>
          <w:szCs w:val="24"/>
          <w:lang w:val="es-ES_tradnl" w:eastAsia="es-ES"/>
        </w:rPr>
        <w:t xml:space="preserve">Del </w:t>
      </w:r>
      <w:r w:rsidR="005D1814" w:rsidRPr="00EB3BA2">
        <w:rPr>
          <w:rFonts w:ascii="ITC Avant Garde" w:eastAsia="Times New Roman" w:hAnsi="ITC Avant Garde" w:cs="Times New Roman"/>
          <w:b/>
          <w:spacing w:val="-4"/>
          <w:szCs w:val="24"/>
          <w:lang w:val="es-ES_tradnl" w:eastAsia="es-ES"/>
        </w:rPr>
        <w:t>11 de abril</w:t>
      </w:r>
      <w:r w:rsidRPr="00EB3BA2">
        <w:rPr>
          <w:rFonts w:ascii="ITC Avant Garde" w:eastAsia="Times New Roman" w:hAnsi="ITC Avant Garde" w:cs="Times New Roman"/>
          <w:b/>
          <w:spacing w:val="-4"/>
          <w:szCs w:val="24"/>
          <w:lang w:val="es-ES_tradnl" w:eastAsia="es-ES"/>
        </w:rPr>
        <w:t xml:space="preserve"> al 31 de diciembre de 2018, $0.003809 pesos M.N. por minuto de interconexión.</w:t>
      </w:r>
    </w:p>
    <w:p w14:paraId="44852DAF" w14:textId="77777777" w:rsidR="009A500D" w:rsidRDefault="00BB070C" w:rsidP="009A500D">
      <w:pPr>
        <w:spacing w:line="276" w:lineRule="auto"/>
        <w:jc w:val="both"/>
        <w:rPr>
          <w:rFonts w:ascii="ITC Avant Garde" w:eastAsia="Times New Roman" w:hAnsi="ITC Avant Garde" w:cs="Arial"/>
          <w:szCs w:val="24"/>
          <w:lang w:eastAsia="es-ES"/>
        </w:rPr>
      </w:pPr>
      <w:r w:rsidRPr="00EB3BA2">
        <w:rPr>
          <w:rFonts w:ascii="ITC Avant Garde" w:eastAsia="Times New Roman" w:hAnsi="ITC Avant Garde" w:cs="Arial"/>
          <w:szCs w:val="24"/>
          <w:lang w:eastAsia="es-ES"/>
        </w:rPr>
        <w:t>La tarifa anterior ya incluye el costo correspondiente a los puertos necesarios para la interconexión.</w:t>
      </w:r>
    </w:p>
    <w:p w14:paraId="759C7F2E" w14:textId="77777777" w:rsidR="009A500D" w:rsidRDefault="00BB070C" w:rsidP="009A500D">
      <w:pPr>
        <w:spacing w:line="276" w:lineRule="auto"/>
        <w:jc w:val="both"/>
        <w:rPr>
          <w:rFonts w:ascii="ITC Avant Garde" w:eastAsia="Calibri" w:hAnsi="ITC Avant Garde" w:cs="Arial"/>
        </w:rPr>
      </w:pPr>
      <w:r w:rsidRPr="00EB3BA2">
        <w:rPr>
          <w:rFonts w:ascii="ITC Avant Garde" w:eastAsia="Calibri"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4B9D23A" w14:textId="77777777" w:rsidR="009A500D" w:rsidRDefault="00BB070C" w:rsidP="009A500D">
      <w:pPr>
        <w:spacing w:line="276" w:lineRule="auto"/>
        <w:ind w:right="20"/>
        <w:jc w:val="both"/>
        <w:rPr>
          <w:rFonts w:ascii="ITC Avant Garde" w:eastAsia="Calibri" w:hAnsi="ITC Avant Garde" w:cs="Arial"/>
        </w:rPr>
      </w:pPr>
      <w:r w:rsidRPr="00EB3BA2">
        <w:rPr>
          <w:rFonts w:ascii="ITC Avant Garde" w:eastAsia="Calibri" w:hAnsi="ITC Avant Garde" w:cs="Arial"/>
          <w:b/>
        </w:rPr>
        <w:t xml:space="preserve">OCTAVO.- </w:t>
      </w:r>
      <w:r w:rsidRPr="00EB3BA2">
        <w:rPr>
          <w:rFonts w:ascii="ITC Avant Garde" w:eastAsia="Calibri"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Radiomóvil Dipsa, S.A. de C.V. y </w:t>
      </w:r>
      <w:r w:rsidR="005D1814" w:rsidRPr="00EB3BA2">
        <w:rPr>
          <w:rFonts w:ascii="ITC Avant Garde" w:eastAsia="Calibri" w:hAnsi="ITC Avant Garde" w:cs="Arial"/>
          <w:bCs/>
          <w:lang w:val="es-ES"/>
        </w:rPr>
        <w:t>OpenIP</w:t>
      </w:r>
      <w:r w:rsidRPr="00EB3BA2">
        <w:rPr>
          <w:rFonts w:ascii="ITC Avant Garde" w:eastAsia="Calibri" w:hAnsi="ITC Avant Garde" w:cs="Arial"/>
          <w:bCs/>
          <w:lang w:val="es-ES"/>
        </w:rPr>
        <w:t xml:space="preserve"> Comunicaciones, S.A. de C.V.,</w:t>
      </w:r>
      <w:r w:rsidRPr="00EB3BA2">
        <w:rPr>
          <w:rFonts w:ascii="ITC Avant Garde" w:eastAsia="Calibri" w:hAnsi="ITC Avant Garde" w:cs="Arial"/>
          <w:b/>
          <w:bCs/>
          <w:lang w:val="es-ES"/>
        </w:rPr>
        <w:t xml:space="preserve"> </w:t>
      </w:r>
      <w:r w:rsidRPr="00EB3BA2">
        <w:rPr>
          <w:rFonts w:ascii="ITC Avant Garde" w:eastAsia="Calibri" w:hAnsi="ITC Avant Garde" w:cs="Arial"/>
        </w:rPr>
        <w:t xml:space="preserve">deberán </w:t>
      </w:r>
      <w:r w:rsidRPr="00EB3BA2">
        <w:rPr>
          <w:rFonts w:ascii="ITC Avant Garde" w:eastAsia="Times New Roman" w:hAnsi="ITC Avant Garde" w:cs="Arial"/>
        </w:rPr>
        <w:t xml:space="preserve">suscribir </w:t>
      </w:r>
      <w:r w:rsidRPr="00EB3BA2">
        <w:rPr>
          <w:rFonts w:ascii="ITC Avant Garde" w:eastAsia="Calibri" w:hAnsi="ITC Avant Garde" w:cs="Arial"/>
        </w:rPr>
        <w:t xml:space="preserve">el convenio de interconexión de sus redes públicas de telecomunicaciones conforme a los términos y condiciones determinados en los Resolutivos PRIMERO, SEGUNDO, TERCERO, CUARTO, QUINTO, SEXTO y SÉPTIMO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w:t>
      </w:r>
      <w:r w:rsidRPr="00EB3BA2">
        <w:rPr>
          <w:rFonts w:ascii="ITC Avant Garde" w:eastAsia="Calibri" w:hAnsi="ITC Avant Garde" w:cs="Arial"/>
        </w:rPr>
        <w:lastRenderedPageBreak/>
        <w:t>siguientes a su celebración, de conformidad con los artículos 128, 176 y 177, fracción VII de la Ley Federal de Telecomunicaciones y Radiodifusión.</w:t>
      </w:r>
    </w:p>
    <w:p w14:paraId="5A16F796" w14:textId="77777777" w:rsidR="009A500D" w:rsidRDefault="00BB070C" w:rsidP="009A500D">
      <w:pPr>
        <w:spacing w:line="276" w:lineRule="auto"/>
        <w:jc w:val="both"/>
        <w:rPr>
          <w:rFonts w:ascii="ITC Avant Garde" w:eastAsia="Calibri" w:hAnsi="ITC Avant Garde" w:cs="Times New Roman"/>
          <w:shd w:val="clear" w:color="auto" w:fill="FFFFFF"/>
        </w:rPr>
      </w:pPr>
      <w:r w:rsidRPr="00EB3BA2">
        <w:rPr>
          <w:rFonts w:ascii="ITC Avant Garde" w:eastAsia="Times New Roman" w:hAnsi="ITC Avant Garde" w:cs="Times New Roman"/>
          <w:b/>
          <w:bCs/>
          <w:lang w:eastAsia="es-ES"/>
        </w:rPr>
        <w:t>NOVENO.-</w:t>
      </w:r>
      <w:r w:rsidRPr="00EB3BA2">
        <w:rPr>
          <w:rFonts w:ascii="ITC Avant Garde" w:eastAsia="Calibri" w:hAnsi="ITC Avant Garde" w:cs="Times New Roman"/>
        </w:rPr>
        <w:t xml:space="preserve"> </w:t>
      </w:r>
      <w:r w:rsidRPr="00EB3BA2">
        <w:rPr>
          <w:rFonts w:ascii="ITC Avant Garde" w:eastAsia="Calibri" w:hAnsi="ITC Avant Garde" w:cs="Times New Roman"/>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Radiomóvil Dipsa, S.A. de C.V. y </w:t>
      </w:r>
      <w:r w:rsidR="005D1814" w:rsidRPr="00EB3BA2">
        <w:rPr>
          <w:rFonts w:ascii="ITC Avant Garde" w:eastAsia="Calibri" w:hAnsi="ITC Avant Garde" w:cs="Times New Roman"/>
          <w:bCs/>
          <w:shd w:val="clear" w:color="auto" w:fill="FFFFFF"/>
          <w:lang w:val="es-ES"/>
        </w:rPr>
        <w:t>OpenIP</w:t>
      </w:r>
      <w:r w:rsidRPr="00EB3BA2">
        <w:rPr>
          <w:rFonts w:ascii="ITC Avant Garde" w:eastAsia="Calibri" w:hAnsi="ITC Avant Garde" w:cs="Times New Roman"/>
          <w:bCs/>
          <w:shd w:val="clear" w:color="auto" w:fill="FFFFFF"/>
          <w:lang w:val="es-ES"/>
        </w:rPr>
        <w:t xml:space="preserve"> Comunicaciones, S.A. de C.V.,</w:t>
      </w:r>
      <w:r w:rsidRPr="00EB3BA2">
        <w:rPr>
          <w:rFonts w:ascii="ITC Avant Garde" w:eastAsia="Calibri" w:hAnsi="ITC Avant Garde" w:cs="Times New Roman"/>
          <w:b/>
          <w:bCs/>
          <w:shd w:val="clear" w:color="auto" w:fill="FFFFFF"/>
          <w:lang w:val="es-ES"/>
        </w:rPr>
        <w:t xml:space="preserve"> </w:t>
      </w:r>
      <w:r w:rsidRPr="00EB3BA2">
        <w:rPr>
          <w:rFonts w:ascii="ITC Avant Garde" w:eastAsia="Calibri" w:hAnsi="ITC Avant Garde" w:cs="Times New Roman"/>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7401EA3E" w14:textId="77777777" w:rsidR="009A500D" w:rsidRDefault="00BB070C" w:rsidP="009A500D">
      <w:pPr>
        <w:spacing w:line="276" w:lineRule="auto"/>
        <w:ind w:right="20"/>
        <w:jc w:val="both"/>
        <w:rPr>
          <w:rFonts w:ascii="ITC Avant Garde" w:eastAsia="Times New Roman" w:hAnsi="ITC Avant Garde" w:cs="Arial"/>
        </w:rPr>
      </w:pPr>
      <w:r w:rsidRPr="00EB3BA2">
        <w:rPr>
          <w:rFonts w:ascii="ITC Avant Garde" w:eastAsia="Calibri" w:hAnsi="ITC Avant Garde" w:cs="Arial"/>
          <w:b/>
        </w:rPr>
        <w:t>DECIMO</w:t>
      </w:r>
      <w:r w:rsidRPr="00EB3BA2">
        <w:rPr>
          <w:rFonts w:ascii="ITC Avant Garde" w:eastAsia="Calibri" w:hAnsi="ITC Avant Garde" w:cs="Arial"/>
        </w:rPr>
        <w:t xml:space="preserve">.- Notifíquese personalmente a los representantes legales de Radiomóvil Dipsa, S.A. de C.V. y </w:t>
      </w:r>
      <w:r w:rsidR="005D1814" w:rsidRPr="00EB3BA2">
        <w:rPr>
          <w:rFonts w:ascii="ITC Avant Garde" w:eastAsia="Calibri" w:hAnsi="ITC Avant Garde" w:cs="Arial"/>
          <w:bCs/>
          <w:lang w:val="es-ES"/>
        </w:rPr>
        <w:t>OpenIP</w:t>
      </w:r>
      <w:r w:rsidRPr="00EB3BA2">
        <w:rPr>
          <w:rFonts w:ascii="ITC Avant Garde" w:eastAsia="Calibri" w:hAnsi="ITC Avant Garde" w:cs="Arial"/>
          <w:bCs/>
          <w:lang w:val="es-ES"/>
        </w:rPr>
        <w:t xml:space="preserve"> Comunicaciones, S.A. de C.V.,</w:t>
      </w:r>
      <w:r w:rsidRPr="00EB3BA2">
        <w:rPr>
          <w:rFonts w:ascii="ITC Avant Garde" w:eastAsia="Calibri" w:hAnsi="ITC Avant Garde" w:cs="Arial"/>
          <w:b/>
          <w:bCs/>
          <w:lang w:val="es-ES"/>
        </w:rPr>
        <w:t xml:space="preserve"> </w:t>
      </w:r>
      <w:r w:rsidRPr="00EB3BA2">
        <w:rPr>
          <w:rFonts w:ascii="ITC Avant Garde" w:eastAsia="Calibri" w:hAnsi="ITC Avant Garde" w:cs="Arial"/>
          <w:bCs/>
        </w:rPr>
        <w:t>el</w:t>
      </w:r>
      <w:r w:rsidRPr="00EB3BA2">
        <w:rPr>
          <w:rFonts w:ascii="ITC Avant Garde" w:eastAsia="Calibri" w:hAnsi="ITC Avant Garde" w:cs="Arial"/>
        </w:rPr>
        <w:t xml:space="preserve"> contenido de la presente Resolución, en términos de lo establecido en el artículo 129 fracción VIII de la Ley Federal de Telecomunicaciones y Radiodifusión.</w:t>
      </w:r>
    </w:p>
    <w:p w14:paraId="4726EAE6" w14:textId="77777777" w:rsidR="009A500D" w:rsidRDefault="004A3DF1" w:rsidP="009A500D">
      <w:pPr>
        <w:spacing w:after="0" w:line="240" w:lineRule="auto"/>
        <w:jc w:val="both"/>
        <w:rPr>
          <w:rFonts w:ascii="ITC Avant Garde" w:hAnsi="ITC Avant Garde"/>
          <w:sz w:val="14"/>
          <w:szCs w:val="14"/>
          <w:lang w:eastAsia="es-MX"/>
        </w:rPr>
      </w:pPr>
      <w:r w:rsidRPr="005861AA">
        <w:rPr>
          <w:rFonts w:ascii="ITC Avant Garde" w:hAnsi="ITC Avant Garde"/>
          <w:sz w:val="14"/>
          <w:szCs w:val="14"/>
          <w:lang w:eastAsia="es-MX"/>
        </w:rPr>
        <w:t xml:space="preserve">La presente Resolución fue aprobada por el Pleno del Instituto Federal de Telecomunicaciones en su XIV Sesión Ordinaria celebrada el 11 de abril de 2018, </w:t>
      </w:r>
      <w:r w:rsidRPr="005861AA">
        <w:rPr>
          <w:rFonts w:ascii="ITC Avant Garde" w:hAnsi="ITC Avant Garde"/>
          <w:bCs/>
          <w:sz w:val="14"/>
          <w:szCs w:val="14"/>
          <w:lang w:eastAsia="es-MX"/>
        </w:rPr>
        <w:t>en lo general por</w:t>
      </w:r>
      <w:r w:rsidRPr="005861AA">
        <w:rPr>
          <w:rFonts w:ascii="ITC Avant Garde" w:hAnsi="ITC Avant Garde"/>
          <w:sz w:val="14"/>
          <w:szCs w:val="14"/>
          <w:lang w:eastAsia="es-MX"/>
        </w:rPr>
        <w:t xml:space="preserve"> </w:t>
      </w:r>
      <w:r w:rsidRPr="005861AA">
        <w:rPr>
          <w:rFonts w:ascii="ITC Avant Garde" w:hAnsi="ITC Avant Garde"/>
          <w:bCs/>
          <w:sz w:val="14"/>
          <w:szCs w:val="14"/>
          <w:lang w:eastAsia="es-MX"/>
        </w:rPr>
        <w:t>unanimidad</w:t>
      </w:r>
      <w:r w:rsidRPr="005861AA">
        <w:rPr>
          <w:rFonts w:ascii="ITC Avant Garde" w:hAnsi="ITC Avant Garde"/>
          <w:sz w:val="14"/>
          <w:szCs w:val="14"/>
          <w:lang w:eastAsia="es-MX"/>
        </w:rPr>
        <w:t xml:space="preserve"> de votos de los Comisionados Gabriel Oswaldo Contreras Saldívar, María Elena Estavillo Flores, Mario Germán Fromow Rangel, Adolfo Cuevas Teja, Javier Juárez Mojica y Arturo Robles Rovalo.</w:t>
      </w:r>
    </w:p>
    <w:p w14:paraId="2FE15885" w14:textId="77777777" w:rsidR="009A500D" w:rsidRDefault="004A3DF1" w:rsidP="009A500D">
      <w:pPr>
        <w:spacing w:after="0" w:line="240" w:lineRule="auto"/>
        <w:jc w:val="both"/>
        <w:rPr>
          <w:rFonts w:ascii="ITC Avant Garde" w:hAnsi="ITC Avant Garde"/>
          <w:sz w:val="14"/>
          <w:szCs w:val="14"/>
          <w:lang w:eastAsia="es-MX"/>
        </w:rPr>
      </w:pPr>
      <w:r w:rsidRPr="005861AA">
        <w:rPr>
          <w:rFonts w:ascii="ITC Avant Garde" w:hAnsi="ITC Avant Garde"/>
          <w:sz w:val="14"/>
          <w:szCs w:val="14"/>
          <w:lang w:eastAsia="es-MX"/>
        </w:rPr>
        <w:t>En lo particular, la Comisionada María Elena Estavillo Flores manifiesta voto concurrente por lo que hace a la mención de la modalidad “El que llama paga”.</w:t>
      </w:r>
    </w:p>
    <w:p w14:paraId="4AC97D39" w14:textId="5F2BA1D7" w:rsidR="00FF1E15" w:rsidRPr="009A500D" w:rsidRDefault="004A3DF1" w:rsidP="009A500D">
      <w:pPr>
        <w:spacing w:after="0" w:line="240" w:lineRule="auto"/>
        <w:jc w:val="both"/>
        <w:rPr>
          <w:rFonts w:ascii="ITC Avant Garde" w:hAnsi="ITC Avant Garde"/>
          <w:lang w:eastAsia="es-MX"/>
        </w:rPr>
      </w:pPr>
      <w:r w:rsidRPr="005861AA">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P/IFT/110418/252.</w:t>
      </w:r>
    </w:p>
    <w:sectPr w:rsidR="00FF1E15" w:rsidRPr="009A500D" w:rsidSect="001762B1">
      <w:footerReference w:type="default" r:id="rId8"/>
      <w:pgSz w:w="12240" w:h="15840"/>
      <w:pgMar w:top="2269" w:right="1701" w:bottom="226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E635" w14:textId="77777777" w:rsidR="00F73FEC" w:rsidRDefault="00F73FEC" w:rsidP="00BB070C">
      <w:pPr>
        <w:spacing w:after="0" w:line="240" w:lineRule="auto"/>
      </w:pPr>
      <w:r>
        <w:separator/>
      </w:r>
    </w:p>
  </w:endnote>
  <w:endnote w:type="continuationSeparator" w:id="0">
    <w:p w14:paraId="0118B4FE" w14:textId="77777777" w:rsidR="00F73FEC" w:rsidRDefault="00F73FEC" w:rsidP="00BB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414133"/>
      <w:docPartObj>
        <w:docPartGallery w:val="Page Numbers (Bottom of Page)"/>
        <w:docPartUnique/>
      </w:docPartObj>
    </w:sdtPr>
    <w:sdtEndPr/>
    <w:sdtContent>
      <w:p w14:paraId="756A6FDA" w14:textId="497C1B75" w:rsidR="001762B1" w:rsidRDefault="001762B1" w:rsidP="00B107F2">
        <w:pPr>
          <w:pStyle w:val="Piedepgina"/>
          <w:jc w:val="right"/>
        </w:pPr>
        <w:r w:rsidRPr="00447951">
          <w:rPr>
            <w:rFonts w:ascii="ITC Avant Garde" w:hAnsi="ITC Avant Garde"/>
            <w:sz w:val="20"/>
            <w:szCs w:val="20"/>
          </w:rPr>
          <w:fldChar w:fldCharType="begin"/>
        </w:r>
        <w:r w:rsidRPr="00447951">
          <w:rPr>
            <w:rFonts w:ascii="ITC Avant Garde" w:hAnsi="ITC Avant Garde"/>
            <w:sz w:val="20"/>
            <w:szCs w:val="20"/>
          </w:rPr>
          <w:instrText>PAGE   \* MERGEFORMAT</w:instrText>
        </w:r>
        <w:r w:rsidRPr="00447951">
          <w:rPr>
            <w:rFonts w:ascii="ITC Avant Garde" w:hAnsi="ITC Avant Garde"/>
            <w:sz w:val="20"/>
            <w:szCs w:val="20"/>
          </w:rPr>
          <w:fldChar w:fldCharType="separate"/>
        </w:r>
        <w:r w:rsidR="00B107F2" w:rsidRPr="00B107F2">
          <w:rPr>
            <w:rFonts w:ascii="ITC Avant Garde" w:hAnsi="ITC Avant Garde"/>
            <w:noProof/>
            <w:sz w:val="20"/>
            <w:szCs w:val="20"/>
            <w:lang w:val="es-ES"/>
          </w:rPr>
          <w:t>22</w:t>
        </w:r>
        <w:r w:rsidRPr="0044795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4ECD" w14:textId="77777777" w:rsidR="00F73FEC" w:rsidRDefault="00F73FEC" w:rsidP="00BB070C">
      <w:pPr>
        <w:spacing w:after="0" w:line="240" w:lineRule="auto"/>
      </w:pPr>
      <w:r>
        <w:separator/>
      </w:r>
    </w:p>
  </w:footnote>
  <w:footnote w:type="continuationSeparator" w:id="0">
    <w:p w14:paraId="611DF3A2" w14:textId="77777777" w:rsidR="00F73FEC" w:rsidRDefault="00F73FEC" w:rsidP="00BB070C">
      <w:pPr>
        <w:spacing w:after="0" w:line="240" w:lineRule="auto"/>
      </w:pPr>
      <w:r>
        <w:continuationSeparator/>
      </w:r>
    </w:p>
  </w:footnote>
  <w:footnote w:id="1">
    <w:p w14:paraId="5FF5C4FC" w14:textId="77777777" w:rsidR="001762B1" w:rsidRPr="00D40365" w:rsidRDefault="001762B1" w:rsidP="00BB070C">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2">
    <w:p w14:paraId="7292EF34" w14:textId="77777777" w:rsidR="001762B1" w:rsidRPr="00D40365" w:rsidRDefault="001762B1" w:rsidP="00BB070C">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3">
    <w:p w14:paraId="09EFA12B" w14:textId="77777777" w:rsidR="001762B1" w:rsidRPr="00D40365" w:rsidRDefault="001762B1" w:rsidP="00BB070C">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4">
    <w:p w14:paraId="4906AB17" w14:textId="77777777" w:rsidR="001762B1" w:rsidRPr="00D40365" w:rsidRDefault="001762B1" w:rsidP="00BB070C">
      <w:pPr>
        <w:pStyle w:val="Textonotapie"/>
        <w:jc w:val="both"/>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http://www.gsma.com/membership/wp-content/uploads/2013/03/Haud-Systems-whitepaper-Assuring-future-SMS.pdf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2B7117"/>
    <w:multiLevelType w:val="hybridMultilevel"/>
    <w:tmpl w:val="49407B82"/>
    <w:lvl w:ilvl="0" w:tplc="935EF0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39864F0"/>
    <w:multiLevelType w:val="hybridMultilevel"/>
    <w:tmpl w:val="183ACD70"/>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C3189"/>
    <w:multiLevelType w:val="multilevel"/>
    <w:tmpl w:val="1A8E0A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95816"/>
    <w:multiLevelType w:val="hybridMultilevel"/>
    <w:tmpl w:val="F9A4D26E"/>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19C5976"/>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F92937"/>
    <w:multiLevelType w:val="hybridMultilevel"/>
    <w:tmpl w:val="2C8EA1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2A38AA"/>
    <w:multiLevelType w:val="hybridMultilevel"/>
    <w:tmpl w:val="F9A4D26E"/>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CBA76D3"/>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A1116D"/>
    <w:multiLevelType w:val="hybridMultilevel"/>
    <w:tmpl w:val="F9A4D26E"/>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78D0182"/>
    <w:multiLevelType w:val="hybridMultilevel"/>
    <w:tmpl w:val="9FCCED82"/>
    <w:lvl w:ilvl="0" w:tplc="080A0015">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141D70"/>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3" w15:restartNumberingAfterBreak="0">
    <w:nsid w:val="5CAB4401"/>
    <w:multiLevelType w:val="hybridMultilevel"/>
    <w:tmpl w:val="196A3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06DF9"/>
    <w:multiLevelType w:val="hybridMultilevel"/>
    <w:tmpl w:val="F9A4D26E"/>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B103E"/>
    <w:multiLevelType w:val="hybridMultilevel"/>
    <w:tmpl w:val="EC2CE192"/>
    <w:lvl w:ilvl="0" w:tplc="BD4477F8">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A6201CE"/>
    <w:multiLevelType w:val="hybridMultilevel"/>
    <w:tmpl w:val="F9A4D26E"/>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C56B5"/>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EE47B51"/>
    <w:multiLevelType w:val="hybridMultilevel"/>
    <w:tmpl w:val="CBC4DB9C"/>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10B7F18"/>
    <w:multiLevelType w:val="hybridMultilevel"/>
    <w:tmpl w:val="EE2CCD04"/>
    <w:lvl w:ilvl="0" w:tplc="8AB60A7A">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9444E8"/>
    <w:multiLevelType w:val="hybridMultilevel"/>
    <w:tmpl w:val="3E34D4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D61C3F"/>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8756ECA"/>
    <w:multiLevelType w:val="hybridMultilevel"/>
    <w:tmpl w:val="E4308840"/>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6CAC9DE4">
      <w:start w:val="1"/>
      <w:numFmt w:val="decimal"/>
      <w:lvlText w:val="%3."/>
      <w:lvlJc w:val="left"/>
      <w:pPr>
        <w:ind w:left="2340" w:hanging="360"/>
      </w:pPr>
      <w:rPr>
        <w:rFonts w:eastAsia="Times New Roman"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DD3482"/>
    <w:multiLevelType w:val="hybridMultilevel"/>
    <w:tmpl w:val="E3748866"/>
    <w:lvl w:ilvl="0" w:tplc="F59E631E">
      <w:start w:val="1"/>
      <w:numFmt w:val="bullet"/>
      <w:lvlText w:val="-"/>
      <w:lvlJc w:val="left"/>
      <w:pPr>
        <w:ind w:left="720" w:hanging="360"/>
      </w:pPr>
      <w:rPr>
        <w:rFonts w:ascii="ITC Avant Garde" w:eastAsia="Calibri" w:hAnsi="ITC Avant Garde" w:cs="Times New Roman"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2"/>
  </w:num>
  <w:num w:numId="4">
    <w:abstractNumId w:val="0"/>
  </w:num>
  <w:num w:numId="5">
    <w:abstractNumId w:val="1"/>
  </w:num>
  <w:num w:numId="6">
    <w:abstractNumId w:val="17"/>
  </w:num>
  <w:num w:numId="7">
    <w:abstractNumId w:val="13"/>
  </w:num>
  <w:num w:numId="8">
    <w:abstractNumId w:val="18"/>
  </w:num>
  <w:num w:numId="9">
    <w:abstractNumId w:val="8"/>
  </w:num>
  <w:num w:numId="10">
    <w:abstractNumId w:val="15"/>
  </w:num>
  <w:num w:numId="11">
    <w:abstractNumId w:val="6"/>
  </w:num>
  <w:num w:numId="12">
    <w:abstractNumId w:val="24"/>
  </w:num>
  <w:num w:numId="13">
    <w:abstractNumId w:val="16"/>
  </w:num>
  <w:num w:numId="14">
    <w:abstractNumId w:val="29"/>
  </w:num>
  <w:num w:numId="15">
    <w:abstractNumId w:val="30"/>
  </w:num>
  <w:num w:numId="16">
    <w:abstractNumId w:val="20"/>
  </w:num>
  <w:num w:numId="17">
    <w:abstractNumId w:val="31"/>
  </w:num>
  <w:num w:numId="18">
    <w:abstractNumId w:val="23"/>
  </w:num>
  <w:num w:numId="19">
    <w:abstractNumId w:val="34"/>
  </w:num>
  <w:num w:numId="20">
    <w:abstractNumId w:val="11"/>
  </w:num>
  <w:num w:numId="21">
    <w:abstractNumId w:val="4"/>
  </w:num>
  <w:num w:numId="22">
    <w:abstractNumId w:val="5"/>
  </w:num>
  <w:num w:numId="23">
    <w:abstractNumId w:val="21"/>
  </w:num>
  <w:num w:numId="24">
    <w:abstractNumId w:val="3"/>
  </w:num>
  <w:num w:numId="25">
    <w:abstractNumId w:val="26"/>
  </w:num>
  <w:num w:numId="26">
    <w:abstractNumId w:val="33"/>
  </w:num>
  <w:num w:numId="27">
    <w:abstractNumId w:val="12"/>
  </w:num>
  <w:num w:numId="28">
    <w:abstractNumId w:val="25"/>
  </w:num>
  <w:num w:numId="29">
    <w:abstractNumId w:val="27"/>
  </w:num>
  <w:num w:numId="30">
    <w:abstractNumId w:val="7"/>
  </w:num>
  <w:num w:numId="31">
    <w:abstractNumId w:val="14"/>
  </w:num>
  <w:num w:numId="32">
    <w:abstractNumId w:val="10"/>
  </w:num>
  <w:num w:numId="33">
    <w:abstractNumId w:val="28"/>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0C"/>
    <w:rsid w:val="0002745F"/>
    <w:rsid w:val="00027F6B"/>
    <w:rsid w:val="00042E79"/>
    <w:rsid w:val="000676AE"/>
    <w:rsid w:val="00067EBB"/>
    <w:rsid w:val="000857CB"/>
    <w:rsid w:val="000A7394"/>
    <w:rsid w:val="000B19ED"/>
    <w:rsid w:val="000B49FD"/>
    <w:rsid w:val="00110616"/>
    <w:rsid w:val="0011421B"/>
    <w:rsid w:val="00145EF6"/>
    <w:rsid w:val="001762B1"/>
    <w:rsid w:val="001838CA"/>
    <w:rsid w:val="00196970"/>
    <w:rsid w:val="001A2ACD"/>
    <w:rsid w:val="0021317B"/>
    <w:rsid w:val="00227B45"/>
    <w:rsid w:val="00253343"/>
    <w:rsid w:val="002722FB"/>
    <w:rsid w:val="002809B5"/>
    <w:rsid w:val="002A199F"/>
    <w:rsid w:val="002D3B2F"/>
    <w:rsid w:val="002E087E"/>
    <w:rsid w:val="002E33C2"/>
    <w:rsid w:val="00302DA8"/>
    <w:rsid w:val="0033038D"/>
    <w:rsid w:val="00342DB1"/>
    <w:rsid w:val="0034688D"/>
    <w:rsid w:val="0036527F"/>
    <w:rsid w:val="0037144F"/>
    <w:rsid w:val="003D0D17"/>
    <w:rsid w:val="003E3659"/>
    <w:rsid w:val="003E3893"/>
    <w:rsid w:val="003F149C"/>
    <w:rsid w:val="00404DC5"/>
    <w:rsid w:val="0040667E"/>
    <w:rsid w:val="004218CD"/>
    <w:rsid w:val="00447951"/>
    <w:rsid w:val="00452B7B"/>
    <w:rsid w:val="004600C9"/>
    <w:rsid w:val="00465986"/>
    <w:rsid w:val="004850F0"/>
    <w:rsid w:val="004854A9"/>
    <w:rsid w:val="004A3DF1"/>
    <w:rsid w:val="004C079D"/>
    <w:rsid w:val="004D363A"/>
    <w:rsid w:val="004D6865"/>
    <w:rsid w:val="00505E94"/>
    <w:rsid w:val="0051343C"/>
    <w:rsid w:val="00532768"/>
    <w:rsid w:val="00546B97"/>
    <w:rsid w:val="005552DF"/>
    <w:rsid w:val="005861AA"/>
    <w:rsid w:val="005A07D3"/>
    <w:rsid w:val="005A5937"/>
    <w:rsid w:val="005D1814"/>
    <w:rsid w:val="005F6420"/>
    <w:rsid w:val="0061570A"/>
    <w:rsid w:val="00642C68"/>
    <w:rsid w:val="00650947"/>
    <w:rsid w:val="00662B93"/>
    <w:rsid w:val="006D5078"/>
    <w:rsid w:val="007110E4"/>
    <w:rsid w:val="00740740"/>
    <w:rsid w:val="0075619C"/>
    <w:rsid w:val="007624DF"/>
    <w:rsid w:val="0076408F"/>
    <w:rsid w:val="00796497"/>
    <w:rsid w:val="007D2D61"/>
    <w:rsid w:val="007F728C"/>
    <w:rsid w:val="007F7BA7"/>
    <w:rsid w:val="008A0A2B"/>
    <w:rsid w:val="00924374"/>
    <w:rsid w:val="009246B1"/>
    <w:rsid w:val="0092751D"/>
    <w:rsid w:val="009358A2"/>
    <w:rsid w:val="00964F00"/>
    <w:rsid w:val="00971ED4"/>
    <w:rsid w:val="009A500D"/>
    <w:rsid w:val="009B65E1"/>
    <w:rsid w:val="009C23B6"/>
    <w:rsid w:val="00A24F22"/>
    <w:rsid w:val="00A61DBB"/>
    <w:rsid w:val="00A6591D"/>
    <w:rsid w:val="00A802F2"/>
    <w:rsid w:val="00A97014"/>
    <w:rsid w:val="00AF3EFF"/>
    <w:rsid w:val="00B028EA"/>
    <w:rsid w:val="00B107F2"/>
    <w:rsid w:val="00B2567B"/>
    <w:rsid w:val="00B26663"/>
    <w:rsid w:val="00BA0633"/>
    <w:rsid w:val="00BA7511"/>
    <w:rsid w:val="00BB070C"/>
    <w:rsid w:val="00BD4048"/>
    <w:rsid w:val="00BD523C"/>
    <w:rsid w:val="00C14324"/>
    <w:rsid w:val="00C30DDC"/>
    <w:rsid w:val="00C37F12"/>
    <w:rsid w:val="00C43A7F"/>
    <w:rsid w:val="00C76369"/>
    <w:rsid w:val="00C86D5F"/>
    <w:rsid w:val="00CB0FCC"/>
    <w:rsid w:val="00CB2F1B"/>
    <w:rsid w:val="00CB745F"/>
    <w:rsid w:val="00CB7D94"/>
    <w:rsid w:val="00D1138C"/>
    <w:rsid w:val="00D21A0F"/>
    <w:rsid w:val="00D35F3F"/>
    <w:rsid w:val="00D60D4B"/>
    <w:rsid w:val="00D67712"/>
    <w:rsid w:val="00D77AD1"/>
    <w:rsid w:val="00D900B8"/>
    <w:rsid w:val="00D9635C"/>
    <w:rsid w:val="00DC4AC3"/>
    <w:rsid w:val="00E07E02"/>
    <w:rsid w:val="00E344C8"/>
    <w:rsid w:val="00E37C02"/>
    <w:rsid w:val="00E40ECB"/>
    <w:rsid w:val="00E474A9"/>
    <w:rsid w:val="00E80E2B"/>
    <w:rsid w:val="00E861CE"/>
    <w:rsid w:val="00EA2430"/>
    <w:rsid w:val="00EB3BA2"/>
    <w:rsid w:val="00F03969"/>
    <w:rsid w:val="00F46D63"/>
    <w:rsid w:val="00F5780A"/>
    <w:rsid w:val="00F62E0E"/>
    <w:rsid w:val="00F73FEC"/>
    <w:rsid w:val="00F94B3F"/>
    <w:rsid w:val="00F96DE7"/>
    <w:rsid w:val="00FB1A9C"/>
    <w:rsid w:val="00FB1E2B"/>
    <w:rsid w:val="00FB66F8"/>
    <w:rsid w:val="00FC7A5C"/>
    <w:rsid w:val="00FD069E"/>
    <w:rsid w:val="00FD10E5"/>
    <w:rsid w:val="00FF1E15"/>
    <w:rsid w:val="00FF3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52866C"/>
  <w15:chartTrackingRefBased/>
  <w15:docId w15:val="{694D055E-811D-47B4-8078-CE33B837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
    <w:basedOn w:val="Normal"/>
    <w:next w:val="Normal"/>
    <w:link w:val="Ttulo1Car"/>
    <w:uiPriority w:val="9"/>
    <w:qFormat/>
    <w:rsid w:val="00BB070C"/>
    <w:pPr>
      <w:keepNext/>
      <w:spacing w:after="0" w:line="240" w:lineRule="auto"/>
      <w:jc w:val="center"/>
      <w:outlineLvl w:val="0"/>
    </w:pPr>
    <w:rPr>
      <w:rFonts w:ascii="Arial" w:eastAsia="Times New Roman" w:hAnsi="Arial" w:cs="Times New Roman"/>
      <w:b/>
      <w:szCs w:val="20"/>
    </w:rPr>
  </w:style>
  <w:style w:type="paragraph" w:styleId="Ttulo2">
    <w:name w:val="heading 2"/>
    <w:aliases w:val="h2"/>
    <w:basedOn w:val="Normal"/>
    <w:next w:val="Normal"/>
    <w:link w:val="Ttulo2Car"/>
    <w:uiPriority w:val="9"/>
    <w:qFormat/>
    <w:rsid w:val="00BB070C"/>
    <w:pPr>
      <w:keepNext/>
      <w:spacing w:after="0" w:line="240" w:lineRule="auto"/>
      <w:jc w:val="both"/>
      <w:outlineLvl w:val="1"/>
    </w:pPr>
    <w:rPr>
      <w:rFonts w:ascii="Arial" w:eastAsia="Times New Roman" w:hAnsi="Arial" w:cs="Times New Roman"/>
      <w:b/>
      <w:szCs w:val="20"/>
    </w:rPr>
  </w:style>
  <w:style w:type="paragraph" w:styleId="Ttulo3">
    <w:name w:val="heading 3"/>
    <w:aliases w:val="h3"/>
    <w:basedOn w:val="Normal"/>
    <w:next w:val="Normal"/>
    <w:link w:val="Ttulo3Car"/>
    <w:uiPriority w:val="9"/>
    <w:qFormat/>
    <w:rsid w:val="00BB070C"/>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BB070C"/>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paragraph" w:styleId="Ttulo5">
    <w:name w:val="heading 5"/>
    <w:aliases w:val="Considerando"/>
    <w:basedOn w:val="Normal"/>
    <w:next w:val="Normal"/>
    <w:link w:val="Ttulo5Car"/>
    <w:qFormat/>
    <w:rsid w:val="00BB070C"/>
    <w:pPr>
      <w:keepNext/>
      <w:spacing w:after="0" w:line="240" w:lineRule="auto"/>
      <w:jc w:val="both"/>
      <w:outlineLvl w:val="4"/>
    </w:pPr>
    <w:rPr>
      <w:rFonts w:ascii="Arial" w:eastAsia="Times New Roman" w:hAnsi="Arial" w:cs="Times New Roman"/>
      <w:b/>
      <w:sz w:val="20"/>
      <w:szCs w:val="20"/>
    </w:rPr>
  </w:style>
  <w:style w:type="paragraph" w:styleId="Ttulo6">
    <w:name w:val="heading 6"/>
    <w:basedOn w:val="Normal"/>
    <w:next w:val="Normal"/>
    <w:link w:val="Ttulo6Car"/>
    <w:qFormat/>
    <w:rsid w:val="00BB070C"/>
    <w:pPr>
      <w:spacing w:before="240" w:after="60" w:line="24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BB070C"/>
    <w:pPr>
      <w:spacing w:before="240" w:after="60" w:line="24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BB070C"/>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qFormat/>
    <w:rsid w:val="00BB070C"/>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BB070C"/>
    <w:rPr>
      <w:rFonts w:ascii="Arial" w:eastAsia="Times New Roman" w:hAnsi="Arial" w:cs="Times New Roman"/>
      <w:b/>
      <w:szCs w:val="20"/>
    </w:rPr>
  </w:style>
  <w:style w:type="character" w:customStyle="1" w:styleId="Ttulo2Car">
    <w:name w:val="Título 2 Car"/>
    <w:aliases w:val="h2 Car"/>
    <w:basedOn w:val="Fuentedeprrafopredeter"/>
    <w:link w:val="Ttulo2"/>
    <w:uiPriority w:val="9"/>
    <w:rsid w:val="00BB070C"/>
    <w:rPr>
      <w:rFonts w:ascii="Arial" w:eastAsia="Times New Roman" w:hAnsi="Arial" w:cs="Times New Roman"/>
      <w:b/>
      <w:szCs w:val="20"/>
    </w:rPr>
  </w:style>
  <w:style w:type="character" w:customStyle="1" w:styleId="Ttulo3Car">
    <w:name w:val="Título 3 Car"/>
    <w:aliases w:val="h3 Car"/>
    <w:basedOn w:val="Fuentedeprrafopredeter"/>
    <w:link w:val="Ttulo3"/>
    <w:uiPriority w:val="9"/>
    <w:rsid w:val="00BB070C"/>
    <w:rPr>
      <w:rFonts w:ascii="Arial" w:eastAsia="Times New Roman" w:hAnsi="Arial" w:cs="Arial"/>
      <w:b/>
      <w:bCs/>
      <w:szCs w:val="20"/>
    </w:rPr>
  </w:style>
  <w:style w:type="character" w:customStyle="1" w:styleId="Ttulo4Car">
    <w:name w:val="Título 4 Car"/>
    <w:basedOn w:val="Fuentedeprrafopredeter"/>
    <w:link w:val="Ttulo4"/>
    <w:uiPriority w:val="9"/>
    <w:rsid w:val="00BB070C"/>
    <w:rPr>
      <w:rFonts w:ascii="Times New Roman" w:eastAsia="Times New Roman" w:hAnsi="Times New Roman" w:cs="Times New Roman"/>
      <w:b/>
      <w:bCs/>
      <w:sz w:val="28"/>
      <w:szCs w:val="28"/>
      <w:lang w:eastAsia="es-ES"/>
    </w:rPr>
  </w:style>
  <w:style w:type="character" w:customStyle="1" w:styleId="Ttulo5Car">
    <w:name w:val="Título 5 Car"/>
    <w:aliases w:val="Considerando Car"/>
    <w:basedOn w:val="Fuentedeprrafopredeter"/>
    <w:link w:val="Ttulo5"/>
    <w:rsid w:val="00BB070C"/>
    <w:rPr>
      <w:rFonts w:ascii="Arial" w:eastAsia="Times New Roman" w:hAnsi="Arial" w:cs="Times New Roman"/>
      <w:b/>
      <w:sz w:val="20"/>
      <w:szCs w:val="20"/>
    </w:rPr>
  </w:style>
  <w:style w:type="character" w:customStyle="1" w:styleId="Ttulo6Car">
    <w:name w:val="Título 6 Car"/>
    <w:basedOn w:val="Fuentedeprrafopredeter"/>
    <w:link w:val="Ttulo6"/>
    <w:rsid w:val="00BB070C"/>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BB070C"/>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BB070C"/>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BB070C"/>
    <w:rPr>
      <w:rFonts w:ascii="Arial" w:eastAsia="Times New Roman" w:hAnsi="Arial" w:cs="Arial"/>
      <w:lang w:eastAsia="es-ES"/>
    </w:rPr>
  </w:style>
  <w:style w:type="numbering" w:customStyle="1" w:styleId="Sinlista1">
    <w:name w:val="Sin lista1"/>
    <w:next w:val="Sinlista"/>
    <w:uiPriority w:val="99"/>
    <w:semiHidden/>
    <w:unhideWhenUsed/>
    <w:rsid w:val="00BB070C"/>
  </w:style>
  <w:style w:type="paragraph" w:styleId="Encabezado">
    <w:name w:val="header"/>
    <w:basedOn w:val="Normal"/>
    <w:link w:val="EncabezadoCar"/>
    <w:uiPriority w:val="99"/>
    <w:unhideWhenUsed/>
    <w:rsid w:val="00BB070C"/>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B070C"/>
    <w:rPr>
      <w:rFonts w:ascii="Calibri" w:eastAsia="Calibri" w:hAnsi="Calibri" w:cs="Times New Roman"/>
    </w:rPr>
  </w:style>
  <w:style w:type="paragraph" w:styleId="Piedepgina">
    <w:name w:val="footer"/>
    <w:basedOn w:val="Normal"/>
    <w:link w:val="PiedepginaCar"/>
    <w:uiPriority w:val="99"/>
    <w:unhideWhenUsed/>
    <w:rsid w:val="00BB070C"/>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BB070C"/>
    <w:rPr>
      <w:rFonts w:ascii="Calibri" w:eastAsia="Calibri" w:hAnsi="Calibri" w:cs="Times New Roman"/>
    </w:rPr>
  </w:style>
  <w:style w:type="paragraph" w:customStyle="1" w:styleId="estilo30">
    <w:name w:val="estilo30"/>
    <w:basedOn w:val="Normal"/>
    <w:rsid w:val="00BB07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B07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BB070C"/>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1">
    <w:name w:val="Sin lista11"/>
    <w:next w:val="Sinlista"/>
    <w:uiPriority w:val="99"/>
    <w:semiHidden/>
    <w:unhideWhenUsed/>
    <w:rsid w:val="00BB070C"/>
  </w:style>
  <w:style w:type="paragraph" w:styleId="Textoindependiente">
    <w:name w:val="Body Text"/>
    <w:basedOn w:val="Normal"/>
    <w:link w:val="TextoindependienteCar"/>
    <w:rsid w:val="00BB070C"/>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BB070C"/>
    <w:rPr>
      <w:rFonts w:ascii="Arial" w:eastAsia="Times New Roman" w:hAnsi="Arial" w:cs="Times New Roman"/>
      <w:szCs w:val="20"/>
    </w:rPr>
  </w:style>
  <w:style w:type="character" w:styleId="Nmerodepgina">
    <w:name w:val="page number"/>
    <w:basedOn w:val="Fuentedeprrafopredeter"/>
    <w:rsid w:val="00BB070C"/>
  </w:style>
  <w:style w:type="paragraph" w:styleId="Ttulo">
    <w:name w:val="Title"/>
    <w:basedOn w:val="Normal"/>
    <w:link w:val="TtuloCar"/>
    <w:qFormat/>
    <w:rsid w:val="00BB070C"/>
    <w:pPr>
      <w:spacing w:after="0" w:line="240" w:lineRule="auto"/>
      <w:jc w:val="center"/>
    </w:pPr>
    <w:rPr>
      <w:rFonts w:ascii="Arial" w:eastAsia="Times New Roman" w:hAnsi="Arial" w:cs="Times New Roman"/>
      <w:b/>
      <w:szCs w:val="20"/>
    </w:rPr>
  </w:style>
  <w:style w:type="character" w:customStyle="1" w:styleId="TtuloCar">
    <w:name w:val="Título Car"/>
    <w:basedOn w:val="Fuentedeprrafopredeter"/>
    <w:link w:val="Ttulo"/>
    <w:rsid w:val="00BB070C"/>
    <w:rPr>
      <w:rFonts w:ascii="Arial" w:eastAsia="Times New Roman" w:hAnsi="Arial" w:cs="Times New Roman"/>
      <w:b/>
      <w:szCs w:val="20"/>
    </w:rPr>
  </w:style>
  <w:style w:type="paragraph" w:styleId="Sangra2detindependiente">
    <w:name w:val="Body Text Indent 2"/>
    <w:basedOn w:val="Normal"/>
    <w:link w:val="Sangra2detindependienteCar"/>
    <w:rsid w:val="00BB070C"/>
    <w:pPr>
      <w:spacing w:after="0" w:line="240" w:lineRule="auto"/>
      <w:ind w:left="708"/>
      <w:jc w:val="both"/>
    </w:pPr>
    <w:rPr>
      <w:rFonts w:ascii="Arial" w:eastAsia="Times New Roman" w:hAnsi="Arial" w:cs="Times New Roman"/>
      <w:szCs w:val="20"/>
    </w:rPr>
  </w:style>
  <w:style w:type="character" w:customStyle="1" w:styleId="Sangra2detindependienteCar">
    <w:name w:val="Sangría 2 de t. independiente Car"/>
    <w:basedOn w:val="Fuentedeprrafopredeter"/>
    <w:link w:val="Sangra2detindependiente"/>
    <w:rsid w:val="00BB070C"/>
    <w:rPr>
      <w:rFonts w:ascii="Arial" w:eastAsia="Times New Roman" w:hAnsi="Arial" w:cs="Times New Roman"/>
      <w:szCs w:val="20"/>
    </w:rPr>
  </w:style>
  <w:style w:type="paragraph" w:styleId="Subttulo">
    <w:name w:val="Subtitle"/>
    <w:basedOn w:val="Normal"/>
    <w:link w:val="SubttuloCar"/>
    <w:qFormat/>
    <w:rsid w:val="00BB070C"/>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BB070C"/>
    <w:rPr>
      <w:rFonts w:ascii="Arial" w:eastAsia="Times New Roman" w:hAnsi="Arial" w:cs="Arial"/>
      <w:b/>
      <w:szCs w:val="24"/>
      <w:lang w:eastAsia="es-ES"/>
    </w:rPr>
  </w:style>
  <w:style w:type="paragraph" w:styleId="Textoindependiente3">
    <w:name w:val="Body Text 3"/>
    <w:basedOn w:val="Normal"/>
    <w:link w:val="Textoindependiente3Car"/>
    <w:rsid w:val="00BB070C"/>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BB070C"/>
    <w:rPr>
      <w:rFonts w:ascii="Arial" w:eastAsia="Times New Roman" w:hAnsi="Arial" w:cs="Arial"/>
      <w:szCs w:val="24"/>
      <w:lang w:eastAsia="es-ES"/>
    </w:rPr>
  </w:style>
  <w:style w:type="paragraph" w:styleId="Sangradetextonormal">
    <w:name w:val="Body Text Indent"/>
    <w:basedOn w:val="Normal"/>
    <w:link w:val="SangradetextonormalCar"/>
    <w:rsid w:val="00BB070C"/>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BB070C"/>
    <w:rPr>
      <w:rFonts w:ascii="Arial" w:eastAsia="Times New Roman" w:hAnsi="Arial" w:cs="Arial"/>
      <w:b/>
      <w:szCs w:val="24"/>
      <w:lang w:eastAsia="es-ES"/>
    </w:rPr>
  </w:style>
  <w:style w:type="paragraph" w:styleId="Textoindependiente2">
    <w:name w:val="Body Text 2"/>
    <w:basedOn w:val="Normal"/>
    <w:link w:val="Textoindependiente2Car"/>
    <w:rsid w:val="00BB070C"/>
    <w:pPr>
      <w:spacing w:after="0" w:line="240" w:lineRule="auto"/>
      <w:jc w:val="both"/>
    </w:pPr>
    <w:rPr>
      <w:rFonts w:ascii="Arial" w:eastAsia="Times New Roman" w:hAnsi="Arial" w:cs="Times New Roman"/>
      <w:szCs w:val="20"/>
      <w:lang w:eastAsia="es-ES"/>
    </w:rPr>
  </w:style>
  <w:style w:type="character" w:customStyle="1" w:styleId="Textoindependiente2Car">
    <w:name w:val="Texto independiente 2 Car"/>
    <w:basedOn w:val="Fuentedeprrafopredeter"/>
    <w:link w:val="Textoindependiente2"/>
    <w:rsid w:val="00BB070C"/>
    <w:rPr>
      <w:rFonts w:ascii="Arial" w:eastAsia="Times New Roman" w:hAnsi="Arial" w:cs="Times New Roman"/>
      <w:szCs w:val="20"/>
      <w:lang w:eastAsia="es-ES"/>
    </w:rPr>
  </w:style>
  <w:style w:type="paragraph" w:styleId="Sangra3detindependiente">
    <w:name w:val="Body Text Indent 3"/>
    <w:basedOn w:val="Normal"/>
    <w:link w:val="Sangra3detindependienteCar"/>
    <w:rsid w:val="00BB070C"/>
    <w:pPr>
      <w:spacing w:before="120" w:after="120" w:line="240" w:lineRule="auto"/>
      <w:ind w:left="708"/>
      <w:jc w:val="both"/>
    </w:pPr>
    <w:rPr>
      <w:rFonts w:ascii="Arial" w:eastAsia="Times New Roman" w:hAnsi="Arial" w:cs="Times New Roman"/>
      <w:i/>
      <w:sz w:val="20"/>
      <w:szCs w:val="20"/>
      <w:lang w:eastAsia="es-ES"/>
    </w:rPr>
  </w:style>
  <w:style w:type="character" w:customStyle="1" w:styleId="Sangra3detindependienteCar">
    <w:name w:val="Sangría 3 de t. independiente Car"/>
    <w:basedOn w:val="Fuentedeprrafopredeter"/>
    <w:link w:val="Sangra3detindependiente"/>
    <w:rsid w:val="00BB070C"/>
    <w:rPr>
      <w:rFonts w:ascii="Arial" w:eastAsia="Times New Roman" w:hAnsi="Arial" w:cs="Times New Roman"/>
      <w:i/>
      <w:sz w:val="20"/>
      <w:szCs w:val="20"/>
      <w:lang w:eastAsia="es-ES"/>
    </w:rPr>
  </w:style>
  <w:style w:type="character" w:styleId="Refdenotaalpie">
    <w:name w:val="footnote reference"/>
    <w:aliases w:val="(NECG) Footnote Reference,o,fr,Style 3,Appel note de bas de p,Style 12,Style 124,Ref,de nota al pie,Ref. de nota al pie 2"/>
    <w:uiPriority w:val="99"/>
    <w:qFormat/>
    <w:rsid w:val="00BB070C"/>
    <w:rPr>
      <w:vertAlign w:val="superscript"/>
    </w:rPr>
  </w:style>
  <w:style w:type="character" w:styleId="Hipervnculo">
    <w:name w:val="Hyperlink"/>
    <w:uiPriority w:val="99"/>
    <w:rsid w:val="00BB070C"/>
    <w:rPr>
      <w:color w:val="0000FF"/>
      <w:u w:val="single"/>
    </w:rPr>
  </w:style>
  <w:style w:type="paragraph" w:customStyle="1" w:styleId="TEXT">
    <w:name w:val="TEXT"/>
    <w:basedOn w:val="Normal"/>
    <w:rsid w:val="00BB070C"/>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BB070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BB070C"/>
    <w:rPr>
      <w:rFonts w:ascii="Times New Roman" w:eastAsia="Times New Roman" w:hAnsi="Times New Roman" w:cs="Times New Roman"/>
      <w:sz w:val="20"/>
      <w:szCs w:val="20"/>
      <w:lang w:val="es-ES" w:eastAsia="es-ES"/>
    </w:rPr>
  </w:style>
  <w:style w:type="paragraph" w:customStyle="1" w:styleId="CM13">
    <w:name w:val="CM13"/>
    <w:basedOn w:val="Normal"/>
    <w:next w:val="Normal"/>
    <w:rsid w:val="00BB070C"/>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BB070C"/>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cs="Times New Roman"/>
      <w:sz w:val="18"/>
      <w:szCs w:val="20"/>
      <w:lang w:val="es-ES_tradnl" w:eastAsia="es-ES"/>
    </w:rPr>
  </w:style>
  <w:style w:type="paragraph" w:customStyle="1" w:styleId="texto">
    <w:name w:val="texto"/>
    <w:basedOn w:val="Normal"/>
    <w:rsid w:val="00BB070C"/>
    <w:pPr>
      <w:overflowPunct w:val="0"/>
      <w:autoSpaceDE w:val="0"/>
      <w:autoSpaceDN w:val="0"/>
      <w:adjustRightInd w:val="0"/>
      <w:spacing w:after="101" w:line="216" w:lineRule="atLeast"/>
      <w:ind w:firstLine="288"/>
      <w:jc w:val="both"/>
      <w:textAlignment w:val="baseline"/>
    </w:pPr>
    <w:rPr>
      <w:rFonts w:ascii="Arial" w:eastAsia="Times New Roman" w:hAnsi="Arial" w:cs="Times New Roman"/>
      <w:sz w:val="18"/>
      <w:szCs w:val="20"/>
      <w:lang w:val="es-ES_tradnl" w:eastAsia="es-ES"/>
    </w:rPr>
  </w:style>
  <w:style w:type="character" w:customStyle="1" w:styleId="searchhit">
    <w:name w:val="search_hit"/>
    <w:basedOn w:val="Fuentedeprrafopredeter"/>
    <w:rsid w:val="00BB070C"/>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BB070C"/>
    <w:pPr>
      <w:spacing w:after="0" w:line="240" w:lineRule="auto"/>
      <w:ind w:left="708"/>
      <w:jc w:val="both"/>
    </w:pPr>
    <w:rPr>
      <w:rFonts w:ascii="Arial" w:eastAsia="Times New Roman" w:hAnsi="Arial" w:cs="Times New Roman"/>
      <w:szCs w:val="24"/>
      <w:lang w:eastAsia="es-ES"/>
    </w:rPr>
  </w:style>
  <w:style w:type="paragraph" w:styleId="Textodeglobo">
    <w:name w:val="Balloon Text"/>
    <w:basedOn w:val="Normal"/>
    <w:link w:val="TextodegloboCar"/>
    <w:uiPriority w:val="99"/>
    <w:rsid w:val="00BB070C"/>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BB070C"/>
    <w:rPr>
      <w:rFonts w:ascii="Tahoma" w:eastAsia="Times New Roman" w:hAnsi="Tahoma" w:cs="Tahoma"/>
      <w:sz w:val="16"/>
      <w:szCs w:val="16"/>
      <w:lang w:eastAsia="es-ES"/>
    </w:rPr>
  </w:style>
  <w:style w:type="paragraph" w:customStyle="1" w:styleId="call">
    <w:name w:val="call"/>
    <w:basedOn w:val="Normal"/>
    <w:next w:val="Normal"/>
    <w:rsid w:val="00BB070C"/>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cs="Times New Roman"/>
      <w:i/>
      <w:sz w:val="24"/>
      <w:szCs w:val="20"/>
      <w:lang w:val="es-ES_tradnl"/>
    </w:rPr>
  </w:style>
  <w:style w:type="paragraph" w:customStyle="1" w:styleId="enumlev1">
    <w:name w:val="enumlev1"/>
    <w:basedOn w:val="Normal"/>
    <w:rsid w:val="00BB070C"/>
    <w:pPr>
      <w:tabs>
        <w:tab w:val="left" w:pos="794"/>
        <w:tab w:val="left" w:pos="1191"/>
        <w:tab w:val="left" w:pos="1588"/>
        <w:tab w:val="left" w:pos="1985"/>
      </w:tabs>
      <w:spacing w:before="80" w:after="0" w:line="240" w:lineRule="auto"/>
      <w:ind w:left="794" w:hanging="794"/>
    </w:pPr>
    <w:rPr>
      <w:rFonts w:ascii="Times New Roman" w:eastAsia="Times New Roman" w:hAnsi="Times New Roman" w:cs="Times New Roman"/>
      <w:sz w:val="24"/>
      <w:szCs w:val="20"/>
      <w:lang w:val="es-ES_tradnl"/>
    </w:rPr>
  </w:style>
  <w:style w:type="paragraph" w:customStyle="1" w:styleId="Texto0">
    <w:name w:val="Texto"/>
    <w:basedOn w:val="Normal"/>
    <w:uiPriority w:val="99"/>
    <w:rsid w:val="00BB070C"/>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BB070C"/>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BB070C"/>
    <w:rPr>
      <w:rFonts w:ascii="Courier New" w:eastAsia="Times New Roman" w:hAnsi="Courier New" w:cs="Courier New"/>
      <w:sz w:val="20"/>
      <w:szCs w:val="20"/>
      <w:lang w:eastAsia="es-ES"/>
    </w:rPr>
  </w:style>
  <w:style w:type="character" w:styleId="Refdecomentario">
    <w:name w:val="annotation reference"/>
    <w:uiPriority w:val="99"/>
    <w:rsid w:val="00BB070C"/>
    <w:rPr>
      <w:sz w:val="16"/>
      <w:szCs w:val="16"/>
    </w:rPr>
  </w:style>
  <w:style w:type="paragraph" w:customStyle="1" w:styleId="TextoCar">
    <w:name w:val="Texto Car"/>
    <w:basedOn w:val="Normal"/>
    <w:rsid w:val="00BB070C"/>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BB070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BB070C"/>
    <w:rPr>
      <w:rFonts w:ascii="Times New Roman" w:eastAsia="Times New Roman" w:hAnsi="Times New Roman" w:cs="Times New Roman"/>
      <w:sz w:val="20"/>
      <w:szCs w:val="20"/>
      <w:lang w:val="es-ES" w:eastAsia="es-ES"/>
    </w:rPr>
  </w:style>
  <w:style w:type="character" w:customStyle="1" w:styleId="estilo71">
    <w:name w:val="estilo71"/>
    <w:rsid w:val="00BB070C"/>
    <w:rPr>
      <w:rFonts w:ascii="Arial" w:hAnsi="Arial" w:cs="Arial" w:hint="default"/>
      <w:sz w:val="15"/>
      <w:szCs w:val="15"/>
    </w:rPr>
  </w:style>
  <w:style w:type="paragraph" w:customStyle="1" w:styleId="contenidos">
    <w:name w:val="contenidos"/>
    <w:basedOn w:val="Normal"/>
    <w:rsid w:val="00BB070C"/>
    <w:pPr>
      <w:spacing w:before="100" w:beforeAutospacing="1" w:after="100" w:afterAutospacing="1" w:line="240" w:lineRule="auto"/>
      <w:jc w:val="both"/>
    </w:pPr>
    <w:rPr>
      <w:rFonts w:ascii="Verdana" w:eastAsia="Times New Roman" w:hAnsi="Verdana" w:cs="Times New Roman"/>
      <w:color w:val="000000"/>
      <w:sz w:val="18"/>
      <w:szCs w:val="18"/>
      <w:lang w:val="es-ES" w:eastAsia="es-ES"/>
    </w:rPr>
  </w:style>
  <w:style w:type="character" w:customStyle="1" w:styleId="titsecciones1">
    <w:name w:val="titsecciones1"/>
    <w:rsid w:val="00BB070C"/>
    <w:rPr>
      <w:rFonts w:ascii="Arial" w:hAnsi="Arial" w:cs="Arial" w:hint="default"/>
      <w:b/>
      <w:bCs/>
      <w:strike w:val="0"/>
      <w:dstrike w:val="0"/>
      <w:color w:val="8F840D"/>
      <w:sz w:val="24"/>
      <w:szCs w:val="24"/>
      <w:u w:val="none"/>
      <w:effect w:val="none"/>
    </w:rPr>
  </w:style>
  <w:style w:type="character" w:customStyle="1" w:styleId="contenidos1">
    <w:name w:val="contenidos1"/>
    <w:rsid w:val="00BB070C"/>
    <w:rPr>
      <w:rFonts w:ascii="Verdana" w:hAnsi="Verdana" w:hint="default"/>
      <w:color w:val="000000"/>
      <w:sz w:val="18"/>
      <w:szCs w:val="18"/>
    </w:rPr>
  </w:style>
  <w:style w:type="character" w:customStyle="1" w:styleId="linkconta1">
    <w:name w:val="linkconta1"/>
    <w:rsid w:val="00BB070C"/>
    <w:rPr>
      <w:rFonts w:ascii="Verdana" w:hAnsi="Verdana" w:hint="default"/>
      <w:sz w:val="18"/>
      <w:szCs w:val="18"/>
    </w:rPr>
  </w:style>
  <w:style w:type="character" w:styleId="Textoennegrita">
    <w:name w:val="Strong"/>
    <w:qFormat/>
    <w:rsid w:val="00BB070C"/>
    <w:rPr>
      <w:b/>
      <w:bCs/>
    </w:rPr>
  </w:style>
  <w:style w:type="paragraph" w:styleId="Textodebloque">
    <w:name w:val="Block Text"/>
    <w:basedOn w:val="Normal"/>
    <w:rsid w:val="00BB070C"/>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BB070C"/>
    <w:rPr>
      <w:color w:val="800080"/>
      <w:u w:val="single"/>
    </w:rPr>
  </w:style>
  <w:style w:type="paragraph" w:styleId="Asuntodelcomentario">
    <w:name w:val="annotation subject"/>
    <w:basedOn w:val="Textocomentario"/>
    <w:next w:val="Textocomentario"/>
    <w:link w:val="AsuntodelcomentarioCar"/>
    <w:uiPriority w:val="99"/>
    <w:unhideWhenUsed/>
    <w:rsid w:val="00BB070C"/>
    <w:rPr>
      <w:b/>
      <w:bCs/>
    </w:rPr>
  </w:style>
  <w:style w:type="character" w:customStyle="1" w:styleId="AsuntodelcomentarioCar">
    <w:name w:val="Asunto del comentario Car"/>
    <w:basedOn w:val="TextocomentarioCar"/>
    <w:link w:val="Asuntodelcomentario"/>
    <w:uiPriority w:val="99"/>
    <w:rsid w:val="00BB070C"/>
    <w:rPr>
      <w:rFonts w:ascii="Times New Roman" w:eastAsia="Times New Roman" w:hAnsi="Times New Roman" w:cs="Times New Roman"/>
      <w:b/>
      <w:bCs/>
      <w:sz w:val="20"/>
      <w:szCs w:val="20"/>
      <w:lang w:val="es-ES" w:eastAsia="es-ES"/>
    </w:rPr>
  </w:style>
  <w:style w:type="paragraph" w:styleId="Lista">
    <w:name w:val="List"/>
    <w:basedOn w:val="Normal"/>
    <w:rsid w:val="00BB070C"/>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rsid w:val="00BB070C"/>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rsid w:val="00BB070C"/>
    <w:pPr>
      <w:spacing w:after="0" w:line="240" w:lineRule="auto"/>
      <w:ind w:left="849"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BB07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BB070C"/>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BB070C"/>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BB070C"/>
    <w:rPr>
      <w:rFonts w:ascii="Times New Roman" w:eastAsia="Times New Roman" w:hAnsi="Times New Roman" w:cs="Times New Roman"/>
      <w:sz w:val="24"/>
      <w:szCs w:val="24"/>
      <w:lang w:val="es-ES" w:eastAsia="es-ES"/>
    </w:rPr>
  </w:style>
  <w:style w:type="paragraph" w:styleId="Listaconvietas2">
    <w:name w:val="List Bullet 2"/>
    <w:basedOn w:val="Normal"/>
    <w:link w:val="Listaconvietas2Car"/>
    <w:uiPriority w:val="99"/>
    <w:qFormat/>
    <w:rsid w:val="00BB070C"/>
    <w:pPr>
      <w:numPr>
        <w:numId w:val="4"/>
      </w:numPr>
      <w:spacing w:after="0" w:line="240" w:lineRule="auto"/>
    </w:pPr>
    <w:rPr>
      <w:rFonts w:ascii="Times New Roman" w:eastAsia="Times New Roman" w:hAnsi="Times New Roman" w:cs="Times New Roman"/>
      <w:sz w:val="24"/>
      <w:szCs w:val="24"/>
      <w:lang w:val="es-ES" w:eastAsia="es-ES"/>
    </w:rPr>
  </w:style>
  <w:style w:type="paragraph" w:styleId="Continuarlista">
    <w:name w:val="List Continue"/>
    <w:basedOn w:val="Normal"/>
    <w:rsid w:val="00BB070C"/>
    <w:pPr>
      <w:spacing w:after="120" w:line="240" w:lineRule="auto"/>
      <w:ind w:left="283"/>
    </w:pPr>
    <w:rPr>
      <w:rFonts w:ascii="Times New Roman" w:eastAsia="Times New Roman" w:hAnsi="Times New Roman" w:cs="Times New Roman"/>
      <w:sz w:val="24"/>
      <w:szCs w:val="24"/>
      <w:lang w:val="es-ES" w:eastAsia="es-ES"/>
    </w:rPr>
  </w:style>
  <w:style w:type="paragraph" w:customStyle="1" w:styleId="Direccininterior">
    <w:name w:val="Dirección interior"/>
    <w:basedOn w:val="Normal"/>
    <w:rsid w:val="00BB070C"/>
    <w:pPr>
      <w:spacing w:after="0" w:line="240" w:lineRule="auto"/>
    </w:pPr>
    <w:rPr>
      <w:rFonts w:ascii="Times New Roman" w:eastAsia="Times New Roman" w:hAnsi="Times New Roman" w:cs="Times New Roman"/>
      <w:sz w:val="24"/>
      <w:szCs w:val="24"/>
      <w:lang w:val="es-ES" w:eastAsia="es-ES"/>
    </w:rPr>
  </w:style>
  <w:style w:type="paragraph" w:customStyle="1" w:styleId="Lneadeasunto">
    <w:name w:val="Línea de asunto"/>
    <w:basedOn w:val="Normal"/>
    <w:rsid w:val="00BB070C"/>
    <w:pPr>
      <w:spacing w:after="0" w:line="240" w:lineRule="auto"/>
    </w:pPr>
    <w:rPr>
      <w:rFonts w:ascii="Times New Roman" w:eastAsia="Times New Roman" w:hAnsi="Times New Roman" w:cs="Times New Roman"/>
      <w:sz w:val="24"/>
      <w:szCs w:val="24"/>
      <w:lang w:val="es-ES" w:eastAsia="es-ES"/>
    </w:rPr>
  </w:style>
  <w:style w:type="paragraph" w:customStyle="1" w:styleId="Lneadereferencia">
    <w:name w:val="Línea de referencia"/>
    <w:basedOn w:val="Textoindependiente"/>
    <w:rsid w:val="00BB070C"/>
    <w:rPr>
      <w:sz w:val="24"/>
      <w:szCs w:val="24"/>
      <w:lang w:val="es-ES" w:eastAsia="es-MX"/>
    </w:rPr>
  </w:style>
  <w:style w:type="paragraph" w:styleId="Textoindependienteprimerasangra">
    <w:name w:val="Body Text First Indent"/>
    <w:basedOn w:val="Textoindependiente"/>
    <w:link w:val="TextoindependienteprimerasangraCar"/>
    <w:rsid w:val="00BB070C"/>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BB070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BB070C"/>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BB070C"/>
    <w:rPr>
      <w:rFonts w:ascii="Times New Roman" w:eastAsia="Times New Roman" w:hAnsi="Times New Roman" w:cs="Times New Roman"/>
      <w:b w:val="0"/>
      <w:sz w:val="24"/>
      <w:szCs w:val="24"/>
      <w:lang w:val="es-ES" w:eastAsia="es-ES"/>
    </w:rPr>
  </w:style>
  <w:style w:type="paragraph" w:styleId="Mapadeldocumento">
    <w:name w:val="Document Map"/>
    <w:basedOn w:val="Normal"/>
    <w:link w:val="MapadeldocumentoCar"/>
    <w:rsid w:val="00BB070C"/>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B070C"/>
    <w:rPr>
      <w:rFonts w:ascii="Tahoma" w:eastAsia="Times New Roman" w:hAnsi="Tahoma" w:cs="Tahoma"/>
      <w:sz w:val="20"/>
      <w:szCs w:val="20"/>
      <w:shd w:val="clear" w:color="auto" w:fill="000080"/>
      <w:lang w:val="es-ES" w:eastAsia="es-ES"/>
    </w:rPr>
  </w:style>
  <w:style w:type="paragraph" w:styleId="Sinespaciado">
    <w:name w:val="No Spacing"/>
    <w:link w:val="SinespaciadoCar"/>
    <w:uiPriority w:val="1"/>
    <w:qFormat/>
    <w:rsid w:val="00BB070C"/>
    <w:pPr>
      <w:spacing w:after="0" w:line="240" w:lineRule="auto"/>
    </w:pPr>
    <w:rPr>
      <w:rFonts w:ascii="Calibri" w:eastAsia="Calibri" w:hAnsi="Calibri" w:cs="Times New Roman"/>
    </w:rPr>
  </w:style>
  <w:style w:type="paragraph" w:customStyle="1" w:styleId="ANOTACION">
    <w:name w:val="ANOTACION"/>
    <w:basedOn w:val="Normal"/>
    <w:rsid w:val="00BB070C"/>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BB070C"/>
    <w:rPr>
      <w:rFonts w:ascii="EUAlbertina" w:eastAsia="Times New Roman" w:hAnsi="EUAlbertina" w:cs="Times New Roman"/>
      <w:color w:val="auto"/>
      <w:lang w:val="es-ES" w:eastAsia="es-ES"/>
    </w:rPr>
  </w:style>
  <w:style w:type="character" w:customStyle="1" w:styleId="eacep1">
    <w:name w:val="eacep1"/>
    <w:rsid w:val="00BB070C"/>
    <w:rPr>
      <w:color w:val="000000"/>
    </w:rPr>
  </w:style>
  <w:style w:type="paragraph" w:styleId="Listaconvietas">
    <w:name w:val="List Bullet"/>
    <w:basedOn w:val="Normal"/>
    <w:uiPriority w:val="99"/>
    <w:qFormat/>
    <w:rsid w:val="00BB070C"/>
    <w:pPr>
      <w:numPr>
        <w:numId w:val="5"/>
      </w:numPr>
      <w:spacing w:after="0" w:line="240" w:lineRule="auto"/>
      <w:contextualSpacing/>
      <w:jc w:val="both"/>
    </w:pPr>
    <w:rPr>
      <w:rFonts w:ascii="Arial" w:eastAsia="Times New Roman" w:hAnsi="Arial" w:cs="Times New Roman"/>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BB070C"/>
    <w:rPr>
      <w:rFonts w:ascii="Arial" w:eastAsia="Times New Roman" w:hAnsi="Arial" w:cs="Times New Roman"/>
      <w:szCs w:val="24"/>
      <w:lang w:eastAsia="es-ES"/>
    </w:rPr>
  </w:style>
  <w:style w:type="paragraph" w:customStyle="1" w:styleId="Captionsmall">
    <w:name w:val="Caption: small"/>
    <w:basedOn w:val="Descripcin"/>
    <w:next w:val="Normal"/>
    <w:qFormat/>
    <w:rsid w:val="00BB070C"/>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BB070C"/>
    <w:pPr>
      <w:spacing w:after="0" w:line="320" w:lineRule="atLeast"/>
      <w:jc w:val="center"/>
    </w:pPr>
    <w:rPr>
      <w:rFonts w:ascii="Times New Roman" w:eastAsia="Calibri" w:hAnsi="Times New Roman" w:cs="Times New Roman"/>
      <w:lang w:val="en-GB"/>
    </w:rPr>
  </w:style>
  <w:style w:type="paragraph" w:customStyle="1" w:styleId="ListBulletCompact">
    <w:name w:val="List Bullet Compact"/>
    <w:basedOn w:val="Listaconvietas"/>
    <w:qFormat/>
    <w:rsid w:val="00BB070C"/>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BB070C"/>
    <w:pPr>
      <w:spacing w:after="0" w:line="240" w:lineRule="auto"/>
      <w:jc w:val="both"/>
    </w:pPr>
    <w:rPr>
      <w:rFonts w:ascii="Arial" w:eastAsia="Times New Roman" w:hAnsi="Arial" w:cs="Times New Roman"/>
      <w:b/>
      <w:bCs/>
      <w:sz w:val="20"/>
      <w:szCs w:val="20"/>
      <w:lang w:eastAsia="es-ES"/>
    </w:rPr>
  </w:style>
  <w:style w:type="paragraph" w:customStyle="1" w:styleId="I1">
    <w:name w:val="I1"/>
    <w:basedOn w:val="Listaconvietas"/>
    <w:link w:val="I1Char1"/>
    <w:qFormat/>
    <w:rsid w:val="00BB070C"/>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BB070C"/>
    <w:rPr>
      <w:rFonts w:ascii="Times New Roman" w:eastAsia="Calibri" w:hAnsi="Times New Roman" w:cs="Times New Roman"/>
      <w:sz w:val="20"/>
      <w:szCs w:val="20"/>
      <w:lang w:val="es-ES" w:eastAsia="es-ES"/>
    </w:rPr>
  </w:style>
  <w:style w:type="paragraph" w:customStyle="1" w:styleId="Tablecells">
    <w:name w:val="Table: cells"/>
    <w:qFormat/>
    <w:rsid w:val="00BB070C"/>
    <w:pPr>
      <w:spacing w:before="40" w:after="40" w:line="240" w:lineRule="exact"/>
      <w:ind w:right="113"/>
    </w:pPr>
    <w:rPr>
      <w:rFonts w:ascii="Arial" w:eastAsia="Calibri" w:hAnsi="Arial" w:cs="Times New Roman"/>
      <w:sz w:val="18"/>
      <w:lang w:val="en-GB"/>
    </w:rPr>
  </w:style>
  <w:style w:type="paragraph" w:customStyle="1" w:styleId="Tableheading">
    <w:name w:val="Table: heading"/>
    <w:basedOn w:val="Tablecells"/>
    <w:next w:val="Tablecells"/>
    <w:qFormat/>
    <w:rsid w:val="00BB070C"/>
    <w:pPr>
      <w:keepNext/>
    </w:pPr>
    <w:rPr>
      <w:b/>
      <w:color w:val="FFFFFF"/>
    </w:rPr>
  </w:style>
  <w:style w:type="table" w:styleId="Tablaconcuadrcula">
    <w:name w:val="Table Grid"/>
    <w:basedOn w:val="Tablanormal"/>
    <w:uiPriority w:val="59"/>
    <w:rsid w:val="00BB070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BB070C"/>
    <w:pPr>
      <w:tabs>
        <w:tab w:val="num" w:pos="360"/>
      </w:tabs>
      <w:spacing w:after="240" w:line="320" w:lineRule="atLeast"/>
      <w:ind w:left="360" w:hanging="360"/>
      <w:contextualSpacing/>
      <w:jc w:val="both"/>
    </w:pPr>
    <w:rPr>
      <w:rFonts w:ascii="Times New Roman" w:eastAsia="Calibri" w:hAnsi="Times New Roman" w:cs="Times New Roman"/>
      <w:lang w:val="es-ES"/>
    </w:rPr>
  </w:style>
  <w:style w:type="paragraph" w:customStyle="1" w:styleId="B1">
    <w:name w:val="B1"/>
    <w:basedOn w:val="Normal"/>
    <w:qFormat/>
    <w:rsid w:val="00BB070C"/>
    <w:pPr>
      <w:keepLines/>
      <w:pBdr>
        <w:top w:val="single" w:sz="2" w:space="2" w:color="auto"/>
        <w:bottom w:val="single" w:sz="2" w:space="5" w:color="auto"/>
      </w:pBdr>
      <w:spacing w:after="240" w:line="320" w:lineRule="atLeast"/>
      <w:ind w:left="284" w:right="284"/>
      <w:jc w:val="both"/>
    </w:pPr>
    <w:rPr>
      <w:rFonts w:ascii="Times New Roman" w:eastAsia="Calibri" w:hAnsi="Times New Roman" w:cs="Times New Roman"/>
      <w:lang w:val="es-ES"/>
    </w:rPr>
  </w:style>
  <w:style w:type="paragraph" w:customStyle="1" w:styleId="Border">
    <w:name w:val="Border"/>
    <w:next w:val="Descripcin"/>
    <w:qFormat/>
    <w:rsid w:val="00BB070C"/>
    <w:pPr>
      <w:spacing w:after="600" w:line="320" w:lineRule="atLeast"/>
      <w:jc w:val="center"/>
    </w:pPr>
    <w:rPr>
      <w:rFonts w:ascii="Times New Roman" w:eastAsia="Calibri" w:hAnsi="Times New Roman" w:cs="Times New Roman"/>
      <w:lang w:val="en-GB"/>
    </w:rPr>
  </w:style>
  <w:style w:type="paragraph" w:customStyle="1" w:styleId="ListBullet2Compact">
    <w:name w:val="List Bullet 2 Compact"/>
    <w:basedOn w:val="Listaconvietas2"/>
    <w:qFormat/>
    <w:rsid w:val="00BB070C"/>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BB070C"/>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BB070C"/>
    <w:rPr>
      <w:rFonts w:ascii="Times New Roman" w:eastAsia="Calibri" w:hAnsi="Times New Roman" w:cs="Times New Roman"/>
      <w:lang w:val="es-ES"/>
    </w:rPr>
  </w:style>
  <w:style w:type="paragraph" w:customStyle="1" w:styleId="SBSheader">
    <w:name w:val="SBS: header"/>
    <w:basedOn w:val="Normal"/>
    <w:qFormat/>
    <w:rsid w:val="00BB070C"/>
    <w:pPr>
      <w:spacing w:after="240" w:line="320" w:lineRule="atLeast"/>
    </w:pPr>
    <w:rPr>
      <w:rFonts w:ascii="Times New Roman" w:eastAsia="Calibri" w:hAnsi="Times New Roman" w:cs="Times New Roman"/>
      <w:i/>
      <w:lang w:val="es-ES"/>
    </w:rPr>
  </w:style>
  <w:style w:type="paragraph" w:customStyle="1" w:styleId="L1">
    <w:name w:val="L1"/>
    <w:basedOn w:val="ListBulletCompact"/>
    <w:link w:val="L1Char"/>
    <w:qFormat/>
    <w:rsid w:val="00BB070C"/>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BB070C"/>
    <w:rPr>
      <w:rFonts w:ascii="Times New Roman" w:eastAsia="Calibri" w:hAnsi="Times New Roman" w:cs="Times New Roman"/>
      <w:sz w:val="20"/>
      <w:szCs w:val="20"/>
      <w:lang w:val="es-ES" w:eastAsia="es-ES"/>
    </w:rPr>
  </w:style>
  <w:style w:type="character" w:customStyle="1" w:styleId="apple-converted-space">
    <w:name w:val="apple-converted-space"/>
    <w:rsid w:val="00BB070C"/>
  </w:style>
  <w:style w:type="table" w:customStyle="1" w:styleId="Sombreadomedio2-nfasis11">
    <w:name w:val="Sombreado medio 2 - Énfasis 11"/>
    <w:basedOn w:val="Tablanormal"/>
    <w:uiPriority w:val="64"/>
    <w:rsid w:val="00BB070C"/>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BB070C"/>
    <w:pPr>
      <w:keepLines/>
      <w:pBdr>
        <w:top w:val="single" w:sz="2" w:space="2" w:color="auto"/>
        <w:bottom w:val="single" w:sz="2" w:space="5" w:color="auto"/>
      </w:pBdr>
      <w:spacing w:after="240" w:line="320" w:lineRule="atLeast"/>
      <w:ind w:left="284" w:right="284"/>
      <w:jc w:val="both"/>
    </w:pPr>
    <w:rPr>
      <w:rFonts w:ascii="Times New Roman" w:eastAsia="Calibri" w:hAnsi="Times New Roman" w:cs="Times New Roman"/>
      <w:lang w:val="es-ES"/>
    </w:rPr>
  </w:style>
  <w:style w:type="character" w:customStyle="1" w:styleId="HeaderChar">
    <w:name w:val="Header Char"/>
    <w:uiPriority w:val="99"/>
    <w:semiHidden/>
    <w:rsid w:val="00BB070C"/>
    <w:rPr>
      <w:rFonts w:ascii="Arial" w:hAnsi="Arial"/>
      <w:sz w:val="16"/>
    </w:rPr>
  </w:style>
  <w:style w:type="character" w:customStyle="1" w:styleId="Listaconvietas2Car">
    <w:name w:val="Lista con viñetas 2 Car"/>
    <w:link w:val="Listaconvietas2"/>
    <w:uiPriority w:val="99"/>
    <w:rsid w:val="00BB070C"/>
    <w:rPr>
      <w:rFonts w:ascii="Times New Roman" w:eastAsia="Times New Roman" w:hAnsi="Times New Roman" w:cs="Times New Roman"/>
      <w:sz w:val="24"/>
      <w:szCs w:val="24"/>
      <w:lang w:val="es-ES" w:eastAsia="es-ES"/>
    </w:rPr>
  </w:style>
  <w:style w:type="character" w:customStyle="1" w:styleId="FooterChar">
    <w:name w:val="Footer Char"/>
    <w:uiPriority w:val="99"/>
    <w:rsid w:val="00BB070C"/>
    <w:rPr>
      <w:rFonts w:ascii="Arial" w:hAnsi="Arial"/>
      <w:sz w:val="16"/>
    </w:rPr>
  </w:style>
  <w:style w:type="paragraph" w:customStyle="1" w:styleId="Annex1">
    <w:name w:val="Annex 1"/>
    <w:next w:val="Normal"/>
    <w:qFormat/>
    <w:rsid w:val="00BB070C"/>
    <w:pPr>
      <w:keepNext/>
      <w:pageBreakBefore/>
      <w:numPr>
        <w:numId w:val="9"/>
      </w:numPr>
      <w:tabs>
        <w:tab w:val="clear" w:pos="1134"/>
      </w:tabs>
      <w:spacing w:after="600" w:line="560" w:lineRule="exact"/>
      <w:ind w:left="720" w:hanging="360"/>
      <w:outlineLvl w:val="0"/>
    </w:pPr>
    <w:rPr>
      <w:rFonts w:ascii="Times New Roman" w:eastAsia="Calibri" w:hAnsi="Times New Roman" w:cs="Times New Roman"/>
      <w:sz w:val="36"/>
      <w:lang w:val="en-GB"/>
    </w:rPr>
  </w:style>
  <w:style w:type="numbering" w:styleId="1ai">
    <w:name w:val="Outline List 1"/>
    <w:basedOn w:val="Sinlista"/>
    <w:uiPriority w:val="99"/>
    <w:unhideWhenUsed/>
    <w:rsid w:val="00BB070C"/>
    <w:pPr>
      <w:numPr>
        <w:numId w:val="10"/>
      </w:numPr>
    </w:pPr>
  </w:style>
  <w:style w:type="paragraph" w:customStyle="1" w:styleId="LL">
    <w:name w:val="LL"/>
    <w:basedOn w:val="ListBullet2Compact"/>
    <w:rsid w:val="00BB070C"/>
    <w:pPr>
      <w:numPr>
        <w:numId w:val="8"/>
      </w:numPr>
      <w:ind w:left="714" w:hanging="357"/>
    </w:pPr>
  </w:style>
  <w:style w:type="paragraph" w:customStyle="1" w:styleId="Tablenote">
    <w:name w:val="Table: note"/>
    <w:basedOn w:val="Tablecells"/>
    <w:qFormat/>
    <w:rsid w:val="00BB070C"/>
    <w:pPr>
      <w:pBdr>
        <w:bottom w:val="single" w:sz="4" w:space="9" w:color="auto"/>
      </w:pBdr>
      <w:spacing w:before="100" w:after="0"/>
      <w:ind w:left="357" w:right="0" w:hanging="357"/>
    </w:pPr>
  </w:style>
  <w:style w:type="paragraph" w:customStyle="1" w:styleId="Tablebullet">
    <w:name w:val="Table: bullet"/>
    <w:basedOn w:val="Tablecells"/>
    <w:qFormat/>
    <w:rsid w:val="00BB070C"/>
    <w:pPr>
      <w:numPr>
        <w:numId w:val="11"/>
      </w:numPr>
      <w:tabs>
        <w:tab w:val="num" w:pos="567"/>
      </w:tabs>
      <w:ind w:left="227" w:hanging="227"/>
    </w:pPr>
  </w:style>
  <w:style w:type="paragraph" w:styleId="TDC2">
    <w:name w:val="toc 2"/>
    <w:basedOn w:val="TDC1"/>
    <w:next w:val="Normal"/>
    <w:autoRedefine/>
    <w:uiPriority w:val="39"/>
    <w:unhideWhenUsed/>
    <w:rsid w:val="00BB070C"/>
    <w:pPr>
      <w:keepNext w:val="0"/>
      <w:spacing w:before="0"/>
    </w:pPr>
    <w:rPr>
      <w:b w:val="0"/>
      <w:noProof/>
    </w:rPr>
  </w:style>
  <w:style w:type="character" w:customStyle="1" w:styleId="ConfidentialFooter">
    <w:name w:val="ConfidentialFooter"/>
    <w:rsid w:val="00BB070C"/>
    <w:rPr>
      <w:color w:val="FFFFFF"/>
      <w:sz w:val="2"/>
    </w:rPr>
  </w:style>
  <w:style w:type="paragraph" w:customStyle="1" w:styleId="ConfidentialFront">
    <w:name w:val="ConfidentialFront"/>
    <w:basedOn w:val="Normal"/>
    <w:qFormat/>
    <w:rsid w:val="00BB070C"/>
    <w:pPr>
      <w:spacing w:before="960" w:after="240" w:line="320" w:lineRule="atLeast"/>
      <w:ind w:left="5103" w:right="-397"/>
      <w:jc w:val="both"/>
    </w:pPr>
    <w:rPr>
      <w:rFonts w:ascii="Arial" w:eastAsia="Calibri" w:hAnsi="Arial" w:cs="Times New Roman"/>
      <w:color w:val="FFFFFF"/>
      <w:sz w:val="2"/>
      <w:lang w:val="en-GB"/>
    </w:rPr>
  </w:style>
  <w:style w:type="paragraph" w:customStyle="1" w:styleId="H5">
    <w:name w:val="H5"/>
    <w:basedOn w:val="Normal"/>
    <w:next w:val="Normal"/>
    <w:link w:val="H5Char"/>
    <w:qFormat/>
    <w:rsid w:val="00BB070C"/>
    <w:pPr>
      <w:keepNext/>
      <w:numPr>
        <w:numId w:val="12"/>
      </w:numPr>
      <w:spacing w:after="200" w:line="320" w:lineRule="atLeast"/>
      <w:ind w:left="357" w:hanging="357"/>
      <w:jc w:val="both"/>
    </w:pPr>
    <w:rPr>
      <w:rFonts w:ascii="Times New Roman" w:eastAsia="Calibri" w:hAnsi="Times New Roman" w:cs="Times New Roman"/>
      <w:i/>
      <w:lang w:val="es-ES"/>
    </w:rPr>
  </w:style>
  <w:style w:type="character" w:customStyle="1" w:styleId="H5Char">
    <w:name w:val="H5 Char"/>
    <w:link w:val="H5"/>
    <w:rsid w:val="00BB070C"/>
    <w:rPr>
      <w:rFonts w:ascii="Times New Roman" w:eastAsia="Calibri" w:hAnsi="Times New Roman" w:cs="Times New Roman"/>
      <w:i/>
      <w:lang w:val="es-ES"/>
    </w:rPr>
  </w:style>
  <w:style w:type="paragraph" w:styleId="TDC1">
    <w:name w:val="toc 1"/>
    <w:basedOn w:val="Normal"/>
    <w:next w:val="Normal"/>
    <w:autoRedefine/>
    <w:uiPriority w:val="39"/>
    <w:unhideWhenUsed/>
    <w:rsid w:val="00BB070C"/>
    <w:pPr>
      <w:keepNext/>
      <w:tabs>
        <w:tab w:val="left" w:pos="635"/>
        <w:tab w:val="right" w:pos="8789"/>
      </w:tabs>
      <w:spacing w:before="240" w:after="0" w:line="320" w:lineRule="atLeast"/>
      <w:jc w:val="both"/>
    </w:pPr>
    <w:rPr>
      <w:rFonts w:ascii="Times New Roman" w:eastAsia="Calibri" w:hAnsi="Times New Roman" w:cs="Times New Roman"/>
      <w:b/>
      <w:lang w:val="es-ES"/>
    </w:rPr>
  </w:style>
  <w:style w:type="paragraph" w:styleId="TDC3">
    <w:name w:val="toc 3"/>
    <w:basedOn w:val="TDC2"/>
    <w:next w:val="Normal"/>
    <w:autoRedefine/>
    <w:uiPriority w:val="39"/>
    <w:unhideWhenUsed/>
    <w:rsid w:val="00BB070C"/>
    <w:rPr>
      <w:sz w:val="20"/>
    </w:rPr>
  </w:style>
  <w:style w:type="paragraph" w:styleId="TDC4">
    <w:name w:val="toc 4"/>
    <w:basedOn w:val="TDC3"/>
    <w:next w:val="Normal"/>
    <w:autoRedefine/>
    <w:uiPriority w:val="39"/>
    <w:unhideWhenUsed/>
    <w:rsid w:val="00BB070C"/>
  </w:style>
  <w:style w:type="paragraph" w:customStyle="1" w:styleId="Annex2">
    <w:name w:val="Annex 2"/>
    <w:next w:val="Normal"/>
    <w:qFormat/>
    <w:rsid w:val="00BB070C"/>
    <w:pPr>
      <w:keepNext/>
      <w:numPr>
        <w:ilvl w:val="1"/>
        <w:numId w:val="9"/>
      </w:numPr>
      <w:spacing w:before="360" w:after="200" w:line="320" w:lineRule="atLeast"/>
      <w:ind w:left="1440" w:hanging="360"/>
    </w:pPr>
    <w:rPr>
      <w:rFonts w:ascii="Times New Roman" w:eastAsia="Calibri" w:hAnsi="Times New Roman" w:cs="Times New Roman"/>
      <w:b/>
      <w:sz w:val="24"/>
      <w:lang w:val="en-GB"/>
    </w:rPr>
  </w:style>
  <w:style w:type="paragraph" w:customStyle="1" w:styleId="Annex3">
    <w:name w:val="Annex 3"/>
    <w:next w:val="Normal"/>
    <w:qFormat/>
    <w:rsid w:val="00BB070C"/>
    <w:pPr>
      <w:keepNext/>
      <w:numPr>
        <w:ilvl w:val="2"/>
        <w:numId w:val="9"/>
      </w:numPr>
      <w:spacing w:before="360" w:after="240" w:line="320" w:lineRule="atLeast"/>
      <w:ind w:left="2160" w:hanging="180"/>
    </w:pPr>
    <w:rPr>
      <w:rFonts w:ascii="Times New Roman" w:eastAsia="Calibri" w:hAnsi="Times New Roman" w:cs="Times New Roman"/>
      <w:b/>
      <w:lang w:val="en-GB"/>
    </w:rPr>
  </w:style>
  <w:style w:type="paragraph" w:customStyle="1" w:styleId="Annex4">
    <w:name w:val="Annex 4"/>
    <w:next w:val="Normal"/>
    <w:qFormat/>
    <w:rsid w:val="00BB070C"/>
    <w:pPr>
      <w:keepNext/>
      <w:numPr>
        <w:ilvl w:val="3"/>
        <w:numId w:val="9"/>
      </w:numPr>
      <w:spacing w:before="360" w:after="240" w:line="320" w:lineRule="atLeast"/>
      <w:ind w:left="2880" w:hanging="360"/>
    </w:pPr>
    <w:rPr>
      <w:rFonts w:ascii="Times New Roman" w:eastAsia="Calibri" w:hAnsi="Times New Roman" w:cs="Times New Roman"/>
      <w:i/>
      <w:lang w:val="en-GB"/>
    </w:rPr>
  </w:style>
  <w:style w:type="paragraph" w:customStyle="1" w:styleId="cvcont">
    <w:name w:val="cvcont"/>
    <w:basedOn w:val="Normal"/>
    <w:next w:val="Normal"/>
    <w:qFormat/>
    <w:rsid w:val="00BB070C"/>
    <w:pPr>
      <w:spacing w:before="300" w:after="240" w:line="240" w:lineRule="exact"/>
      <w:ind w:left="-499" w:right="-499"/>
    </w:pPr>
    <w:rPr>
      <w:rFonts w:ascii="Times New Roman" w:eastAsia="Calibri" w:hAnsi="Times New Roman" w:cs="Times New Roman"/>
      <w:b/>
      <w:sz w:val="18"/>
      <w:lang w:val="es-ES"/>
    </w:rPr>
  </w:style>
  <w:style w:type="paragraph" w:customStyle="1" w:styleId="Titletype">
    <w:name w:val="Title: type"/>
    <w:next w:val="Titlemain"/>
    <w:qFormat/>
    <w:rsid w:val="00BB070C"/>
    <w:pPr>
      <w:spacing w:before="2240" w:after="240" w:line="510" w:lineRule="exact"/>
      <w:ind w:left="5103" w:right="-397"/>
    </w:pPr>
    <w:rPr>
      <w:rFonts w:ascii="Arial" w:eastAsia="Times New Roman" w:hAnsi="Arial" w:cs="Times New Roman"/>
      <w:b/>
      <w:bCs/>
      <w:color w:val="003352"/>
      <w:spacing w:val="8"/>
      <w:sz w:val="24"/>
      <w:szCs w:val="24"/>
      <w:lang w:val="es-ES"/>
    </w:rPr>
  </w:style>
  <w:style w:type="paragraph" w:customStyle="1" w:styleId="Titlemain">
    <w:name w:val="Title: main"/>
    <w:next w:val="Titleauthor"/>
    <w:qFormat/>
    <w:rsid w:val="00BB070C"/>
    <w:pPr>
      <w:spacing w:after="40" w:line="510" w:lineRule="exact"/>
      <w:ind w:left="5103" w:right="-397"/>
    </w:pPr>
    <w:rPr>
      <w:rFonts w:ascii="Arial" w:eastAsia="Times New Roman" w:hAnsi="Arial" w:cs="Times New Roman"/>
      <w:bCs/>
      <w:spacing w:val="8"/>
      <w:sz w:val="34"/>
      <w:szCs w:val="34"/>
      <w:lang w:val="en-GB"/>
    </w:rPr>
  </w:style>
  <w:style w:type="paragraph" w:customStyle="1" w:styleId="Titleauthor">
    <w:name w:val="Title: author"/>
    <w:basedOn w:val="Titletype"/>
    <w:next w:val="Titledate"/>
    <w:qFormat/>
    <w:rsid w:val="00BB070C"/>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BB070C"/>
    <w:pPr>
      <w:spacing w:after="160"/>
    </w:pPr>
    <w:rPr>
      <w:i/>
      <w:color w:val="003352"/>
      <w:sz w:val="24"/>
      <w:szCs w:val="24"/>
    </w:rPr>
  </w:style>
  <w:style w:type="paragraph" w:customStyle="1" w:styleId="TitleRefNo">
    <w:name w:val="Title: RefNo"/>
    <w:basedOn w:val="Titledate"/>
    <w:next w:val="Normal"/>
    <w:qFormat/>
    <w:rsid w:val="00BB070C"/>
    <w:rPr>
      <w:i w:val="0"/>
      <w:sz w:val="22"/>
    </w:rPr>
  </w:style>
  <w:style w:type="paragraph" w:customStyle="1" w:styleId="Contentsheading">
    <w:name w:val="Contents: heading"/>
    <w:basedOn w:val="Normal"/>
    <w:next w:val="TDC1"/>
    <w:qFormat/>
    <w:rsid w:val="00BB070C"/>
    <w:pPr>
      <w:spacing w:after="560" w:line="720" w:lineRule="exact"/>
      <w:jc w:val="both"/>
    </w:pPr>
    <w:rPr>
      <w:rFonts w:ascii="Times New Roman" w:eastAsia="Calibri" w:hAnsi="Times New Roman" w:cs="Times New Roman"/>
      <w:sz w:val="40"/>
      <w:lang w:val="es-ES"/>
    </w:rPr>
  </w:style>
  <w:style w:type="paragraph" w:customStyle="1" w:styleId="Contentssubsection">
    <w:name w:val="Contents: subsection"/>
    <w:basedOn w:val="Normal"/>
    <w:next w:val="TDC1"/>
    <w:qFormat/>
    <w:rsid w:val="00BB070C"/>
    <w:pPr>
      <w:spacing w:before="360" w:after="0" w:line="320" w:lineRule="atLeast"/>
      <w:jc w:val="both"/>
    </w:pPr>
    <w:rPr>
      <w:rFonts w:ascii="Times New Roman" w:eastAsia="Calibri" w:hAnsi="Times New Roman" w:cs="Times New Roman"/>
      <w:b/>
      <w:sz w:val="26"/>
      <w:lang w:val="es-ES"/>
    </w:rPr>
  </w:style>
  <w:style w:type="paragraph" w:customStyle="1" w:styleId="cvhead">
    <w:name w:val="cvhead"/>
    <w:basedOn w:val="Normal"/>
    <w:next w:val="Normal"/>
    <w:qFormat/>
    <w:rsid w:val="00BB070C"/>
    <w:pPr>
      <w:keepNext/>
      <w:spacing w:after="400" w:line="400" w:lineRule="exact"/>
      <w:ind w:left="-499"/>
      <w:jc w:val="both"/>
    </w:pPr>
    <w:rPr>
      <w:rFonts w:ascii="Times New Roman" w:eastAsia="Calibri" w:hAnsi="Times New Roman" w:cs="Times New Roman"/>
      <w:b/>
      <w:sz w:val="30"/>
      <w:lang w:val="es-ES"/>
    </w:rPr>
  </w:style>
  <w:style w:type="paragraph" w:customStyle="1" w:styleId="cvsec">
    <w:name w:val="cvsec"/>
    <w:basedOn w:val="Normal"/>
    <w:next w:val="Normal"/>
    <w:qFormat/>
    <w:rsid w:val="00BB070C"/>
    <w:pPr>
      <w:keepNext/>
      <w:spacing w:before="240" w:after="240" w:line="320" w:lineRule="atLeast"/>
      <w:ind w:left="-499"/>
      <w:jc w:val="both"/>
    </w:pPr>
    <w:rPr>
      <w:rFonts w:ascii="Times New Roman" w:eastAsia="Calibri" w:hAnsi="Times New Roman" w:cs="Times New Roman"/>
      <w:b/>
      <w:lang w:val="es-ES"/>
    </w:rPr>
  </w:style>
  <w:style w:type="paragraph" w:customStyle="1" w:styleId="01">
    <w:name w:val="01"/>
    <w:basedOn w:val="Normal"/>
    <w:qFormat/>
    <w:rsid w:val="00BB070C"/>
    <w:pPr>
      <w:spacing w:after="0" w:line="320" w:lineRule="atLeast"/>
      <w:jc w:val="both"/>
    </w:pPr>
    <w:rPr>
      <w:rFonts w:ascii="Times New Roman" w:eastAsia="Calibri" w:hAnsi="Times New Roman" w:cs="Times New Roman"/>
      <w:lang w:val="es-ES"/>
    </w:rPr>
  </w:style>
  <w:style w:type="paragraph" w:customStyle="1" w:styleId="Titleaddress">
    <w:name w:val="Title: address"/>
    <w:basedOn w:val="01"/>
    <w:qFormat/>
    <w:rsid w:val="00BB070C"/>
    <w:pPr>
      <w:ind w:left="567"/>
    </w:pPr>
  </w:style>
  <w:style w:type="paragraph" w:customStyle="1" w:styleId="Titleversion">
    <w:name w:val="Title: version"/>
    <w:basedOn w:val="Normal"/>
    <w:rsid w:val="00BB070C"/>
    <w:pPr>
      <w:spacing w:after="240" w:line="320" w:lineRule="atLeast"/>
      <w:jc w:val="center"/>
    </w:pPr>
    <w:rPr>
      <w:rFonts w:ascii="Times New Roman" w:eastAsia="Times New Roman" w:hAnsi="Times New Roman" w:cs="Times New Roman"/>
      <w:szCs w:val="20"/>
      <w:lang w:val="es-ES"/>
    </w:rPr>
  </w:style>
  <w:style w:type="paragraph" w:customStyle="1" w:styleId="01-reference">
    <w:name w:val="01-reference"/>
    <w:basedOn w:val="TitleRefNo"/>
    <w:rsid w:val="00BB070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BB070C"/>
  </w:style>
  <w:style w:type="table" w:styleId="Tablaclsica2">
    <w:name w:val="Table Classic 2"/>
    <w:basedOn w:val="Tablanormal"/>
    <w:rsid w:val="00BB070C"/>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BB070C"/>
    <w:pPr>
      <w:spacing w:after="0" w:line="240" w:lineRule="auto"/>
      <w:jc w:val="both"/>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BB070C"/>
    <w:pPr>
      <w:shd w:val="clear" w:color="000000" w:fill="CCE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2928">
    <w:name w:val="xl2928"/>
    <w:basedOn w:val="Normal"/>
    <w:rsid w:val="00BB070C"/>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929">
    <w:name w:val="xl2929"/>
    <w:basedOn w:val="Normal"/>
    <w:rsid w:val="00BB070C"/>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931">
    <w:name w:val="xl2931"/>
    <w:basedOn w:val="Normal"/>
    <w:rsid w:val="00BB070C"/>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932">
    <w:name w:val="xl2932"/>
    <w:basedOn w:val="Normal"/>
    <w:rsid w:val="00BB070C"/>
    <w:pPr>
      <w:shd w:val="clear" w:color="000000" w:fill="D0FFD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933">
    <w:name w:val="xl2933"/>
    <w:basedOn w:val="Normal"/>
    <w:rsid w:val="00BB070C"/>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934">
    <w:name w:val="xl2934"/>
    <w:basedOn w:val="Normal"/>
    <w:rsid w:val="00BB070C"/>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935">
    <w:name w:val="xl2935"/>
    <w:basedOn w:val="Normal"/>
    <w:rsid w:val="00BB070C"/>
    <w:pPr>
      <w:shd w:val="clear" w:color="000000" w:fill="D0FFD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936">
    <w:name w:val="xl2936"/>
    <w:basedOn w:val="Normal"/>
    <w:rsid w:val="00BB070C"/>
    <w:pPr>
      <w:spacing w:before="100" w:beforeAutospacing="1" w:after="100" w:afterAutospacing="1" w:line="240" w:lineRule="auto"/>
      <w:textAlignment w:val="bottom"/>
    </w:pPr>
    <w:rPr>
      <w:rFonts w:ascii="Times New Roman" w:eastAsia="Times New Roman" w:hAnsi="Times New Roman" w:cs="Times New Roman"/>
      <w:sz w:val="20"/>
      <w:szCs w:val="20"/>
      <w:lang w:eastAsia="es-MX"/>
    </w:rPr>
  </w:style>
  <w:style w:type="paragraph" w:customStyle="1" w:styleId="xl2937">
    <w:name w:val="xl2937"/>
    <w:basedOn w:val="Normal"/>
    <w:rsid w:val="00BB070C"/>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938">
    <w:name w:val="xl2938"/>
    <w:basedOn w:val="Normal"/>
    <w:rsid w:val="00BB070C"/>
    <w:pPr>
      <w:shd w:val="clear" w:color="000000" w:fill="CCE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2939">
    <w:name w:val="xl2939"/>
    <w:basedOn w:val="Normal"/>
    <w:rsid w:val="00BB070C"/>
    <w:pPr>
      <w:spacing w:before="100" w:beforeAutospacing="1" w:after="100" w:afterAutospacing="1" w:line="240" w:lineRule="auto"/>
      <w:textAlignment w:val="bottom"/>
    </w:pPr>
    <w:rPr>
      <w:rFonts w:ascii="Times New Roman" w:eastAsia="Times New Roman" w:hAnsi="Times New Roman" w:cs="Times New Roman"/>
      <w:sz w:val="24"/>
      <w:szCs w:val="24"/>
      <w:lang w:eastAsia="es-MX"/>
    </w:rPr>
  </w:style>
  <w:style w:type="paragraph" w:customStyle="1" w:styleId="xl2940">
    <w:name w:val="xl2940"/>
    <w:basedOn w:val="Normal"/>
    <w:rsid w:val="00BB070C"/>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cs="Times New Roman"/>
      <w:sz w:val="24"/>
      <w:szCs w:val="24"/>
      <w:lang w:eastAsia="es-MX"/>
    </w:rPr>
  </w:style>
  <w:style w:type="table" w:styleId="Tablaclsica3">
    <w:name w:val="Table Classic 3"/>
    <w:basedOn w:val="Tablanormal"/>
    <w:rsid w:val="00BB070C"/>
    <w:pPr>
      <w:spacing w:after="0" w:line="240" w:lineRule="auto"/>
      <w:jc w:val="both"/>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BB070C"/>
    <w:pPr>
      <w:shd w:val="clear" w:color="000000" w:fill="D0FFD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19">
    <w:name w:val="xl1119"/>
    <w:basedOn w:val="Normal"/>
    <w:rsid w:val="00BB070C"/>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0">
    <w:name w:val="xl1120"/>
    <w:basedOn w:val="Normal"/>
    <w:rsid w:val="00BB070C"/>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1">
    <w:name w:val="xl1121"/>
    <w:basedOn w:val="Normal"/>
    <w:rsid w:val="00BB070C"/>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2">
    <w:name w:val="xl1122"/>
    <w:basedOn w:val="Normal"/>
    <w:rsid w:val="00BB070C"/>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3">
    <w:name w:val="xl1123"/>
    <w:basedOn w:val="Normal"/>
    <w:rsid w:val="00BB070C"/>
    <w:pPr>
      <w:shd w:val="clear" w:color="000000" w:fill="D0FFD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5">
    <w:name w:val="xl1125"/>
    <w:basedOn w:val="Normal"/>
    <w:rsid w:val="00BB070C"/>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6">
    <w:name w:val="xl1126"/>
    <w:basedOn w:val="Normal"/>
    <w:rsid w:val="00BB070C"/>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7">
    <w:name w:val="xl1127"/>
    <w:basedOn w:val="Normal"/>
    <w:rsid w:val="00BB070C"/>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8">
    <w:name w:val="xl1128"/>
    <w:basedOn w:val="Normal"/>
    <w:rsid w:val="00BB070C"/>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vistosa-nfasis11">
    <w:name w:val="Lista vistosa - Énfasis 11"/>
    <w:basedOn w:val="Normal"/>
    <w:qFormat/>
    <w:rsid w:val="00BB070C"/>
    <w:pPr>
      <w:spacing w:after="0" w:line="240" w:lineRule="auto"/>
      <w:ind w:left="708"/>
    </w:pPr>
    <w:rPr>
      <w:rFonts w:ascii="Times New Roman" w:eastAsia="Times New Roman" w:hAnsi="Times New Roman" w:cs="Times New Roman"/>
      <w:sz w:val="20"/>
      <w:szCs w:val="20"/>
      <w:lang w:val="es-ES" w:eastAsia="es-ES"/>
    </w:rPr>
  </w:style>
  <w:style w:type="paragraph" w:customStyle="1" w:styleId="CM15">
    <w:name w:val="CM15"/>
    <w:basedOn w:val="Default"/>
    <w:next w:val="Default"/>
    <w:rsid w:val="00BB070C"/>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BB070C"/>
  </w:style>
  <w:style w:type="numbering" w:customStyle="1" w:styleId="Sinlista111">
    <w:name w:val="Sin lista111"/>
    <w:next w:val="Sinlista"/>
    <w:semiHidden/>
    <w:unhideWhenUsed/>
    <w:rsid w:val="00BB070C"/>
  </w:style>
  <w:style w:type="numbering" w:customStyle="1" w:styleId="Sinlista2">
    <w:name w:val="Sin lista2"/>
    <w:next w:val="Sinlista"/>
    <w:semiHidden/>
    <w:rsid w:val="00BB070C"/>
  </w:style>
  <w:style w:type="numbering" w:customStyle="1" w:styleId="Sinlista3">
    <w:name w:val="Sin lista3"/>
    <w:next w:val="Sinlista"/>
    <w:uiPriority w:val="99"/>
    <w:semiHidden/>
    <w:unhideWhenUsed/>
    <w:rsid w:val="00BB070C"/>
  </w:style>
  <w:style w:type="table" w:customStyle="1" w:styleId="Sombreadomedio2-nfasis111">
    <w:name w:val="Sombreado medio 2 - Énfasis 111"/>
    <w:basedOn w:val="Tablanormal"/>
    <w:uiPriority w:val="64"/>
    <w:rsid w:val="00BB070C"/>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BB070C"/>
  </w:style>
  <w:style w:type="numbering" w:customStyle="1" w:styleId="1ai1">
    <w:name w:val="1 / a / i1"/>
    <w:basedOn w:val="Sinlista"/>
    <w:next w:val="1ai"/>
    <w:uiPriority w:val="99"/>
    <w:unhideWhenUsed/>
    <w:rsid w:val="00BB070C"/>
    <w:pPr>
      <w:numPr>
        <w:numId w:val="7"/>
      </w:numPr>
    </w:pPr>
  </w:style>
  <w:style w:type="paragraph" w:customStyle="1" w:styleId="xl69">
    <w:name w:val="xl69"/>
    <w:basedOn w:val="Normal"/>
    <w:rsid w:val="00BB070C"/>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BB070C"/>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BB070C"/>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BB070C"/>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BB070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4">
    <w:name w:val="xl74"/>
    <w:basedOn w:val="Normal"/>
    <w:rsid w:val="00BB070C"/>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5">
    <w:name w:val="xl75"/>
    <w:basedOn w:val="Normal"/>
    <w:rsid w:val="00BB070C"/>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6">
    <w:name w:val="xl76"/>
    <w:basedOn w:val="Normal"/>
    <w:rsid w:val="00BB070C"/>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BB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8">
    <w:name w:val="xl78"/>
    <w:basedOn w:val="Normal"/>
    <w:rsid w:val="00BB070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9">
    <w:name w:val="xl79"/>
    <w:basedOn w:val="Normal"/>
    <w:rsid w:val="00BB070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BB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numbering" w:customStyle="1" w:styleId="Sinlista5">
    <w:name w:val="Sin lista5"/>
    <w:next w:val="Sinlista"/>
    <w:semiHidden/>
    <w:rsid w:val="00BB070C"/>
  </w:style>
  <w:style w:type="numbering" w:customStyle="1" w:styleId="Sinlista1111">
    <w:name w:val="Sin lista1111"/>
    <w:next w:val="Sinlista"/>
    <w:semiHidden/>
    <w:unhideWhenUsed/>
    <w:rsid w:val="00BB070C"/>
  </w:style>
  <w:style w:type="table" w:customStyle="1" w:styleId="Tablaconcuadrcula1">
    <w:name w:val="Tabla con cuadrícula1"/>
    <w:basedOn w:val="Tablanormal"/>
    <w:next w:val="Tablaconcuadrcula"/>
    <w:uiPriority w:val="59"/>
    <w:rsid w:val="00BB070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BB070C"/>
  </w:style>
  <w:style w:type="numbering" w:customStyle="1" w:styleId="Sinlista31">
    <w:name w:val="Sin lista31"/>
    <w:next w:val="Sinlista"/>
    <w:uiPriority w:val="99"/>
    <w:semiHidden/>
    <w:unhideWhenUsed/>
    <w:rsid w:val="00BB070C"/>
  </w:style>
  <w:style w:type="numbering" w:customStyle="1" w:styleId="Sinlista41">
    <w:name w:val="Sin lista41"/>
    <w:next w:val="Sinlista"/>
    <w:uiPriority w:val="99"/>
    <w:semiHidden/>
    <w:unhideWhenUsed/>
    <w:rsid w:val="00BB070C"/>
  </w:style>
  <w:style w:type="paragraph" w:customStyle="1" w:styleId="Titulo1">
    <w:name w:val="Titulo 1"/>
    <w:basedOn w:val="Texto0"/>
    <w:rsid w:val="00BB070C"/>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BB070C"/>
    <w:pPr>
      <w:spacing w:after="200" w:line="276" w:lineRule="auto"/>
      <w:ind w:left="426"/>
      <w:jc w:val="both"/>
    </w:pPr>
    <w:rPr>
      <w:rFonts w:ascii="ITC Avant Garde" w:eastAsia="Times New Roman" w:hAnsi="ITC Avant Garde" w:cs="Times New Roman"/>
      <w:iCs/>
      <w:lang w:val="es-ES" w:eastAsia="es-MX"/>
    </w:rPr>
  </w:style>
  <w:style w:type="paragraph" w:customStyle="1" w:styleId="corte4fondo">
    <w:name w:val="corte4 fondo"/>
    <w:basedOn w:val="Normal"/>
    <w:link w:val="corte4fondoCar"/>
    <w:qFormat/>
    <w:rsid w:val="00BB070C"/>
    <w:pPr>
      <w:spacing w:after="0" w:line="360" w:lineRule="auto"/>
      <w:ind w:firstLine="709"/>
      <w:jc w:val="both"/>
    </w:pPr>
    <w:rPr>
      <w:rFonts w:ascii="Arial" w:eastAsia="Times New Roman" w:hAnsi="Arial" w:cs="Times New Roman"/>
      <w:sz w:val="30"/>
      <w:szCs w:val="30"/>
      <w:lang w:val="es-ES_tradnl" w:eastAsia="es-ES"/>
    </w:rPr>
  </w:style>
  <w:style w:type="character" w:customStyle="1" w:styleId="corte4fondoCar">
    <w:name w:val="corte4 fondo Car"/>
    <w:link w:val="corte4fondo"/>
    <w:locked/>
    <w:rsid w:val="00BB070C"/>
    <w:rPr>
      <w:rFonts w:ascii="Arial" w:eastAsia="Times New Roman" w:hAnsi="Arial" w:cs="Times New Roman"/>
      <w:sz w:val="30"/>
      <w:szCs w:val="30"/>
      <w:lang w:val="es-ES_tradnl" w:eastAsia="es-ES"/>
    </w:rPr>
  </w:style>
  <w:style w:type="table" w:customStyle="1" w:styleId="Tablanormal31">
    <w:name w:val="Tabla normal 31"/>
    <w:basedOn w:val="Tablanormal"/>
    <w:uiPriority w:val="43"/>
    <w:rsid w:val="00BB070C"/>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BB070C"/>
    <w:rPr>
      <w:rFonts w:ascii="Arial" w:eastAsia="Times New Roman" w:hAnsi="Arial" w:cs="Times New Roman"/>
      <w:sz w:val="18"/>
      <w:szCs w:val="20"/>
      <w:lang w:val="es-ES_tradnl" w:eastAsia="es-ES"/>
    </w:rPr>
  </w:style>
  <w:style w:type="paragraph" w:styleId="Revisin">
    <w:name w:val="Revision"/>
    <w:hidden/>
    <w:uiPriority w:val="99"/>
    <w:semiHidden/>
    <w:rsid w:val="00BB070C"/>
    <w:pPr>
      <w:spacing w:after="0" w:line="240" w:lineRule="auto"/>
    </w:pPr>
    <w:rPr>
      <w:rFonts w:ascii="Calibri" w:eastAsia="Calibri" w:hAnsi="Calibri" w:cs="Times New Roman"/>
    </w:rPr>
  </w:style>
  <w:style w:type="table" w:customStyle="1" w:styleId="Tablaconcuadrcula2">
    <w:name w:val="Tabla con cuadrícula2"/>
    <w:basedOn w:val="Tablanormal"/>
    <w:next w:val="Tablaconcuadrcula"/>
    <w:uiPriority w:val="59"/>
    <w:rsid w:val="00BB070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BB07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46BB-B743-4F8E-BE26-233E14EE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15457</Words>
  <Characters>85014</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Scarleth Anel Palomino Garcia</dc:creator>
  <cp:keywords/>
  <dc:description/>
  <cp:lastModifiedBy>Maria del Consuelo Gonzalez Moreno</cp:lastModifiedBy>
  <cp:revision>5</cp:revision>
  <dcterms:created xsi:type="dcterms:W3CDTF">2018-04-11T21:40:00Z</dcterms:created>
  <dcterms:modified xsi:type="dcterms:W3CDTF">2018-07-09T18:47:00Z</dcterms:modified>
</cp:coreProperties>
</file>