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357A" w:rsidRPr="00C4357A" w:rsidRDefault="00D033F3" w:rsidP="00C4357A">
      <w:pPr>
        <w:pStyle w:val="Ttulo1"/>
        <w:spacing w:before="0" w:after="240"/>
        <w:jc w:val="both"/>
        <w:rPr>
          <w:rFonts w:ascii="ITC Avant Garde" w:hAnsi="ITC Avant Garde"/>
          <w:b/>
          <w:color w:val="000000" w:themeColor="text1"/>
          <w:sz w:val="24"/>
          <w:szCs w:val="24"/>
        </w:rPr>
      </w:pPr>
      <w:r w:rsidRPr="00C4357A">
        <w:rPr>
          <w:rFonts w:ascii="ITC Avant Garde" w:hAnsi="ITC Avant Garde"/>
          <w:b/>
          <w:color w:val="000000" w:themeColor="text1"/>
          <w:sz w:val="24"/>
          <w:szCs w:val="24"/>
        </w:rPr>
        <w:t>RESOLUCIÓN</w:t>
      </w:r>
      <w:r w:rsidR="00662296" w:rsidRPr="00C4357A">
        <w:rPr>
          <w:rFonts w:ascii="ITC Avant Garde" w:hAnsi="ITC Avant Garde"/>
          <w:b/>
          <w:color w:val="000000" w:themeColor="text1"/>
          <w:sz w:val="24"/>
          <w:szCs w:val="24"/>
        </w:rPr>
        <w:t xml:space="preserve"> MEDIANTE </w:t>
      </w:r>
      <w:r w:rsidR="00B61ACE" w:rsidRPr="00C4357A">
        <w:rPr>
          <w:rFonts w:ascii="ITC Avant Garde" w:hAnsi="ITC Avant Garde"/>
          <w:b/>
          <w:color w:val="000000" w:themeColor="text1"/>
          <w:sz w:val="24"/>
          <w:szCs w:val="24"/>
        </w:rPr>
        <w:t>LA</w:t>
      </w:r>
      <w:r w:rsidR="00662296" w:rsidRPr="00C4357A">
        <w:rPr>
          <w:rFonts w:ascii="ITC Avant Garde" w:hAnsi="ITC Avant Garde"/>
          <w:b/>
          <w:color w:val="000000" w:themeColor="text1"/>
          <w:sz w:val="24"/>
          <w:szCs w:val="24"/>
        </w:rPr>
        <w:t xml:space="preserve"> CUAL EL INSTITUTO FEDERAL DE TELECOMUNICACIONES APRUEBA Y EMITE </w:t>
      </w:r>
      <w:r w:rsidR="00085531" w:rsidRPr="00C4357A">
        <w:rPr>
          <w:rFonts w:ascii="ITC Avant Garde" w:hAnsi="ITC Avant Garde"/>
          <w:b/>
          <w:color w:val="000000" w:themeColor="text1"/>
          <w:sz w:val="24"/>
          <w:szCs w:val="24"/>
        </w:rPr>
        <w:t xml:space="preserve">LA </w:t>
      </w:r>
      <w:r w:rsidR="00662296" w:rsidRPr="00C4357A">
        <w:rPr>
          <w:rFonts w:ascii="ITC Avant Garde" w:hAnsi="ITC Avant Garde"/>
          <w:b/>
          <w:color w:val="000000" w:themeColor="text1"/>
          <w:sz w:val="24"/>
          <w:szCs w:val="24"/>
        </w:rPr>
        <w:t>“METODOLOGÍA PARA EVALUAR EL CUMPLIMIENTO DE LAS OBLIGACIONES DE COBERTURA DE LA RED COMPARTIDA MAYORISTA ESTABLECIDAS EN SU TÍTULO DE CONCESIÓN”.</w:t>
      </w:r>
    </w:p>
    <w:p w:rsidR="00C4357A" w:rsidRPr="00C4357A" w:rsidRDefault="00A82F49" w:rsidP="00C4357A">
      <w:pPr>
        <w:pStyle w:val="Ttulo2"/>
        <w:keepLines/>
        <w:spacing w:before="40" w:after="240" w:line="276" w:lineRule="auto"/>
        <w:ind w:firstLine="0"/>
        <w:jc w:val="center"/>
        <w:rPr>
          <w:rFonts w:ascii="ITC Avant Garde" w:eastAsiaTheme="majorEastAsia" w:hAnsi="ITC Avant Garde" w:cstheme="majorBidi"/>
          <w:color w:val="000000" w:themeColor="text1"/>
          <w:sz w:val="22"/>
          <w:szCs w:val="22"/>
          <w:lang w:eastAsia="en-US"/>
        </w:rPr>
      </w:pPr>
      <w:r w:rsidRPr="00C4357A">
        <w:rPr>
          <w:rFonts w:ascii="ITC Avant Garde" w:eastAsiaTheme="majorEastAsia" w:hAnsi="ITC Avant Garde" w:cstheme="majorBidi"/>
          <w:color w:val="000000" w:themeColor="text1"/>
          <w:sz w:val="22"/>
          <w:szCs w:val="22"/>
          <w:lang w:eastAsia="en-US"/>
        </w:rPr>
        <w:t>ANTECEDENTES</w:t>
      </w:r>
    </w:p>
    <w:p w:rsidR="00C4357A" w:rsidRDefault="00A82F49" w:rsidP="00C4357A">
      <w:pPr>
        <w:pStyle w:val="Default"/>
        <w:numPr>
          <w:ilvl w:val="0"/>
          <w:numId w:val="6"/>
        </w:numPr>
        <w:spacing w:after="240" w:line="276" w:lineRule="auto"/>
        <w:jc w:val="both"/>
        <w:rPr>
          <w:rFonts w:ascii="ITC Avant Garde" w:hAnsi="ITC Avant Garde"/>
          <w:bCs/>
          <w:sz w:val="22"/>
          <w:szCs w:val="22"/>
        </w:rPr>
      </w:pPr>
      <w:r w:rsidRPr="001A7DC5">
        <w:rPr>
          <w:rFonts w:ascii="ITC Avant Garde" w:hAnsi="ITC Avant Garde"/>
          <w:b/>
          <w:bCs/>
          <w:sz w:val="22"/>
          <w:szCs w:val="22"/>
        </w:rPr>
        <w:t xml:space="preserve">Decreto de Reforma Constitucional en </w:t>
      </w:r>
      <w:r w:rsidR="00343CC8" w:rsidRPr="001A7DC5">
        <w:rPr>
          <w:rFonts w:ascii="ITC Avant Garde" w:hAnsi="ITC Avant Garde"/>
          <w:b/>
          <w:bCs/>
          <w:sz w:val="22"/>
          <w:szCs w:val="22"/>
        </w:rPr>
        <w:t>M</w:t>
      </w:r>
      <w:r w:rsidRPr="001A7DC5">
        <w:rPr>
          <w:rFonts w:ascii="ITC Avant Garde" w:hAnsi="ITC Avant Garde"/>
          <w:b/>
          <w:bCs/>
          <w:sz w:val="22"/>
          <w:szCs w:val="22"/>
        </w:rPr>
        <w:t>ateria de Telecomunicaciones.</w:t>
      </w:r>
      <w:r w:rsidRPr="001A7DC5">
        <w:rPr>
          <w:rFonts w:ascii="ITC Avant Garde" w:hAnsi="ITC Avant Garde"/>
          <w:bCs/>
          <w:sz w:val="22"/>
          <w:szCs w:val="22"/>
        </w:rPr>
        <w:t xml:space="preserve"> </w:t>
      </w:r>
      <w:r w:rsidR="00CB4372" w:rsidRPr="001A7DC5">
        <w:rPr>
          <w:rFonts w:ascii="ITC Avant Garde" w:hAnsi="ITC Avant Garde"/>
          <w:bCs/>
          <w:sz w:val="22"/>
          <w:szCs w:val="22"/>
        </w:rPr>
        <w:t xml:space="preserve">El </w:t>
      </w:r>
      <w:r w:rsidRPr="001A7DC5">
        <w:rPr>
          <w:rFonts w:ascii="ITC Avant Garde" w:hAnsi="ITC Avant Garde"/>
          <w:bCs/>
          <w:sz w:val="22"/>
          <w:szCs w:val="22"/>
        </w:rPr>
        <w:t>11 de junio de 2013, se publicó en el D</w:t>
      </w:r>
      <w:r w:rsidR="00856305" w:rsidRPr="001A7DC5">
        <w:rPr>
          <w:rFonts w:ascii="ITC Avant Garde" w:hAnsi="ITC Avant Garde"/>
          <w:bCs/>
          <w:sz w:val="22"/>
          <w:szCs w:val="22"/>
        </w:rPr>
        <w:t xml:space="preserve">iario </w:t>
      </w:r>
      <w:r w:rsidRPr="001A7DC5">
        <w:rPr>
          <w:rFonts w:ascii="ITC Avant Garde" w:hAnsi="ITC Avant Garde"/>
          <w:bCs/>
          <w:sz w:val="22"/>
          <w:szCs w:val="22"/>
        </w:rPr>
        <w:t>O</w:t>
      </w:r>
      <w:r w:rsidR="00856305" w:rsidRPr="001A7DC5">
        <w:rPr>
          <w:rFonts w:ascii="ITC Avant Garde" w:hAnsi="ITC Avant Garde"/>
          <w:bCs/>
          <w:sz w:val="22"/>
          <w:szCs w:val="22"/>
        </w:rPr>
        <w:t xml:space="preserve">ficial de la </w:t>
      </w:r>
      <w:r w:rsidRPr="001A7DC5">
        <w:rPr>
          <w:rFonts w:ascii="ITC Avant Garde" w:hAnsi="ITC Avant Garde"/>
          <w:bCs/>
          <w:sz w:val="22"/>
          <w:szCs w:val="22"/>
        </w:rPr>
        <w:t>F</w:t>
      </w:r>
      <w:r w:rsidR="00856305" w:rsidRPr="001A7DC5">
        <w:rPr>
          <w:rFonts w:ascii="ITC Avant Garde" w:hAnsi="ITC Avant Garde"/>
          <w:bCs/>
          <w:sz w:val="22"/>
          <w:szCs w:val="22"/>
        </w:rPr>
        <w:t>ederación (en lo sucesivo, el “DOF”),</w:t>
      </w:r>
      <w:r w:rsidRPr="001A7DC5">
        <w:rPr>
          <w:rFonts w:ascii="ITC Avant Garde" w:hAnsi="ITC Avant Garde"/>
          <w:bCs/>
          <w:sz w:val="22"/>
          <w:szCs w:val="22"/>
        </w:rPr>
        <w:t xml:space="preserve"> el “Decreto por el que se reforman y adicionan diversas disposiciones de los artículos 6º, 7º, 27º, 28º, 73º, 78º, 94º y 105º de la Constitución Política de los Estados Unidos Mexicanos, en </w:t>
      </w:r>
      <w:r w:rsidR="00E10C73" w:rsidRPr="001A7DC5">
        <w:rPr>
          <w:rFonts w:ascii="ITC Avant Garde" w:hAnsi="ITC Avant Garde"/>
          <w:bCs/>
          <w:sz w:val="22"/>
          <w:szCs w:val="22"/>
        </w:rPr>
        <w:t>materia</w:t>
      </w:r>
      <w:r w:rsidRPr="001A7DC5">
        <w:rPr>
          <w:rFonts w:ascii="ITC Avant Garde" w:hAnsi="ITC Avant Garde"/>
          <w:bCs/>
          <w:sz w:val="22"/>
          <w:szCs w:val="22"/>
        </w:rPr>
        <w:t xml:space="preserve"> de telecomunicaciones”</w:t>
      </w:r>
      <w:r w:rsidR="00C57175" w:rsidRPr="001A7DC5">
        <w:rPr>
          <w:rFonts w:ascii="ITC Avant Garde" w:hAnsi="ITC Avant Garde"/>
          <w:bCs/>
          <w:sz w:val="22"/>
          <w:szCs w:val="22"/>
        </w:rPr>
        <w:t xml:space="preserve"> (en lo sucesivo, el “Decreto”)</w:t>
      </w:r>
      <w:r w:rsidRPr="001A7DC5">
        <w:rPr>
          <w:rFonts w:ascii="ITC Avant Garde" w:hAnsi="ITC Avant Garde"/>
          <w:bCs/>
          <w:sz w:val="22"/>
          <w:szCs w:val="22"/>
        </w:rPr>
        <w:t>, mediante el cual se creó el Instituto Federal de Telecomunicaciones (en lo sucesivo, el “Instituto”), como un órgano autónomo con personalidad jurídica y patrimonio propios, cuyo objeto es regular, promover y supervisar el uso, aprovechamiento y explotación del espectro radioeléctrico, las redes y la prestación de los servicios de radiodifusión y telecomunicaciones, además de ser la autoridad en materia de competencia económica en los sectores de los servicios antes aludidos.</w:t>
      </w:r>
    </w:p>
    <w:p w:rsidR="00C4357A" w:rsidRDefault="00A82F49" w:rsidP="00C4357A">
      <w:pPr>
        <w:pStyle w:val="Default"/>
        <w:numPr>
          <w:ilvl w:val="0"/>
          <w:numId w:val="6"/>
        </w:numPr>
        <w:spacing w:after="240" w:line="276" w:lineRule="auto"/>
        <w:jc w:val="both"/>
        <w:rPr>
          <w:rFonts w:ascii="ITC Avant Garde" w:hAnsi="ITC Avant Garde"/>
          <w:bCs/>
          <w:sz w:val="22"/>
          <w:szCs w:val="22"/>
        </w:rPr>
      </w:pPr>
      <w:r w:rsidRPr="001A7DC5">
        <w:rPr>
          <w:rFonts w:ascii="ITC Avant Garde" w:hAnsi="ITC Avant Garde"/>
          <w:b/>
          <w:bCs/>
          <w:sz w:val="22"/>
          <w:szCs w:val="22"/>
        </w:rPr>
        <w:t xml:space="preserve">Ley Federal de Telecomunicaciones y Radiodifusión. </w:t>
      </w:r>
      <w:r w:rsidRPr="001A7DC5">
        <w:rPr>
          <w:rFonts w:ascii="ITC Avant Garde" w:hAnsi="ITC Avant Garde"/>
          <w:bCs/>
          <w:sz w:val="22"/>
          <w:szCs w:val="22"/>
        </w:rPr>
        <w:t>El 14 de julio de 2014, se publicó en el DOF el “Decreto por el que se expiden la Ley Federal de Telecomunicaciones y Radiodifusión, y la Ley del Sistema Público de Radiodifusión del Estado Mexicano; y se reforman, adicionan y derogan diversas disposiciones en materia de telecomunicaciones y radiodifusión” mediante el cual se expidió la Ley Federal de Telecomunicaciones y Radiodifusión</w:t>
      </w:r>
      <w:r w:rsidR="00F70FC2">
        <w:rPr>
          <w:rFonts w:ascii="ITC Avant Garde" w:hAnsi="ITC Avant Garde"/>
          <w:bCs/>
          <w:sz w:val="22"/>
          <w:szCs w:val="22"/>
        </w:rPr>
        <w:t xml:space="preserve"> (en lo sucesivo, la “LFTR”</w:t>
      </w:r>
      <w:r w:rsidR="001A3D0E">
        <w:rPr>
          <w:rFonts w:ascii="ITC Avant Garde" w:hAnsi="ITC Avant Garde"/>
          <w:bCs/>
          <w:sz w:val="22"/>
          <w:szCs w:val="22"/>
        </w:rPr>
        <w:t>)</w:t>
      </w:r>
      <w:r w:rsidR="00E81ADE">
        <w:rPr>
          <w:rFonts w:ascii="ITC Avant Garde" w:hAnsi="ITC Avant Garde"/>
          <w:bCs/>
          <w:sz w:val="22"/>
          <w:szCs w:val="22"/>
        </w:rPr>
        <w:t>, misma que entró en vigor el 13 de agosto de 2014</w:t>
      </w:r>
      <w:r w:rsidR="001A3D0E">
        <w:rPr>
          <w:rFonts w:ascii="ITC Avant Garde" w:hAnsi="ITC Avant Garde"/>
          <w:bCs/>
          <w:sz w:val="22"/>
          <w:szCs w:val="22"/>
        </w:rPr>
        <w:t>.</w:t>
      </w:r>
    </w:p>
    <w:p w:rsidR="00C4357A" w:rsidRDefault="001A3D0E" w:rsidP="00C4357A">
      <w:pPr>
        <w:pStyle w:val="Default"/>
        <w:numPr>
          <w:ilvl w:val="0"/>
          <w:numId w:val="6"/>
        </w:numPr>
        <w:spacing w:after="240" w:line="276" w:lineRule="auto"/>
        <w:jc w:val="both"/>
        <w:rPr>
          <w:rFonts w:ascii="ITC Avant Garde" w:hAnsi="ITC Avant Garde"/>
          <w:bCs/>
        </w:rPr>
      </w:pPr>
      <w:r w:rsidRPr="001C0770">
        <w:rPr>
          <w:rFonts w:ascii="ITC Avant Garde" w:hAnsi="ITC Avant Garde"/>
          <w:b/>
          <w:bCs/>
          <w:sz w:val="22"/>
          <w:szCs w:val="22"/>
        </w:rPr>
        <w:t xml:space="preserve">Estatuto Orgánico del Instituto Federal de Telecomunicaciones. </w:t>
      </w:r>
      <w:r w:rsidRPr="001C0770">
        <w:rPr>
          <w:rFonts w:ascii="ITC Avant Garde" w:hAnsi="ITC Avant Garde"/>
          <w:bCs/>
          <w:sz w:val="22"/>
          <w:szCs w:val="22"/>
        </w:rPr>
        <w:t>El 4 de septiembre de 2014, se publicó en el DOF el Estatuto Orgánico del Instituto Federal de Telecomunicaciones, (en lo sucesivo, el “Estatuto”), mismo que entró en vigor el 26 de septiembre de 2014;  el 20 de julio de 2017 se publicó en el citado medio de difusión oficial su última modificación.</w:t>
      </w:r>
    </w:p>
    <w:p w:rsidR="00C4357A" w:rsidRDefault="0089589C" w:rsidP="00C4357A">
      <w:pPr>
        <w:pStyle w:val="Default"/>
        <w:numPr>
          <w:ilvl w:val="0"/>
          <w:numId w:val="6"/>
        </w:numPr>
        <w:spacing w:after="240" w:line="276" w:lineRule="auto"/>
        <w:jc w:val="both"/>
        <w:rPr>
          <w:rFonts w:ascii="ITC Avant Garde" w:hAnsi="ITC Avant Garde"/>
          <w:bCs/>
          <w:sz w:val="22"/>
          <w:szCs w:val="22"/>
        </w:rPr>
      </w:pPr>
      <w:r w:rsidRPr="001A7DC5">
        <w:rPr>
          <w:rFonts w:ascii="ITC Avant Garde" w:hAnsi="ITC Avant Garde"/>
          <w:b/>
          <w:bCs/>
          <w:sz w:val="22"/>
          <w:szCs w:val="22"/>
        </w:rPr>
        <w:t>Convenio Marco de Colaboración Interinstitucional.</w:t>
      </w:r>
      <w:r w:rsidRPr="001A7DC5">
        <w:rPr>
          <w:rFonts w:ascii="ITC Avant Garde" w:hAnsi="ITC Avant Garde"/>
          <w:bCs/>
          <w:sz w:val="22"/>
          <w:szCs w:val="22"/>
        </w:rPr>
        <w:t xml:space="preserve"> El 9 de octubre de 2014, </w:t>
      </w:r>
      <w:r w:rsidR="00AD6DBA" w:rsidRPr="001A7DC5">
        <w:rPr>
          <w:rFonts w:ascii="ITC Avant Garde" w:hAnsi="ITC Avant Garde"/>
          <w:bCs/>
          <w:sz w:val="22"/>
          <w:szCs w:val="22"/>
        </w:rPr>
        <w:t>la Secretaría de Comunicaciones y Transportes</w:t>
      </w:r>
      <w:r w:rsidR="00CB4372" w:rsidRPr="001A7DC5">
        <w:rPr>
          <w:rFonts w:ascii="ITC Avant Garde" w:hAnsi="ITC Avant Garde"/>
          <w:bCs/>
          <w:sz w:val="22"/>
          <w:szCs w:val="22"/>
        </w:rPr>
        <w:t xml:space="preserve"> (en lo sucesivo, la “SCT”) </w:t>
      </w:r>
      <w:r w:rsidR="00AD6DBA" w:rsidRPr="001A7DC5">
        <w:rPr>
          <w:rFonts w:ascii="ITC Avant Garde" w:hAnsi="ITC Avant Garde"/>
          <w:bCs/>
          <w:sz w:val="22"/>
          <w:szCs w:val="22"/>
        </w:rPr>
        <w:t xml:space="preserve">y el Instituto celebraron un convenio marco de colaboración interinstitucional y </w:t>
      </w:r>
      <w:r w:rsidR="00943906" w:rsidRPr="001A7DC5">
        <w:rPr>
          <w:rFonts w:ascii="ITC Avant Garde" w:hAnsi="ITC Avant Garde"/>
          <w:bCs/>
          <w:sz w:val="22"/>
          <w:szCs w:val="22"/>
        </w:rPr>
        <w:t>un</w:t>
      </w:r>
      <w:r w:rsidR="00AD6DBA" w:rsidRPr="001A7DC5">
        <w:rPr>
          <w:rFonts w:ascii="ITC Avant Garde" w:hAnsi="ITC Avant Garde"/>
          <w:bCs/>
          <w:sz w:val="22"/>
          <w:szCs w:val="22"/>
        </w:rPr>
        <w:t xml:space="preserve"> convenio específico </w:t>
      </w:r>
      <w:r w:rsidR="00943906" w:rsidRPr="001A7DC5">
        <w:rPr>
          <w:rFonts w:ascii="ITC Avant Garde" w:hAnsi="ITC Avant Garde"/>
          <w:bCs/>
          <w:sz w:val="22"/>
          <w:szCs w:val="22"/>
        </w:rPr>
        <w:t xml:space="preserve">de colaboración, mediante los cuales acordaron colaborar para atender de manera coordinada, en el ámbito de sus respectivas atribuciones y a </w:t>
      </w:r>
      <w:r w:rsidR="00943906" w:rsidRPr="001A7DC5">
        <w:rPr>
          <w:rFonts w:ascii="ITC Avant Garde" w:hAnsi="ITC Avant Garde"/>
          <w:bCs/>
          <w:sz w:val="22"/>
          <w:szCs w:val="22"/>
        </w:rPr>
        <w:lastRenderedPageBreak/>
        <w:t xml:space="preserve">través de grupos de trabajo constituidos </w:t>
      </w:r>
      <w:r w:rsidR="001A3D0E" w:rsidRPr="001A7DC5">
        <w:rPr>
          <w:rFonts w:ascii="ITC Avant Garde" w:hAnsi="ITC Avant Garde"/>
          <w:bCs/>
          <w:sz w:val="22"/>
          <w:szCs w:val="22"/>
        </w:rPr>
        <w:t>por</w:t>
      </w:r>
      <w:r w:rsidR="001A3D0E">
        <w:rPr>
          <w:rFonts w:ascii="ITC Avant Garde" w:hAnsi="ITC Avant Garde"/>
          <w:bCs/>
          <w:sz w:val="22"/>
          <w:szCs w:val="22"/>
        </w:rPr>
        <w:t xml:space="preserve"> servidores públicos</w:t>
      </w:r>
      <w:r w:rsidR="00943906" w:rsidRPr="001A7DC5">
        <w:rPr>
          <w:rFonts w:ascii="ITC Avant Garde" w:hAnsi="ITC Avant Garde"/>
          <w:bCs/>
          <w:sz w:val="22"/>
          <w:szCs w:val="22"/>
        </w:rPr>
        <w:t xml:space="preserve"> de ambas entidades, el mandato señalado en el artículo </w:t>
      </w:r>
      <w:r w:rsidR="001A3D0E">
        <w:rPr>
          <w:rFonts w:ascii="ITC Avant Garde" w:hAnsi="ITC Avant Garde"/>
          <w:bCs/>
          <w:sz w:val="22"/>
          <w:szCs w:val="22"/>
        </w:rPr>
        <w:t>D</w:t>
      </w:r>
      <w:r w:rsidR="00943906" w:rsidRPr="001A7DC5">
        <w:rPr>
          <w:rFonts w:ascii="ITC Avant Garde" w:hAnsi="ITC Avant Garde"/>
          <w:bCs/>
          <w:sz w:val="22"/>
          <w:szCs w:val="22"/>
        </w:rPr>
        <w:t xml:space="preserve">écimo </w:t>
      </w:r>
      <w:r w:rsidR="001A3D0E">
        <w:rPr>
          <w:rFonts w:ascii="ITC Avant Garde" w:hAnsi="ITC Avant Garde"/>
          <w:bCs/>
          <w:sz w:val="22"/>
          <w:szCs w:val="22"/>
        </w:rPr>
        <w:t>S</w:t>
      </w:r>
      <w:r w:rsidR="00943906" w:rsidRPr="001A7DC5">
        <w:rPr>
          <w:rFonts w:ascii="ITC Avant Garde" w:hAnsi="ITC Avant Garde"/>
          <w:bCs/>
          <w:sz w:val="22"/>
          <w:szCs w:val="22"/>
        </w:rPr>
        <w:t xml:space="preserve">exto transitorio del Decreto, a fin de garantizar la instalación de la red pública compartida de telecomunicaciones. </w:t>
      </w:r>
    </w:p>
    <w:p w:rsidR="00C4357A" w:rsidRDefault="00C57175" w:rsidP="00C4357A">
      <w:pPr>
        <w:pStyle w:val="Default"/>
        <w:numPr>
          <w:ilvl w:val="0"/>
          <w:numId w:val="6"/>
        </w:numPr>
        <w:spacing w:after="240" w:line="276" w:lineRule="auto"/>
        <w:jc w:val="both"/>
        <w:rPr>
          <w:rFonts w:ascii="ITC Avant Garde" w:hAnsi="ITC Avant Garde"/>
          <w:bCs/>
          <w:sz w:val="22"/>
          <w:szCs w:val="22"/>
        </w:rPr>
      </w:pPr>
      <w:r w:rsidRPr="001A7DC5">
        <w:rPr>
          <w:rFonts w:ascii="ITC Avant Garde" w:hAnsi="ITC Avant Garde"/>
          <w:b/>
          <w:bCs/>
          <w:sz w:val="22"/>
          <w:szCs w:val="22"/>
        </w:rPr>
        <w:t>Publicación de la Convocatoria del Concurso</w:t>
      </w:r>
      <w:r w:rsidR="00CB4372" w:rsidRPr="001A7DC5">
        <w:rPr>
          <w:rFonts w:ascii="ITC Avant Garde" w:hAnsi="ITC Avant Garde"/>
          <w:b/>
          <w:bCs/>
          <w:sz w:val="22"/>
          <w:szCs w:val="22"/>
        </w:rPr>
        <w:t xml:space="preserve"> de la Red Compartida</w:t>
      </w:r>
      <w:r w:rsidRPr="001A7DC5">
        <w:rPr>
          <w:rFonts w:ascii="ITC Avant Garde" w:hAnsi="ITC Avant Garde"/>
          <w:bCs/>
          <w:sz w:val="22"/>
          <w:szCs w:val="22"/>
        </w:rPr>
        <w:t>. El</w:t>
      </w:r>
      <w:r w:rsidR="00A82F49" w:rsidRPr="001A7DC5">
        <w:rPr>
          <w:rFonts w:ascii="ITC Avant Garde" w:hAnsi="ITC Avant Garde"/>
          <w:bCs/>
          <w:sz w:val="22"/>
          <w:szCs w:val="22"/>
        </w:rPr>
        <w:t xml:space="preserve"> 2</w:t>
      </w:r>
      <w:r w:rsidR="008476E5" w:rsidRPr="001A7DC5">
        <w:rPr>
          <w:rFonts w:ascii="ITC Avant Garde" w:hAnsi="ITC Avant Garde"/>
          <w:bCs/>
          <w:sz w:val="22"/>
          <w:szCs w:val="22"/>
        </w:rPr>
        <w:t>9 de enero de 2016, la Direcció</w:t>
      </w:r>
      <w:r w:rsidR="00A82F49" w:rsidRPr="001A7DC5">
        <w:rPr>
          <w:rFonts w:ascii="ITC Avant Garde" w:hAnsi="ITC Avant Garde"/>
          <w:bCs/>
          <w:sz w:val="22"/>
          <w:szCs w:val="22"/>
        </w:rPr>
        <w:t xml:space="preserve">n General de </w:t>
      </w:r>
      <w:r w:rsidR="009F043F" w:rsidRPr="001A7DC5">
        <w:rPr>
          <w:rFonts w:ascii="ITC Avant Garde" w:hAnsi="ITC Avant Garde"/>
          <w:bCs/>
          <w:sz w:val="22"/>
          <w:szCs w:val="22"/>
        </w:rPr>
        <w:t>Política</w:t>
      </w:r>
      <w:r w:rsidR="00A82F49" w:rsidRPr="001A7DC5">
        <w:rPr>
          <w:rFonts w:ascii="ITC Avant Garde" w:hAnsi="ITC Avant Garde"/>
          <w:bCs/>
          <w:sz w:val="22"/>
          <w:szCs w:val="22"/>
        </w:rPr>
        <w:t xml:space="preserve"> de Telec</w:t>
      </w:r>
      <w:r w:rsidR="008476E5" w:rsidRPr="001A7DC5">
        <w:rPr>
          <w:rFonts w:ascii="ITC Avant Garde" w:hAnsi="ITC Avant Garde"/>
          <w:bCs/>
          <w:sz w:val="22"/>
          <w:szCs w:val="22"/>
        </w:rPr>
        <w:t>omunicaciones y de Radiodifusió</w:t>
      </w:r>
      <w:r w:rsidR="00A82F49" w:rsidRPr="001A7DC5">
        <w:rPr>
          <w:rFonts w:ascii="ITC Avant Garde" w:hAnsi="ITC Avant Garde"/>
          <w:bCs/>
          <w:sz w:val="22"/>
          <w:szCs w:val="22"/>
        </w:rPr>
        <w:t>n de la SCT, como entidad convocante, emiti</w:t>
      </w:r>
      <w:r w:rsidRPr="001A7DC5">
        <w:rPr>
          <w:rFonts w:ascii="ITC Avant Garde" w:hAnsi="ITC Avant Garde"/>
          <w:bCs/>
          <w:sz w:val="22"/>
          <w:szCs w:val="22"/>
        </w:rPr>
        <w:t>ó</w:t>
      </w:r>
      <w:r w:rsidR="00A82F49" w:rsidRPr="001A7DC5">
        <w:rPr>
          <w:rFonts w:ascii="ITC Avant Garde" w:hAnsi="ITC Avant Garde"/>
          <w:bCs/>
          <w:sz w:val="22"/>
          <w:szCs w:val="22"/>
        </w:rPr>
        <w:t xml:space="preserve"> la Convocatoria para el concurso internacional </w:t>
      </w:r>
      <w:r w:rsidR="009F043F" w:rsidRPr="001A7DC5">
        <w:rPr>
          <w:rFonts w:ascii="ITC Avant Garde" w:hAnsi="ITC Avant Garde"/>
          <w:bCs/>
          <w:sz w:val="22"/>
          <w:szCs w:val="22"/>
        </w:rPr>
        <w:t>número</w:t>
      </w:r>
      <w:r w:rsidR="00A82F49" w:rsidRPr="001A7DC5">
        <w:rPr>
          <w:rFonts w:ascii="ITC Avant Garde" w:hAnsi="ITC Avant Garde"/>
          <w:bCs/>
          <w:sz w:val="22"/>
          <w:szCs w:val="22"/>
        </w:rPr>
        <w:t xml:space="preserve"> APP-009000896-E1-2016 </w:t>
      </w:r>
      <w:r w:rsidRPr="001A7DC5">
        <w:rPr>
          <w:rFonts w:ascii="ITC Avant Garde" w:hAnsi="ITC Avant Garde"/>
          <w:bCs/>
          <w:sz w:val="22"/>
          <w:szCs w:val="22"/>
        </w:rPr>
        <w:t xml:space="preserve">para la adjudicación de un proyecto de Asociación Público-Privada conforme a la Ley de Asociaciones Público Privadas, para la instalación y operación de una red pública compartida de telecomunicaciones a que se refiere el artículo décimo sexto transitorio del Decreto, contemplando el aprovechamiento de la banda de frecuencias del espectro que incluye los segmentos de 703 a 748 MHz y de 758 a 803 MHz, con un total de 90 MHz bajo la figura de arrendamiento y de un par de hilos de fibra óptica de la red troncal referida en el artículo </w:t>
      </w:r>
      <w:r w:rsidR="001A3D0E">
        <w:rPr>
          <w:rFonts w:ascii="ITC Avant Garde" w:hAnsi="ITC Avant Garde"/>
          <w:bCs/>
          <w:sz w:val="22"/>
          <w:szCs w:val="22"/>
        </w:rPr>
        <w:t>D</w:t>
      </w:r>
      <w:r w:rsidRPr="001A7DC5">
        <w:rPr>
          <w:rFonts w:ascii="ITC Avant Garde" w:hAnsi="ITC Avant Garde"/>
          <w:bCs/>
          <w:sz w:val="22"/>
          <w:szCs w:val="22"/>
        </w:rPr>
        <w:t xml:space="preserve">écimo </w:t>
      </w:r>
      <w:r w:rsidR="001A3D0E">
        <w:rPr>
          <w:rFonts w:ascii="ITC Avant Garde" w:hAnsi="ITC Avant Garde"/>
          <w:bCs/>
          <w:sz w:val="22"/>
          <w:szCs w:val="22"/>
        </w:rPr>
        <w:t>Q</w:t>
      </w:r>
      <w:r w:rsidRPr="001A7DC5">
        <w:rPr>
          <w:rFonts w:ascii="ITC Avant Garde" w:hAnsi="ITC Avant Garde"/>
          <w:bCs/>
          <w:sz w:val="22"/>
          <w:szCs w:val="22"/>
        </w:rPr>
        <w:t xml:space="preserve">uinto transitorio del mismo Decreto, </w:t>
      </w:r>
      <w:r w:rsidR="00A82F49" w:rsidRPr="001A7DC5">
        <w:rPr>
          <w:rFonts w:ascii="ITC Avant Garde" w:hAnsi="ITC Avant Garde"/>
          <w:bCs/>
          <w:sz w:val="22"/>
          <w:szCs w:val="22"/>
        </w:rPr>
        <w:t>(</w:t>
      </w:r>
      <w:r w:rsidRPr="001A7DC5">
        <w:rPr>
          <w:rFonts w:ascii="ITC Avant Garde" w:hAnsi="ITC Avant Garde"/>
          <w:bCs/>
          <w:sz w:val="22"/>
          <w:szCs w:val="22"/>
        </w:rPr>
        <w:t xml:space="preserve">en lo sucesivo, </w:t>
      </w:r>
      <w:r w:rsidR="00CB4372" w:rsidRPr="001A7DC5">
        <w:rPr>
          <w:rFonts w:ascii="ITC Avant Garde" w:hAnsi="ITC Avant Garde"/>
          <w:bCs/>
          <w:sz w:val="22"/>
          <w:szCs w:val="22"/>
        </w:rPr>
        <w:t xml:space="preserve">las </w:t>
      </w:r>
      <w:r w:rsidRPr="001A7DC5">
        <w:rPr>
          <w:rFonts w:ascii="ITC Avant Garde" w:hAnsi="ITC Avant Garde"/>
          <w:bCs/>
          <w:sz w:val="22"/>
          <w:szCs w:val="22"/>
        </w:rPr>
        <w:t>“</w:t>
      </w:r>
      <w:r w:rsidR="00CB4372" w:rsidRPr="001A7DC5">
        <w:rPr>
          <w:rFonts w:ascii="ITC Avant Garde" w:hAnsi="ITC Avant Garde"/>
          <w:bCs/>
          <w:sz w:val="22"/>
          <w:szCs w:val="22"/>
        </w:rPr>
        <w:t xml:space="preserve">Bases del </w:t>
      </w:r>
      <w:r w:rsidRPr="001A7DC5">
        <w:rPr>
          <w:rFonts w:ascii="ITC Avant Garde" w:hAnsi="ITC Avant Garde"/>
          <w:bCs/>
          <w:sz w:val="22"/>
          <w:szCs w:val="22"/>
        </w:rPr>
        <w:t>Concurso”).</w:t>
      </w:r>
    </w:p>
    <w:p w:rsidR="00C4357A" w:rsidRDefault="00C103EE" w:rsidP="00C4357A">
      <w:pPr>
        <w:pStyle w:val="Default"/>
        <w:numPr>
          <w:ilvl w:val="0"/>
          <w:numId w:val="6"/>
        </w:numPr>
        <w:spacing w:after="240" w:line="276" w:lineRule="auto"/>
        <w:jc w:val="both"/>
        <w:rPr>
          <w:rFonts w:ascii="ITC Avant Garde" w:hAnsi="ITC Avant Garde"/>
          <w:bCs/>
          <w:sz w:val="22"/>
          <w:szCs w:val="22"/>
        </w:rPr>
      </w:pPr>
      <w:r w:rsidRPr="001A7DC5">
        <w:rPr>
          <w:rFonts w:ascii="ITC Avant Garde" w:hAnsi="ITC Avant Garde"/>
          <w:b/>
          <w:bCs/>
          <w:sz w:val="22"/>
          <w:szCs w:val="22"/>
        </w:rPr>
        <w:t>Creación del Organismo Promotor de Inversiones en Telecomunicaciones.</w:t>
      </w:r>
      <w:r w:rsidRPr="001A7DC5">
        <w:rPr>
          <w:rFonts w:ascii="ITC Avant Garde" w:hAnsi="ITC Avant Garde"/>
          <w:bCs/>
          <w:sz w:val="22"/>
          <w:szCs w:val="22"/>
        </w:rPr>
        <w:t xml:space="preserve"> El 11 de marzo de 2016</w:t>
      </w:r>
      <w:r w:rsidR="00CB4372" w:rsidRPr="001A7DC5">
        <w:rPr>
          <w:rFonts w:ascii="ITC Avant Garde" w:hAnsi="ITC Avant Garde"/>
          <w:bCs/>
          <w:sz w:val="22"/>
          <w:szCs w:val="22"/>
        </w:rPr>
        <w:t>,</w:t>
      </w:r>
      <w:r w:rsidRPr="001A7DC5">
        <w:rPr>
          <w:rFonts w:ascii="ITC Avant Garde" w:hAnsi="ITC Avant Garde"/>
          <w:bCs/>
          <w:sz w:val="22"/>
          <w:szCs w:val="22"/>
        </w:rPr>
        <w:t xml:space="preserve"> mediante decreto publicado en el DOF se creó el Organismo Promotor de Inversiones en Telecomunicaciones (</w:t>
      </w:r>
      <w:r w:rsidR="009D398C" w:rsidRPr="001A7DC5">
        <w:rPr>
          <w:rFonts w:ascii="ITC Avant Garde" w:hAnsi="ITC Avant Garde"/>
          <w:bCs/>
          <w:sz w:val="22"/>
          <w:szCs w:val="22"/>
        </w:rPr>
        <w:t>en lo sucesivo</w:t>
      </w:r>
      <w:r w:rsidR="006A44AC" w:rsidRPr="001A7DC5">
        <w:rPr>
          <w:rFonts w:ascii="ITC Avant Garde" w:hAnsi="ITC Avant Garde"/>
          <w:bCs/>
          <w:sz w:val="22"/>
          <w:szCs w:val="22"/>
        </w:rPr>
        <w:t xml:space="preserve">, </w:t>
      </w:r>
      <w:r w:rsidR="009D398C" w:rsidRPr="001A7DC5">
        <w:rPr>
          <w:rFonts w:ascii="ITC Avant Garde" w:hAnsi="ITC Avant Garde"/>
          <w:bCs/>
          <w:sz w:val="22"/>
          <w:szCs w:val="22"/>
        </w:rPr>
        <w:t>“</w:t>
      </w:r>
      <w:r w:rsidRPr="001A7DC5">
        <w:rPr>
          <w:rFonts w:ascii="ITC Avant Garde" w:hAnsi="ITC Avant Garde"/>
          <w:bCs/>
          <w:sz w:val="22"/>
          <w:szCs w:val="22"/>
        </w:rPr>
        <w:t>PROMTEL</w:t>
      </w:r>
      <w:r w:rsidR="009D398C" w:rsidRPr="001A7DC5">
        <w:rPr>
          <w:rFonts w:ascii="ITC Avant Garde" w:hAnsi="ITC Avant Garde"/>
          <w:bCs/>
          <w:sz w:val="22"/>
          <w:szCs w:val="22"/>
        </w:rPr>
        <w:t>”</w:t>
      </w:r>
      <w:r w:rsidRPr="001A7DC5">
        <w:rPr>
          <w:rFonts w:ascii="ITC Avant Garde" w:hAnsi="ITC Avant Garde"/>
          <w:bCs/>
          <w:sz w:val="22"/>
          <w:szCs w:val="22"/>
        </w:rPr>
        <w:t>), organismo descentralizado encargado de realizar las acciones tendientes a garantizar la instalación de la red pública compartida de telecomunicaciones, a fin de impulsar el acceso efectivo de la población a la comunicación de banda ancha y a los servicios de telecomunicaciones.</w:t>
      </w:r>
    </w:p>
    <w:p w:rsidR="00C4357A" w:rsidRDefault="00486DAF" w:rsidP="00C4357A">
      <w:pPr>
        <w:pStyle w:val="Default"/>
        <w:numPr>
          <w:ilvl w:val="0"/>
          <w:numId w:val="6"/>
        </w:numPr>
        <w:spacing w:after="240" w:line="276" w:lineRule="auto"/>
        <w:jc w:val="both"/>
        <w:rPr>
          <w:rFonts w:ascii="ITC Avant Garde" w:hAnsi="ITC Avant Garde"/>
          <w:bCs/>
          <w:sz w:val="22"/>
          <w:szCs w:val="22"/>
        </w:rPr>
      </w:pPr>
      <w:r w:rsidRPr="001A7DC5">
        <w:rPr>
          <w:rFonts w:ascii="ITC Avant Garde" w:hAnsi="ITC Avant Garde"/>
          <w:b/>
          <w:bCs/>
          <w:sz w:val="22"/>
          <w:szCs w:val="22"/>
        </w:rPr>
        <w:t xml:space="preserve">Precisiones a los Títulos de Concesión de la Red Compartida. </w:t>
      </w:r>
      <w:r w:rsidRPr="001A7DC5">
        <w:rPr>
          <w:rFonts w:ascii="ITC Avant Garde" w:hAnsi="ITC Avant Garde"/>
          <w:bCs/>
          <w:sz w:val="22"/>
          <w:szCs w:val="22"/>
        </w:rPr>
        <w:t>El 30 de marzo de 2016, se public</w:t>
      </w:r>
      <w:r w:rsidR="00C82E3C" w:rsidRPr="001A7DC5">
        <w:rPr>
          <w:rFonts w:ascii="ITC Avant Garde" w:hAnsi="ITC Avant Garde"/>
          <w:bCs/>
          <w:sz w:val="22"/>
          <w:szCs w:val="22"/>
        </w:rPr>
        <w:t>ó el a</w:t>
      </w:r>
      <w:r w:rsidRPr="001A7DC5">
        <w:rPr>
          <w:rFonts w:ascii="ITC Avant Garde" w:hAnsi="ITC Avant Garde"/>
          <w:bCs/>
          <w:sz w:val="22"/>
          <w:szCs w:val="22"/>
        </w:rPr>
        <w:t>cuerdo mediante el cual el pleno del Instituto Federa</w:t>
      </w:r>
      <w:r w:rsidR="00C82E3C" w:rsidRPr="001A7DC5">
        <w:rPr>
          <w:rFonts w:ascii="ITC Avant Garde" w:hAnsi="ITC Avant Garde"/>
          <w:bCs/>
          <w:sz w:val="22"/>
          <w:szCs w:val="22"/>
        </w:rPr>
        <w:t>l</w:t>
      </w:r>
      <w:r w:rsidRPr="001A7DC5">
        <w:rPr>
          <w:rFonts w:ascii="ITC Avant Garde" w:hAnsi="ITC Avant Garde"/>
          <w:bCs/>
          <w:sz w:val="22"/>
          <w:szCs w:val="22"/>
        </w:rPr>
        <w:t xml:space="preserve"> de Telecomunicaciones elimina la condición 13 del modelo de concesión de espectro de la red compartida y realiza precisiones a la condición 18 del modelo de concesión mayorista, que forman parte de los documentos de referencia del concurso internacional número APP-009000896-E1/2016 que t</w:t>
      </w:r>
      <w:r w:rsidR="00E81ADE">
        <w:rPr>
          <w:rFonts w:ascii="ITC Avant Garde" w:hAnsi="ITC Avant Garde"/>
          <w:bCs/>
          <w:sz w:val="22"/>
          <w:szCs w:val="22"/>
        </w:rPr>
        <w:t xml:space="preserve">enían </w:t>
      </w:r>
      <w:r w:rsidRPr="001A7DC5">
        <w:rPr>
          <w:rFonts w:ascii="ITC Avant Garde" w:hAnsi="ITC Avant Garde"/>
          <w:bCs/>
          <w:sz w:val="22"/>
          <w:szCs w:val="22"/>
        </w:rPr>
        <w:t>por objeto adjudicar un proyecto de Asociación Público-Privada para la instalación y operación de la red compartida.</w:t>
      </w:r>
    </w:p>
    <w:p w:rsidR="00C4357A" w:rsidRDefault="00C103EE" w:rsidP="00C4357A">
      <w:pPr>
        <w:pStyle w:val="Default"/>
        <w:numPr>
          <w:ilvl w:val="0"/>
          <w:numId w:val="6"/>
        </w:numPr>
        <w:spacing w:after="240" w:line="276" w:lineRule="auto"/>
        <w:jc w:val="both"/>
        <w:rPr>
          <w:rFonts w:ascii="ITC Avant Garde" w:hAnsi="ITC Avant Garde"/>
          <w:bCs/>
          <w:sz w:val="22"/>
          <w:szCs w:val="22"/>
        </w:rPr>
      </w:pPr>
      <w:r w:rsidRPr="001A7DC5">
        <w:rPr>
          <w:rFonts w:ascii="ITC Avant Garde" w:hAnsi="ITC Avant Garde"/>
          <w:b/>
          <w:bCs/>
          <w:sz w:val="22"/>
          <w:szCs w:val="22"/>
        </w:rPr>
        <w:t>Fallo del Concurso</w:t>
      </w:r>
      <w:r w:rsidR="00F06BE3" w:rsidRPr="001A7DC5">
        <w:rPr>
          <w:rFonts w:ascii="ITC Avant Garde" w:hAnsi="ITC Avant Garde"/>
          <w:b/>
          <w:bCs/>
          <w:sz w:val="22"/>
          <w:szCs w:val="22"/>
        </w:rPr>
        <w:t xml:space="preserve"> de la Red Compartida</w:t>
      </w:r>
      <w:r w:rsidRPr="001A7DC5">
        <w:rPr>
          <w:rFonts w:ascii="ITC Avant Garde" w:hAnsi="ITC Avant Garde"/>
          <w:b/>
          <w:bCs/>
          <w:sz w:val="22"/>
          <w:szCs w:val="22"/>
        </w:rPr>
        <w:t>.</w:t>
      </w:r>
      <w:r w:rsidR="009722AF" w:rsidRPr="001A7DC5">
        <w:rPr>
          <w:rFonts w:ascii="ITC Avant Garde" w:hAnsi="ITC Avant Garde"/>
          <w:bCs/>
          <w:sz w:val="22"/>
          <w:szCs w:val="22"/>
        </w:rPr>
        <w:t xml:space="preserve"> El 17 de noviembre de 201</w:t>
      </w:r>
      <w:r w:rsidR="00C62047" w:rsidRPr="001A7DC5">
        <w:rPr>
          <w:rFonts w:ascii="ITC Avant Garde" w:hAnsi="ITC Avant Garde"/>
          <w:bCs/>
          <w:sz w:val="22"/>
          <w:szCs w:val="22"/>
        </w:rPr>
        <w:t xml:space="preserve">6, la SCT publicó el acta en la que se dio a conocer el resultado de la evaluación de la oferta económica del Consorcio ALTAN y se notificó el fallo del concurso. En dicha acta, se determinó que la oferta económica del Consorcio ALTAN fue solvente y se acreditó que cuenta con las capacidades económicas y financiera </w:t>
      </w:r>
      <w:r w:rsidR="00C62047" w:rsidRPr="001A7DC5">
        <w:rPr>
          <w:rFonts w:ascii="ITC Avant Garde" w:hAnsi="ITC Avant Garde"/>
          <w:bCs/>
          <w:sz w:val="22"/>
          <w:szCs w:val="22"/>
        </w:rPr>
        <w:lastRenderedPageBreak/>
        <w:t>establecidas en las Bases del Concurso. Asimismo, se validó que la oferta de cobertura poblacional presentada por el Consorcio ALTAN de 92.2% cumple con los términos y condiciones establecidos en las Bases del Concurso al ser mayor de 85%.</w:t>
      </w:r>
    </w:p>
    <w:p w:rsidR="00C4357A" w:rsidRDefault="009722AF" w:rsidP="00C4357A">
      <w:pPr>
        <w:pStyle w:val="Default"/>
        <w:numPr>
          <w:ilvl w:val="0"/>
          <w:numId w:val="6"/>
        </w:numPr>
        <w:spacing w:after="240" w:line="276" w:lineRule="auto"/>
        <w:jc w:val="both"/>
        <w:rPr>
          <w:rFonts w:ascii="ITC Avant Garde" w:hAnsi="ITC Avant Garde"/>
          <w:bCs/>
          <w:sz w:val="22"/>
          <w:szCs w:val="22"/>
        </w:rPr>
      </w:pPr>
      <w:r w:rsidRPr="001A7DC5">
        <w:rPr>
          <w:rFonts w:ascii="ITC Avant Garde" w:hAnsi="ITC Avant Garde"/>
          <w:b/>
          <w:bCs/>
          <w:sz w:val="22"/>
          <w:szCs w:val="22"/>
        </w:rPr>
        <w:t>Constitución de la Sociedad de Propósito Específico.</w:t>
      </w:r>
      <w:r w:rsidRPr="001A7DC5">
        <w:rPr>
          <w:rFonts w:ascii="ITC Avant Garde" w:hAnsi="ITC Avant Garde"/>
          <w:bCs/>
          <w:sz w:val="22"/>
          <w:szCs w:val="22"/>
        </w:rPr>
        <w:t xml:space="preserve"> El 5 de diciembre de 2016, el Consorcio ALTAN, constituyó la Sociedad de Propósito Específico denominada “ALTÁN REDES”, Sociedad Anónima Promotora de Inversión de Capital Variable, de conformidad con lo establecido en las </w:t>
      </w:r>
      <w:r w:rsidR="006A44AC" w:rsidRPr="001A7DC5">
        <w:rPr>
          <w:rFonts w:ascii="ITC Avant Garde" w:hAnsi="ITC Avant Garde"/>
          <w:bCs/>
          <w:sz w:val="22"/>
          <w:szCs w:val="22"/>
        </w:rPr>
        <w:t>B</w:t>
      </w:r>
      <w:r w:rsidRPr="001A7DC5">
        <w:rPr>
          <w:rFonts w:ascii="ITC Avant Garde" w:hAnsi="ITC Avant Garde"/>
          <w:bCs/>
          <w:sz w:val="22"/>
          <w:szCs w:val="22"/>
        </w:rPr>
        <w:t>ases del Concurso</w:t>
      </w:r>
      <w:r w:rsidR="00C62047" w:rsidRPr="001A7DC5">
        <w:rPr>
          <w:rFonts w:ascii="ITC Avant Garde" w:hAnsi="ITC Avant Garde"/>
          <w:bCs/>
          <w:sz w:val="22"/>
          <w:szCs w:val="22"/>
        </w:rPr>
        <w:t>.</w:t>
      </w:r>
    </w:p>
    <w:p w:rsidR="00C4357A" w:rsidRDefault="009722AF" w:rsidP="00C4357A">
      <w:pPr>
        <w:pStyle w:val="Default"/>
        <w:numPr>
          <w:ilvl w:val="0"/>
          <w:numId w:val="6"/>
        </w:numPr>
        <w:spacing w:after="240" w:line="276" w:lineRule="auto"/>
        <w:jc w:val="both"/>
        <w:rPr>
          <w:rFonts w:ascii="ITC Avant Garde" w:hAnsi="ITC Avant Garde"/>
          <w:bCs/>
          <w:sz w:val="22"/>
          <w:szCs w:val="22"/>
        </w:rPr>
      </w:pPr>
      <w:r w:rsidRPr="001A7DC5">
        <w:rPr>
          <w:rFonts w:ascii="ITC Avant Garde" w:hAnsi="ITC Avant Garde"/>
          <w:b/>
          <w:bCs/>
          <w:sz w:val="22"/>
          <w:szCs w:val="22"/>
        </w:rPr>
        <w:t>Solic</w:t>
      </w:r>
      <w:r w:rsidR="00CB4372" w:rsidRPr="001A7DC5">
        <w:rPr>
          <w:rFonts w:ascii="ITC Avant Garde" w:hAnsi="ITC Avant Garde"/>
          <w:b/>
          <w:bCs/>
          <w:sz w:val="22"/>
          <w:szCs w:val="22"/>
        </w:rPr>
        <w:t>itud del Título de Concesión Mayorista.</w:t>
      </w:r>
      <w:r w:rsidR="00CB4372" w:rsidRPr="001A7DC5">
        <w:rPr>
          <w:rFonts w:ascii="ITC Avant Garde" w:hAnsi="ITC Avant Garde"/>
          <w:bCs/>
          <w:sz w:val="22"/>
          <w:szCs w:val="22"/>
        </w:rPr>
        <w:t xml:space="preserve"> El 8 de diciembre</w:t>
      </w:r>
      <w:r w:rsidR="009F043F" w:rsidRPr="001A7DC5">
        <w:rPr>
          <w:rFonts w:ascii="ITC Avant Garde" w:hAnsi="ITC Avant Garde"/>
          <w:bCs/>
          <w:sz w:val="22"/>
          <w:szCs w:val="22"/>
        </w:rPr>
        <w:t xml:space="preserve"> de 2016, ALTÁN REDES</w:t>
      </w:r>
      <w:r w:rsidR="00CB4372" w:rsidRPr="001A7DC5">
        <w:rPr>
          <w:rFonts w:ascii="ITC Avant Garde" w:hAnsi="ITC Avant Garde"/>
          <w:bCs/>
          <w:sz w:val="22"/>
          <w:szCs w:val="22"/>
        </w:rPr>
        <w:t xml:space="preserve">, </w:t>
      </w:r>
      <w:r w:rsidR="00DD1C5A" w:rsidRPr="001A7DC5">
        <w:rPr>
          <w:rFonts w:ascii="ITC Avant Garde" w:hAnsi="ITC Avant Garde"/>
          <w:bCs/>
          <w:sz w:val="22"/>
          <w:szCs w:val="22"/>
        </w:rPr>
        <w:t>de conformidad con las Bases del Concurso</w:t>
      </w:r>
      <w:r w:rsidR="009F043F" w:rsidRPr="001A7DC5">
        <w:rPr>
          <w:rFonts w:ascii="ITC Avant Garde" w:hAnsi="ITC Avant Garde"/>
          <w:bCs/>
          <w:sz w:val="22"/>
          <w:szCs w:val="22"/>
        </w:rPr>
        <w:t xml:space="preserve">, </w:t>
      </w:r>
      <w:r w:rsidR="00CB4372" w:rsidRPr="001A7DC5">
        <w:rPr>
          <w:rFonts w:ascii="ITC Avant Garde" w:hAnsi="ITC Avant Garde"/>
          <w:bCs/>
          <w:sz w:val="22"/>
          <w:szCs w:val="22"/>
        </w:rPr>
        <w:t>solicitó al Instituto una concesión para uso comercial con carácter de red compartida mayorista de servicios de telecomunicaciones.</w:t>
      </w:r>
    </w:p>
    <w:p w:rsidR="00423CB8" w:rsidRPr="001A7DC5" w:rsidRDefault="00423CB8" w:rsidP="00C4357A">
      <w:pPr>
        <w:pStyle w:val="Default"/>
        <w:numPr>
          <w:ilvl w:val="0"/>
          <w:numId w:val="6"/>
        </w:numPr>
        <w:spacing w:after="240" w:line="276" w:lineRule="auto"/>
        <w:jc w:val="both"/>
        <w:rPr>
          <w:rFonts w:ascii="ITC Avant Garde" w:hAnsi="ITC Avant Garde"/>
          <w:b/>
          <w:bCs/>
          <w:sz w:val="22"/>
          <w:szCs w:val="22"/>
        </w:rPr>
      </w:pPr>
      <w:r w:rsidRPr="001A7DC5">
        <w:rPr>
          <w:rFonts w:ascii="ITC Avant Garde" w:hAnsi="ITC Avant Garde"/>
          <w:b/>
          <w:bCs/>
          <w:sz w:val="22"/>
          <w:szCs w:val="22"/>
        </w:rPr>
        <w:t xml:space="preserve">Otorgamiento del Título de Concesión Mayorista. </w:t>
      </w:r>
      <w:r w:rsidRPr="001A7DC5">
        <w:rPr>
          <w:rFonts w:ascii="ITC Avant Garde" w:hAnsi="ITC Avant Garde"/>
          <w:bCs/>
          <w:sz w:val="22"/>
          <w:szCs w:val="22"/>
        </w:rPr>
        <w:t>El 16 de enero de 2017, mediante acuerdo P/IFT/160117/2, el Pleno del Instituto resolvió otorgar a ALTÁN REDES un título de concesión para uso comercial con carácter de red compartida mayorista de servicios de telecomunicaciones</w:t>
      </w:r>
      <w:r w:rsidR="00CD2129">
        <w:rPr>
          <w:rFonts w:ascii="ITC Avant Garde" w:hAnsi="ITC Avant Garde"/>
          <w:bCs/>
          <w:sz w:val="22"/>
          <w:szCs w:val="22"/>
        </w:rPr>
        <w:t xml:space="preserve"> (en lo sucesivo, el “Título de Concesión Mayorista”)</w:t>
      </w:r>
      <w:r w:rsidRPr="001A7DC5">
        <w:rPr>
          <w:rFonts w:ascii="ITC Avant Garde" w:hAnsi="ITC Avant Garde"/>
          <w:bCs/>
          <w:sz w:val="22"/>
          <w:szCs w:val="22"/>
        </w:rPr>
        <w:t>. Dicho título establece, en su condición 10.3</w:t>
      </w:r>
      <w:r w:rsidR="00E10C73" w:rsidRPr="001A7DC5">
        <w:rPr>
          <w:rFonts w:ascii="ITC Avant Garde" w:hAnsi="ITC Avant Garde"/>
          <w:bCs/>
          <w:sz w:val="22"/>
          <w:szCs w:val="22"/>
        </w:rPr>
        <w:t xml:space="preserve"> los compromisos de cobertura que habrá de cumplir el concesionario y que serán vigilados por el Instituto.</w:t>
      </w:r>
    </w:p>
    <w:p w:rsidR="00C4357A" w:rsidRDefault="00423CB8" w:rsidP="00C4357A">
      <w:pPr>
        <w:spacing w:before="240" w:after="240"/>
        <w:jc w:val="both"/>
        <w:rPr>
          <w:rFonts w:ascii="ITC Avant Garde" w:hAnsi="ITC Avant Garde"/>
          <w:bCs/>
          <w:color w:val="000000"/>
          <w:lang w:eastAsia="es-MX"/>
        </w:rPr>
      </w:pPr>
      <w:r w:rsidRPr="001A7DC5">
        <w:rPr>
          <w:rFonts w:ascii="ITC Avant Garde" w:hAnsi="ITC Avant Garde"/>
          <w:bCs/>
          <w:color w:val="000000"/>
          <w:lang w:eastAsia="es-MX"/>
        </w:rPr>
        <w:t>En virtud de los Antecedentes referidos, y</w:t>
      </w:r>
    </w:p>
    <w:p w:rsidR="00C4357A" w:rsidRDefault="00423CB8" w:rsidP="00C4357A">
      <w:pPr>
        <w:pStyle w:val="Ttulo2"/>
        <w:keepLines/>
        <w:spacing w:before="40" w:after="240" w:line="276" w:lineRule="auto"/>
        <w:ind w:firstLine="0"/>
        <w:jc w:val="center"/>
        <w:rPr>
          <w:rFonts w:ascii="ITC Avant Garde" w:eastAsiaTheme="majorEastAsia" w:hAnsi="ITC Avant Garde" w:cstheme="majorBidi"/>
          <w:color w:val="000000" w:themeColor="text1"/>
          <w:sz w:val="22"/>
          <w:szCs w:val="22"/>
          <w:lang w:eastAsia="en-US"/>
        </w:rPr>
      </w:pPr>
      <w:r w:rsidRPr="001A7DC5">
        <w:rPr>
          <w:rFonts w:ascii="ITC Avant Garde" w:eastAsiaTheme="majorEastAsia" w:hAnsi="ITC Avant Garde" w:cstheme="majorBidi"/>
          <w:color w:val="000000" w:themeColor="text1"/>
          <w:sz w:val="22"/>
          <w:szCs w:val="22"/>
          <w:lang w:eastAsia="en-US"/>
        </w:rPr>
        <w:t>CONSIDERANDO</w:t>
      </w:r>
    </w:p>
    <w:p w:rsidR="001A7DC5" w:rsidRPr="001A7DC5" w:rsidRDefault="001A7DC5" w:rsidP="00C4357A">
      <w:pPr>
        <w:spacing w:after="240"/>
        <w:jc w:val="both"/>
        <w:rPr>
          <w:rFonts w:ascii="ITC Avant Garde" w:hAnsi="ITC Avant Garde" w:cs="Arial"/>
        </w:rPr>
      </w:pPr>
      <w:r w:rsidRPr="001A7DC5">
        <w:rPr>
          <w:rFonts w:ascii="ITC Avant Garde" w:hAnsi="ITC Avant Garde"/>
          <w:b/>
          <w:bCs/>
          <w:lang w:val="es-ES_tradnl" w:eastAsia="es-MX"/>
        </w:rPr>
        <w:t xml:space="preserve">PRIMERO.- Competencia del Instituto. </w:t>
      </w:r>
      <w:r w:rsidRPr="001A7DC5">
        <w:rPr>
          <w:rFonts w:ascii="ITC Avant Garde" w:hAnsi="ITC Avant Garde" w:cs="Arial"/>
        </w:rPr>
        <w:t xml:space="preserve">Que de conformidad con lo establecido en los artículos 28, párrafo décimo quinto de la Constitución Política de los Estados Unidos Mexicanos (en lo sucesivo, la “Constitución”), así como en los diversos 1, 2, 7 de </w:t>
      </w:r>
      <w:r w:rsidR="00F572D5">
        <w:rPr>
          <w:rFonts w:ascii="ITC Avant Garde" w:hAnsi="ITC Avant Garde" w:cs="Arial"/>
        </w:rPr>
        <w:t xml:space="preserve">la </w:t>
      </w:r>
      <w:r w:rsidRPr="001A7DC5">
        <w:rPr>
          <w:rFonts w:ascii="ITC Avant Garde" w:hAnsi="ITC Avant Garde" w:cs="Arial"/>
        </w:rPr>
        <w:t xml:space="preserve">LFTR, el Instituto en su carácter de órgano autónomo, tiene por objeto regular y promover la competencia y el desarrollo eficiente y la prestación de los servicios públicos de radiodifusión y telecomunicaciones mediante la regulación, promoción y supervisión del uso, aprovechamiento y explotación del espectro radioeléctrico y de las redes y el acceso a infraestructura activa, pasiva y otros insumos esenciales, a fin de garantizar lo establecido en los artículos 6o. y 7o. de la Constitución, además de ser la autoridad en materia de competencia económica en los sectores antes aludidos. </w:t>
      </w:r>
    </w:p>
    <w:p w:rsidR="00C4357A" w:rsidRDefault="001A7DC5" w:rsidP="00C4357A">
      <w:pPr>
        <w:spacing w:after="240"/>
        <w:jc w:val="both"/>
        <w:rPr>
          <w:rFonts w:ascii="ITC Avant Garde" w:hAnsi="ITC Avant Garde" w:cs="Arial"/>
        </w:rPr>
      </w:pPr>
      <w:r w:rsidRPr="001A7DC5">
        <w:rPr>
          <w:rFonts w:ascii="ITC Avant Garde" w:hAnsi="ITC Avant Garde" w:cs="Arial"/>
        </w:rPr>
        <w:t>De conformidad con el artículo 15, fracción</w:t>
      </w:r>
      <w:r w:rsidR="00F81B4D">
        <w:rPr>
          <w:rFonts w:ascii="ITC Avant Garde" w:hAnsi="ITC Avant Garde" w:cs="Arial"/>
        </w:rPr>
        <w:t xml:space="preserve"> XXVII </w:t>
      </w:r>
      <w:r w:rsidRPr="001A7DC5">
        <w:rPr>
          <w:rFonts w:ascii="ITC Avant Garde" w:hAnsi="ITC Avant Garde" w:cs="Arial"/>
        </w:rPr>
        <w:t xml:space="preserve"> de la LFTR, </w:t>
      </w:r>
      <w:r w:rsidR="006E5D5E">
        <w:rPr>
          <w:rFonts w:ascii="ITC Avant Garde" w:hAnsi="ITC Avant Garde" w:cs="Arial"/>
        </w:rPr>
        <w:t>a</w:t>
      </w:r>
      <w:r w:rsidRPr="001A7DC5">
        <w:rPr>
          <w:rFonts w:ascii="ITC Avant Garde" w:hAnsi="ITC Avant Garde" w:cs="Arial"/>
        </w:rPr>
        <w:t xml:space="preserve">l Instituto </w:t>
      </w:r>
      <w:r w:rsidR="006E5D5E">
        <w:rPr>
          <w:rFonts w:ascii="ITC Avant Garde" w:hAnsi="ITC Avant Garde" w:cs="Arial"/>
        </w:rPr>
        <w:t xml:space="preserve">le corresponde vigilar </w:t>
      </w:r>
      <w:r w:rsidR="006E5D5E" w:rsidRPr="006E5D5E">
        <w:rPr>
          <w:rFonts w:ascii="ITC Avant Garde" w:hAnsi="ITC Avant Garde" w:cs="Arial"/>
        </w:rPr>
        <w:t xml:space="preserve">el cumplimiento a lo dispuesto en los títulos de concesión otorgados en materia </w:t>
      </w:r>
      <w:r w:rsidR="006E5D5E" w:rsidRPr="006E5D5E">
        <w:rPr>
          <w:rFonts w:ascii="ITC Avant Garde" w:hAnsi="ITC Avant Garde" w:cs="Arial"/>
        </w:rPr>
        <w:lastRenderedPageBreak/>
        <w:t>de telecomunicaciones y radiodifusión y ejercer facultades de supervisión y verificación, a fin de garantizar que la prestación de los servicios se realice con apego a esta Ley y a las disposiciones legales, reglamentarias y administrativas aplicables, a los títulos de concesión y a las resoluciones expedidas por el propio</w:t>
      </w:r>
      <w:r w:rsidR="006E5D5E">
        <w:rPr>
          <w:rFonts w:ascii="ITC Avant Garde" w:hAnsi="ITC Avant Garde" w:cs="Arial"/>
        </w:rPr>
        <w:t xml:space="preserve"> Instituto, por lo que el Pleno </w:t>
      </w:r>
      <w:r w:rsidRPr="001A7DC5">
        <w:rPr>
          <w:rFonts w:ascii="ITC Avant Garde" w:hAnsi="ITC Avant Garde" w:cs="Arial"/>
        </w:rPr>
        <w:t xml:space="preserve">resulta competente para conocer del presente asunto. </w:t>
      </w:r>
    </w:p>
    <w:p w:rsidR="001A7DC5" w:rsidRPr="001A7DC5" w:rsidRDefault="001A7DC5" w:rsidP="00C4357A">
      <w:pPr>
        <w:spacing w:after="240"/>
        <w:jc w:val="both"/>
        <w:rPr>
          <w:rFonts w:ascii="ITC Avant Garde" w:hAnsi="ITC Avant Garde" w:cs="Arial"/>
          <w:color w:val="2F2F2F"/>
          <w:lang w:eastAsia="es-MX"/>
        </w:rPr>
      </w:pPr>
      <w:r w:rsidRPr="001A7DC5">
        <w:rPr>
          <w:rFonts w:ascii="ITC Avant Garde" w:hAnsi="ITC Avant Garde"/>
          <w:b/>
          <w:bCs/>
          <w:lang w:val="es-ES_tradnl" w:eastAsia="es-MX"/>
        </w:rPr>
        <w:t>SEGUNDO.</w:t>
      </w:r>
      <w:r w:rsidRPr="001A7DC5">
        <w:rPr>
          <w:rFonts w:ascii="ITC Avant Garde" w:hAnsi="ITC Avant Garde" w:cs="Arial"/>
          <w:color w:val="2F2F2F"/>
        </w:rPr>
        <w:t xml:space="preserve"> </w:t>
      </w:r>
      <w:r w:rsidR="00D06733">
        <w:rPr>
          <w:rFonts w:ascii="ITC Avant Garde" w:hAnsi="ITC Avant Garde" w:cs="Arial"/>
          <w:b/>
          <w:color w:val="2F2F2F"/>
        </w:rPr>
        <w:t>Objetivos de la red compartida mayorista</w:t>
      </w:r>
      <w:r w:rsidRPr="001A7DC5">
        <w:rPr>
          <w:rFonts w:ascii="ITC Avant Garde" w:hAnsi="ITC Avant Garde" w:cs="Arial"/>
          <w:color w:val="2F2F2F"/>
        </w:rPr>
        <w:t xml:space="preserve">. </w:t>
      </w:r>
      <w:r w:rsidRPr="001A7DC5">
        <w:rPr>
          <w:rFonts w:ascii="ITC Avant Garde" w:hAnsi="ITC Avant Garde" w:cs="Arial"/>
          <w:color w:val="2F2F2F"/>
          <w:lang w:eastAsia="es-MX"/>
        </w:rPr>
        <w:t>El Plan Nacional d</w:t>
      </w:r>
      <w:r w:rsidR="00E96796">
        <w:rPr>
          <w:rFonts w:ascii="ITC Avant Garde" w:hAnsi="ITC Avant Garde" w:cs="Arial"/>
          <w:color w:val="2F2F2F"/>
          <w:lang w:eastAsia="es-MX"/>
        </w:rPr>
        <w:t>e Desarrollo (en lo sucesivo, el</w:t>
      </w:r>
      <w:r w:rsidR="00361C7B">
        <w:rPr>
          <w:rFonts w:ascii="ITC Avant Garde" w:hAnsi="ITC Avant Garde" w:cs="Arial"/>
          <w:color w:val="2F2F2F"/>
          <w:lang w:eastAsia="es-MX"/>
        </w:rPr>
        <w:t xml:space="preserve"> “PND”)</w:t>
      </w:r>
      <w:r w:rsidRPr="001A7DC5">
        <w:rPr>
          <w:rFonts w:ascii="ITC Avant Garde" w:hAnsi="ITC Avant Garde" w:cs="Arial"/>
          <w:color w:val="2F2F2F"/>
          <w:lang w:eastAsia="es-MX"/>
        </w:rPr>
        <w:t xml:space="preserve"> 2013 – 2018 proyecta, en síntesis, hacer de </w:t>
      </w:r>
      <w:r w:rsidR="00361C7B">
        <w:rPr>
          <w:rFonts w:ascii="ITC Avant Garde" w:hAnsi="ITC Avant Garde" w:cs="Arial"/>
          <w:color w:val="2F2F2F"/>
          <w:lang w:eastAsia="es-MX"/>
        </w:rPr>
        <w:t>México una sociedad de derechos</w:t>
      </w:r>
      <w:r w:rsidRPr="001A7DC5">
        <w:rPr>
          <w:rFonts w:ascii="ITC Avant Garde" w:hAnsi="ITC Avant Garde" w:cs="Arial"/>
          <w:color w:val="2F2F2F"/>
          <w:lang w:eastAsia="es-MX"/>
        </w:rPr>
        <w:t xml:space="preserve"> en donde todos tengan acceso efectivo a los derechos que otorga la Constitu</w:t>
      </w:r>
      <w:r w:rsidR="00ED3807">
        <w:rPr>
          <w:rFonts w:ascii="ITC Avant Garde" w:hAnsi="ITC Avant Garde" w:cs="Arial"/>
          <w:color w:val="2F2F2F"/>
          <w:lang w:eastAsia="es-MX"/>
        </w:rPr>
        <w:t>ción</w:t>
      </w:r>
      <w:r w:rsidR="00361C7B">
        <w:rPr>
          <w:rFonts w:ascii="ITC Avant Garde" w:hAnsi="ITC Avant Garde" w:cs="Arial"/>
          <w:color w:val="2F2F2F"/>
          <w:lang w:eastAsia="es-MX"/>
        </w:rPr>
        <w:t>,</w:t>
      </w:r>
      <w:r w:rsidR="00ED3807">
        <w:rPr>
          <w:rFonts w:ascii="ITC Avant Garde" w:hAnsi="ITC Avant Garde" w:cs="Arial"/>
          <w:color w:val="2F2F2F"/>
          <w:lang w:eastAsia="es-MX"/>
        </w:rPr>
        <w:t xml:space="preserve"> así como</w:t>
      </w:r>
      <w:r w:rsidRPr="001A7DC5">
        <w:rPr>
          <w:rFonts w:ascii="ITC Avant Garde" w:hAnsi="ITC Avant Garde" w:cs="Arial"/>
          <w:color w:val="2F2F2F"/>
          <w:lang w:eastAsia="es-MX"/>
        </w:rPr>
        <w:t xml:space="preserve"> la democratización del acceso a los servicios de telecomunicaciones, fijando para tales efectos como líneas de acción, entre otras, la promoción de mayor oferta de los servicios de telecomunicaciones, la</w:t>
      </w:r>
      <w:r w:rsidR="00361C7B">
        <w:rPr>
          <w:rFonts w:ascii="ITC Avant Garde" w:hAnsi="ITC Avant Garde" w:cs="Arial"/>
          <w:color w:val="2F2F2F"/>
          <w:lang w:eastAsia="es-MX"/>
        </w:rPr>
        <w:t xml:space="preserve"> inversión privada en el sector,</w:t>
      </w:r>
      <w:r w:rsidRPr="001A7DC5">
        <w:rPr>
          <w:rFonts w:ascii="ITC Avant Garde" w:hAnsi="ITC Avant Garde" w:cs="Arial"/>
          <w:color w:val="2F2F2F"/>
          <w:lang w:eastAsia="es-MX"/>
        </w:rPr>
        <w:t xml:space="preserve"> fomentar el uso óptimo, entre otras, de la banda de 700 MHz bajo principios de acceso universal, no discriminatorio, compartido y continuo, y la promoción de participaciones público-privadas en el despliegue, desarrollo y uso eficiente de la infraestructura de conectividad en el país. </w:t>
      </w:r>
    </w:p>
    <w:p w:rsidR="00C4357A" w:rsidRDefault="00B1146A" w:rsidP="00C4357A">
      <w:pPr>
        <w:autoSpaceDE w:val="0"/>
        <w:autoSpaceDN w:val="0"/>
        <w:adjustRightInd w:val="0"/>
        <w:spacing w:after="240"/>
        <w:jc w:val="both"/>
        <w:rPr>
          <w:rFonts w:ascii="ITC Avant Garde" w:hAnsi="ITC Avant Garde" w:cs="Arial"/>
          <w:color w:val="2F2F2F"/>
          <w:lang w:eastAsia="es-MX"/>
        </w:rPr>
      </w:pPr>
      <w:r>
        <w:rPr>
          <w:rFonts w:ascii="ITC Avant Garde" w:hAnsi="ITC Avant Garde" w:cs="Arial"/>
          <w:color w:val="2F2F2F"/>
          <w:lang w:eastAsia="es-MX"/>
        </w:rPr>
        <w:t>C</w:t>
      </w:r>
      <w:r w:rsidR="001A7DC5" w:rsidRPr="001A7DC5">
        <w:rPr>
          <w:rFonts w:ascii="ITC Avant Garde" w:hAnsi="ITC Avant Garde" w:cs="Arial"/>
          <w:color w:val="2F2F2F"/>
          <w:lang w:eastAsia="es-MX"/>
        </w:rPr>
        <w:t>onforme a lo establecido en el artículo 142</w:t>
      </w:r>
      <w:r w:rsidR="00D571A5">
        <w:rPr>
          <w:rFonts w:ascii="ITC Avant Garde" w:hAnsi="ITC Avant Garde" w:cs="Arial"/>
          <w:color w:val="2F2F2F"/>
          <w:lang w:eastAsia="es-MX"/>
        </w:rPr>
        <w:t xml:space="preserve"> de la LFTR, el Instituto asignó</w:t>
      </w:r>
      <w:r w:rsidR="001A7DC5" w:rsidRPr="001A7DC5">
        <w:rPr>
          <w:rFonts w:ascii="ITC Avant Garde" w:hAnsi="ITC Avant Garde" w:cs="Arial"/>
          <w:color w:val="2F2F2F"/>
          <w:lang w:eastAsia="es-MX"/>
        </w:rPr>
        <w:t xml:space="preserve"> directamente 90 MHz de la banda 700 MHz para la operación y explotación de una red compartida mayorista mediante </w:t>
      </w:r>
      <w:r w:rsidR="00FD7593">
        <w:rPr>
          <w:rFonts w:ascii="ITC Avant Garde" w:hAnsi="ITC Avant Garde" w:cs="Arial"/>
          <w:color w:val="2F2F2F"/>
          <w:lang w:eastAsia="es-MX"/>
        </w:rPr>
        <w:t>el Título de Concesión Mayorista</w:t>
      </w:r>
      <w:r w:rsidR="001A7DC5" w:rsidRPr="001A7DC5">
        <w:rPr>
          <w:rFonts w:ascii="ITC Avant Garde" w:hAnsi="ITC Avant Garde" w:cs="Arial"/>
          <w:color w:val="2F2F2F"/>
          <w:lang w:eastAsia="es-MX"/>
        </w:rPr>
        <w:t xml:space="preserve">. Asimismo, </w:t>
      </w:r>
      <w:r w:rsidR="00361C7B">
        <w:rPr>
          <w:rFonts w:ascii="ITC Avant Garde" w:hAnsi="ITC Avant Garde" w:cs="Arial"/>
          <w:color w:val="2F2F2F"/>
          <w:lang w:eastAsia="es-MX"/>
        </w:rPr>
        <w:t>en cumplimiento a los términos del</w:t>
      </w:r>
      <w:r w:rsidR="001A7DC5" w:rsidRPr="001A7DC5">
        <w:rPr>
          <w:rFonts w:ascii="ITC Avant Garde" w:hAnsi="ITC Avant Garde" w:cs="Arial"/>
          <w:color w:val="2F2F2F"/>
          <w:lang w:eastAsia="es-MX"/>
        </w:rPr>
        <w:t xml:space="preserve"> artículo 143</w:t>
      </w:r>
      <w:r w:rsidR="00361C7B">
        <w:rPr>
          <w:rFonts w:ascii="ITC Avant Garde" w:hAnsi="ITC Avant Garde" w:cs="Arial"/>
          <w:color w:val="2F2F2F"/>
          <w:lang w:eastAsia="es-MX"/>
        </w:rPr>
        <w:t xml:space="preserve"> de la LFTR</w:t>
      </w:r>
      <w:r w:rsidR="001A7DC5" w:rsidRPr="001A7DC5">
        <w:rPr>
          <w:rFonts w:ascii="ITC Avant Garde" w:hAnsi="ITC Avant Garde" w:cs="Arial"/>
          <w:color w:val="2F2F2F"/>
          <w:lang w:eastAsia="es-MX"/>
        </w:rPr>
        <w:t xml:space="preserve">, </w:t>
      </w:r>
      <w:r w:rsidR="00FD7593">
        <w:rPr>
          <w:rFonts w:ascii="ITC Avant Garde" w:hAnsi="ITC Avant Garde" w:cs="Arial"/>
          <w:color w:val="2F2F2F"/>
          <w:lang w:eastAsia="es-MX"/>
        </w:rPr>
        <w:t>dicho título</w:t>
      </w:r>
      <w:r w:rsidR="001A7DC5" w:rsidRPr="001A7DC5">
        <w:rPr>
          <w:rFonts w:ascii="ITC Avant Garde" w:hAnsi="ITC Avant Garde" w:cs="Arial"/>
          <w:color w:val="2F2F2F"/>
          <w:lang w:eastAsia="es-MX"/>
        </w:rPr>
        <w:t xml:space="preserve"> </w:t>
      </w:r>
      <w:r w:rsidR="00D571A5">
        <w:rPr>
          <w:rFonts w:ascii="ITC Avant Garde" w:hAnsi="ITC Avant Garde" w:cs="Arial"/>
          <w:color w:val="2F2F2F"/>
          <w:lang w:eastAsia="es-MX"/>
        </w:rPr>
        <w:t>incluye</w:t>
      </w:r>
      <w:r w:rsidR="00361C7B">
        <w:rPr>
          <w:rFonts w:ascii="ITC Avant Garde" w:hAnsi="ITC Avant Garde" w:cs="Arial"/>
          <w:color w:val="2F2F2F"/>
          <w:lang w:eastAsia="es-MX"/>
        </w:rPr>
        <w:t xml:space="preserve"> entre sus</w:t>
      </w:r>
      <w:r w:rsidR="001A7DC5" w:rsidRPr="001A7DC5">
        <w:rPr>
          <w:rFonts w:ascii="ITC Avant Garde" w:hAnsi="ITC Avant Garde" w:cs="Arial"/>
          <w:color w:val="2F2F2F"/>
          <w:lang w:eastAsia="es-MX"/>
        </w:rPr>
        <w:t xml:space="preserve"> obligaciones</w:t>
      </w:r>
      <w:r w:rsidR="00361C7B">
        <w:rPr>
          <w:rFonts w:ascii="ITC Avant Garde" w:hAnsi="ITC Avant Garde" w:cs="Arial"/>
          <w:color w:val="2F2F2F"/>
          <w:lang w:eastAsia="es-MX"/>
        </w:rPr>
        <w:t>, las correspondientes a</w:t>
      </w:r>
      <w:r w:rsidR="001A7DC5" w:rsidRPr="001A7DC5">
        <w:rPr>
          <w:rFonts w:ascii="ITC Avant Garde" w:hAnsi="ITC Avant Garde" w:cs="Arial"/>
          <w:color w:val="2F2F2F"/>
          <w:lang w:eastAsia="es-MX"/>
        </w:rPr>
        <w:t xml:space="preserve"> cobertura, calidad y precio</w:t>
      </w:r>
      <w:r w:rsidR="00361C7B">
        <w:rPr>
          <w:rFonts w:ascii="ITC Avant Garde" w:hAnsi="ITC Avant Garde" w:cs="Arial"/>
          <w:color w:val="2F2F2F"/>
          <w:lang w:eastAsia="es-MX"/>
        </w:rPr>
        <w:t>. Es así que la</w:t>
      </w:r>
      <w:r w:rsidR="001A7DC5" w:rsidRPr="001A7DC5">
        <w:rPr>
          <w:rFonts w:ascii="ITC Avant Garde" w:hAnsi="ITC Avant Garde" w:cs="Arial"/>
          <w:color w:val="2F2F2F"/>
          <w:lang w:eastAsia="es-MX"/>
        </w:rPr>
        <w:t xml:space="preserve"> concesión </w:t>
      </w:r>
      <w:r w:rsidR="00361C7B">
        <w:rPr>
          <w:rFonts w:ascii="ITC Avant Garde" w:hAnsi="ITC Avant Garde" w:cs="Arial"/>
          <w:color w:val="2F2F2F"/>
          <w:lang w:eastAsia="es-MX"/>
        </w:rPr>
        <w:t xml:space="preserve">otorgada se </w:t>
      </w:r>
      <w:r w:rsidR="00D571A5">
        <w:rPr>
          <w:rFonts w:ascii="ITC Avant Garde" w:hAnsi="ITC Avant Garde" w:cs="Arial"/>
          <w:color w:val="2F2F2F"/>
          <w:lang w:eastAsia="es-MX"/>
        </w:rPr>
        <w:t>encuentra</w:t>
      </w:r>
      <w:r w:rsidR="001A7DC5" w:rsidRPr="001A7DC5">
        <w:rPr>
          <w:rFonts w:ascii="ITC Avant Garde" w:hAnsi="ITC Avant Garde" w:cs="Arial"/>
          <w:color w:val="2F2F2F"/>
          <w:lang w:eastAsia="es-MX"/>
        </w:rPr>
        <w:t xml:space="preserve"> sujeta al cumplimiento de lo dispuesto en la LFTR y </w:t>
      </w:r>
      <w:r>
        <w:rPr>
          <w:rFonts w:ascii="ITC Avant Garde" w:hAnsi="ITC Avant Garde" w:cs="Arial"/>
          <w:color w:val="2F2F2F"/>
          <w:lang w:eastAsia="es-MX"/>
        </w:rPr>
        <w:t>a</w:t>
      </w:r>
      <w:r w:rsidR="001A7DC5" w:rsidRPr="001A7DC5">
        <w:rPr>
          <w:rFonts w:ascii="ITC Avant Garde" w:hAnsi="ITC Avant Garde" w:cs="Arial"/>
          <w:color w:val="2F2F2F"/>
          <w:lang w:eastAsia="es-MX"/>
        </w:rPr>
        <w:t xml:space="preserve"> los lineamientos y reglas que resulten aplicables, que emita y/o establezca el Instituto.</w:t>
      </w:r>
      <w:r w:rsidR="00D571A5">
        <w:rPr>
          <w:rFonts w:ascii="ITC Avant Garde" w:hAnsi="ITC Avant Garde" w:cs="Arial"/>
          <w:color w:val="2F2F2F"/>
          <w:lang w:eastAsia="es-MX"/>
        </w:rPr>
        <w:t xml:space="preserve"> </w:t>
      </w:r>
    </w:p>
    <w:p w:rsidR="00E81ADE" w:rsidRDefault="00361C7B" w:rsidP="00C4357A">
      <w:pPr>
        <w:spacing w:after="240"/>
        <w:jc w:val="both"/>
        <w:rPr>
          <w:rFonts w:ascii="ITC Avant Garde" w:hAnsi="ITC Avant Garde"/>
          <w:bCs/>
          <w:color w:val="000000"/>
          <w:lang w:eastAsia="es-MX"/>
        </w:rPr>
      </w:pPr>
      <w:r>
        <w:rPr>
          <w:rFonts w:ascii="ITC Avant Garde" w:hAnsi="ITC Avant Garde"/>
          <w:b/>
          <w:bCs/>
          <w:lang w:val="es-ES_tradnl" w:eastAsia="es-MX"/>
        </w:rPr>
        <w:t>TERCERO</w:t>
      </w:r>
      <w:r w:rsidRPr="001A7DC5">
        <w:rPr>
          <w:rFonts w:ascii="ITC Avant Garde" w:hAnsi="ITC Avant Garde"/>
          <w:b/>
          <w:bCs/>
          <w:lang w:val="es-ES_tradnl" w:eastAsia="es-MX"/>
        </w:rPr>
        <w:t>.</w:t>
      </w:r>
      <w:r w:rsidRPr="001A7DC5">
        <w:rPr>
          <w:rFonts w:ascii="ITC Avant Garde" w:hAnsi="ITC Avant Garde" w:cs="Arial"/>
          <w:color w:val="2F2F2F"/>
        </w:rPr>
        <w:t xml:space="preserve"> </w:t>
      </w:r>
      <w:r w:rsidRPr="00CC2367">
        <w:rPr>
          <w:rFonts w:ascii="ITC Avant Garde" w:hAnsi="ITC Avant Garde"/>
          <w:b/>
          <w:lang w:val="es-ES_tradnl"/>
        </w:rPr>
        <w:t>Programa de cobertura.</w:t>
      </w:r>
      <w:r w:rsidRPr="001A7DC5">
        <w:rPr>
          <w:rFonts w:ascii="ITC Avant Garde" w:hAnsi="ITC Avant Garde"/>
          <w:bCs/>
          <w:color w:val="000000"/>
          <w:lang w:eastAsia="es-MX"/>
        </w:rPr>
        <w:t xml:space="preserve"> </w:t>
      </w:r>
      <w:r w:rsidR="00E81ADE">
        <w:rPr>
          <w:rFonts w:ascii="ITC Avant Garde" w:hAnsi="ITC Avant Garde"/>
          <w:bCs/>
          <w:color w:val="000000"/>
          <w:lang w:eastAsia="es-MX"/>
        </w:rPr>
        <w:t>La Condición 8. “Inicio de la prestación de los servicios públicos” de</w:t>
      </w:r>
      <w:r w:rsidR="00AD4A62">
        <w:rPr>
          <w:rFonts w:ascii="ITC Avant Garde" w:hAnsi="ITC Avant Garde"/>
          <w:bCs/>
          <w:color w:val="000000"/>
          <w:lang w:eastAsia="es-MX"/>
        </w:rPr>
        <w:t xml:space="preserve">l </w:t>
      </w:r>
      <w:r w:rsidR="00FD7593">
        <w:rPr>
          <w:rFonts w:ascii="ITC Avant Garde" w:hAnsi="ITC Avant Garde"/>
          <w:bCs/>
          <w:color w:val="000000"/>
          <w:lang w:eastAsia="es-MX"/>
        </w:rPr>
        <w:t>Título de Concesión Mayorista</w:t>
      </w:r>
      <w:r w:rsidR="00E81ADE">
        <w:rPr>
          <w:rFonts w:ascii="ITC Avant Garde" w:hAnsi="ITC Avant Garde"/>
          <w:bCs/>
          <w:color w:val="000000"/>
          <w:lang w:eastAsia="es-MX"/>
        </w:rPr>
        <w:t xml:space="preserve"> señala que el concesionario deberá dar inicio a la prestación del servicio a más tardar el 31 de marzo de 2018, y señala que </w:t>
      </w:r>
      <w:r w:rsidR="00E81ADE" w:rsidRPr="00DD7D7B">
        <w:rPr>
          <w:rFonts w:ascii="ITC Avant Garde" w:hAnsi="ITC Avant Garde"/>
          <w:bCs/>
          <w:color w:val="000000"/>
          <w:lang w:eastAsia="es-MX"/>
        </w:rPr>
        <w:t>se entenderá por inicio de operaciones el hecho de que la Red Compartida Mayorista tenga la cap</w:t>
      </w:r>
      <w:r w:rsidR="00E81ADE" w:rsidRPr="00E81ADE">
        <w:rPr>
          <w:rFonts w:ascii="ITC Avant Garde" w:hAnsi="ITC Avant Garde"/>
          <w:bCs/>
          <w:color w:val="000000"/>
          <w:lang w:eastAsia="es-MX"/>
        </w:rPr>
        <w:t>acidad de ofrecer el Servicio Ma</w:t>
      </w:r>
      <w:r w:rsidR="00E81ADE" w:rsidRPr="00DD7D7B">
        <w:rPr>
          <w:rFonts w:ascii="ITC Avant Garde" w:hAnsi="ITC Avant Garde"/>
          <w:bCs/>
          <w:color w:val="000000"/>
          <w:lang w:eastAsia="es-MX"/>
        </w:rPr>
        <w:t>yorista d</w:t>
      </w:r>
      <w:r w:rsidR="00E81ADE" w:rsidRPr="00E81ADE">
        <w:rPr>
          <w:rFonts w:ascii="ITC Avant Garde" w:hAnsi="ITC Avant Garde"/>
          <w:bCs/>
          <w:color w:val="000000"/>
          <w:lang w:eastAsia="es-MX"/>
        </w:rPr>
        <w:t>e Telecomunicaciones con una cobertura de al menos 3</w:t>
      </w:r>
      <w:r w:rsidR="00E81ADE" w:rsidRPr="00DD7D7B">
        <w:rPr>
          <w:rFonts w:ascii="ITC Avant Garde" w:hAnsi="ITC Avant Garde"/>
          <w:bCs/>
          <w:color w:val="000000"/>
          <w:lang w:eastAsia="es-MX"/>
        </w:rPr>
        <w:t xml:space="preserve">O% de la población agregada a nivel nacional </w:t>
      </w:r>
      <w:r w:rsidR="00E81ADE">
        <w:rPr>
          <w:rFonts w:ascii="ITC Avant Garde" w:hAnsi="ITC Avant Garde"/>
          <w:bCs/>
          <w:color w:val="000000"/>
          <w:lang w:eastAsia="es-MX"/>
        </w:rPr>
        <w:t>con base en la distribución de la población correspondiente al Censo Nacional de Población y Vivienda 2010.</w:t>
      </w:r>
    </w:p>
    <w:p w:rsidR="00C4357A" w:rsidRDefault="00E81ADE" w:rsidP="00C4357A">
      <w:pPr>
        <w:spacing w:after="240"/>
        <w:jc w:val="both"/>
        <w:rPr>
          <w:rFonts w:ascii="ITC Avant Garde" w:hAnsi="ITC Avant Garde"/>
          <w:bCs/>
          <w:color w:val="000000"/>
          <w:lang w:eastAsia="es-MX"/>
        </w:rPr>
      </w:pPr>
      <w:r>
        <w:rPr>
          <w:rFonts w:ascii="ITC Avant Garde" w:hAnsi="ITC Avant Garde"/>
          <w:bCs/>
          <w:color w:val="000000"/>
          <w:lang w:eastAsia="es-MX"/>
        </w:rPr>
        <w:t>Por su parte, la condición 10.3 “Compromisos de Cobertura.”</w:t>
      </w:r>
      <w:r w:rsidR="00361C7B" w:rsidRPr="001A7DC5">
        <w:rPr>
          <w:rFonts w:ascii="ITC Avant Garde" w:hAnsi="ITC Avant Garde"/>
          <w:lang w:eastAsia="es-MX"/>
        </w:rPr>
        <w:t xml:space="preserve"> </w:t>
      </w:r>
      <w:r w:rsidR="00AD4A62">
        <w:rPr>
          <w:rFonts w:ascii="ITC Avant Garde" w:hAnsi="ITC Avant Garde"/>
          <w:lang w:eastAsia="es-MX"/>
        </w:rPr>
        <w:t>establece la obligación de cumplir con</w:t>
      </w:r>
      <w:r w:rsidR="00361C7B" w:rsidRPr="001A7DC5">
        <w:rPr>
          <w:rFonts w:ascii="ITC Avant Garde" w:hAnsi="ITC Avant Garde"/>
          <w:lang w:eastAsia="es-MX"/>
        </w:rPr>
        <w:t xml:space="preserve"> un porcentaje de cobertura </w:t>
      </w:r>
      <w:r w:rsidR="00361C7B" w:rsidRPr="001A7DC5">
        <w:rPr>
          <w:rFonts w:ascii="ITC Avant Garde" w:hAnsi="ITC Avant Garde"/>
        </w:rPr>
        <w:t>poblacional de al menos 70% de la población agregada a nivel nacional con base en la distribución de la población correspondiente al Censo Nacional de Población y Vivienda 2010, publicado por el Instituto Nacional de Estadística y Geografía</w:t>
      </w:r>
      <w:r w:rsidR="00FD7593">
        <w:rPr>
          <w:rFonts w:ascii="ITC Avant Garde" w:hAnsi="ITC Avant Garde"/>
        </w:rPr>
        <w:t xml:space="preserve"> (INEGI), (en lo sucesivo, el “Censo 2010”)</w:t>
      </w:r>
      <w:r w:rsidR="00361C7B" w:rsidRPr="001A7DC5">
        <w:rPr>
          <w:rFonts w:ascii="ITC Avant Garde" w:hAnsi="ITC Avant Garde"/>
        </w:rPr>
        <w:t xml:space="preserve">, para el cuarto año contado a partir de la fecha de otorgamiento del título correspondiente y de al menos </w:t>
      </w:r>
      <w:r w:rsidR="00361C7B" w:rsidRPr="001A7DC5">
        <w:rPr>
          <w:rFonts w:ascii="ITC Avant Garde" w:hAnsi="ITC Avant Garde"/>
        </w:rPr>
        <w:lastRenderedPageBreak/>
        <w:t>92.2% de dicha población agregada a nivel nacional para el séptimo año contado a partir de la fecha de otorgamiento del citado título, también con base en la distribución de la población correspondiente al Censo 2010</w:t>
      </w:r>
      <w:r w:rsidR="00361C7B" w:rsidRPr="001A7DC5">
        <w:rPr>
          <w:rFonts w:ascii="ITC Avant Garde" w:hAnsi="ITC Avant Garde"/>
          <w:bCs/>
        </w:rPr>
        <w:t>.</w:t>
      </w:r>
    </w:p>
    <w:p w:rsidR="00C4357A" w:rsidRDefault="007734F1" w:rsidP="00C4357A">
      <w:pPr>
        <w:autoSpaceDE w:val="0"/>
        <w:autoSpaceDN w:val="0"/>
        <w:adjustRightInd w:val="0"/>
        <w:spacing w:after="240"/>
        <w:jc w:val="both"/>
        <w:rPr>
          <w:rFonts w:ascii="ITC Avant Garde" w:hAnsi="ITC Avant Garde" w:cs="Arial"/>
          <w:color w:val="2F2F2F"/>
          <w:lang w:eastAsia="es-MX"/>
        </w:rPr>
      </w:pPr>
      <w:r>
        <w:rPr>
          <w:rFonts w:ascii="ITC Avant Garde" w:hAnsi="ITC Avant Garde" w:cs="Arial"/>
          <w:b/>
          <w:color w:val="2F2F2F"/>
          <w:lang w:eastAsia="es-MX"/>
        </w:rPr>
        <w:t>CUARTO</w:t>
      </w:r>
      <w:r w:rsidR="00361C7B" w:rsidRPr="00361C7B">
        <w:rPr>
          <w:rFonts w:ascii="ITC Avant Garde" w:hAnsi="ITC Avant Garde" w:cs="Arial"/>
          <w:b/>
          <w:color w:val="2F2F2F"/>
          <w:lang w:eastAsia="es-MX"/>
        </w:rPr>
        <w:t xml:space="preserve">. Necesidad de emitir la metodología. </w:t>
      </w:r>
      <w:r w:rsidR="00AB5718">
        <w:rPr>
          <w:rFonts w:ascii="ITC Avant Garde" w:hAnsi="ITC Avant Garde" w:cs="Arial"/>
          <w:color w:val="2F2F2F"/>
          <w:lang w:eastAsia="es-MX"/>
        </w:rPr>
        <w:t xml:space="preserve">El </w:t>
      </w:r>
      <w:r w:rsidR="00FD7593">
        <w:rPr>
          <w:rFonts w:ascii="ITC Avant Garde" w:hAnsi="ITC Avant Garde" w:cs="Arial"/>
          <w:color w:val="2F2F2F"/>
          <w:lang w:eastAsia="es-MX"/>
        </w:rPr>
        <w:t>Título de Concesión Mayorista</w:t>
      </w:r>
      <w:r w:rsidR="00B4292E">
        <w:rPr>
          <w:rFonts w:ascii="ITC Avant Garde" w:hAnsi="ITC Avant Garde" w:cs="Arial"/>
          <w:color w:val="2F2F2F"/>
          <w:lang w:eastAsia="es-MX"/>
        </w:rPr>
        <w:t xml:space="preserve"> establece, en su condición 10.3, obligaciones de cobertura que el Instituto habrá de verificar y, en su caso, sancionar</w:t>
      </w:r>
      <w:r w:rsidR="00AC26DB">
        <w:rPr>
          <w:rFonts w:ascii="ITC Avant Garde" w:hAnsi="ITC Avant Garde" w:cs="Arial"/>
          <w:color w:val="2F2F2F"/>
          <w:lang w:eastAsia="es-MX"/>
        </w:rPr>
        <w:t xml:space="preserve"> precisando para tales efectos la cobertura de servicios </w:t>
      </w:r>
      <w:r w:rsidR="00AD4A62">
        <w:rPr>
          <w:rFonts w:ascii="ITC Avant Garde" w:hAnsi="ITC Avant Garde" w:cs="Arial"/>
          <w:color w:val="2F2F2F"/>
          <w:lang w:eastAsia="es-MX"/>
        </w:rPr>
        <w:t>como sigue</w:t>
      </w:r>
      <w:r w:rsidR="00AC26DB">
        <w:rPr>
          <w:rFonts w:ascii="ITC Avant Garde" w:hAnsi="ITC Avant Garde" w:cs="Arial"/>
          <w:color w:val="2F2F2F"/>
          <w:lang w:eastAsia="es-MX"/>
        </w:rPr>
        <w:t>:</w:t>
      </w:r>
    </w:p>
    <w:p w:rsidR="00C4357A" w:rsidRDefault="00AC26DB" w:rsidP="00C4357A">
      <w:pPr>
        <w:autoSpaceDE w:val="0"/>
        <w:autoSpaceDN w:val="0"/>
        <w:adjustRightInd w:val="0"/>
        <w:spacing w:after="240"/>
        <w:ind w:left="708"/>
        <w:jc w:val="both"/>
        <w:rPr>
          <w:rFonts w:ascii="ITC Avant Garde" w:hAnsi="ITC Avant Garde"/>
          <w:bCs/>
          <w:color w:val="000000"/>
        </w:rPr>
      </w:pPr>
      <w:r>
        <w:rPr>
          <w:rFonts w:ascii="ITC Avant Garde" w:hAnsi="ITC Avant Garde"/>
          <w:bCs/>
          <w:color w:val="000000"/>
        </w:rPr>
        <w:t>“</w:t>
      </w:r>
      <w:r w:rsidR="00EB0CDD">
        <w:rPr>
          <w:rFonts w:ascii="ITC Avant Garde" w:hAnsi="ITC Avant Garde"/>
          <w:bCs/>
          <w:color w:val="000000"/>
        </w:rPr>
        <w:t xml:space="preserve"> </w:t>
      </w:r>
      <w:r w:rsidR="00EB0CDD" w:rsidRPr="00BE61BE">
        <w:rPr>
          <w:rFonts w:ascii="ITC Avant Garde" w:hAnsi="ITC Avant Garde"/>
          <w:bCs/>
          <w:i/>
          <w:color w:val="000000"/>
        </w:rPr>
        <w:t>[…]</w:t>
      </w:r>
    </w:p>
    <w:p w:rsidR="00C4357A" w:rsidRDefault="006044F5" w:rsidP="00C4357A">
      <w:pPr>
        <w:autoSpaceDE w:val="0"/>
        <w:autoSpaceDN w:val="0"/>
        <w:adjustRightInd w:val="0"/>
        <w:spacing w:after="240"/>
        <w:ind w:left="708" w:right="757"/>
        <w:jc w:val="both"/>
        <w:rPr>
          <w:rFonts w:ascii="ITC Avant Garde" w:hAnsi="ITC Avant Garde"/>
          <w:bCs/>
          <w:i/>
          <w:color w:val="000000"/>
        </w:rPr>
      </w:pPr>
      <w:r w:rsidRPr="00BE61BE">
        <w:rPr>
          <w:rFonts w:ascii="ITC Avant Garde" w:hAnsi="ITC Avant Garde"/>
          <w:bCs/>
          <w:i/>
          <w:color w:val="000000"/>
        </w:rPr>
        <w:t>Para efecto de que la población se considere con cobertura de servicios, el Concesionario debe estar en posibilidad de ofrecer al Cliente condiciones que le permitan proveer a sus usuarios, una velocidad de transferencia de datos ascendente de al menos 1 (un) Megabit por segundo en localidades urbanas y rurales, así como una velocidad de transferencia de datos descendente de al menos 4 (cuatro) Megabits por segundo en localidades urbanas y rurales, todo ello por borde de cobertura en Hora Pico de la Red. La distribución de la población en las localidades será identificada conforme al Censo Nacional de Población y Vivienda 2010, publicado por el Instituto Nacional de Estadística y Geografía</w:t>
      </w:r>
      <w:r w:rsidR="00AC26DB" w:rsidRPr="00BE61BE">
        <w:rPr>
          <w:rFonts w:ascii="ITC Avant Garde" w:hAnsi="ITC Avant Garde"/>
          <w:bCs/>
          <w:i/>
          <w:color w:val="000000"/>
        </w:rPr>
        <w:t>.</w:t>
      </w:r>
    </w:p>
    <w:p w:rsidR="00C4357A" w:rsidRDefault="00AC26DB" w:rsidP="00C4357A">
      <w:pPr>
        <w:autoSpaceDE w:val="0"/>
        <w:autoSpaceDN w:val="0"/>
        <w:adjustRightInd w:val="0"/>
        <w:spacing w:after="240"/>
        <w:ind w:left="708"/>
        <w:jc w:val="both"/>
        <w:rPr>
          <w:rFonts w:ascii="ITC Avant Garde" w:hAnsi="ITC Avant Garde"/>
          <w:bCs/>
          <w:color w:val="000000"/>
        </w:rPr>
      </w:pPr>
      <w:r w:rsidRPr="00BE61BE">
        <w:rPr>
          <w:rFonts w:ascii="ITC Avant Garde" w:hAnsi="ITC Avant Garde"/>
          <w:bCs/>
          <w:i/>
          <w:color w:val="000000"/>
        </w:rPr>
        <w:t>[…]</w:t>
      </w:r>
      <w:r>
        <w:rPr>
          <w:rFonts w:ascii="ITC Avant Garde" w:hAnsi="ITC Avant Garde"/>
          <w:bCs/>
          <w:color w:val="000000"/>
        </w:rPr>
        <w:t>”</w:t>
      </w:r>
    </w:p>
    <w:p w:rsidR="00C4357A" w:rsidRDefault="00AD4A62" w:rsidP="00C4357A">
      <w:pPr>
        <w:autoSpaceDE w:val="0"/>
        <w:autoSpaceDN w:val="0"/>
        <w:adjustRightInd w:val="0"/>
        <w:spacing w:after="240"/>
        <w:jc w:val="both"/>
        <w:rPr>
          <w:rFonts w:ascii="ITC Avant Garde" w:hAnsi="ITC Avant Garde" w:cs="Arial"/>
          <w:color w:val="2F2F2F"/>
          <w:lang w:eastAsia="es-MX"/>
        </w:rPr>
      </w:pPr>
      <w:r>
        <w:rPr>
          <w:rFonts w:ascii="ITC Avant Garde" w:hAnsi="ITC Avant Garde" w:cs="Arial"/>
          <w:color w:val="2F2F2F"/>
          <w:lang w:eastAsia="es-MX"/>
        </w:rPr>
        <w:t xml:space="preserve">Así mismo, </w:t>
      </w:r>
      <w:r w:rsidR="00C93FBA">
        <w:rPr>
          <w:rFonts w:ascii="ITC Avant Garde" w:hAnsi="ITC Avant Garde" w:cs="Arial"/>
          <w:color w:val="2F2F2F"/>
          <w:lang w:eastAsia="es-MX"/>
        </w:rPr>
        <w:t>dicho</w:t>
      </w:r>
      <w:r>
        <w:rPr>
          <w:rFonts w:ascii="ITC Avant Garde" w:hAnsi="ITC Avant Garde" w:cs="Arial"/>
          <w:color w:val="2F2F2F"/>
          <w:lang w:eastAsia="es-MX"/>
        </w:rPr>
        <w:t xml:space="preserve"> título establece que el Inst</w:t>
      </w:r>
      <w:r w:rsidR="00273BA8">
        <w:rPr>
          <w:rFonts w:ascii="ITC Avant Garde" w:hAnsi="ITC Avant Garde" w:cs="Arial"/>
          <w:color w:val="2F2F2F"/>
          <w:lang w:eastAsia="es-MX"/>
        </w:rPr>
        <w:t>it</w:t>
      </w:r>
      <w:r>
        <w:rPr>
          <w:rFonts w:ascii="ITC Avant Garde" w:hAnsi="ITC Avant Garde" w:cs="Arial"/>
          <w:color w:val="2F2F2F"/>
          <w:lang w:eastAsia="es-MX"/>
        </w:rPr>
        <w:t>uto llevará</w:t>
      </w:r>
      <w:r w:rsidR="00716144">
        <w:rPr>
          <w:rFonts w:ascii="ITC Avant Garde" w:hAnsi="ITC Avant Garde" w:cs="Arial"/>
          <w:color w:val="2F2F2F"/>
          <w:lang w:eastAsia="es-MX"/>
        </w:rPr>
        <w:t xml:space="preserve"> a cabo </w:t>
      </w:r>
      <w:r>
        <w:rPr>
          <w:rFonts w:ascii="ITC Avant Garde" w:hAnsi="ITC Avant Garde" w:cs="Arial"/>
          <w:color w:val="2F2F2F"/>
          <w:lang w:eastAsia="es-MX"/>
        </w:rPr>
        <w:t>la verificación de la cobertura</w:t>
      </w:r>
      <w:r w:rsidR="00716144">
        <w:rPr>
          <w:rFonts w:ascii="ITC Avant Garde" w:hAnsi="ITC Avant Garde" w:cs="Arial"/>
          <w:color w:val="2F2F2F"/>
          <w:lang w:eastAsia="es-MX"/>
        </w:rPr>
        <w:t>,</w:t>
      </w:r>
      <w:r>
        <w:rPr>
          <w:rFonts w:ascii="ITC Avant Garde" w:hAnsi="ITC Avant Garde" w:cs="Arial"/>
          <w:color w:val="2F2F2F"/>
          <w:lang w:eastAsia="es-MX"/>
        </w:rPr>
        <w:t xml:space="preserve"> con base en la medición de</w:t>
      </w:r>
      <w:r w:rsidR="00EB0CDD">
        <w:rPr>
          <w:rFonts w:ascii="ITC Avant Garde" w:hAnsi="ITC Avant Garde" w:cs="Arial"/>
          <w:color w:val="2F2F2F"/>
          <w:lang w:eastAsia="es-MX"/>
        </w:rPr>
        <w:t>l</w:t>
      </w:r>
      <w:r w:rsidR="00716144">
        <w:rPr>
          <w:rFonts w:ascii="ITC Avant Garde" w:hAnsi="ITC Avant Garde" w:cs="Arial"/>
          <w:color w:val="2F2F2F"/>
          <w:lang w:eastAsia="es-MX"/>
        </w:rPr>
        <w:t xml:space="preserve"> porcentaje de cobertura poblacional y la evaluación de los</w:t>
      </w:r>
      <w:r>
        <w:rPr>
          <w:rFonts w:ascii="ITC Avant Garde" w:hAnsi="ITC Avant Garde" w:cs="Arial"/>
          <w:color w:val="2F2F2F"/>
          <w:lang w:eastAsia="es-MX"/>
        </w:rPr>
        <w:t xml:space="preserve"> parámetros de cobertura (velocidad de transferencia de datos en el </w:t>
      </w:r>
      <w:r w:rsidR="00273BA8">
        <w:rPr>
          <w:rFonts w:ascii="ITC Avant Garde" w:hAnsi="ITC Avant Garde" w:cs="Arial"/>
          <w:color w:val="2F2F2F"/>
          <w:lang w:eastAsia="es-MX"/>
        </w:rPr>
        <w:t>enlace</w:t>
      </w:r>
      <w:r>
        <w:rPr>
          <w:rFonts w:ascii="ITC Avant Garde" w:hAnsi="ITC Avant Garde" w:cs="Arial"/>
          <w:color w:val="2F2F2F"/>
          <w:lang w:eastAsia="es-MX"/>
        </w:rPr>
        <w:t xml:space="preserve"> ascendente y descendente) </w:t>
      </w:r>
      <w:r w:rsidR="00EB0CDD">
        <w:rPr>
          <w:rFonts w:ascii="ITC Avant Garde" w:hAnsi="ITC Avant Garde" w:cs="Arial"/>
          <w:color w:val="2F2F2F"/>
          <w:lang w:eastAsia="es-MX"/>
        </w:rPr>
        <w:t>estableciendo</w:t>
      </w:r>
      <w:r>
        <w:rPr>
          <w:rFonts w:ascii="ITC Avant Garde" w:hAnsi="ITC Avant Garde" w:cs="Arial"/>
          <w:color w:val="2F2F2F"/>
          <w:lang w:eastAsia="es-MX"/>
        </w:rPr>
        <w:t xml:space="preserve"> que las mediciones de dichos parámetros deberán llevarse a cabo </w:t>
      </w:r>
      <w:r w:rsidR="0034164E">
        <w:rPr>
          <w:rFonts w:ascii="ITC Avant Garde" w:hAnsi="ITC Avant Garde" w:cs="Arial"/>
          <w:color w:val="2F2F2F"/>
          <w:lang w:eastAsia="es-MX"/>
        </w:rPr>
        <w:t xml:space="preserve">por borde de cobertura, </w:t>
      </w:r>
      <w:r>
        <w:rPr>
          <w:rFonts w:ascii="ITC Avant Garde" w:hAnsi="ITC Avant Garde" w:cs="Arial"/>
          <w:color w:val="2F2F2F"/>
          <w:lang w:eastAsia="es-MX"/>
        </w:rPr>
        <w:t>en la hora pico de la red y desde ubicaciones fijas del equipo terminal móvil</w:t>
      </w:r>
      <w:r w:rsidR="00716144">
        <w:rPr>
          <w:rFonts w:ascii="ITC Avant Garde" w:hAnsi="ITC Avant Garde" w:cs="Arial"/>
          <w:color w:val="2F2F2F"/>
          <w:lang w:eastAsia="es-MX"/>
        </w:rPr>
        <w:t>.</w:t>
      </w:r>
    </w:p>
    <w:p w:rsidR="00C4357A" w:rsidRDefault="001A7DC5" w:rsidP="00C4357A">
      <w:pPr>
        <w:autoSpaceDE w:val="0"/>
        <w:autoSpaceDN w:val="0"/>
        <w:adjustRightInd w:val="0"/>
        <w:spacing w:after="240"/>
        <w:jc w:val="both"/>
        <w:rPr>
          <w:rFonts w:ascii="ITC Avant Garde" w:hAnsi="ITC Avant Garde" w:cs="Arial"/>
          <w:color w:val="2F2F2F"/>
          <w:lang w:eastAsia="es-MX"/>
        </w:rPr>
      </w:pPr>
      <w:r w:rsidRPr="001A7DC5">
        <w:rPr>
          <w:rFonts w:ascii="ITC Avant Garde" w:hAnsi="ITC Avant Garde" w:cs="Arial"/>
          <w:color w:val="2F2F2F"/>
          <w:lang w:eastAsia="es-MX"/>
        </w:rPr>
        <w:t xml:space="preserve">En consecuencia, </w:t>
      </w:r>
      <w:r w:rsidR="00CC2367">
        <w:rPr>
          <w:rFonts w:ascii="ITC Avant Garde" w:hAnsi="ITC Avant Garde" w:cs="Arial"/>
          <w:color w:val="2F2F2F"/>
          <w:lang w:eastAsia="es-MX"/>
        </w:rPr>
        <w:t>con el objetivo de</w:t>
      </w:r>
      <w:r w:rsidR="00C93FBA">
        <w:rPr>
          <w:rFonts w:ascii="ITC Avant Garde" w:hAnsi="ITC Avant Garde" w:cs="Arial"/>
          <w:color w:val="2F2F2F"/>
          <w:lang w:eastAsia="es-MX"/>
        </w:rPr>
        <w:t xml:space="preserve"> establecer un procedimiento claro y objetivo que brinde</w:t>
      </w:r>
      <w:r w:rsidR="00CC2367">
        <w:rPr>
          <w:rFonts w:ascii="ITC Avant Garde" w:hAnsi="ITC Avant Garde" w:cs="Arial"/>
          <w:color w:val="2F2F2F"/>
          <w:lang w:eastAsia="es-MX"/>
        </w:rPr>
        <w:t xml:space="preserve"> certeza jurídica sobre la verificación de las obligaciones de cobertura</w:t>
      </w:r>
      <w:r w:rsidRPr="001A7DC5">
        <w:rPr>
          <w:rFonts w:ascii="ITC Avant Garde" w:hAnsi="ITC Avant Garde" w:cs="Arial"/>
          <w:color w:val="2F2F2F"/>
          <w:lang w:eastAsia="es-MX"/>
        </w:rPr>
        <w:t xml:space="preserve"> </w:t>
      </w:r>
      <w:r w:rsidR="00CC2367">
        <w:rPr>
          <w:rFonts w:ascii="ITC Avant Garde" w:hAnsi="ITC Avant Garde" w:cs="Arial"/>
          <w:color w:val="2F2F2F"/>
          <w:lang w:eastAsia="es-MX"/>
        </w:rPr>
        <w:t xml:space="preserve">de acuerdo con el calendario de </w:t>
      </w:r>
      <w:r w:rsidR="00AA0665">
        <w:rPr>
          <w:rFonts w:ascii="ITC Avant Garde" w:hAnsi="ITC Avant Garde" w:cs="Arial"/>
          <w:color w:val="2F2F2F"/>
          <w:lang w:eastAsia="es-MX"/>
        </w:rPr>
        <w:t>cobertura</w:t>
      </w:r>
      <w:r w:rsidR="006F202D">
        <w:rPr>
          <w:rFonts w:ascii="ITC Avant Garde" w:hAnsi="ITC Avant Garde" w:cs="Arial"/>
          <w:color w:val="2F2F2F"/>
          <w:lang w:eastAsia="es-MX"/>
        </w:rPr>
        <w:t xml:space="preserve"> del Título de Concesión Mayorista</w:t>
      </w:r>
      <w:r w:rsidR="00CC2367">
        <w:rPr>
          <w:rFonts w:ascii="ITC Avant Garde" w:hAnsi="ITC Avant Garde" w:cs="Arial"/>
          <w:color w:val="2F2F2F"/>
          <w:lang w:eastAsia="es-MX"/>
        </w:rPr>
        <w:t xml:space="preserve">, se </w:t>
      </w:r>
      <w:r w:rsidR="00B1146A">
        <w:rPr>
          <w:rFonts w:ascii="ITC Avant Garde" w:hAnsi="ITC Avant Garde" w:cs="Arial"/>
          <w:color w:val="2F2F2F"/>
          <w:lang w:eastAsia="es-MX"/>
        </w:rPr>
        <w:t xml:space="preserve">emite </w:t>
      </w:r>
      <w:r w:rsidRPr="001A7DC5">
        <w:rPr>
          <w:rFonts w:ascii="ITC Avant Garde" w:hAnsi="ITC Avant Garde" w:cs="Arial"/>
          <w:color w:val="2F2F2F"/>
          <w:lang w:eastAsia="es-MX"/>
        </w:rPr>
        <w:t xml:space="preserve">la </w:t>
      </w:r>
      <w:r w:rsidR="00AA0665">
        <w:rPr>
          <w:rFonts w:ascii="ITC Avant Garde" w:hAnsi="ITC Avant Garde" w:cs="Arial"/>
          <w:color w:val="2F2F2F"/>
          <w:lang w:eastAsia="es-MX"/>
        </w:rPr>
        <w:t>presente</w:t>
      </w:r>
      <w:r w:rsidRPr="001A7DC5">
        <w:rPr>
          <w:rFonts w:ascii="ITC Avant Garde" w:hAnsi="ITC Avant Garde" w:cs="Arial"/>
          <w:color w:val="2F2F2F"/>
          <w:lang w:eastAsia="es-MX"/>
        </w:rPr>
        <w:t xml:space="preserve"> metodología</w:t>
      </w:r>
      <w:r w:rsidR="004C2F6E">
        <w:rPr>
          <w:rFonts w:ascii="ITC Avant Garde" w:hAnsi="ITC Avant Garde" w:cs="Arial"/>
          <w:color w:val="2F2F2F"/>
          <w:lang w:eastAsia="es-MX"/>
        </w:rPr>
        <w:t xml:space="preserve">, misma que se podrá utilizar, en su caso, para cualquier ejercicio de supervisión y verificación relacionado con las obligaciones de cobertura a que se refiere </w:t>
      </w:r>
      <w:r w:rsidR="006F202D">
        <w:rPr>
          <w:rFonts w:ascii="ITC Avant Garde" w:hAnsi="ITC Avant Garde" w:cs="Arial"/>
          <w:color w:val="2F2F2F"/>
          <w:lang w:eastAsia="es-MX"/>
        </w:rPr>
        <w:t>dicho Título</w:t>
      </w:r>
      <w:r w:rsidR="00D571A5">
        <w:rPr>
          <w:rFonts w:ascii="ITC Avant Garde" w:hAnsi="ITC Avant Garde" w:cs="Arial"/>
          <w:color w:val="2F2F2F"/>
          <w:lang w:eastAsia="es-MX"/>
        </w:rPr>
        <w:t xml:space="preserve">. </w:t>
      </w:r>
    </w:p>
    <w:p w:rsidR="00C4357A" w:rsidRDefault="007734F1" w:rsidP="00C4357A">
      <w:pPr>
        <w:pStyle w:val="Default"/>
        <w:tabs>
          <w:tab w:val="left" w:pos="0"/>
        </w:tabs>
        <w:spacing w:after="240" w:line="276" w:lineRule="auto"/>
        <w:jc w:val="both"/>
        <w:rPr>
          <w:rFonts w:ascii="ITC Avant Garde" w:hAnsi="ITC Avant Garde" w:cs="Arial"/>
          <w:color w:val="2F2F2F"/>
          <w:sz w:val="22"/>
          <w:szCs w:val="22"/>
        </w:rPr>
      </w:pPr>
      <w:r>
        <w:rPr>
          <w:rFonts w:ascii="ITC Avant Garde" w:hAnsi="ITC Avant Garde"/>
          <w:b/>
          <w:bCs/>
          <w:sz w:val="22"/>
          <w:szCs w:val="22"/>
          <w:lang w:val="es-ES_tradnl"/>
        </w:rPr>
        <w:lastRenderedPageBreak/>
        <w:t>QUINTO</w:t>
      </w:r>
      <w:r w:rsidR="001A7DC5" w:rsidRPr="001A7DC5">
        <w:rPr>
          <w:rFonts w:ascii="ITC Avant Garde" w:hAnsi="ITC Avant Garde"/>
          <w:b/>
          <w:bCs/>
          <w:sz w:val="22"/>
          <w:szCs w:val="22"/>
          <w:lang w:val="es-ES_tradnl"/>
        </w:rPr>
        <w:t>.</w:t>
      </w:r>
      <w:r w:rsidR="001A7DC5" w:rsidRPr="001A7DC5">
        <w:rPr>
          <w:rFonts w:ascii="ITC Avant Garde" w:hAnsi="ITC Avant Garde" w:cs="Arial"/>
          <w:color w:val="2F2F2F"/>
          <w:sz w:val="22"/>
          <w:szCs w:val="22"/>
        </w:rPr>
        <w:t xml:space="preserve"> </w:t>
      </w:r>
      <w:r w:rsidR="00D571A5">
        <w:rPr>
          <w:rFonts w:ascii="ITC Avant Garde" w:hAnsi="ITC Avant Garde" w:cs="Arial"/>
          <w:b/>
          <w:color w:val="2F2F2F"/>
          <w:sz w:val="22"/>
          <w:szCs w:val="22"/>
        </w:rPr>
        <w:t>Recomendaciones</w:t>
      </w:r>
      <w:r w:rsidR="0046337A">
        <w:rPr>
          <w:rFonts w:ascii="ITC Avant Garde" w:hAnsi="ITC Avant Garde" w:cs="Arial"/>
          <w:b/>
          <w:color w:val="2F2F2F"/>
          <w:sz w:val="22"/>
          <w:szCs w:val="22"/>
        </w:rPr>
        <w:t xml:space="preserve"> técnicas</w:t>
      </w:r>
      <w:r w:rsidR="001A7DC5" w:rsidRPr="001A7DC5">
        <w:rPr>
          <w:rFonts w:ascii="ITC Avant Garde" w:hAnsi="ITC Avant Garde" w:cs="Arial"/>
          <w:b/>
          <w:color w:val="2F2F2F"/>
          <w:sz w:val="22"/>
          <w:szCs w:val="22"/>
        </w:rPr>
        <w:t xml:space="preserve"> en materia de telecomunicaciones</w:t>
      </w:r>
      <w:r w:rsidR="001A7DC5" w:rsidRPr="001A7DC5">
        <w:rPr>
          <w:rFonts w:ascii="ITC Avant Garde" w:hAnsi="ITC Avant Garde" w:cs="Arial"/>
          <w:color w:val="2F2F2F"/>
          <w:sz w:val="22"/>
          <w:szCs w:val="22"/>
        </w:rPr>
        <w:t xml:space="preserve">.  La presente metodología se elaboró </w:t>
      </w:r>
      <w:r w:rsidR="004C4B38">
        <w:rPr>
          <w:rFonts w:ascii="ITC Avant Garde" w:hAnsi="ITC Avant Garde" w:cs="Arial"/>
          <w:color w:val="2F2F2F"/>
          <w:sz w:val="22"/>
          <w:szCs w:val="22"/>
        </w:rPr>
        <w:t>considerando</w:t>
      </w:r>
      <w:r w:rsidR="001A7DC5" w:rsidRPr="001A7DC5">
        <w:rPr>
          <w:rFonts w:ascii="ITC Avant Garde" w:hAnsi="ITC Avant Garde" w:cs="Arial"/>
          <w:color w:val="2F2F2F"/>
          <w:sz w:val="22"/>
          <w:szCs w:val="22"/>
        </w:rPr>
        <w:t xml:space="preserve"> las siguientes referencias internacionales: </w:t>
      </w:r>
    </w:p>
    <w:p w:rsidR="00C4357A" w:rsidRDefault="001A7DC5" w:rsidP="00C4357A">
      <w:pPr>
        <w:pStyle w:val="Default"/>
        <w:tabs>
          <w:tab w:val="left" w:pos="0"/>
        </w:tabs>
        <w:spacing w:after="240" w:line="276" w:lineRule="auto"/>
        <w:ind w:left="708"/>
        <w:jc w:val="both"/>
        <w:rPr>
          <w:rFonts w:ascii="ITC Avant Garde" w:hAnsi="ITC Avant Garde" w:cs="Arial"/>
          <w:color w:val="2F2F2F"/>
          <w:sz w:val="22"/>
          <w:szCs w:val="22"/>
        </w:rPr>
      </w:pPr>
      <w:r w:rsidRPr="001A7DC5">
        <w:rPr>
          <w:rFonts w:ascii="ITC Avant Garde" w:hAnsi="ITC Avant Garde" w:cs="Arial"/>
          <w:color w:val="2F2F2F"/>
          <w:sz w:val="22"/>
          <w:szCs w:val="22"/>
        </w:rPr>
        <w:t xml:space="preserve">a) Especificación técnica ETSI </w:t>
      </w:r>
      <w:r w:rsidR="00E972B1">
        <w:rPr>
          <w:rFonts w:ascii="ITC Avant Garde" w:hAnsi="ITC Avant Garde" w:cs="Arial"/>
          <w:color w:val="2F2F2F"/>
          <w:sz w:val="22"/>
          <w:szCs w:val="22"/>
        </w:rPr>
        <w:t>EG</w:t>
      </w:r>
      <w:r w:rsidRPr="001A7DC5">
        <w:rPr>
          <w:rFonts w:ascii="ITC Avant Garde" w:hAnsi="ITC Avant Garde" w:cs="Arial"/>
          <w:color w:val="2F2F2F"/>
          <w:sz w:val="22"/>
          <w:szCs w:val="22"/>
        </w:rPr>
        <w:t xml:space="preserve"> 202 057-4, “</w:t>
      </w:r>
      <w:proofErr w:type="spellStart"/>
      <w:r w:rsidRPr="001A7DC5">
        <w:rPr>
          <w:rFonts w:ascii="ITC Avant Garde" w:hAnsi="ITC Avant Garde" w:cs="Arial"/>
          <w:color w:val="2F2F2F"/>
          <w:sz w:val="22"/>
          <w:szCs w:val="22"/>
        </w:rPr>
        <w:t>Speech</w:t>
      </w:r>
      <w:proofErr w:type="spellEnd"/>
      <w:r w:rsidRPr="001A7DC5">
        <w:rPr>
          <w:rFonts w:ascii="ITC Avant Garde" w:hAnsi="ITC Avant Garde" w:cs="Arial"/>
          <w:color w:val="2F2F2F"/>
          <w:sz w:val="22"/>
          <w:szCs w:val="22"/>
        </w:rPr>
        <w:t xml:space="preserve"> </w:t>
      </w:r>
      <w:proofErr w:type="spellStart"/>
      <w:r w:rsidRPr="001A7DC5">
        <w:rPr>
          <w:rFonts w:ascii="ITC Avant Garde" w:hAnsi="ITC Avant Garde" w:cs="Arial"/>
          <w:color w:val="2F2F2F"/>
          <w:sz w:val="22"/>
          <w:szCs w:val="22"/>
        </w:rPr>
        <w:t>Processing</w:t>
      </w:r>
      <w:proofErr w:type="spellEnd"/>
      <w:r w:rsidRPr="001A7DC5">
        <w:rPr>
          <w:rFonts w:ascii="ITC Avant Garde" w:hAnsi="ITC Avant Garde" w:cs="Arial"/>
          <w:color w:val="2F2F2F"/>
          <w:sz w:val="22"/>
          <w:szCs w:val="22"/>
        </w:rPr>
        <w:t xml:space="preserve">, </w:t>
      </w:r>
      <w:proofErr w:type="spellStart"/>
      <w:r w:rsidRPr="001A7DC5">
        <w:rPr>
          <w:rFonts w:ascii="ITC Avant Garde" w:hAnsi="ITC Avant Garde" w:cs="Arial"/>
          <w:color w:val="2F2F2F"/>
          <w:sz w:val="22"/>
          <w:szCs w:val="22"/>
        </w:rPr>
        <w:t>Transmission</w:t>
      </w:r>
      <w:proofErr w:type="spellEnd"/>
      <w:r w:rsidRPr="001A7DC5">
        <w:rPr>
          <w:rFonts w:ascii="ITC Avant Garde" w:hAnsi="ITC Avant Garde" w:cs="Arial"/>
          <w:color w:val="2F2F2F"/>
          <w:sz w:val="22"/>
          <w:szCs w:val="22"/>
        </w:rPr>
        <w:t xml:space="preserve"> and </w:t>
      </w:r>
      <w:proofErr w:type="spellStart"/>
      <w:r w:rsidRPr="001A7DC5">
        <w:rPr>
          <w:rFonts w:ascii="ITC Avant Garde" w:hAnsi="ITC Avant Garde" w:cs="Arial"/>
          <w:color w:val="2F2F2F"/>
          <w:sz w:val="22"/>
          <w:szCs w:val="22"/>
        </w:rPr>
        <w:t>Quality</w:t>
      </w:r>
      <w:proofErr w:type="spellEnd"/>
      <w:r w:rsidRPr="001A7DC5">
        <w:rPr>
          <w:rFonts w:ascii="ITC Avant Garde" w:hAnsi="ITC Avant Garde" w:cs="Arial"/>
          <w:color w:val="2F2F2F"/>
          <w:sz w:val="22"/>
          <w:szCs w:val="22"/>
        </w:rPr>
        <w:t xml:space="preserve"> </w:t>
      </w:r>
      <w:proofErr w:type="spellStart"/>
      <w:r w:rsidRPr="001A7DC5">
        <w:rPr>
          <w:rFonts w:ascii="ITC Avant Garde" w:hAnsi="ITC Avant Garde" w:cs="Arial"/>
          <w:color w:val="2F2F2F"/>
          <w:sz w:val="22"/>
          <w:szCs w:val="22"/>
        </w:rPr>
        <w:t>Aspects</w:t>
      </w:r>
      <w:proofErr w:type="spellEnd"/>
      <w:r w:rsidRPr="001A7DC5">
        <w:rPr>
          <w:rFonts w:ascii="ITC Avant Garde" w:hAnsi="ITC Avant Garde" w:cs="Arial"/>
          <w:color w:val="2F2F2F"/>
          <w:sz w:val="22"/>
          <w:szCs w:val="22"/>
        </w:rPr>
        <w:t xml:space="preserve"> (STQ); </w:t>
      </w:r>
      <w:proofErr w:type="spellStart"/>
      <w:r w:rsidRPr="001A7DC5">
        <w:rPr>
          <w:rFonts w:ascii="ITC Avant Garde" w:hAnsi="ITC Avant Garde" w:cs="Arial"/>
          <w:color w:val="2F2F2F"/>
          <w:sz w:val="22"/>
          <w:szCs w:val="22"/>
        </w:rPr>
        <w:t>User</w:t>
      </w:r>
      <w:proofErr w:type="spellEnd"/>
      <w:r w:rsidRPr="001A7DC5">
        <w:rPr>
          <w:rFonts w:ascii="ITC Avant Garde" w:hAnsi="ITC Avant Garde" w:cs="Arial"/>
          <w:color w:val="2F2F2F"/>
          <w:sz w:val="22"/>
          <w:szCs w:val="22"/>
        </w:rPr>
        <w:t xml:space="preserve"> </w:t>
      </w:r>
      <w:proofErr w:type="spellStart"/>
      <w:r w:rsidRPr="001A7DC5">
        <w:rPr>
          <w:rFonts w:ascii="ITC Avant Garde" w:hAnsi="ITC Avant Garde" w:cs="Arial"/>
          <w:color w:val="2F2F2F"/>
          <w:sz w:val="22"/>
          <w:szCs w:val="22"/>
        </w:rPr>
        <w:t>related</w:t>
      </w:r>
      <w:proofErr w:type="spellEnd"/>
      <w:r w:rsidRPr="001A7DC5">
        <w:rPr>
          <w:rFonts w:ascii="ITC Avant Garde" w:hAnsi="ITC Avant Garde" w:cs="Arial"/>
          <w:color w:val="2F2F2F"/>
          <w:sz w:val="22"/>
          <w:szCs w:val="22"/>
        </w:rPr>
        <w:t xml:space="preserve"> </w:t>
      </w:r>
      <w:proofErr w:type="spellStart"/>
      <w:r w:rsidRPr="001A7DC5">
        <w:rPr>
          <w:rFonts w:ascii="ITC Avant Garde" w:hAnsi="ITC Avant Garde" w:cs="Arial"/>
          <w:color w:val="2F2F2F"/>
          <w:sz w:val="22"/>
          <w:szCs w:val="22"/>
        </w:rPr>
        <w:t>QoS</w:t>
      </w:r>
      <w:proofErr w:type="spellEnd"/>
      <w:r w:rsidRPr="001A7DC5">
        <w:rPr>
          <w:rFonts w:ascii="ITC Avant Garde" w:hAnsi="ITC Avant Garde" w:cs="Arial"/>
          <w:color w:val="2F2F2F"/>
          <w:sz w:val="22"/>
          <w:szCs w:val="22"/>
        </w:rPr>
        <w:t xml:space="preserve"> </w:t>
      </w:r>
      <w:proofErr w:type="spellStart"/>
      <w:r w:rsidRPr="001A7DC5">
        <w:rPr>
          <w:rFonts w:ascii="ITC Avant Garde" w:hAnsi="ITC Avant Garde" w:cs="Arial"/>
          <w:color w:val="2F2F2F"/>
          <w:sz w:val="22"/>
          <w:szCs w:val="22"/>
        </w:rPr>
        <w:t>parameter</w:t>
      </w:r>
      <w:proofErr w:type="spellEnd"/>
      <w:r w:rsidRPr="001A7DC5">
        <w:rPr>
          <w:rFonts w:ascii="ITC Avant Garde" w:hAnsi="ITC Avant Garde" w:cs="Arial"/>
          <w:color w:val="2F2F2F"/>
          <w:sz w:val="22"/>
          <w:szCs w:val="22"/>
        </w:rPr>
        <w:t xml:space="preserve"> </w:t>
      </w:r>
      <w:proofErr w:type="spellStart"/>
      <w:r w:rsidRPr="001A7DC5">
        <w:rPr>
          <w:rFonts w:ascii="ITC Avant Garde" w:hAnsi="ITC Avant Garde" w:cs="Arial"/>
          <w:color w:val="2F2F2F"/>
          <w:sz w:val="22"/>
          <w:szCs w:val="22"/>
        </w:rPr>
        <w:t>definitions</w:t>
      </w:r>
      <w:proofErr w:type="spellEnd"/>
      <w:r w:rsidRPr="001A7DC5">
        <w:rPr>
          <w:rFonts w:ascii="ITC Avant Garde" w:hAnsi="ITC Avant Garde" w:cs="Arial"/>
          <w:color w:val="2F2F2F"/>
          <w:sz w:val="22"/>
          <w:szCs w:val="22"/>
        </w:rPr>
        <w:t xml:space="preserve"> and </w:t>
      </w:r>
      <w:proofErr w:type="spellStart"/>
      <w:r w:rsidRPr="001A7DC5">
        <w:rPr>
          <w:rFonts w:ascii="ITC Avant Garde" w:hAnsi="ITC Avant Garde" w:cs="Arial"/>
          <w:color w:val="2F2F2F"/>
          <w:sz w:val="22"/>
          <w:szCs w:val="22"/>
        </w:rPr>
        <w:t>measurements</w:t>
      </w:r>
      <w:proofErr w:type="spellEnd"/>
      <w:r w:rsidRPr="001A7DC5">
        <w:rPr>
          <w:rFonts w:ascii="ITC Avant Garde" w:hAnsi="ITC Avant Garde" w:cs="Arial"/>
          <w:color w:val="2F2F2F"/>
          <w:sz w:val="22"/>
          <w:szCs w:val="22"/>
        </w:rPr>
        <w:t xml:space="preserve">; </w:t>
      </w:r>
      <w:proofErr w:type="spellStart"/>
      <w:r w:rsidRPr="001A7DC5">
        <w:rPr>
          <w:rFonts w:ascii="ITC Avant Garde" w:hAnsi="ITC Avant Garde" w:cs="Arial"/>
          <w:color w:val="2F2F2F"/>
          <w:sz w:val="22"/>
          <w:szCs w:val="22"/>
        </w:rPr>
        <w:t>Part</w:t>
      </w:r>
      <w:proofErr w:type="spellEnd"/>
      <w:r w:rsidRPr="001A7DC5">
        <w:rPr>
          <w:rFonts w:ascii="ITC Avant Garde" w:hAnsi="ITC Avant Garde" w:cs="Arial"/>
          <w:color w:val="2F2F2F"/>
          <w:sz w:val="22"/>
          <w:szCs w:val="22"/>
        </w:rPr>
        <w:t xml:space="preserve"> 4: Internet </w:t>
      </w:r>
      <w:proofErr w:type="spellStart"/>
      <w:r w:rsidRPr="001A7DC5">
        <w:rPr>
          <w:rFonts w:ascii="ITC Avant Garde" w:hAnsi="ITC Avant Garde" w:cs="Arial"/>
          <w:color w:val="2F2F2F"/>
          <w:sz w:val="22"/>
          <w:szCs w:val="22"/>
        </w:rPr>
        <w:t>access</w:t>
      </w:r>
      <w:proofErr w:type="spellEnd"/>
      <w:r w:rsidRPr="001A7DC5">
        <w:rPr>
          <w:rFonts w:ascii="ITC Avant Garde" w:hAnsi="ITC Avant Garde" w:cs="Arial"/>
          <w:color w:val="2F2F2F"/>
          <w:sz w:val="22"/>
          <w:szCs w:val="22"/>
        </w:rPr>
        <w:t>” emitida por el Instituto Europeo de Normas de Telecomunicaciones (ETSI) V1.</w:t>
      </w:r>
      <w:r w:rsidR="00E972B1">
        <w:rPr>
          <w:rFonts w:ascii="ITC Avant Garde" w:hAnsi="ITC Avant Garde" w:cs="Arial"/>
          <w:color w:val="2F2F2F"/>
          <w:sz w:val="22"/>
          <w:szCs w:val="22"/>
        </w:rPr>
        <w:t>2</w:t>
      </w:r>
      <w:r w:rsidRPr="001A7DC5">
        <w:rPr>
          <w:rFonts w:ascii="ITC Avant Garde" w:hAnsi="ITC Avant Garde" w:cs="Arial"/>
          <w:color w:val="2F2F2F"/>
          <w:sz w:val="22"/>
          <w:szCs w:val="22"/>
        </w:rPr>
        <w:t>.1 (200</w:t>
      </w:r>
      <w:r w:rsidR="00E972B1">
        <w:rPr>
          <w:rFonts w:ascii="ITC Avant Garde" w:hAnsi="ITC Avant Garde" w:cs="Arial"/>
          <w:color w:val="2F2F2F"/>
          <w:sz w:val="22"/>
          <w:szCs w:val="22"/>
        </w:rPr>
        <w:t>8</w:t>
      </w:r>
      <w:r w:rsidRPr="001A7DC5">
        <w:rPr>
          <w:rFonts w:ascii="ITC Avant Garde" w:hAnsi="ITC Avant Garde" w:cs="Arial"/>
          <w:color w:val="2F2F2F"/>
          <w:sz w:val="22"/>
          <w:szCs w:val="22"/>
        </w:rPr>
        <w:t>-0</w:t>
      </w:r>
      <w:r w:rsidR="00E972B1">
        <w:rPr>
          <w:rFonts w:ascii="ITC Avant Garde" w:hAnsi="ITC Avant Garde" w:cs="Arial"/>
          <w:color w:val="2F2F2F"/>
          <w:sz w:val="22"/>
          <w:szCs w:val="22"/>
        </w:rPr>
        <w:t>7</w:t>
      </w:r>
      <w:r w:rsidRPr="001A7DC5">
        <w:rPr>
          <w:rFonts w:ascii="ITC Avant Garde" w:hAnsi="ITC Avant Garde" w:cs="Arial"/>
          <w:color w:val="2F2F2F"/>
          <w:sz w:val="22"/>
          <w:szCs w:val="22"/>
        </w:rPr>
        <w:t xml:space="preserve">); </w:t>
      </w:r>
    </w:p>
    <w:p w:rsidR="00C4357A" w:rsidRDefault="001A7DC5" w:rsidP="00C4357A">
      <w:pPr>
        <w:pStyle w:val="Default"/>
        <w:tabs>
          <w:tab w:val="left" w:pos="0"/>
        </w:tabs>
        <w:spacing w:after="240" w:line="276" w:lineRule="auto"/>
        <w:ind w:left="708"/>
        <w:jc w:val="both"/>
        <w:rPr>
          <w:rFonts w:ascii="ITC Avant Garde" w:hAnsi="ITC Avant Garde" w:cs="Arial"/>
          <w:color w:val="2F2F2F"/>
          <w:sz w:val="22"/>
          <w:szCs w:val="22"/>
        </w:rPr>
      </w:pPr>
      <w:r w:rsidRPr="001A7DC5">
        <w:rPr>
          <w:rFonts w:ascii="ITC Avant Garde" w:hAnsi="ITC Avant Garde" w:cs="Arial"/>
          <w:color w:val="2F2F2F"/>
          <w:sz w:val="22"/>
          <w:szCs w:val="22"/>
        </w:rPr>
        <w:t>b) Especificación técnica ETSI EG 203 165-4: “</w:t>
      </w:r>
      <w:proofErr w:type="spellStart"/>
      <w:r w:rsidRPr="001A7DC5">
        <w:rPr>
          <w:rFonts w:ascii="ITC Avant Garde" w:hAnsi="ITC Avant Garde" w:cs="Arial"/>
          <w:color w:val="2F2F2F"/>
          <w:sz w:val="22"/>
          <w:szCs w:val="22"/>
        </w:rPr>
        <w:t>Speech</w:t>
      </w:r>
      <w:proofErr w:type="spellEnd"/>
      <w:r w:rsidRPr="001A7DC5">
        <w:rPr>
          <w:rFonts w:ascii="ITC Avant Garde" w:hAnsi="ITC Avant Garde" w:cs="Arial"/>
          <w:color w:val="2F2F2F"/>
          <w:sz w:val="22"/>
          <w:szCs w:val="22"/>
        </w:rPr>
        <w:t xml:space="preserve"> and multimedia </w:t>
      </w:r>
      <w:proofErr w:type="spellStart"/>
      <w:r w:rsidRPr="001A7DC5">
        <w:rPr>
          <w:rFonts w:ascii="ITC Avant Garde" w:hAnsi="ITC Avant Garde" w:cs="Arial"/>
          <w:color w:val="2F2F2F"/>
          <w:sz w:val="22"/>
          <w:szCs w:val="22"/>
        </w:rPr>
        <w:t>Transmission</w:t>
      </w:r>
      <w:proofErr w:type="spellEnd"/>
      <w:r w:rsidRPr="001A7DC5">
        <w:rPr>
          <w:rFonts w:ascii="ITC Avant Garde" w:hAnsi="ITC Avant Garde" w:cs="Arial"/>
          <w:color w:val="2F2F2F"/>
          <w:sz w:val="22"/>
          <w:szCs w:val="22"/>
        </w:rPr>
        <w:t xml:space="preserve"> </w:t>
      </w:r>
      <w:proofErr w:type="spellStart"/>
      <w:r w:rsidRPr="001A7DC5">
        <w:rPr>
          <w:rFonts w:ascii="ITC Avant Garde" w:hAnsi="ITC Avant Garde" w:cs="Arial"/>
          <w:color w:val="2F2F2F"/>
          <w:sz w:val="22"/>
          <w:szCs w:val="22"/>
        </w:rPr>
        <w:t>Quality</w:t>
      </w:r>
      <w:proofErr w:type="spellEnd"/>
      <w:r w:rsidRPr="001A7DC5">
        <w:rPr>
          <w:rFonts w:ascii="ITC Avant Garde" w:hAnsi="ITC Avant Garde" w:cs="Arial"/>
          <w:color w:val="2F2F2F"/>
          <w:sz w:val="22"/>
          <w:szCs w:val="22"/>
        </w:rPr>
        <w:t xml:space="preserve"> (STQ); </w:t>
      </w:r>
      <w:proofErr w:type="spellStart"/>
      <w:r w:rsidRPr="001A7DC5">
        <w:rPr>
          <w:rFonts w:ascii="ITC Avant Garde" w:hAnsi="ITC Avant Garde" w:cs="Arial"/>
          <w:color w:val="2F2F2F"/>
          <w:sz w:val="22"/>
          <w:szCs w:val="22"/>
        </w:rPr>
        <w:t>Throughput</w:t>
      </w:r>
      <w:proofErr w:type="spellEnd"/>
      <w:r w:rsidRPr="001A7DC5">
        <w:rPr>
          <w:rFonts w:ascii="ITC Avant Garde" w:hAnsi="ITC Avant Garde" w:cs="Arial"/>
          <w:color w:val="2F2F2F"/>
          <w:sz w:val="22"/>
          <w:szCs w:val="22"/>
        </w:rPr>
        <w:t xml:space="preserve"> </w:t>
      </w:r>
      <w:proofErr w:type="spellStart"/>
      <w:r w:rsidRPr="001A7DC5">
        <w:rPr>
          <w:rFonts w:ascii="ITC Avant Garde" w:hAnsi="ITC Avant Garde" w:cs="Arial"/>
          <w:color w:val="2F2F2F"/>
          <w:sz w:val="22"/>
          <w:szCs w:val="22"/>
        </w:rPr>
        <w:t>Measurements</w:t>
      </w:r>
      <w:proofErr w:type="spellEnd"/>
      <w:r w:rsidRPr="001A7DC5">
        <w:rPr>
          <w:rFonts w:ascii="ITC Avant Garde" w:hAnsi="ITC Avant Garde" w:cs="Arial"/>
          <w:color w:val="2F2F2F"/>
          <w:sz w:val="22"/>
          <w:szCs w:val="22"/>
        </w:rPr>
        <w:t xml:space="preserve"> </w:t>
      </w:r>
      <w:proofErr w:type="spellStart"/>
      <w:r w:rsidRPr="001A7DC5">
        <w:rPr>
          <w:rFonts w:ascii="ITC Avant Garde" w:hAnsi="ITC Avant Garde" w:cs="Arial"/>
          <w:color w:val="2F2F2F"/>
          <w:sz w:val="22"/>
          <w:szCs w:val="22"/>
        </w:rPr>
        <w:t>Guidelines</w:t>
      </w:r>
      <w:proofErr w:type="spellEnd"/>
      <w:r w:rsidRPr="001A7DC5">
        <w:rPr>
          <w:rFonts w:ascii="ITC Avant Garde" w:hAnsi="ITC Avant Garde" w:cs="Arial"/>
          <w:color w:val="2F2F2F"/>
          <w:sz w:val="22"/>
          <w:szCs w:val="22"/>
        </w:rPr>
        <w:t>” emitida por el Instituto Europeo de Normas de Telecomunicaciones (ETSI) V1.1.1 (2012-04);</w:t>
      </w:r>
    </w:p>
    <w:p w:rsidR="00C4357A" w:rsidRDefault="001A7DC5" w:rsidP="00C4357A">
      <w:pPr>
        <w:pStyle w:val="Default"/>
        <w:tabs>
          <w:tab w:val="left" w:pos="0"/>
        </w:tabs>
        <w:spacing w:after="240" w:line="276" w:lineRule="auto"/>
        <w:ind w:left="708"/>
        <w:jc w:val="both"/>
        <w:rPr>
          <w:rFonts w:ascii="ITC Avant Garde" w:hAnsi="ITC Avant Garde" w:cs="Arial"/>
          <w:color w:val="2F2F2F"/>
          <w:sz w:val="22"/>
          <w:szCs w:val="22"/>
        </w:rPr>
      </w:pPr>
      <w:r w:rsidRPr="001A7DC5">
        <w:rPr>
          <w:rFonts w:ascii="ITC Avant Garde" w:hAnsi="ITC Avant Garde" w:cs="Arial"/>
          <w:color w:val="2F2F2F"/>
          <w:sz w:val="22"/>
          <w:szCs w:val="22"/>
        </w:rPr>
        <w:t>c) Especificación técnica ETSI ES 202 765-4: “</w:t>
      </w:r>
      <w:proofErr w:type="spellStart"/>
      <w:r w:rsidRPr="001A7DC5">
        <w:rPr>
          <w:rFonts w:ascii="ITC Avant Garde" w:hAnsi="ITC Avant Garde" w:cs="Arial"/>
          <w:color w:val="2F2F2F"/>
          <w:sz w:val="22"/>
          <w:szCs w:val="22"/>
        </w:rPr>
        <w:t>Speech</w:t>
      </w:r>
      <w:proofErr w:type="spellEnd"/>
      <w:r w:rsidRPr="001A7DC5">
        <w:rPr>
          <w:rFonts w:ascii="ITC Avant Garde" w:hAnsi="ITC Avant Garde" w:cs="Arial"/>
          <w:color w:val="2F2F2F"/>
          <w:sz w:val="22"/>
          <w:szCs w:val="22"/>
        </w:rPr>
        <w:t xml:space="preserve"> and multimedia </w:t>
      </w:r>
      <w:proofErr w:type="spellStart"/>
      <w:r w:rsidRPr="001A7DC5">
        <w:rPr>
          <w:rFonts w:ascii="ITC Avant Garde" w:hAnsi="ITC Avant Garde" w:cs="Arial"/>
          <w:color w:val="2F2F2F"/>
          <w:sz w:val="22"/>
          <w:szCs w:val="22"/>
        </w:rPr>
        <w:t>Transmission</w:t>
      </w:r>
      <w:proofErr w:type="spellEnd"/>
      <w:r w:rsidRPr="001A7DC5">
        <w:rPr>
          <w:rFonts w:ascii="ITC Avant Garde" w:hAnsi="ITC Avant Garde" w:cs="Arial"/>
          <w:color w:val="2F2F2F"/>
          <w:sz w:val="22"/>
          <w:szCs w:val="22"/>
        </w:rPr>
        <w:t xml:space="preserve"> </w:t>
      </w:r>
      <w:proofErr w:type="spellStart"/>
      <w:r w:rsidRPr="001A7DC5">
        <w:rPr>
          <w:rFonts w:ascii="ITC Avant Garde" w:hAnsi="ITC Avant Garde" w:cs="Arial"/>
          <w:color w:val="2F2F2F"/>
          <w:sz w:val="22"/>
          <w:szCs w:val="22"/>
        </w:rPr>
        <w:t>Quality</w:t>
      </w:r>
      <w:proofErr w:type="spellEnd"/>
      <w:r w:rsidRPr="001A7DC5">
        <w:rPr>
          <w:rFonts w:ascii="ITC Avant Garde" w:hAnsi="ITC Avant Garde" w:cs="Arial"/>
          <w:color w:val="2F2F2F"/>
          <w:sz w:val="22"/>
          <w:szCs w:val="22"/>
        </w:rPr>
        <w:t xml:space="preserve"> (STQ); </w:t>
      </w:r>
      <w:proofErr w:type="spellStart"/>
      <w:r w:rsidRPr="001A7DC5">
        <w:rPr>
          <w:rFonts w:ascii="ITC Avant Garde" w:hAnsi="ITC Avant Garde" w:cs="Arial"/>
          <w:color w:val="2F2F2F"/>
          <w:sz w:val="22"/>
          <w:szCs w:val="22"/>
        </w:rPr>
        <w:t>QoS</w:t>
      </w:r>
      <w:proofErr w:type="spellEnd"/>
      <w:r w:rsidRPr="001A7DC5">
        <w:rPr>
          <w:rFonts w:ascii="ITC Avant Garde" w:hAnsi="ITC Avant Garde" w:cs="Arial"/>
          <w:color w:val="2F2F2F"/>
          <w:sz w:val="22"/>
          <w:szCs w:val="22"/>
        </w:rPr>
        <w:t xml:space="preserve"> and </w:t>
      </w:r>
      <w:proofErr w:type="spellStart"/>
      <w:r w:rsidRPr="001A7DC5">
        <w:rPr>
          <w:rFonts w:ascii="ITC Avant Garde" w:hAnsi="ITC Avant Garde" w:cs="Arial"/>
          <w:color w:val="2F2F2F"/>
          <w:sz w:val="22"/>
          <w:szCs w:val="22"/>
        </w:rPr>
        <w:t>network</w:t>
      </w:r>
      <w:proofErr w:type="spellEnd"/>
      <w:r w:rsidRPr="001A7DC5">
        <w:rPr>
          <w:rFonts w:ascii="ITC Avant Garde" w:hAnsi="ITC Avant Garde" w:cs="Arial"/>
          <w:color w:val="2F2F2F"/>
          <w:sz w:val="22"/>
          <w:szCs w:val="22"/>
        </w:rPr>
        <w:t xml:space="preserve"> performance </w:t>
      </w:r>
      <w:proofErr w:type="spellStart"/>
      <w:r w:rsidRPr="001A7DC5">
        <w:rPr>
          <w:rFonts w:ascii="ITC Avant Garde" w:hAnsi="ITC Avant Garde" w:cs="Arial"/>
          <w:color w:val="2F2F2F"/>
          <w:sz w:val="22"/>
          <w:szCs w:val="22"/>
        </w:rPr>
        <w:t>metrics</w:t>
      </w:r>
      <w:proofErr w:type="spellEnd"/>
      <w:r w:rsidRPr="001A7DC5">
        <w:rPr>
          <w:rFonts w:ascii="ITC Avant Garde" w:hAnsi="ITC Avant Garde" w:cs="Arial"/>
          <w:color w:val="2F2F2F"/>
          <w:sz w:val="22"/>
          <w:szCs w:val="22"/>
        </w:rPr>
        <w:t xml:space="preserve"> and </w:t>
      </w:r>
      <w:proofErr w:type="spellStart"/>
      <w:r w:rsidRPr="001A7DC5">
        <w:rPr>
          <w:rFonts w:ascii="ITC Avant Garde" w:hAnsi="ITC Avant Garde" w:cs="Arial"/>
          <w:color w:val="2F2F2F"/>
          <w:sz w:val="22"/>
          <w:szCs w:val="22"/>
        </w:rPr>
        <w:t>measurements</w:t>
      </w:r>
      <w:proofErr w:type="spellEnd"/>
      <w:r w:rsidRPr="001A7DC5">
        <w:rPr>
          <w:rFonts w:ascii="ITC Avant Garde" w:hAnsi="ITC Avant Garde" w:cs="Arial"/>
          <w:color w:val="2F2F2F"/>
          <w:sz w:val="22"/>
          <w:szCs w:val="22"/>
        </w:rPr>
        <w:t xml:space="preserve"> </w:t>
      </w:r>
      <w:proofErr w:type="spellStart"/>
      <w:r w:rsidRPr="001A7DC5">
        <w:rPr>
          <w:rFonts w:ascii="ITC Avant Garde" w:hAnsi="ITC Avant Garde" w:cs="Arial"/>
          <w:color w:val="2F2F2F"/>
          <w:sz w:val="22"/>
          <w:szCs w:val="22"/>
        </w:rPr>
        <w:t>methods</w:t>
      </w:r>
      <w:proofErr w:type="spellEnd"/>
      <w:r w:rsidRPr="001A7DC5">
        <w:rPr>
          <w:rFonts w:ascii="ITC Avant Garde" w:hAnsi="ITC Avant Garde" w:cs="Arial"/>
          <w:color w:val="2F2F2F"/>
          <w:sz w:val="22"/>
          <w:szCs w:val="22"/>
        </w:rPr>
        <w:t xml:space="preserve">; </w:t>
      </w:r>
      <w:proofErr w:type="spellStart"/>
      <w:r w:rsidRPr="001A7DC5">
        <w:rPr>
          <w:rFonts w:ascii="ITC Avant Garde" w:hAnsi="ITC Avant Garde" w:cs="Arial"/>
          <w:color w:val="2F2F2F"/>
          <w:sz w:val="22"/>
          <w:szCs w:val="22"/>
        </w:rPr>
        <w:t>Part</w:t>
      </w:r>
      <w:proofErr w:type="spellEnd"/>
      <w:r w:rsidRPr="001A7DC5">
        <w:rPr>
          <w:rFonts w:ascii="ITC Avant Garde" w:hAnsi="ITC Avant Garde" w:cs="Arial"/>
          <w:color w:val="2F2F2F"/>
          <w:sz w:val="22"/>
          <w:szCs w:val="22"/>
        </w:rPr>
        <w:t xml:space="preserve"> 4: </w:t>
      </w:r>
      <w:proofErr w:type="spellStart"/>
      <w:r w:rsidRPr="001A7DC5">
        <w:rPr>
          <w:rFonts w:ascii="ITC Avant Garde" w:hAnsi="ITC Avant Garde" w:cs="Arial"/>
          <w:color w:val="2F2F2F"/>
          <w:sz w:val="22"/>
          <w:szCs w:val="22"/>
        </w:rPr>
        <w:t>Indicators</w:t>
      </w:r>
      <w:proofErr w:type="spellEnd"/>
      <w:r w:rsidRPr="001A7DC5">
        <w:rPr>
          <w:rFonts w:ascii="ITC Avant Garde" w:hAnsi="ITC Avant Garde" w:cs="Arial"/>
          <w:color w:val="2F2F2F"/>
          <w:sz w:val="22"/>
          <w:szCs w:val="22"/>
        </w:rPr>
        <w:t xml:space="preserve"> </w:t>
      </w:r>
      <w:proofErr w:type="spellStart"/>
      <w:r w:rsidRPr="001A7DC5">
        <w:rPr>
          <w:rFonts w:ascii="ITC Avant Garde" w:hAnsi="ITC Avant Garde" w:cs="Arial"/>
          <w:color w:val="2F2F2F"/>
          <w:sz w:val="22"/>
          <w:szCs w:val="22"/>
        </w:rPr>
        <w:t>for</w:t>
      </w:r>
      <w:proofErr w:type="spellEnd"/>
      <w:r w:rsidRPr="001A7DC5">
        <w:rPr>
          <w:rFonts w:ascii="ITC Avant Garde" w:hAnsi="ITC Avant Garde" w:cs="Arial"/>
          <w:color w:val="2F2F2F"/>
          <w:sz w:val="22"/>
          <w:szCs w:val="22"/>
        </w:rPr>
        <w:t xml:space="preserve"> </w:t>
      </w:r>
      <w:proofErr w:type="spellStart"/>
      <w:r w:rsidRPr="001A7DC5">
        <w:rPr>
          <w:rFonts w:ascii="ITC Avant Garde" w:hAnsi="ITC Avant Garde" w:cs="Arial"/>
          <w:color w:val="2F2F2F"/>
          <w:sz w:val="22"/>
          <w:szCs w:val="22"/>
        </w:rPr>
        <w:t>supervision</w:t>
      </w:r>
      <w:proofErr w:type="spellEnd"/>
      <w:r w:rsidRPr="001A7DC5">
        <w:rPr>
          <w:rFonts w:ascii="ITC Avant Garde" w:hAnsi="ITC Avant Garde" w:cs="Arial"/>
          <w:color w:val="2F2F2F"/>
          <w:sz w:val="22"/>
          <w:szCs w:val="22"/>
        </w:rPr>
        <w:t xml:space="preserve"> and </w:t>
      </w:r>
      <w:proofErr w:type="spellStart"/>
      <w:r w:rsidRPr="001A7DC5">
        <w:rPr>
          <w:rFonts w:ascii="ITC Avant Garde" w:hAnsi="ITC Avant Garde" w:cs="Arial"/>
          <w:color w:val="2F2F2F"/>
          <w:sz w:val="22"/>
          <w:szCs w:val="22"/>
        </w:rPr>
        <w:t>Multiplay</w:t>
      </w:r>
      <w:proofErr w:type="spellEnd"/>
      <w:r w:rsidRPr="001A7DC5">
        <w:rPr>
          <w:rFonts w:ascii="ITC Avant Garde" w:hAnsi="ITC Avant Garde" w:cs="Arial"/>
          <w:color w:val="2F2F2F"/>
          <w:sz w:val="22"/>
          <w:szCs w:val="22"/>
        </w:rPr>
        <w:t xml:space="preserve"> </w:t>
      </w:r>
      <w:proofErr w:type="spellStart"/>
      <w:r w:rsidRPr="001A7DC5">
        <w:rPr>
          <w:rFonts w:ascii="ITC Avant Garde" w:hAnsi="ITC Avant Garde" w:cs="Arial"/>
          <w:color w:val="2F2F2F"/>
          <w:sz w:val="22"/>
          <w:szCs w:val="22"/>
        </w:rPr>
        <w:t>services</w:t>
      </w:r>
      <w:proofErr w:type="spellEnd"/>
      <w:r w:rsidRPr="001A7DC5">
        <w:rPr>
          <w:rFonts w:ascii="ITC Avant Garde" w:hAnsi="ITC Avant Garde" w:cs="Arial"/>
          <w:color w:val="2F2F2F"/>
          <w:sz w:val="22"/>
          <w:szCs w:val="22"/>
        </w:rPr>
        <w:t>” emitida por el Instituto Europeo de Normas de Telecomunicaciones (ETSI) V1.2.1 (2014-05);</w:t>
      </w:r>
    </w:p>
    <w:p w:rsidR="00C4357A" w:rsidRDefault="007734F1" w:rsidP="00C4357A">
      <w:pPr>
        <w:pStyle w:val="Default"/>
        <w:tabs>
          <w:tab w:val="left" w:pos="0"/>
        </w:tabs>
        <w:spacing w:after="240" w:line="276" w:lineRule="auto"/>
        <w:jc w:val="both"/>
        <w:rPr>
          <w:rFonts w:ascii="ITC Avant Garde" w:hAnsi="ITC Avant Garde" w:cs="Arial"/>
          <w:color w:val="2F2F2F"/>
          <w:sz w:val="22"/>
          <w:szCs w:val="22"/>
        </w:rPr>
      </w:pPr>
      <w:r>
        <w:rPr>
          <w:rFonts w:ascii="ITC Avant Garde" w:hAnsi="ITC Avant Garde" w:cs="Arial"/>
          <w:b/>
          <w:color w:val="2F2F2F"/>
          <w:sz w:val="22"/>
          <w:szCs w:val="22"/>
        </w:rPr>
        <w:t>SEXTO</w:t>
      </w:r>
      <w:r w:rsidR="001A7DC5" w:rsidRPr="001A7DC5">
        <w:rPr>
          <w:rFonts w:ascii="ITC Avant Garde" w:hAnsi="ITC Avant Garde" w:cs="Arial"/>
          <w:b/>
          <w:color w:val="2F2F2F"/>
          <w:sz w:val="22"/>
          <w:szCs w:val="22"/>
        </w:rPr>
        <w:t>. Metodología de mediciones</w:t>
      </w:r>
      <w:r w:rsidR="001A7DC5" w:rsidRPr="001A7DC5">
        <w:rPr>
          <w:rFonts w:ascii="ITC Avant Garde" w:hAnsi="ITC Avant Garde" w:cs="Arial"/>
          <w:color w:val="2F2F2F"/>
          <w:sz w:val="22"/>
          <w:szCs w:val="22"/>
        </w:rPr>
        <w:t xml:space="preserve">. </w:t>
      </w:r>
      <w:r w:rsidR="006E74C2">
        <w:rPr>
          <w:rFonts w:ascii="ITC Avant Garde" w:hAnsi="ITC Avant Garde" w:cs="Arial"/>
          <w:color w:val="2F2F2F"/>
          <w:sz w:val="22"/>
          <w:szCs w:val="22"/>
        </w:rPr>
        <w:t xml:space="preserve">El objetivo de la metodología de mediciones es establecer el procedimiento mediante el cual </w:t>
      </w:r>
      <w:r w:rsidR="00E66E23">
        <w:rPr>
          <w:rFonts w:ascii="ITC Avant Garde" w:hAnsi="ITC Avant Garde" w:cs="Arial"/>
          <w:color w:val="2F2F2F"/>
          <w:sz w:val="22"/>
          <w:szCs w:val="22"/>
        </w:rPr>
        <w:t>se</w:t>
      </w:r>
      <w:r w:rsidR="006E74C2">
        <w:rPr>
          <w:rFonts w:ascii="ITC Avant Garde" w:hAnsi="ITC Avant Garde" w:cs="Arial"/>
          <w:color w:val="2F2F2F"/>
          <w:sz w:val="22"/>
          <w:szCs w:val="22"/>
        </w:rPr>
        <w:t xml:space="preserve"> evaluará, el porcentaje de cobertura poblacional </w:t>
      </w:r>
      <w:r w:rsidR="006C2671">
        <w:rPr>
          <w:rFonts w:ascii="ITC Avant Garde" w:hAnsi="ITC Avant Garde" w:cs="Arial"/>
          <w:color w:val="2F2F2F"/>
          <w:sz w:val="22"/>
          <w:szCs w:val="22"/>
        </w:rPr>
        <w:t xml:space="preserve">así como </w:t>
      </w:r>
      <w:r w:rsidR="006E74C2">
        <w:rPr>
          <w:rFonts w:ascii="ITC Avant Garde" w:hAnsi="ITC Avant Garde" w:cs="Arial"/>
          <w:color w:val="2F2F2F"/>
          <w:sz w:val="22"/>
          <w:szCs w:val="22"/>
        </w:rPr>
        <w:t>los parámetros de cobertura establecidos. Para esto, la</w:t>
      </w:r>
      <w:r w:rsidR="001A7DC5" w:rsidRPr="001A7DC5">
        <w:rPr>
          <w:rFonts w:ascii="ITC Avant Garde" w:hAnsi="ITC Avant Garde" w:cs="Arial"/>
          <w:color w:val="2F2F2F"/>
          <w:sz w:val="22"/>
          <w:szCs w:val="22"/>
        </w:rPr>
        <w:t xml:space="preserve"> metodología</w:t>
      </w:r>
      <w:r w:rsidR="001C6764">
        <w:rPr>
          <w:rFonts w:ascii="ITC Avant Garde" w:hAnsi="ITC Avant Garde" w:cs="Arial"/>
          <w:color w:val="2F2F2F"/>
          <w:sz w:val="22"/>
          <w:szCs w:val="22"/>
        </w:rPr>
        <w:t xml:space="preserve"> </w:t>
      </w:r>
      <w:r w:rsidR="006E74C2">
        <w:rPr>
          <w:rFonts w:ascii="ITC Avant Garde" w:hAnsi="ITC Avant Garde" w:cs="Arial"/>
          <w:color w:val="2F2F2F"/>
          <w:sz w:val="22"/>
          <w:szCs w:val="22"/>
        </w:rPr>
        <w:t>toma</w:t>
      </w:r>
      <w:r w:rsidR="001C6764">
        <w:rPr>
          <w:rFonts w:ascii="ITC Avant Garde" w:hAnsi="ITC Avant Garde" w:cs="Arial"/>
          <w:color w:val="2F2F2F"/>
          <w:sz w:val="22"/>
          <w:szCs w:val="22"/>
        </w:rPr>
        <w:t xml:space="preserve"> en cuenta especificaciones técnicas y recomendaciones internacionales</w:t>
      </w:r>
      <w:r w:rsidR="001A7DC5" w:rsidRPr="001A7DC5">
        <w:rPr>
          <w:rFonts w:ascii="ITC Avant Garde" w:hAnsi="ITC Avant Garde" w:cs="Arial"/>
          <w:color w:val="2F2F2F"/>
          <w:sz w:val="22"/>
          <w:szCs w:val="22"/>
        </w:rPr>
        <w:t xml:space="preserve"> </w:t>
      </w:r>
      <w:r w:rsidR="001C6764">
        <w:rPr>
          <w:rFonts w:ascii="ITC Avant Garde" w:hAnsi="ITC Avant Garde" w:cs="Arial"/>
          <w:color w:val="2F2F2F"/>
          <w:sz w:val="22"/>
          <w:szCs w:val="22"/>
        </w:rPr>
        <w:t>para la medición de la</w:t>
      </w:r>
      <w:r w:rsidR="001A7DC5" w:rsidRPr="001A7DC5">
        <w:rPr>
          <w:rFonts w:ascii="ITC Avant Garde" w:hAnsi="ITC Avant Garde" w:cs="Arial"/>
          <w:color w:val="2F2F2F"/>
          <w:sz w:val="22"/>
          <w:szCs w:val="22"/>
        </w:rPr>
        <w:t xml:space="preserve"> </w:t>
      </w:r>
      <w:r w:rsidR="006C2671">
        <w:rPr>
          <w:rFonts w:ascii="ITC Avant Garde" w:hAnsi="ITC Avant Garde" w:cs="Arial"/>
          <w:color w:val="2F2F2F"/>
          <w:sz w:val="22"/>
          <w:szCs w:val="22"/>
        </w:rPr>
        <w:t>velocidad</w:t>
      </w:r>
      <w:r w:rsidR="001A7DC5" w:rsidRPr="001A7DC5">
        <w:rPr>
          <w:rFonts w:ascii="ITC Avant Garde" w:hAnsi="ITC Avant Garde" w:cs="Arial"/>
          <w:color w:val="2F2F2F"/>
          <w:sz w:val="22"/>
          <w:szCs w:val="22"/>
        </w:rPr>
        <w:t xml:space="preserve"> de </w:t>
      </w:r>
      <w:r w:rsidR="006E74C2">
        <w:rPr>
          <w:rFonts w:ascii="ITC Avant Garde" w:hAnsi="ITC Avant Garde" w:cs="Arial"/>
          <w:color w:val="2F2F2F"/>
          <w:sz w:val="22"/>
          <w:szCs w:val="22"/>
        </w:rPr>
        <w:t>transferencia</w:t>
      </w:r>
      <w:r w:rsidR="001A7DC5" w:rsidRPr="001A7DC5">
        <w:rPr>
          <w:rFonts w:ascii="ITC Avant Garde" w:hAnsi="ITC Avant Garde" w:cs="Arial"/>
          <w:color w:val="2F2F2F"/>
          <w:sz w:val="22"/>
          <w:szCs w:val="22"/>
        </w:rPr>
        <w:t xml:space="preserve"> de datos</w:t>
      </w:r>
      <w:r w:rsidR="001C6764">
        <w:rPr>
          <w:rFonts w:ascii="ITC Avant Garde" w:hAnsi="ITC Avant Garde" w:cs="Arial"/>
          <w:color w:val="2F2F2F"/>
          <w:sz w:val="22"/>
          <w:szCs w:val="22"/>
        </w:rPr>
        <w:t xml:space="preserve"> (del inglés, </w:t>
      </w:r>
      <w:proofErr w:type="spellStart"/>
      <w:r w:rsidR="001C6764" w:rsidRPr="001C6764">
        <w:rPr>
          <w:rFonts w:ascii="ITC Avant Garde" w:hAnsi="ITC Avant Garde" w:cs="Arial"/>
          <w:i/>
          <w:color w:val="2F2F2F"/>
          <w:sz w:val="22"/>
          <w:szCs w:val="22"/>
        </w:rPr>
        <w:t>throughput</w:t>
      </w:r>
      <w:proofErr w:type="spellEnd"/>
      <w:r w:rsidR="001C6764">
        <w:rPr>
          <w:rFonts w:ascii="ITC Avant Garde" w:hAnsi="ITC Avant Garde" w:cs="Arial"/>
          <w:color w:val="2F2F2F"/>
          <w:sz w:val="22"/>
          <w:szCs w:val="22"/>
        </w:rPr>
        <w:t>)</w:t>
      </w:r>
      <w:r w:rsidR="001A7DC5" w:rsidRPr="001A7DC5">
        <w:rPr>
          <w:rFonts w:ascii="ITC Avant Garde" w:hAnsi="ITC Avant Garde" w:cs="Arial"/>
          <w:color w:val="2F2F2F"/>
          <w:sz w:val="22"/>
          <w:szCs w:val="22"/>
        </w:rPr>
        <w:t xml:space="preserve"> del enlace ascendente y descendente </w:t>
      </w:r>
      <w:r w:rsidR="001C6764">
        <w:rPr>
          <w:rFonts w:ascii="ITC Avant Garde" w:hAnsi="ITC Avant Garde" w:cs="Arial"/>
          <w:color w:val="2F2F2F"/>
          <w:sz w:val="22"/>
          <w:szCs w:val="22"/>
        </w:rPr>
        <w:t xml:space="preserve">los cuales fueron establecidos en el </w:t>
      </w:r>
      <w:r w:rsidR="00742A12">
        <w:rPr>
          <w:rFonts w:ascii="ITC Avant Garde" w:hAnsi="ITC Avant Garde" w:cs="Arial"/>
          <w:color w:val="2F2F2F"/>
          <w:sz w:val="22"/>
          <w:szCs w:val="22"/>
        </w:rPr>
        <w:t>Título de C</w:t>
      </w:r>
      <w:r w:rsidR="001C6764">
        <w:rPr>
          <w:rFonts w:ascii="ITC Avant Garde" w:hAnsi="ITC Avant Garde" w:cs="Arial"/>
          <w:color w:val="2F2F2F"/>
          <w:sz w:val="22"/>
          <w:szCs w:val="22"/>
        </w:rPr>
        <w:t>oncesión</w:t>
      </w:r>
      <w:r w:rsidR="00742A12">
        <w:rPr>
          <w:rFonts w:ascii="ITC Avant Garde" w:hAnsi="ITC Avant Garde" w:cs="Arial"/>
          <w:color w:val="2F2F2F"/>
          <w:sz w:val="22"/>
          <w:szCs w:val="22"/>
        </w:rPr>
        <w:t xml:space="preserve"> Mayorista</w:t>
      </w:r>
      <w:r w:rsidR="001C6764">
        <w:rPr>
          <w:rFonts w:ascii="ITC Avant Garde" w:hAnsi="ITC Avant Garde" w:cs="Arial"/>
          <w:color w:val="2F2F2F"/>
          <w:sz w:val="22"/>
          <w:szCs w:val="22"/>
        </w:rPr>
        <w:t xml:space="preserve"> como al menos</w:t>
      </w:r>
      <w:r w:rsidR="001A7DC5" w:rsidRPr="001A7DC5">
        <w:rPr>
          <w:rFonts w:ascii="ITC Avant Garde" w:hAnsi="ITC Avant Garde" w:cs="Arial"/>
          <w:color w:val="2F2F2F"/>
          <w:sz w:val="22"/>
          <w:szCs w:val="22"/>
        </w:rPr>
        <w:t xml:space="preserve"> 1 Megabit por segundo y 4 Megabits por segundo, respectivamente.</w:t>
      </w:r>
    </w:p>
    <w:p w:rsidR="00C4357A" w:rsidRDefault="008D3390" w:rsidP="00C4357A">
      <w:pPr>
        <w:pStyle w:val="Default"/>
        <w:tabs>
          <w:tab w:val="left" w:pos="0"/>
        </w:tabs>
        <w:spacing w:after="240" w:line="276" w:lineRule="auto"/>
        <w:jc w:val="both"/>
        <w:rPr>
          <w:rFonts w:ascii="ITC Avant Garde" w:hAnsi="ITC Avant Garde" w:cs="Arial"/>
          <w:color w:val="2F2F2F"/>
          <w:sz w:val="22"/>
          <w:szCs w:val="22"/>
        </w:rPr>
      </w:pPr>
      <w:r>
        <w:rPr>
          <w:rFonts w:ascii="ITC Avant Garde" w:hAnsi="ITC Avant Garde" w:cs="Arial"/>
          <w:color w:val="2F2F2F"/>
          <w:sz w:val="22"/>
          <w:szCs w:val="22"/>
        </w:rPr>
        <w:t xml:space="preserve">En una primera etapa, </w:t>
      </w:r>
      <w:r w:rsidR="006E74C2">
        <w:rPr>
          <w:rFonts w:ascii="ITC Avant Garde" w:hAnsi="ITC Avant Garde" w:cs="Arial"/>
          <w:color w:val="2F2F2F"/>
          <w:sz w:val="22"/>
          <w:szCs w:val="22"/>
        </w:rPr>
        <w:t xml:space="preserve">la metodología </w:t>
      </w:r>
      <w:r>
        <w:rPr>
          <w:rFonts w:ascii="ITC Avant Garde" w:hAnsi="ITC Avant Garde" w:cs="Arial"/>
          <w:color w:val="2F2F2F"/>
          <w:sz w:val="22"/>
          <w:szCs w:val="22"/>
        </w:rPr>
        <w:t xml:space="preserve">establece una verificación a nivel de gabinete a través de la cual </w:t>
      </w:r>
      <w:r w:rsidR="00E66E23">
        <w:rPr>
          <w:rFonts w:ascii="ITC Avant Garde" w:hAnsi="ITC Avant Garde" w:cs="Arial"/>
          <w:color w:val="2F2F2F"/>
          <w:sz w:val="22"/>
          <w:szCs w:val="22"/>
        </w:rPr>
        <w:t>se</w:t>
      </w:r>
      <w:r>
        <w:rPr>
          <w:rFonts w:ascii="ITC Avant Garde" w:hAnsi="ITC Avant Garde" w:cs="Arial"/>
          <w:color w:val="2F2F2F"/>
          <w:sz w:val="22"/>
          <w:szCs w:val="22"/>
        </w:rPr>
        <w:t xml:space="preserve"> determinará el porcentaje de cobertura poblacional alcanzado por el concesionario mayorista</w:t>
      </w:r>
      <w:r w:rsidR="00273BA8">
        <w:rPr>
          <w:rFonts w:ascii="ITC Avant Garde" w:hAnsi="ITC Avant Garde" w:cs="Arial"/>
          <w:color w:val="2F2F2F"/>
          <w:sz w:val="22"/>
          <w:szCs w:val="22"/>
        </w:rPr>
        <w:t xml:space="preserve"> mediante el uso de</w:t>
      </w:r>
      <w:r>
        <w:rPr>
          <w:rFonts w:ascii="ITC Avant Garde" w:hAnsi="ITC Avant Garde" w:cs="Arial"/>
          <w:color w:val="2F2F2F"/>
          <w:sz w:val="22"/>
          <w:szCs w:val="22"/>
        </w:rPr>
        <w:t xml:space="preserve"> </w:t>
      </w:r>
      <w:r w:rsidR="00273BA8">
        <w:rPr>
          <w:rFonts w:ascii="ITC Avant Garde" w:hAnsi="ITC Avant Garde" w:cs="Arial"/>
          <w:color w:val="2F2F2F"/>
          <w:sz w:val="22"/>
          <w:szCs w:val="22"/>
        </w:rPr>
        <w:t xml:space="preserve">los </w:t>
      </w:r>
      <w:r w:rsidR="006E74C2" w:rsidRPr="001A7DC5">
        <w:rPr>
          <w:rFonts w:ascii="ITC Avant Garde" w:hAnsi="ITC Avant Garde" w:cs="Arial"/>
          <w:color w:val="2F2F2F"/>
          <w:sz w:val="22"/>
          <w:szCs w:val="22"/>
        </w:rPr>
        <w:t>mapas de densidad pobla</w:t>
      </w:r>
      <w:r>
        <w:rPr>
          <w:rFonts w:ascii="ITC Avant Garde" w:hAnsi="ITC Avant Garde" w:cs="Arial"/>
          <w:color w:val="2F2F2F"/>
          <w:sz w:val="22"/>
          <w:szCs w:val="22"/>
        </w:rPr>
        <w:t>cional del territorio nacional</w:t>
      </w:r>
      <w:r w:rsidR="00273BA8">
        <w:rPr>
          <w:rFonts w:ascii="ITC Avant Garde" w:hAnsi="ITC Avant Garde" w:cs="Arial"/>
          <w:color w:val="2F2F2F"/>
          <w:sz w:val="22"/>
          <w:szCs w:val="22"/>
        </w:rPr>
        <w:t xml:space="preserve"> con que cuenta el Instituto</w:t>
      </w:r>
      <w:r w:rsidR="004C4B38">
        <w:rPr>
          <w:rFonts w:ascii="ITC Avant Garde" w:hAnsi="ITC Avant Garde" w:cs="Arial"/>
          <w:color w:val="2F2F2F"/>
          <w:sz w:val="22"/>
          <w:szCs w:val="22"/>
        </w:rPr>
        <w:t xml:space="preserve"> (y el concesionario mayorista)</w:t>
      </w:r>
      <w:r w:rsidR="00273BA8">
        <w:rPr>
          <w:rFonts w:ascii="ITC Avant Garde" w:hAnsi="ITC Avant Garde" w:cs="Arial"/>
          <w:color w:val="2F2F2F"/>
          <w:sz w:val="22"/>
          <w:szCs w:val="22"/>
        </w:rPr>
        <w:t xml:space="preserve"> y</w:t>
      </w:r>
      <w:r w:rsidR="004C4B38">
        <w:rPr>
          <w:rFonts w:ascii="ITC Avant Garde" w:hAnsi="ITC Avant Garde" w:cs="Arial"/>
          <w:color w:val="2F2F2F"/>
          <w:sz w:val="22"/>
          <w:szCs w:val="22"/>
        </w:rPr>
        <w:t>,</w:t>
      </w:r>
      <w:r w:rsidR="00273BA8">
        <w:rPr>
          <w:rFonts w:ascii="ITC Avant Garde" w:hAnsi="ITC Avant Garde" w:cs="Arial"/>
          <w:color w:val="2F2F2F"/>
          <w:sz w:val="22"/>
          <w:szCs w:val="22"/>
        </w:rPr>
        <w:t xml:space="preserve"> que</w:t>
      </w:r>
      <w:r>
        <w:rPr>
          <w:rFonts w:ascii="ITC Avant Garde" w:hAnsi="ITC Avant Garde" w:cs="Arial"/>
          <w:color w:val="2F2F2F"/>
          <w:sz w:val="22"/>
          <w:szCs w:val="22"/>
        </w:rPr>
        <w:t xml:space="preserve"> fueron </w:t>
      </w:r>
      <w:r w:rsidR="006E74C2" w:rsidRPr="001A7DC5">
        <w:rPr>
          <w:rFonts w:ascii="ITC Avant Garde" w:hAnsi="ITC Avant Garde" w:cs="Arial"/>
          <w:color w:val="2F2F2F"/>
          <w:sz w:val="22"/>
          <w:szCs w:val="22"/>
        </w:rPr>
        <w:t xml:space="preserve">generados a partir de la información </w:t>
      </w:r>
      <w:r w:rsidR="0034164E">
        <w:rPr>
          <w:rFonts w:ascii="ITC Avant Garde" w:hAnsi="ITC Avant Garde" w:cs="Arial"/>
          <w:color w:val="2F2F2F"/>
          <w:sz w:val="22"/>
          <w:szCs w:val="22"/>
        </w:rPr>
        <w:t>del</w:t>
      </w:r>
      <w:r w:rsidR="006E74C2" w:rsidRPr="001A7DC5">
        <w:rPr>
          <w:rFonts w:ascii="ITC Avant Garde" w:hAnsi="ITC Avant Garde" w:cs="Arial"/>
          <w:color w:val="2F2F2F"/>
          <w:sz w:val="22"/>
          <w:szCs w:val="22"/>
        </w:rPr>
        <w:t xml:space="preserve"> Censo </w:t>
      </w:r>
      <w:r w:rsidR="0034164E">
        <w:rPr>
          <w:rFonts w:ascii="ITC Avant Garde" w:hAnsi="ITC Avant Garde" w:cs="Arial"/>
          <w:color w:val="2F2F2F"/>
          <w:sz w:val="22"/>
          <w:szCs w:val="22"/>
        </w:rPr>
        <w:t xml:space="preserve">2010. </w:t>
      </w:r>
      <w:r w:rsidR="00273BA8">
        <w:rPr>
          <w:rFonts w:ascii="ITC Avant Garde" w:hAnsi="ITC Avant Garde" w:cs="Arial"/>
          <w:color w:val="2F2F2F"/>
          <w:sz w:val="22"/>
          <w:szCs w:val="22"/>
        </w:rPr>
        <w:t>Para esto</w:t>
      </w:r>
      <w:r w:rsidR="0034164E">
        <w:rPr>
          <w:rFonts w:ascii="ITC Avant Garde" w:hAnsi="ITC Avant Garde" w:cs="Arial"/>
          <w:color w:val="2F2F2F"/>
          <w:sz w:val="22"/>
          <w:szCs w:val="22"/>
        </w:rPr>
        <w:t>, se establece la obligación del concesionario mayorista de entregar</w:t>
      </w:r>
      <w:r w:rsidR="006E74C2" w:rsidRPr="001A7DC5">
        <w:rPr>
          <w:rFonts w:ascii="ITC Avant Garde" w:hAnsi="ITC Avant Garde" w:cs="Arial"/>
          <w:color w:val="2F2F2F"/>
          <w:sz w:val="22"/>
          <w:szCs w:val="22"/>
        </w:rPr>
        <w:t xml:space="preserve"> mapas </w:t>
      </w:r>
      <w:r w:rsidR="0034164E">
        <w:rPr>
          <w:rFonts w:ascii="ITC Avant Garde" w:hAnsi="ITC Avant Garde" w:cs="Arial"/>
          <w:color w:val="2F2F2F"/>
          <w:sz w:val="22"/>
          <w:szCs w:val="22"/>
        </w:rPr>
        <w:t xml:space="preserve">de cobertura que deberán reflejar el </w:t>
      </w:r>
      <w:r w:rsidR="00273BA8">
        <w:rPr>
          <w:rFonts w:ascii="ITC Avant Garde" w:hAnsi="ITC Avant Garde" w:cs="Arial"/>
          <w:color w:val="2F2F2F"/>
          <w:sz w:val="22"/>
          <w:szCs w:val="22"/>
        </w:rPr>
        <w:t>área</w:t>
      </w:r>
      <w:r w:rsidR="0034164E">
        <w:rPr>
          <w:rFonts w:ascii="ITC Avant Garde" w:hAnsi="ITC Avant Garde" w:cs="Arial"/>
          <w:color w:val="2F2F2F"/>
          <w:sz w:val="22"/>
          <w:szCs w:val="22"/>
        </w:rPr>
        <w:t xml:space="preserve"> geográfica donde el concesionario </w:t>
      </w:r>
      <w:r w:rsidR="00273BA8">
        <w:rPr>
          <w:rFonts w:ascii="ITC Avant Garde" w:hAnsi="ITC Avant Garde" w:cs="Arial"/>
          <w:color w:val="2F2F2F"/>
          <w:sz w:val="22"/>
          <w:szCs w:val="22"/>
        </w:rPr>
        <w:t>mayorista</w:t>
      </w:r>
      <w:r w:rsidR="0034164E">
        <w:rPr>
          <w:rFonts w:ascii="ITC Avant Garde" w:hAnsi="ITC Avant Garde" w:cs="Arial"/>
          <w:color w:val="2F2F2F"/>
          <w:sz w:val="22"/>
          <w:szCs w:val="22"/>
        </w:rPr>
        <w:t xml:space="preserve"> manifiesta que cumple con los parámetros de cobertura establecidos y que a su vez corresponde al porcentaje de población cubierta de acuerdo a lo establecido en su título de concesión</w:t>
      </w:r>
      <w:r w:rsidR="00292C96">
        <w:rPr>
          <w:rFonts w:ascii="ITC Avant Garde" w:hAnsi="ITC Avant Garde" w:cs="Arial"/>
          <w:color w:val="2F2F2F"/>
          <w:sz w:val="22"/>
          <w:szCs w:val="22"/>
        </w:rPr>
        <w:t>, mismos que se contrastarán con los del Instituto.</w:t>
      </w:r>
    </w:p>
    <w:p w:rsidR="00C4357A" w:rsidRDefault="0034164E" w:rsidP="00C4357A">
      <w:pPr>
        <w:pStyle w:val="Default"/>
        <w:tabs>
          <w:tab w:val="left" w:pos="0"/>
        </w:tabs>
        <w:spacing w:after="240" w:line="276" w:lineRule="auto"/>
        <w:jc w:val="both"/>
        <w:rPr>
          <w:rFonts w:ascii="ITC Avant Garde" w:hAnsi="ITC Avant Garde" w:cs="Arial"/>
          <w:color w:val="2F2F2F"/>
          <w:sz w:val="22"/>
          <w:szCs w:val="22"/>
        </w:rPr>
      </w:pPr>
      <w:r>
        <w:rPr>
          <w:rFonts w:ascii="ITC Avant Garde" w:hAnsi="ITC Avant Garde" w:cs="Arial"/>
          <w:color w:val="2F2F2F"/>
          <w:sz w:val="22"/>
          <w:szCs w:val="22"/>
        </w:rPr>
        <w:t xml:space="preserve">En la segunda etapa, la metodología </w:t>
      </w:r>
      <w:r w:rsidR="004C4B38">
        <w:rPr>
          <w:rFonts w:ascii="ITC Avant Garde" w:hAnsi="ITC Avant Garde" w:cs="Arial"/>
          <w:color w:val="2F2F2F"/>
          <w:sz w:val="22"/>
          <w:szCs w:val="22"/>
        </w:rPr>
        <w:t>establece</w:t>
      </w:r>
      <w:r>
        <w:rPr>
          <w:rFonts w:ascii="ITC Avant Garde" w:hAnsi="ITC Avant Garde" w:cs="Arial"/>
          <w:color w:val="2F2F2F"/>
          <w:sz w:val="22"/>
          <w:szCs w:val="22"/>
        </w:rPr>
        <w:t xml:space="preserve"> l</w:t>
      </w:r>
      <w:r w:rsidR="001A7DC5" w:rsidRPr="001A7DC5">
        <w:rPr>
          <w:rFonts w:ascii="ITC Avant Garde" w:hAnsi="ITC Avant Garde" w:cs="Arial"/>
          <w:color w:val="2F2F2F"/>
          <w:sz w:val="22"/>
          <w:szCs w:val="22"/>
        </w:rPr>
        <w:t xml:space="preserve">a </w:t>
      </w:r>
      <w:r w:rsidR="009A4A01">
        <w:rPr>
          <w:rFonts w:ascii="ITC Avant Garde" w:hAnsi="ITC Avant Garde" w:cs="Arial"/>
          <w:color w:val="2F2F2F"/>
          <w:sz w:val="22"/>
          <w:szCs w:val="22"/>
        </w:rPr>
        <w:t>evaluación</w:t>
      </w:r>
      <w:r w:rsidR="001A7DC5" w:rsidRPr="001A7DC5">
        <w:rPr>
          <w:rFonts w:ascii="ITC Avant Garde" w:hAnsi="ITC Avant Garde" w:cs="Arial"/>
          <w:color w:val="2F2F2F"/>
          <w:sz w:val="22"/>
          <w:szCs w:val="22"/>
        </w:rPr>
        <w:t xml:space="preserve"> de </w:t>
      </w:r>
      <w:r>
        <w:rPr>
          <w:rFonts w:ascii="ITC Avant Garde" w:hAnsi="ITC Avant Garde" w:cs="Arial"/>
          <w:color w:val="2F2F2F"/>
          <w:sz w:val="22"/>
          <w:szCs w:val="22"/>
        </w:rPr>
        <w:t>los</w:t>
      </w:r>
      <w:r w:rsidR="001A7DC5" w:rsidRPr="001A7DC5">
        <w:rPr>
          <w:rFonts w:ascii="ITC Avant Garde" w:hAnsi="ITC Avant Garde" w:cs="Arial"/>
          <w:color w:val="2F2F2F"/>
          <w:sz w:val="22"/>
          <w:szCs w:val="22"/>
        </w:rPr>
        <w:t xml:space="preserve"> parámetros de cobertura a partir de la realización de mediciones en cam</w:t>
      </w:r>
      <w:r>
        <w:rPr>
          <w:rFonts w:ascii="ITC Avant Garde" w:hAnsi="ITC Avant Garde" w:cs="Arial"/>
          <w:color w:val="2F2F2F"/>
          <w:sz w:val="22"/>
          <w:szCs w:val="22"/>
        </w:rPr>
        <w:t>po, las cuales se llevarán a cabo durante la hora</w:t>
      </w:r>
      <w:r w:rsidR="001A7DC5" w:rsidRPr="001A7DC5">
        <w:rPr>
          <w:rFonts w:ascii="ITC Avant Garde" w:hAnsi="ITC Avant Garde" w:cs="Arial"/>
          <w:color w:val="2F2F2F"/>
          <w:sz w:val="22"/>
          <w:szCs w:val="22"/>
        </w:rPr>
        <w:t xml:space="preserve"> pico de la red</w:t>
      </w:r>
      <w:r>
        <w:rPr>
          <w:rFonts w:ascii="ITC Avant Garde" w:hAnsi="ITC Avant Garde" w:cs="Arial"/>
          <w:color w:val="2F2F2F"/>
          <w:sz w:val="22"/>
          <w:szCs w:val="22"/>
        </w:rPr>
        <w:t xml:space="preserve"> y por borde de cobertura</w:t>
      </w:r>
      <w:r w:rsidR="001A7DC5" w:rsidRPr="001A7DC5">
        <w:rPr>
          <w:rFonts w:ascii="ITC Avant Garde" w:hAnsi="ITC Avant Garde" w:cs="Arial"/>
          <w:color w:val="2F2F2F"/>
          <w:sz w:val="22"/>
          <w:szCs w:val="22"/>
        </w:rPr>
        <w:t>.</w:t>
      </w:r>
      <w:r w:rsidR="009A4A01">
        <w:rPr>
          <w:rFonts w:ascii="ITC Avant Garde" w:hAnsi="ITC Avant Garde" w:cs="Arial"/>
          <w:color w:val="2F2F2F"/>
          <w:sz w:val="22"/>
          <w:szCs w:val="22"/>
        </w:rPr>
        <w:t xml:space="preserve"> Para tales efectos, la </w:t>
      </w:r>
      <w:r w:rsidR="009A4A01">
        <w:rPr>
          <w:rFonts w:ascii="ITC Avant Garde" w:hAnsi="ITC Avant Garde" w:cs="Arial"/>
          <w:color w:val="2F2F2F"/>
          <w:sz w:val="22"/>
          <w:szCs w:val="22"/>
        </w:rPr>
        <w:lastRenderedPageBreak/>
        <w:t>metodología define el procedimiento para el cálculo de la hora pico de la red a partir de la identificación de los dos periodos</w:t>
      </w:r>
      <w:r w:rsidR="000369A0">
        <w:rPr>
          <w:rFonts w:ascii="ITC Avant Garde" w:hAnsi="ITC Avant Garde" w:cs="Arial"/>
          <w:color w:val="2F2F2F"/>
          <w:sz w:val="22"/>
          <w:szCs w:val="22"/>
        </w:rPr>
        <w:t>, con duración de</w:t>
      </w:r>
      <w:r w:rsidR="009A4A01">
        <w:rPr>
          <w:rFonts w:ascii="ITC Avant Garde" w:hAnsi="ITC Avant Garde" w:cs="Arial"/>
          <w:color w:val="2F2F2F"/>
          <w:sz w:val="22"/>
          <w:szCs w:val="22"/>
        </w:rPr>
        <w:t xml:space="preserve"> una hora</w:t>
      </w:r>
      <w:r w:rsidR="000369A0">
        <w:rPr>
          <w:rFonts w:ascii="ITC Avant Garde" w:hAnsi="ITC Avant Garde" w:cs="Arial"/>
          <w:color w:val="2F2F2F"/>
          <w:sz w:val="22"/>
          <w:szCs w:val="22"/>
        </w:rPr>
        <w:t>,</w:t>
      </w:r>
      <w:r w:rsidR="009A4A01">
        <w:rPr>
          <w:rFonts w:ascii="ITC Avant Garde" w:hAnsi="ITC Avant Garde" w:cs="Arial"/>
          <w:color w:val="2F2F2F"/>
          <w:sz w:val="22"/>
          <w:szCs w:val="22"/>
        </w:rPr>
        <w:t xml:space="preserve"> donde la red experimenta, en promedio, el mayor tráfico durante el día. Dicho cálculo contempla la </w:t>
      </w:r>
      <w:r w:rsidR="009A4A01" w:rsidRPr="001A7DC5">
        <w:rPr>
          <w:rFonts w:ascii="ITC Avant Garde" w:hAnsi="ITC Avant Garde" w:cs="Arial"/>
          <w:color w:val="2F2F2F"/>
          <w:sz w:val="22"/>
          <w:szCs w:val="22"/>
        </w:rPr>
        <w:t xml:space="preserve">entrega de </w:t>
      </w:r>
      <w:r w:rsidR="009A4A01">
        <w:rPr>
          <w:rFonts w:ascii="ITC Avant Garde" w:hAnsi="ITC Avant Garde" w:cs="Arial"/>
          <w:color w:val="2F2F2F"/>
          <w:sz w:val="22"/>
          <w:szCs w:val="22"/>
        </w:rPr>
        <w:t>información</w:t>
      </w:r>
      <w:r w:rsidR="006A24FC">
        <w:rPr>
          <w:rFonts w:ascii="ITC Avant Garde" w:hAnsi="ITC Avant Garde" w:cs="Arial"/>
          <w:color w:val="2F2F2F"/>
          <w:sz w:val="22"/>
          <w:szCs w:val="22"/>
        </w:rPr>
        <w:t xml:space="preserve"> de tráfico</w:t>
      </w:r>
      <w:r w:rsidR="009A4A01">
        <w:rPr>
          <w:rFonts w:ascii="ITC Avant Garde" w:hAnsi="ITC Avant Garde" w:cs="Arial"/>
          <w:color w:val="2F2F2F"/>
          <w:sz w:val="22"/>
          <w:szCs w:val="22"/>
        </w:rPr>
        <w:t xml:space="preserve"> generada y extraí</w:t>
      </w:r>
      <w:r w:rsidR="006A24FC">
        <w:rPr>
          <w:rFonts w:ascii="ITC Avant Garde" w:hAnsi="ITC Avant Garde" w:cs="Arial"/>
          <w:color w:val="2F2F2F"/>
          <w:sz w:val="22"/>
          <w:szCs w:val="22"/>
        </w:rPr>
        <w:t>da directamente de los sistemas de gestión de la</w:t>
      </w:r>
      <w:r w:rsidR="009A4A01">
        <w:rPr>
          <w:rFonts w:ascii="ITC Avant Garde" w:hAnsi="ITC Avant Garde" w:cs="Arial"/>
          <w:color w:val="2F2F2F"/>
          <w:sz w:val="22"/>
          <w:szCs w:val="22"/>
        </w:rPr>
        <w:t xml:space="preserve"> red del concesionario mayorista</w:t>
      </w:r>
      <w:r w:rsidR="006A24FC">
        <w:rPr>
          <w:rFonts w:ascii="ITC Avant Garde" w:hAnsi="ITC Avant Garde" w:cs="Arial"/>
          <w:color w:val="2F2F2F"/>
          <w:sz w:val="22"/>
          <w:szCs w:val="22"/>
        </w:rPr>
        <w:t xml:space="preserve">. De esta manera, </w:t>
      </w:r>
      <w:r w:rsidR="00E66E23">
        <w:rPr>
          <w:rFonts w:ascii="ITC Avant Garde" w:hAnsi="ITC Avant Garde" w:cs="Arial"/>
          <w:color w:val="2F2F2F"/>
          <w:sz w:val="22"/>
          <w:szCs w:val="22"/>
        </w:rPr>
        <w:t>se</w:t>
      </w:r>
      <w:r w:rsidR="009A4A01" w:rsidRPr="001A7DC5">
        <w:rPr>
          <w:rFonts w:ascii="ITC Avant Garde" w:hAnsi="ITC Avant Garde" w:cs="Arial"/>
          <w:color w:val="2F2F2F"/>
          <w:sz w:val="22"/>
          <w:szCs w:val="22"/>
        </w:rPr>
        <w:t xml:space="preserve"> </w:t>
      </w:r>
      <w:r w:rsidR="006A24FC">
        <w:rPr>
          <w:rFonts w:ascii="ITC Avant Garde" w:hAnsi="ITC Avant Garde" w:cs="Arial"/>
          <w:color w:val="2F2F2F"/>
          <w:sz w:val="22"/>
          <w:szCs w:val="22"/>
        </w:rPr>
        <w:t>estará en posibilidad de</w:t>
      </w:r>
      <w:r w:rsidR="009A4A01">
        <w:rPr>
          <w:rFonts w:ascii="ITC Avant Garde" w:hAnsi="ITC Avant Garde" w:cs="Arial"/>
          <w:color w:val="2F2F2F"/>
          <w:sz w:val="22"/>
          <w:szCs w:val="22"/>
        </w:rPr>
        <w:t xml:space="preserve"> </w:t>
      </w:r>
      <w:r w:rsidR="009A4A01" w:rsidRPr="001A7DC5">
        <w:rPr>
          <w:rFonts w:ascii="ITC Avant Garde" w:hAnsi="ITC Avant Garde" w:cs="Arial"/>
          <w:color w:val="2F2F2F"/>
          <w:sz w:val="22"/>
          <w:szCs w:val="22"/>
        </w:rPr>
        <w:t xml:space="preserve">identificar la hora pico de la red a partir de un análisis </w:t>
      </w:r>
      <w:r w:rsidR="006A24FC">
        <w:rPr>
          <w:rFonts w:ascii="ITC Avant Garde" w:hAnsi="ITC Avant Garde" w:cs="Arial"/>
          <w:color w:val="2F2F2F"/>
          <w:sz w:val="22"/>
          <w:szCs w:val="22"/>
        </w:rPr>
        <w:t xml:space="preserve">estadístico </w:t>
      </w:r>
      <w:r w:rsidR="009A4A01" w:rsidRPr="001A7DC5">
        <w:rPr>
          <w:rFonts w:ascii="ITC Avant Garde" w:hAnsi="ITC Avant Garde" w:cs="Arial"/>
          <w:color w:val="2F2F2F"/>
          <w:sz w:val="22"/>
          <w:szCs w:val="22"/>
        </w:rPr>
        <w:t>de</w:t>
      </w:r>
      <w:r w:rsidR="009A4A01">
        <w:rPr>
          <w:rFonts w:ascii="ITC Avant Garde" w:hAnsi="ITC Avant Garde" w:cs="Arial"/>
          <w:color w:val="2F2F2F"/>
          <w:sz w:val="22"/>
          <w:szCs w:val="22"/>
        </w:rPr>
        <w:t xml:space="preserve"> </w:t>
      </w:r>
      <w:r w:rsidR="009A4A01" w:rsidRPr="001A7DC5">
        <w:rPr>
          <w:rFonts w:ascii="ITC Avant Garde" w:hAnsi="ITC Avant Garde" w:cs="Arial"/>
          <w:color w:val="2F2F2F"/>
          <w:sz w:val="22"/>
          <w:szCs w:val="22"/>
        </w:rPr>
        <w:t>l</w:t>
      </w:r>
      <w:r w:rsidR="009A4A01">
        <w:rPr>
          <w:rFonts w:ascii="ITC Avant Garde" w:hAnsi="ITC Avant Garde" w:cs="Arial"/>
          <w:color w:val="2F2F2F"/>
          <w:sz w:val="22"/>
          <w:szCs w:val="22"/>
        </w:rPr>
        <w:t>os datos</w:t>
      </w:r>
      <w:r w:rsidR="006A24FC">
        <w:rPr>
          <w:rFonts w:ascii="ITC Avant Garde" w:hAnsi="ITC Avant Garde" w:cs="Arial"/>
          <w:color w:val="2F2F2F"/>
          <w:sz w:val="22"/>
          <w:szCs w:val="22"/>
        </w:rPr>
        <w:t xml:space="preserve"> </w:t>
      </w:r>
      <w:r w:rsidR="009A4A01">
        <w:rPr>
          <w:rFonts w:ascii="ITC Avant Garde" w:hAnsi="ITC Avant Garde" w:cs="Arial"/>
          <w:color w:val="2F2F2F"/>
          <w:sz w:val="22"/>
          <w:szCs w:val="22"/>
        </w:rPr>
        <w:t>de</w:t>
      </w:r>
      <w:r w:rsidR="009A4A01" w:rsidRPr="001A7DC5">
        <w:rPr>
          <w:rFonts w:ascii="ITC Avant Garde" w:hAnsi="ITC Avant Garde" w:cs="Arial"/>
          <w:color w:val="2F2F2F"/>
          <w:sz w:val="22"/>
          <w:szCs w:val="22"/>
        </w:rPr>
        <w:t xml:space="preserve"> tráfico. </w:t>
      </w:r>
    </w:p>
    <w:p w:rsidR="00C4357A" w:rsidRDefault="006A24FC" w:rsidP="00C4357A">
      <w:pPr>
        <w:pStyle w:val="Default"/>
        <w:tabs>
          <w:tab w:val="left" w:pos="0"/>
        </w:tabs>
        <w:spacing w:after="240" w:line="276" w:lineRule="auto"/>
        <w:jc w:val="both"/>
        <w:rPr>
          <w:rFonts w:ascii="ITC Avant Garde" w:hAnsi="ITC Avant Garde" w:cs="Arial"/>
          <w:color w:val="2F2F2F"/>
          <w:sz w:val="22"/>
          <w:szCs w:val="22"/>
        </w:rPr>
      </w:pPr>
      <w:r>
        <w:rPr>
          <w:rFonts w:ascii="ITC Avant Garde" w:hAnsi="ITC Avant Garde" w:cs="Arial"/>
          <w:color w:val="2F2F2F"/>
          <w:sz w:val="22"/>
          <w:szCs w:val="22"/>
        </w:rPr>
        <w:t xml:space="preserve">Por otro lado, la metodología define el borde de cobertura como el </w:t>
      </w:r>
      <w:r w:rsidR="00273BA8">
        <w:rPr>
          <w:rFonts w:ascii="ITC Avant Garde" w:hAnsi="ITC Avant Garde" w:cs="Arial"/>
          <w:color w:val="2F2F2F"/>
          <w:sz w:val="22"/>
          <w:szCs w:val="22"/>
        </w:rPr>
        <w:t>área</w:t>
      </w:r>
      <w:r>
        <w:rPr>
          <w:rFonts w:ascii="ITC Avant Garde" w:hAnsi="ITC Avant Garde" w:cs="Arial"/>
          <w:color w:val="2F2F2F"/>
          <w:sz w:val="22"/>
          <w:szCs w:val="22"/>
        </w:rPr>
        <w:t xml:space="preserve"> geográfica que corresponde a la intersección del mapa de cobertura entregado por el concesionario mayorista y los polígono</w:t>
      </w:r>
      <w:r w:rsidR="00EB0CDD">
        <w:rPr>
          <w:rFonts w:ascii="ITC Avant Garde" w:hAnsi="ITC Avant Garde" w:cs="Arial"/>
          <w:color w:val="2F2F2F"/>
          <w:sz w:val="22"/>
          <w:szCs w:val="22"/>
        </w:rPr>
        <w:t>s de las localidades establecido</w:t>
      </w:r>
      <w:r>
        <w:rPr>
          <w:rFonts w:ascii="ITC Avant Garde" w:hAnsi="ITC Avant Garde" w:cs="Arial"/>
          <w:color w:val="2F2F2F"/>
          <w:sz w:val="22"/>
          <w:szCs w:val="22"/>
        </w:rPr>
        <w:t>s por el INEGI.</w:t>
      </w:r>
      <w:r w:rsidR="00A30979">
        <w:rPr>
          <w:rFonts w:ascii="ITC Avant Garde" w:hAnsi="ITC Avant Garde" w:cs="Arial"/>
          <w:color w:val="2F2F2F"/>
          <w:sz w:val="22"/>
          <w:szCs w:val="22"/>
        </w:rPr>
        <w:t xml:space="preserve"> Para tales efectos, se consultaron las bases de datos de dichos polígonos publicadas por el INEGI y disponibles hasta el momento de la elaboración de la </w:t>
      </w:r>
      <w:r w:rsidR="00A04A67">
        <w:rPr>
          <w:rFonts w:ascii="ITC Avant Garde" w:hAnsi="ITC Avant Garde" w:cs="Arial"/>
          <w:color w:val="2F2F2F"/>
          <w:sz w:val="22"/>
          <w:szCs w:val="22"/>
        </w:rPr>
        <w:t xml:space="preserve">presente </w:t>
      </w:r>
      <w:r w:rsidR="00A30979">
        <w:rPr>
          <w:rFonts w:ascii="ITC Avant Garde" w:hAnsi="ITC Avant Garde" w:cs="Arial"/>
          <w:color w:val="2F2F2F"/>
          <w:sz w:val="22"/>
          <w:szCs w:val="22"/>
        </w:rPr>
        <w:t>metodología</w:t>
      </w:r>
      <w:r w:rsidR="00EB0CDD">
        <w:rPr>
          <w:rFonts w:ascii="ITC Avant Garde" w:hAnsi="ITC Avant Garde" w:cs="Arial"/>
          <w:color w:val="2F2F2F"/>
          <w:sz w:val="22"/>
          <w:szCs w:val="22"/>
        </w:rPr>
        <w:t>. Al respecto, se</w:t>
      </w:r>
      <w:r w:rsidR="00A30979">
        <w:rPr>
          <w:rFonts w:ascii="ITC Avant Garde" w:hAnsi="ITC Avant Garde" w:cs="Arial"/>
          <w:color w:val="2F2F2F"/>
          <w:sz w:val="22"/>
          <w:szCs w:val="22"/>
        </w:rPr>
        <w:t xml:space="preserve"> encontr</w:t>
      </w:r>
      <w:r w:rsidR="00EB0CDD">
        <w:rPr>
          <w:rFonts w:ascii="ITC Avant Garde" w:hAnsi="ITC Avant Garde" w:cs="Arial"/>
          <w:color w:val="2F2F2F"/>
          <w:sz w:val="22"/>
          <w:szCs w:val="22"/>
        </w:rPr>
        <w:t>ó</w:t>
      </w:r>
      <w:r w:rsidR="00A30979">
        <w:rPr>
          <w:rFonts w:ascii="ITC Avant Garde" w:hAnsi="ITC Avant Garde" w:cs="Arial"/>
          <w:color w:val="2F2F2F"/>
          <w:sz w:val="22"/>
          <w:szCs w:val="22"/>
        </w:rPr>
        <w:t xml:space="preserve"> la publicación correspondiente al mes de enero de 2017</w:t>
      </w:r>
      <w:r w:rsidR="00A30979">
        <w:rPr>
          <w:rStyle w:val="Refdenotaalpie"/>
          <w:rFonts w:ascii="ITC Avant Garde" w:hAnsi="ITC Avant Garde" w:cs="Arial"/>
          <w:color w:val="2F2F2F"/>
          <w:sz w:val="22"/>
          <w:szCs w:val="22"/>
        </w:rPr>
        <w:footnoteReference w:id="1"/>
      </w:r>
      <w:r w:rsidR="003731EC">
        <w:rPr>
          <w:rFonts w:ascii="ITC Avant Garde" w:hAnsi="ITC Avant Garde" w:cs="Arial"/>
          <w:color w:val="2F2F2F"/>
          <w:sz w:val="22"/>
          <w:szCs w:val="22"/>
        </w:rPr>
        <w:t xml:space="preserve">, la cual contiene polígonos para </w:t>
      </w:r>
      <w:r w:rsidR="002E534B">
        <w:rPr>
          <w:rFonts w:ascii="ITC Avant Garde" w:hAnsi="ITC Avant Garde" w:cs="Arial"/>
          <w:color w:val="2F2F2F"/>
          <w:sz w:val="22"/>
          <w:szCs w:val="22"/>
        </w:rPr>
        <w:t>49,</w:t>
      </w:r>
      <w:r w:rsidR="002E534B" w:rsidRPr="002E534B">
        <w:rPr>
          <w:rFonts w:ascii="ITC Avant Garde" w:hAnsi="ITC Avant Garde" w:cs="Arial"/>
          <w:color w:val="2F2F2F"/>
          <w:sz w:val="22"/>
          <w:szCs w:val="22"/>
        </w:rPr>
        <w:t xml:space="preserve">460 </w:t>
      </w:r>
      <w:r w:rsidR="003731EC">
        <w:rPr>
          <w:rFonts w:ascii="ITC Avant Garde" w:hAnsi="ITC Avant Garde" w:cs="Arial"/>
          <w:color w:val="2F2F2F"/>
          <w:sz w:val="22"/>
          <w:szCs w:val="22"/>
        </w:rPr>
        <w:t>localidades urbanas y rurales</w:t>
      </w:r>
      <w:r w:rsidR="007C79A7">
        <w:rPr>
          <w:rFonts w:ascii="ITC Avant Garde" w:hAnsi="ITC Avant Garde" w:cs="Arial"/>
          <w:color w:val="2F2F2F"/>
          <w:sz w:val="22"/>
          <w:szCs w:val="22"/>
        </w:rPr>
        <w:t xml:space="preserve"> de acuerdo a la clasificación realizada por </w:t>
      </w:r>
      <w:r w:rsidR="00EB0CDD">
        <w:rPr>
          <w:rFonts w:ascii="ITC Avant Garde" w:hAnsi="ITC Avant Garde" w:cs="Arial"/>
          <w:color w:val="2F2F2F"/>
          <w:sz w:val="22"/>
          <w:szCs w:val="22"/>
        </w:rPr>
        <w:t>INEGI</w:t>
      </w:r>
      <w:r w:rsidR="007C79A7">
        <w:rPr>
          <w:rFonts w:ascii="ITC Avant Garde" w:hAnsi="ITC Avant Garde" w:cs="Arial"/>
          <w:color w:val="2F2F2F"/>
          <w:sz w:val="22"/>
          <w:szCs w:val="22"/>
        </w:rPr>
        <w:t>.</w:t>
      </w:r>
      <w:r w:rsidR="00A04A67">
        <w:rPr>
          <w:rFonts w:ascii="ITC Avant Garde" w:hAnsi="ITC Avant Garde" w:cs="Arial"/>
          <w:color w:val="2F2F2F"/>
          <w:sz w:val="22"/>
          <w:szCs w:val="22"/>
        </w:rPr>
        <w:t xml:space="preserve"> Dado que </w:t>
      </w:r>
      <w:r w:rsidR="00742A12">
        <w:rPr>
          <w:rFonts w:ascii="ITC Avant Garde" w:hAnsi="ITC Avant Garde" w:cs="Arial"/>
          <w:color w:val="2F2F2F"/>
          <w:sz w:val="22"/>
          <w:szCs w:val="22"/>
        </w:rPr>
        <w:t>el T</w:t>
      </w:r>
      <w:r w:rsidR="00A04A67">
        <w:rPr>
          <w:rFonts w:ascii="ITC Avant Garde" w:hAnsi="ITC Avant Garde" w:cs="Arial"/>
          <w:color w:val="2F2F2F"/>
          <w:sz w:val="22"/>
          <w:szCs w:val="22"/>
        </w:rPr>
        <w:t>í</w:t>
      </w:r>
      <w:r w:rsidR="00742A12">
        <w:rPr>
          <w:rFonts w:ascii="ITC Avant Garde" w:hAnsi="ITC Avant Garde" w:cs="Arial"/>
          <w:color w:val="2F2F2F"/>
          <w:sz w:val="22"/>
          <w:szCs w:val="22"/>
        </w:rPr>
        <w:t>tulo de C</w:t>
      </w:r>
      <w:r w:rsidR="00A04A67">
        <w:rPr>
          <w:rFonts w:ascii="ITC Avant Garde" w:hAnsi="ITC Avant Garde" w:cs="Arial"/>
          <w:color w:val="2F2F2F"/>
          <w:sz w:val="22"/>
          <w:szCs w:val="22"/>
        </w:rPr>
        <w:t>oncesión</w:t>
      </w:r>
      <w:r w:rsidR="00742A12">
        <w:rPr>
          <w:rFonts w:ascii="ITC Avant Garde" w:hAnsi="ITC Avant Garde" w:cs="Arial"/>
          <w:color w:val="2F2F2F"/>
          <w:sz w:val="22"/>
          <w:szCs w:val="22"/>
        </w:rPr>
        <w:t xml:space="preserve"> </w:t>
      </w:r>
      <w:r w:rsidR="00273BA8">
        <w:rPr>
          <w:rFonts w:ascii="ITC Avant Garde" w:hAnsi="ITC Avant Garde" w:cs="Arial"/>
          <w:color w:val="2F2F2F"/>
          <w:sz w:val="22"/>
          <w:szCs w:val="22"/>
        </w:rPr>
        <w:t>Mayorista establece</w:t>
      </w:r>
      <w:r w:rsidR="00A04A67">
        <w:rPr>
          <w:rFonts w:ascii="ITC Avant Garde" w:hAnsi="ITC Avant Garde" w:cs="Arial"/>
          <w:color w:val="2F2F2F"/>
          <w:sz w:val="22"/>
          <w:szCs w:val="22"/>
        </w:rPr>
        <w:t xml:space="preserve"> que para el cumplimiento de las obligaciones de cobertura habrá de tomarse en cuenta el Censo 2010, se llevó a cabo un filtro a los polígonos disponibles dejando solamente aquéllos que corresponden a local</w:t>
      </w:r>
      <w:r w:rsidR="001A2AEA">
        <w:rPr>
          <w:rFonts w:ascii="ITC Avant Garde" w:hAnsi="ITC Avant Garde" w:cs="Arial"/>
          <w:color w:val="2F2F2F"/>
          <w:sz w:val="22"/>
          <w:szCs w:val="22"/>
        </w:rPr>
        <w:t>idades que se encuentran en el C</w:t>
      </w:r>
      <w:r w:rsidR="00A04A67">
        <w:rPr>
          <w:rFonts w:ascii="ITC Avant Garde" w:hAnsi="ITC Avant Garde" w:cs="Arial"/>
          <w:color w:val="2F2F2F"/>
          <w:sz w:val="22"/>
          <w:szCs w:val="22"/>
        </w:rPr>
        <w:t>enso 2010. Por lo tanto, la definición de borde de cobertura estará sujeta a dicha información durante el periodo de evaluación de las obligaciones de cobertura establecido en la condición 10.3 del</w:t>
      </w:r>
      <w:r w:rsidR="001A2AEA">
        <w:rPr>
          <w:rFonts w:ascii="ITC Avant Garde" w:hAnsi="ITC Avant Garde" w:cs="Arial"/>
          <w:color w:val="2F2F2F"/>
          <w:sz w:val="22"/>
          <w:szCs w:val="22"/>
        </w:rPr>
        <w:t xml:space="preserve"> Título de Concesión Mayorista</w:t>
      </w:r>
      <w:r w:rsidR="00A04A67">
        <w:rPr>
          <w:rFonts w:ascii="ITC Avant Garde" w:hAnsi="ITC Avant Garde" w:cs="Arial"/>
          <w:color w:val="2F2F2F"/>
          <w:sz w:val="22"/>
          <w:szCs w:val="22"/>
        </w:rPr>
        <w:t>.</w:t>
      </w:r>
    </w:p>
    <w:p w:rsidR="00C4357A" w:rsidRDefault="001A7DC5" w:rsidP="00C4357A">
      <w:pPr>
        <w:pStyle w:val="Default"/>
        <w:tabs>
          <w:tab w:val="left" w:pos="0"/>
        </w:tabs>
        <w:spacing w:after="240" w:line="276" w:lineRule="auto"/>
        <w:jc w:val="both"/>
        <w:rPr>
          <w:rFonts w:ascii="ITC Avant Garde" w:hAnsi="ITC Avant Garde" w:cs="Arial"/>
          <w:color w:val="2F2F2F"/>
          <w:sz w:val="22"/>
          <w:szCs w:val="22"/>
        </w:rPr>
      </w:pPr>
      <w:r w:rsidRPr="001A7DC5">
        <w:rPr>
          <w:rFonts w:ascii="ITC Avant Garde" w:hAnsi="ITC Avant Garde" w:cs="Arial"/>
          <w:color w:val="2F2F2F"/>
          <w:sz w:val="22"/>
          <w:szCs w:val="22"/>
        </w:rPr>
        <w:t xml:space="preserve">Para llevar a cabo las mediciones </w:t>
      </w:r>
      <w:r w:rsidR="00A30979">
        <w:rPr>
          <w:rFonts w:ascii="ITC Avant Garde" w:hAnsi="ITC Avant Garde" w:cs="Arial"/>
          <w:color w:val="2F2F2F"/>
          <w:sz w:val="22"/>
          <w:szCs w:val="22"/>
        </w:rPr>
        <w:t>en campo</w:t>
      </w:r>
      <w:r w:rsidRPr="001A7DC5">
        <w:rPr>
          <w:rFonts w:ascii="ITC Avant Garde" w:hAnsi="ITC Avant Garde" w:cs="Arial"/>
          <w:color w:val="2F2F2F"/>
          <w:sz w:val="22"/>
          <w:szCs w:val="22"/>
        </w:rPr>
        <w:t xml:space="preserve"> se </w:t>
      </w:r>
      <w:proofErr w:type="gramStart"/>
      <w:r w:rsidRPr="001A7DC5">
        <w:rPr>
          <w:rFonts w:ascii="ITC Avant Garde" w:hAnsi="ITC Avant Garde" w:cs="Arial"/>
          <w:color w:val="2F2F2F"/>
          <w:sz w:val="22"/>
          <w:szCs w:val="22"/>
        </w:rPr>
        <w:t>utilizará</w:t>
      </w:r>
      <w:proofErr w:type="gramEnd"/>
      <w:r w:rsidRPr="001A7DC5">
        <w:rPr>
          <w:rFonts w:ascii="ITC Avant Garde" w:hAnsi="ITC Avant Garde" w:cs="Arial"/>
          <w:color w:val="2F2F2F"/>
          <w:sz w:val="22"/>
          <w:szCs w:val="22"/>
        </w:rPr>
        <w:t xml:space="preserve"> un equipo estándar de medición de redes celulares a través del cual se realizará una tarea programada que ejecute la transferencia de un archivo no comprimible.</w:t>
      </w:r>
      <w:r w:rsidR="00842F77">
        <w:rPr>
          <w:rFonts w:ascii="ITC Avant Garde" w:hAnsi="ITC Avant Garde" w:cs="Arial"/>
          <w:color w:val="2F2F2F"/>
          <w:sz w:val="22"/>
          <w:szCs w:val="22"/>
        </w:rPr>
        <w:t xml:space="preserve"> La metodología plantea las características y requerimientos que dicho equipo habrá de cumplir.</w:t>
      </w:r>
      <w:r w:rsidRPr="001A7DC5">
        <w:rPr>
          <w:rFonts w:ascii="ITC Avant Garde" w:hAnsi="ITC Avant Garde" w:cs="Arial"/>
          <w:color w:val="2F2F2F"/>
          <w:sz w:val="22"/>
          <w:szCs w:val="22"/>
        </w:rPr>
        <w:t xml:space="preserve"> </w:t>
      </w:r>
    </w:p>
    <w:p w:rsidR="00C4357A" w:rsidRDefault="001A7DC5" w:rsidP="00C4357A">
      <w:pPr>
        <w:pStyle w:val="Default"/>
        <w:tabs>
          <w:tab w:val="left" w:pos="0"/>
        </w:tabs>
        <w:spacing w:after="240" w:line="276" w:lineRule="auto"/>
        <w:jc w:val="both"/>
        <w:rPr>
          <w:rFonts w:ascii="ITC Avant Garde" w:hAnsi="ITC Avant Garde" w:cs="Arial"/>
          <w:color w:val="2F2F2F"/>
          <w:sz w:val="22"/>
          <w:szCs w:val="22"/>
        </w:rPr>
      </w:pPr>
      <w:r w:rsidRPr="001A7DC5">
        <w:rPr>
          <w:rFonts w:ascii="ITC Avant Garde" w:hAnsi="ITC Avant Garde" w:cs="Arial"/>
          <w:color w:val="2F2F2F"/>
          <w:sz w:val="22"/>
          <w:szCs w:val="22"/>
        </w:rPr>
        <w:t xml:space="preserve">El tiempo </w:t>
      </w:r>
      <w:r w:rsidR="0018158D">
        <w:rPr>
          <w:rFonts w:ascii="ITC Avant Garde" w:hAnsi="ITC Avant Garde" w:cs="Arial"/>
          <w:color w:val="2F2F2F"/>
          <w:sz w:val="22"/>
          <w:szCs w:val="22"/>
        </w:rPr>
        <w:t>propuesto</w:t>
      </w:r>
      <w:r w:rsidRPr="001A7DC5">
        <w:rPr>
          <w:rFonts w:ascii="ITC Avant Garde" w:hAnsi="ITC Avant Garde" w:cs="Arial"/>
          <w:color w:val="2F2F2F"/>
          <w:sz w:val="22"/>
          <w:szCs w:val="22"/>
        </w:rPr>
        <w:t xml:space="preserve"> para evaluar </w:t>
      </w:r>
      <w:r w:rsidR="00842F77">
        <w:rPr>
          <w:rFonts w:ascii="ITC Avant Garde" w:hAnsi="ITC Avant Garde" w:cs="Arial"/>
          <w:color w:val="2F2F2F"/>
          <w:sz w:val="22"/>
          <w:szCs w:val="22"/>
        </w:rPr>
        <w:t xml:space="preserve">la </w:t>
      </w:r>
      <w:r w:rsidR="00995EDC">
        <w:rPr>
          <w:rFonts w:ascii="ITC Avant Garde" w:hAnsi="ITC Avant Garde" w:cs="Arial"/>
          <w:color w:val="2F2F2F"/>
          <w:sz w:val="22"/>
          <w:szCs w:val="22"/>
        </w:rPr>
        <w:t>velocidad</w:t>
      </w:r>
      <w:r w:rsidR="00842F77">
        <w:rPr>
          <w:rFonts w:ascii="ITC Avant Garde" w:hAnsi="ITC Avant Garde" w:cs="Arial"/>
          <w:color w:val="2F2F2F"/>
          <w:sz w:val="22"/>
          <w:szCs w:val="22"/>
        </w:rPr>
        <w:t xml:space="preserve"> de transferencia de datos del enlace ascendente así como del enlace </w:t>
      </w:r>
      <w:r w:rsidR="00273BA8">
        <w:rPr>
          <w:rFonts w:ascii="ITC Avant Garde" w:hAnsi="ITC Avant Garde" w:cs="Arial"/>
          <w:color w:val="2F2F2F"/>
          <w:sz w:val="22"/>
          <w:szCs w:val="22"/>
        </w:rPr>
        <w:t>descendente</w:t>
      </w:r>
      <w:r w:rsidRPr="001A7DC5">
        <w:rPr>
          <w:rFonts w:ascii="ITC Avant Garde" w:hAnsi="ITC Avant Garde" w:cs="Arial"/>
          <w:color w:val="2F2F2F"/>
          <w:sz w:val="22"/>
          <w:szCs w:val="22"/>
        </w:rPr>
        <w:t xml:space="preserve"> </w:t>
      </w:r>
      <w:r w:rsidR="0018158D">
        <w:rPr>
          <w:rFonts w:ascii="ITC Avant Garde" w:hAnsi="ITC Avant Garde" w:cs="Arial"/>
          <w:color w:val="2F2F2F"/>
          <w:sz w:val="22"/>
          <w:szCs w:val="22"/>
        </w:rPr>
        <w:t xml:space="preserve">es </w:t>
      </w:r>
      <w:r w:rsidRPr="001A7DC5">
        <w:rPr>
          <w:rFonts w:ascii="ITC Avant Garde" w:hAnsi="ITC Avant Garde" w:cs="Arial"/>
          <w:color w:val="2F2F2F"/>
          <w:sz w:val="22"/>
          <w:szCs w:val="22"/>
        </w:rPr>
        <w:t>de 10 segundos</w:t>
      </w:r>
      <w:r w:rsidR="0018158D">
        <w:rPr>
          <w:rFonts w:ascii="ITC Avant Garde" w:hAnsi="ITC Avant Garde" w:cs="Arial"/>
          <w:color w:val="2F2F2F"/>
          <w:sz w:val="22"/>
          <w:szCs w:val="22"/>
        </w:rPr>
        <w:t xml:space="preserve"> de acuerdo con las recomendaciones y especificaciones técnicas emitidos por el ETSI</w:t>
      </w:r>
      <w:r w:rsidRPr="001A7DC5">
        <w:rPr>
          <w:rFonts w:ascii="ITC Avant Garde" w:hAnsi="ITC Avant Garde" w:cs="Arial"/>
          <w:color w:val="2F2F2F"/>
          <w:sz w:val="22"/>
          <w:szCs w:val="22"/>
        </w:rPr>
        <w:t>.</w:t>
      </w:r>
      <w:r w:rsidR="008306F3">
        <w:rPr>
          <w:rFonts w:ascii="ITC Avant Garde" w:hAnsi="ITC Avant Garde" w:cs="Arial"/>
          <w:color w:val="2F2F2F"/>
          <w:sz w:val="22"/>
          <w:szCs w:val="22"/>
        </w:rPr>
        <w:t xml:space="preserve"> Asimismo, se considera un tiempo de 500 milisegundos para tomar en cuenta el tiempo necesario para la estabilización de la </w:t>
      </w:r>
      <w:r w:rsidR="006C2671">
        <w:rPr>
          <w:rFonts w:ascii="ITC Avant Garde" w:hAnsi="ITC Avant Garde" w:cs="Arial"/>
          <w:color w:val="2F2F2F"/>
          <w:sz w:val="22"/>
          <w:szCs w:val="22"/>
        </w:rPr>
        <w:t>velocidad</w:t>
      </w:r>
      <w:r w:rsidR="008306F3">
        <w:rPr>
          <w:rFonts w:ascii="ITC Avant Garde" w:hAnsi="ITC Avant Garde" w:cs="Arial"/>
          <w:color w:val="2F2F2F"/>
          <w:sz w:val="22"/>
          <w:szCs w:val="22"/>
        </w:rPr>
        <w:t xml:space="preserve"> de transferencia de datos de acuerdo con las características propias del protocolo de comunicación empleado en la transferencia de datos</w:t>
      </w:r>
      <w:r w:rsidR="00EB0CDD">
        <w:rPr>
          <w:rFonts w:ascii="ITC Avant Garde" w:hAnsi="ITC Avant Garde" w:cs="Arial"/>
          <w:color w:val="2F2F2F"/>
          <w:sz w:val="22"/>
          <w:szCs w:val="22"/>
        </w:rPr>
        <w:t xml:space="preserve"> y fue calculado </w:t>
      </w:r>
      <w:r w:rsidR="006C2671">
        <w:rPr>
          <w:rFonts w:ascii="ITC Avant Garde" w:hAnsi="ITC Avant Garde" w:cs="Arial"/>
          <w:color w:val="2F2F2F"/>
          <w:sz w:val="22"/>
          <w:szCs w:val="22"/>
        </w:rPr>
        <w:t>considerando</w:t>
      </w:r>
      <w:r w:rsidR="00EB0CDD">
        <w:rPr>
          <w:rFonts w:ascii="ITC Avant Garde" w:hAnsi="ITC Avant Garde" w:cs="Arial"/>
          <w:color w:val="2F2F2F"/>
          <w:sz w:val="22"/>
          <w:szCs w:val="22"/>
        </w:rPr>
        <w:t xml:space="preserve"> las especificaciones propias del protocolo y valores típicos de latencia para redes celulares con tecnología 4G</w:t>
      </w:r>
      <w:r w:rsidR="008306F3">
        <w:rPr>
          <w:rFonts w:ascii="ITC Avant Garde" w:hAnsi="ITC Avant Garde" w:cs="Arial"/>
          <w:color w:val="2F2F2F"/>
          <w:sz w:val="22"/>
          <w:szCs w:val="22"/>
        </w:rPr>
        <w:t>.</w:t>
      </w:r>
    </w:p>
    <w:p w:rsidR="00C4357A" w:rsidRDefault="00EB0CDD" w:rsidP="00C4357A">
      <w:pPr>
        <w:pStyle w:val="Default"/>
        <w:tabs>
          <w:tab w:val="left" w:pos="0"/>
        </w:tabs>
        <w:spacing w:after="240" w:line="276" w:lineRule="auto"/>
        <w:jc w:val="both"/>
        <w:rPr>
          <w:rFonts w:ascii="ITC Avant Garde" w:hAnsi="ITC Avant Garde" w:cs="Arial"/>
          <w:color w:val="2F2F2F"/>
          <w:sz w:val="22"/>
          <w:szCs w:val="22"/>
        </w:rPr>
      </w:pPr>
      <w:r>
        <w:rPr>
          <w:rFonts w:ascii="ITC Avant Garde" w:hAnsi="ITC Avant Garde" w:cs="Arial"/>
          <w:color w:val="2F2F2F"/>
          <w:sz w:val="22"/>
          <w:szCs w:val="22"/>
        </w:rPr>
        <w:lastRenderedPageBreak/>
        <w:t>A su vez, c</w:t>
      </w:r>
      <w:r w:rsidR="005B728A">
        <w:rPr>
          <w:rFonts w:ascii="ITC Avant Garde" w:hAnsi="ITC Avant Garde" w:cs="Arial"/>
          <w:color w:val="2F2F2F"/>
          <w:sz w:val="22"/>
          <w:szCs w:val="22"/>
        </w:rPr>
        <w:t xml:space="preserve">on el objetivo de obtener resultados que sean representativos del desempeño de la red a nivel nacional, se propone una metodología estadística que toma en cuenta el error de estimación asociado a la técnica de muestreo empleada. </w:t>
      </w:r>
    </w:p>
    <w:p w:rsidR="00C4357A" w:rsidRDefault="005B728A" w:rsidP="00C4357A">
      <w:pPr>
        <w:pStyle w:val="Default"/>
        <w:tabs>
          <w:tab w:val="left" w:pos="0"/>
        </w:tabs>
        <w:spacing w:after="240" w:line="276" w:lineRule="auto"/>
        <w:jc w:val="both"/>
        <w:rPr>
          <w:rFonts w:ascii="ITC Avant Garde" w:hAnsi="ITC Avant Garde" w:cs="Arial"/>
          <w:color w:val="2F2F2F"/>
          <w:sz w:val="22"/>
          <w:szCs w:val="22"/>
        </w:rPr>
      </w:pPr>
      <w:r>
        <w:rPr>
          <w:rFonts w:ascii="ITC Avant Garde" w:hAnsi="ITC Avant Garde" w:cs="Arial"/>
          <w:color w:val="2F2F2F"/>
          <w:sz w:val="22"/>
          <w:szCs w:val="22"/>
        </w:rPr>
        <w:t>Finalmente, se propone un procedimiento para llevar a cabo la selección aleatoria de ubicaciones geográficas donde se llevarán a cabo las mediciones en campo.</w:t>
      </w:r>
    </w:p>
    <w:p w:rsidR="00524E40" w:rsidRDefault="007734F1" w:rsidP="00C4357A">
      <w:pPr>
        <w:spacing w:after="240"/>
        <w:jc w:val="both"/>
        <w:rPr>
          <w:rFonts w:ascii="ITC Avant Garde" w:hAnsi="ITC Avant Garde"/>
          <w:lang w:val="es-ES_tradnl"/>
        </w:rPr>
      </w:pPr>
      <w:r w:rsidRPr="00070770">
        <w:rPr>
          <w:rFonts w:ascii="ITC Avant Garde" w:hAnsi="ITC Avant Garde"/>
          <w:b/>
          <w:lang w:val="es-ES_tradnl"/>
        </w:rPr>
        <w:t>SÉPTIMO</w:t>
      </w:r>
      <w:r w:rsidR="001A7DC5" w:rsidRPr="00070770">
        <w:rPr>
          <w:rFonts w:ascii="ITC Avant Garde" w:hAnsi="ITC Avant Garde"/>
          <w:b/>
          <w:lang w:val="es-ES_tradnl"/>
        </w:rPr>
        <w:t>.- Consideraciones</w:t>
      </w:r>
      <w:r w:rsidR="001A7DC5" w:rsidRPr="001A7DC5">
        <w:rPr>
          <w:rFonts w:ascii="ITC Avant Garde" w:hAnsi="ITC Avant Garde"/>
          <w:b/>
          <w:lang w:val="es-ES_tradnl"/>
        </w:rPr>
        <w:t xml:space="preserve"> y metodología estadística. </w:t>
      </w:r>
      <w:r w:rsidR="00D46F67" w:rsidRPr="00D46F67">
        <w:rPr>
          <w:rFonts w:ascii="ITC Avant Garde" w:hAnsi="ITC Avant Garde"/>
          <w:lang w:val="es-ES_tradnl"/>
        </w:rPr>
        <w:t>La metodología estadística tiene por objeto</w:t>
      </w:r>
      <w:r w:rsidR="00D46F67">
        <w:rPr>
          <w:rFonts w:ascii="ITC Avant Garde" w:hAnsi="ITC Avant Garde"/>
          <w:b/>
          <w:lang w:val="es-ES_tradnl"/>
        </w:rPr>
        <w:t xml:space="preserve"> </w:t>
      </w:r>
      <w:r w:rsidR="00C5637A">
        <w:rPr>
          <w:rFonts w:ascii="ITC Avant Garde" w:hAnsi="ITC Avant Garde"/>
          <w:lang w:val="es-ES_tradnl"/>
        </w:rPr>
        <w:t>obtener una muestra representativa</w:t>
      </w:r>
      <w:r w:rsidR="00D46F67">
        <w:rPr>
          <w:rFonts w:ascii="ITC Avant Garde" w:hAnsi="ITC Avant Garde"/>
          <w:lang w:val="es-ES_tradnl"/>
        </w:rPr>
        <w:t xml:space="preserve"> y resultados que permitan inferir el comportamiento de la red a nivel nacional. Para esto,</w:t>
      </w:r>
      <w:r w:rsidR="00B4684B">
        <w:rPr>
          <w:rFonts w:ascii="ITC Avant Garde" w:hAnsi="ITC Avant Garde"/>
          <w:lang w:val="es-ES_tradnl"/>
        </w:rPr>
        <w:t xml:space="preserve"> </w:t>
      </w:r>
      <w:r w:rsidR="00C5637A">
        <w:rPr>
          <w:rFonts w:ascii="ITC Avant Garde" w:hAnsi="ITC Avant Garde"/>
          <w:lang w:val="es-ES_tradnl"/>
        </w:rPr>
        <w:t>se diseñó</w:t>
      </w:r>
      <w:r w:rsidR="007B3B04" w:rsidRPr="007B3B04">
        <w:rPr>
          <w:rFonts w:ascii="ITC Avant Garde" w:hAnsi="ITC Avant Garde"/>
          <w:lang w:val="es-ES_tradnl"/>
        </w:rPr>
        <w:t xml:space="preserve"> una metodología </w:t>
      </w:r>
      <w:r w:rsidR="00C5637A">
        <w:rPr>
          <w:rFonts w:ascii="ITC Avant Garde" w:hAnsi="ITC Avant Garde"/>
          <w:lang w:val="es-ES_tradnl"/>
        </w:rPr>
        <w:t>en dos etapas que consiste en</w:t>
      </w:r>
      <w:r w:rsidR="007B3B04" w:rsidRPr="007B3B04">
        <w:rPr>
          <w:rFonts w:ascii="ITC Avant Garde" w:hAnsi="ITC Avant Garde"/>
          <w:lang w:val="es-ES_tradnl"/>
        </w:rPr>
        <w:t xml:space="preserve"> un muestreo </w:t>
      </w:r>
      <w:r w:rsidR="00C5637A">
        <w:rPr>
          <w:rFonts w:ascii="ITC Avant Garde" w:hAnsi="ITC Avant Garde"/>
          <w:lang w:val="es-ES_tradnl"/>
        </w:rPr>
        <w:t>estratificado en su primera etapa</w:t>
      </w:r>
      <w:r w:rsidR="007B3B04" w:rsidRPr="007B3B04">
        <w:rPr>
          <w:rFonts w:ascii="ITC Avant Garde" w:hAnsi="ITC Avant Garde"/>
          <w:lang w:val="es-ES_tradnl"/>
        </w:rPr>
        <w:t xml:space="preserve"> </w:t>
      </w:r>
      <w:r w:rsidR="009C5FD9">
        <w:rPr>
          <w:rFonts w:ascii="ITC Avant Garde" w:hAnsi="ITC Avant Garde"/>
          <w:lang w:val="es-ES_tradnl"/>
        </w:rPr>
        <w:t>y un muestreo aleatorio simple</w:t>
      </w:r>
      <w:r w:rsidR="00C5637A">
        <w:rPr>
          <w:rFonts w:ascii="ITC Avant Garde" w:hAnsi="ITC Avant Garde"/>
          <w:lang w:val="es-ES_tradnl"/>
        </w:rPr>
        <w:t xml:space="preserve"> en la segunda etapa</w:t>
      </w:r>
      <w:r w:rsidR="007B3B04" w:rsidRPr="007B3B04">
        <w:rPr>
          <w:rFonts w:ascii="ITC Avant Garde" w:hAnsi="ITC Avant Garde"/>
          <w:lang w:val="es-ES_tradnl"/>
        </w:rPr>
        <w:t xml:space="preserve">. </w:t>
      </w:r>
      <w:r w:rsidR="00B5242B">
        <w:rPr>
          <w:rFonts w:ascii="ITC Avant Garde" w:hAnsi="ITC Avant Garde"/>
          <w:lang w:val="es-ES_tradnl"/>
        </w:rPr>
        <w:t>Aunado a esto</w:t>
      </w:r>
      <w:r w:rsidR="00EA22F7">
        <w:rPr>
          <w:rFonts w:ascii="ITC Avant Garde" w:hAnsi="ITC Avant Garde"/>
          <w:lang w:val="es-ES_tradnl"/>
        </w:rPr>
        <w:t>, l</w:t>
      </w:r>
      <w:r w:rsidR="00BD6F03">
        <w:rPr>
          <w:rFonts w:ascii="ITC Avant Garde" w:hAnsi="ITC Avant Garde"/>
          <w:lang w:val="es-ES_tradnl"/>
        </w:rPr>
        <w:t>a determinación del cumplimiento</w:t>
      </w:r>
      <w:r w:rsidR="00EA22F7">
        <w:rPr>
          <w:rFonts w:ascii="ITC Avant Garde" w:hAnsi="ITC Avant Garde"/>
          <w:lang w:val="es-ES_tradnl"/>
        </w:rPr>
        <w:t xml:space="preserve"> de los parámetros de cobertura</w:t>
      </w:r>
      <w:r w:rsidR="00BD6F03">
        <w:rPr>
          <w:rFonts w:ascii="ITC Avant Garde" w:hAnsi="ITC Avant Garde"/>
          <w:lang w:val="es-ES_tradnl"/>
        </w:rPr>
        <w:t xml:space="preserve"> se llevará a cabo a través de la aplicación de una prueba de hipótesis sobre </w:t>
      </w:r>
      <w:r w:rsidR="00EA22F7">
        <w:rPr>
          <w:rFonts w:ascii="ITC Avant Garde" w:hAnsi="ITC Avant Garde"/>
          <w:lang w:val="es-ES_tradnl"/>
        </w:rPr>
        <w:t>los resultados obtenidos en campo</w:t>
      </w:r>
      <w:r w:rsidR="00BD6F03">
        <w:rPr>
          <w:rFonts w:ascii="ITC Avant Garde" w:hAnsi="ITC Avant Garde"/>
          <w:lang w:val="es-ES_tradnl"/>
        </w:rPr>
        <w:t>.</w:t>
      </w:r>
    </w:p>
    <w:p w:rsidR="00792B51" w:rsidRDefault="00C85BF1" w:rsidP="00C4357A">
      <w:pPr>
        <w:spacing w:after="240"/>
        <w:jc w:val="both"/>
        <w:rPr>
          <w:rFonts w:ascii="ITC Avant Garde" w:hAnsi="ITC Avant Garde"/>
          <w:lang w:val="es-ES_tradnl"/>
        </w:rPr>
      </w:pPr>
      <w:r>
        <w:rPr>
          <w:rFonts w:ascii="ITC Avant Garde" w:hAnsi="ITC Avant Garde"/>
          <w:lang w:val="es-ES_tradnl"/>
        </w:rPr>
        <w:t xml:space="preserve">De esta manera, </w:t>
      </w:r>
      <w:r w:rsidR="00EE349C">
        <w:rPr>
          <w:rFonts w:ascii="ITC Avant Garde" w:hAnsi="ITC Avant Garde"/>
          <w:lang w:val="es-ES_tradnl"/>
        </w:rPr>
        <w:t xml:space="preserve">se propone </w:t>
      </w:r>
      <w:r w:rsidR="00B80135">
        <w:rPr>
          <w:rFonts w:ascii="ITC Avant Garde" w:hAnsi="ITC Avant Garde"/>
          <w:lang w:val="es-ES_tradnl"/>
        </w:rPr>
        <w:t>inicialmente</w:t>
      </w:r>
      <w:r w:rsidR="007B3B04" w:rsidRPr="007B3B04">
        <w:rPr>
          <w:rFonts w:ascii="ITC Avant Garde" w:hAnsi="ITC Avant Garde"/>
          <w:lang w:val="es-ES_tradnl"/>
        </w:rPr>
        <w:t xml:space="preserve"> un muestreo</w:t>
      </w:r>
      <w:r w:rsidR="00524E40">
        <w:rPr>
          <w:rFonts w:ascii="ITC Avant Garde" w:hAnsi="ITC Avant Garde"/>
          <w:lang w:val="es-ES_tradnl"/>
        </w:rPr>
        <w:t xml:space="preserve"> estratificado que </w:t>
      </w:r>
      <w:r w:rsidR="0072032C">
        <w:rPr>
          <w:rFonts w:ascii="ITC Avant Garde" w:hAnsi="ITC Avant Garde"/>
          <w:lang w:val="es-ES_tradnl"/>
        </w:rPr>
        <w:t>permita l</w:t>
      </w:r>
      <w:r w:rsidR="00EE349C">
        <w:rPr>
          <w:rFonts w:ascii="ITC Avant Garde" w:hAnsi="ITC Avant Garde"/>
          <w:lang w:val="es-ES_tradnl"/>
        </w:rPr>
        <w:t xml:space="preserve">a clasificación de los municipios definidos por el </w:t>
      </w:r>
      <w:r w:rsidR="00EE349C" w:rsidRPr="001A2AEA">
        <w:rPr>
          <w:rFonts w:ascii="ITC Avant Garde" w:hAnsi="ITC Avant Garde"/>
          <w:lang w:val="es-ES_tradnl"/>
        </w:rPr>
        <w:t xml:space="preserve">Censo </w:t>
      </w:r>
      <w:r w:rsidR="001A2AEA" w:rsidRPr="001A2AEA">
        <w:rPr>
          <w:rFonts w:ascii="ITC Avant Garde" w:hAnsi="ITC Avant Garde"/>
          <w:lang w:val="es-ES_tradnl"/>
        </w:rPr>
        <w:t>2</w:t>
      </w:r>
      <w:r w:rsidR="00EE349C" w:rsidRPr="001A2AEA">
        <w:rPr>
          <w:rFonts w:ascii="ITC Avant Garde" w:hAnsi="ITC Avant Garde"/>
          <w:lang w:val="es-ES_tradnl"/>
        </w:rPr>
        <w:t xml:space="preserve">010 </w:t>
      </w:r>
      <w:r w:rsidR="00524E40">
        <w:rPr>
          <w:rFonts w:ascii="ITC Avant Garde" w:hAnsi="ITC Avant Garde"/>
          <w:lang w:val="es-ES_tradnl"/>
        </w:rPr>
        <w:t xml:space="preserve">con base en </w:t>
      </w:r>
      <w:r w:rsidR="00EE349C">
        <w:rPr>
          <w:rFonts w:ascii="ITC Avant Garde" w:hAnsi="ITC Avant Garde"/>
          <w:lang w:val="es-ES_tradnl"/>
        </w:rPr>
        <w:t>la población de cada municipio</w:t>
      </w:r>
      <w:r w:rsidR="00524E40">
        <w:rPr>
          <w:rFonts w:ascii="ITC Avant Garde" w:hAnsi="ITC Avant Garde"/>
          <w:lang w:val="es-ES_tradnl"/>
        </w:rPr>
        <w:t xml:space="preserve">. </w:t>
      </w:r>
      <w:r w:rsidR="00EE349C">
        <w:rPr>
          <w:rFonts w:ascii="ITC Avant Garde" w:hAnsi="ITC Avant Garde"/>
          <w:lang w:val="es-ES_tradnl"/>
        </w:rPr>
        <w:t xml:space="preserve">Para </w:t>
      </w:r>
      <w:r w:rsidR="00B5242B">
        <w:rPr>
          <w:rFonts w:ascii="ITC Avant Garde" w:hAnsi="ITC Avant Garde"/>
          <w:lang w:val="es-ES_tradnl"/>
        </w:rPr>
        <w:t>tales</w:t>
      </w:r>
      <w:r w:rsidR="00EE349C">
        <w:rPr>
          <w:rFonts w:ascii="ITC Avant Garde" w:hAnsi="ITC Avant Garde"/>
          <w:lang w:val="es-ES_tradnl"/>
        </w:rPr>
        <w:t xml:space="preserve"> efectos,</w:t>
      </w:r>
      <w:r w:rsidR="00F508D8">
        <w:rPr>
          <w:rFonts w:ascii="ITC Avant Garde" w:hAnsi="ITC Avant Garde"/>
          <w:lang w:val="es-ES_tradnl"/>
        </w:rPr>
        <w:t xml:space="preserve"> se </w:t>
      </w:r>
      <w:r w:rsidR="00792B51">
        <w:rPr>
          <w:rFonts w:ascii="ITC Avant Garde" w:hAnsi="ITC Avant Garde"/>
          <w:lang w:val="es-ES_tradnl"/>
        </w:rPr>
        <w:t>proponen</w:t>
      </w:r>
      <w:r w:rsidR="00EE349C">
        <w:rPr>
          <w:rFonts w:ascii="ITC Avant Garde" w:hAnsi="ITC Avant Garde"/>
          <w:lang w:val="es-ES_tradnl"/>
        </w:rPr>
        <w:t xml:space="preserve"> tres</w:t>
      </w:r>
      <w:r w:rsidR="00F508D8">
        <w:rPr>
          <w:rFonts w:ascii="ITC Avant Garde" w:hAnsi="ITC Avant Garde"/>
          <w:lang w:val="es-ES_tradnl"/>
        </w:rPr>
        <w:t xml:space="preserve"> </w:t>
      </w:r>
      <w:r w:rsidR="00524E40">
        <w:rPr>
          <w:rFonts w:ascii="ITC Avant Garde" w:hAnsi="ITC Avant Garde"/>
          <w:lang w:val="es-ES_tradnl"/>
        </w:rPr>
        <w:t>estratos</w:t>
      </w:r>
      <w:r w:rsidR="00F508D8">
        <w:rPr>
          <w:rFonts w:ascii="ITC Avant Garde" w:hAnsi="ITC Avant Garde"/>
          <w:lang w:val="es-ES_tradnl"/>
        </w:rPr>
        <w:t>:</w:t>
      </w:r>
      <w:r w:rsidR="00524E40">
        <w:rPr>
          <w:rFonts w:ascii="ITC Avant Garde" w:hAnsi="ITC Avant Garde"/>
          <w:lang w:val="es-ES_tradnl"/>
        </w:rPr>
        <w:t xml:space="preserve"> </w:t>
      </w:r>
      <w:r w:rsidR="00EE349C">
        <w:rPr>
          <w:rFonts w:ascii="ITC Avant Garde" w:hAnsi="ITC Avant Garde"/>
          <w:lang w:val="es-ES_tradnl"/>
        </w:rPr>
        <w:t>urbano, suburbano y rural.</w:t>
      </w:r>
      <w:r w:rsidR="00C155EF">
        <w:rPr>
          <w:rFonts w:ascii="ITC Avant Garde" w:hAnsi="ITC Avant Garde"/>
          <w:lang w:val="es-ES_tradnl"/>
        </w:rPr>
        <w:t xml:space="preserve"> </w:t>
      </w:r>
      <w:r w:rsidR="007B3B04" w:rsidRPr="007B3B04">
        <w:rPr>
          <w:rFonts w:ascii="ITC Avant Garde" w:hAnsi="ITC Avant Garde"/>
          <w:lang w:val="es-ES_tradnl"/>
        </w:rPr>
        <w:t>La estratificación obedece a que cada grupo (estrato) comparte características</w:t>
      </w:r>
      <w:r w:rsidR="00EE349C" w:rsidRPr="00EE349C">
        <w:rPr>
          <w:rFonts w:ascii="ITC Avant Garde" w:hAnsi="ITC Avant Garde"/>
          <w:lang w:val="es-ES_tradnl"/>
        </w:rPr>
        <w:t xml:space="preserve"> </w:t>
      </w:r>
      <w:r w:rsidR="00EE349C" w:rsidRPr="007B3B04">
        <w:rPr>
          <w:rFonts w:ascii="ITC Avant Garde" w:hAnsi="ITC Avant Garde"/>
          <w:lang w:val="es-ES_tradnl"/>
        </w:rPr>
        <w:t>que inciden sobre los valores</w:t>
      </w:r>
      <w:r w:rsidR="00EE349C">
        <w:rPr>
          <w:rFonts w:ascii="ITC Avant Garde" w:hAnsi="ITC Avant Garde"/>
          <w:lang w:val="es-ES_tradnl"/>
        </w:rPr>
        <w:t xml:space="preserve"> de la </w:t>
      </w:r>
      <w:r w:rsidR="006C2671">
        <w:rPr>
          <w:rFonts w:ascii="ITC Avant Garde" w:hAnsi="ITC Avant Garde"/>
          <w:lang w:val="es-ES_tradnl"/>
        </w:rPr>
        <w:t>velocidad</w:t>
      </w:r>
      <w:r w:rsidR="00EE349C">
        <w:rPr>
          <w:rFonts w:ascii="ITC Avant Garde" w:hAnsi="ITC Avant Garde"/>
          <w:lang w:val="es-ES_tradnl"/>
        </w:rPr>
        <w:t xml:space="preserve"> de </w:t>
      </w:r>
      <w:r w:rsidR="00B5242B">
        <w:rPr>
          <w:rFonts w:ascii="ITC Avant Garde" w:hAnsi="ITC Avant Garde"/>
          <w:lang w:val="es-ES_tradnl"/>
        </w:rPr>
        <w:t>transferencia</w:t>
      </w:r>
      <w:r w:rsidR="00EE349C">
        <w:rPr>
          <w:rFonts w:ascii="ITC Avant Garde" w:hAnsi="ITC Avant Garde"/>
          <w:lang w:val="es-ES_tradnl"/>
        </w:rPr>
        <w:t xml:space="preserve"> de datos del enlace descendente </w:t>
      </w:r>
      <w:r w:rsidR="00B5242B">
        <w:rPr>
          <w:rFonts w:ascii="ITC Avant Garde" w:hAnsi="ITC Avant Garde"/>
          <w:lang w:val="es-ES_tradnl"/>
        </w:rPr>
        <w:t xml:space="preserve">así </w:t>
      </w:r>
      <w:r w:rsidR="00EE349C">
        <w:rPr>
          <w:rFonts w:ascii="ITC Avant Garde" w:hAnsi="ITC Avant Garde"/>
          <w:lang w:val="es-ES_tradnl"/>
        </w:rPr>
        <w:t>como ascendente</w:t>
      </w:r>
      <w:r w:rsidR="00C155EF">
        <w:rPr>
          <w:rFonts w:ascii="ITC Avant Garde" w:hAnsi="ITC Avant Garde"/>
          <w:lang w:val="es-ES_tradnl"/>
        </w:rPr>
        <w:t xml:space="preserve">, </w:t>
      </w:r>
      <w:r w:rsidR="00C155EF" w:rsidRPr="00AA055E">
        <w:rPr>
          <w:rFonts w:ascii="ITC Avant Garde" w:hAnsi="ITC Avant Garde"/>
          <w:lang w:val="es-ES_tradnl"/>
        </w:rPr>
        <w:t xml:space="preserve">en este caso, la cantidad de </w:t>
      </w:r>
      <w:r w:rsidR="00EE349C" w:rsidRPr="00AA055E">
        <w:rPr>
          <w:rFonts w:ascii="ITC Avant Garde" w:hAnsi="ITC Avant Garde"/>
          <w:lang w:val="es-ES_tradnl"/>
        </w:rPr>
        <w:t>habitantes de las localidades de cada municipio que se encuentran dentro del mapa de cobertura entregado por el concesionario mayorista</w:t>
      </w:r>
      <w:r w:rsidR="007B3B04" w:rsidRPr="007B3B04">
        <w:rPr>
          <w:rFonts w:ascii="ITC Avant Garde" w:hAnsi="ITC Avant Garde"/>
          <w:lang w:val="es-ES_tradnl"/>
        </w:rPr>
        <w:t xml:space="preserve">. </w:t>
      </w:r>
      <w:r w:rsidR="00792B51">
        <w:rPr>
          <w:rFonts w:ascii="ITC Avant Garde" w:hAnsi="ITC Avant Garde"/>
          <w:lang w:val="es-ES_tradnl"/>
        </w:rPr>
        <w:t>La clasificación de los municipios en los tres estratos definidos se llevará a cabo una vez que se cuente con el mapa de cobertura</w:t>
      </w:r>
      <w:r w:rsidR="00B5242B">
        <w:rPr>
          <w:rFonts w:ascii="ITC Avant Garde" w:hAnsi="ITC Avant Garde"/>
          <w:lang w:val="es-ES_tradnl"/>
        </w:rPr>
        <w:t xml:space="preserve"> del concesionario mayorista</w:t>
      </w:r>
      <w:r w:rsidR="00792B51">
        <w:rPr>
          <w:rFonts w:ascii="ITC Avant Garde" w:hAnsi="ITC Avant Garde"/>
          <w:lang w:val="es-ES_tradnl"/>
        </w:rPr>
        <w:t xml:space="preserve">. En este sentido, </w:t>
      </w:r>
      <w:r w:rsidR="00E30B36">
        <w:rPr>
          <w:rFonts w:ascii="ITC Avant Garde" w:hAnsi="ITC Avant Garde"/>
          <w:lang w:val="es-ES_tradnl"/>
        </w:rPr>
        <w:t xml:space="preserve">existen fórmulas estadísticas bien definidas que permiten obtener el número de municipios para cada estrato </w:t>
      </w:r>
      <w:r w:rsidR="006C2671">
        <w:rPr>
          <w:rFonts w:ascii="ITC Avant Garde" w:hAnsi="ITC Avant Garde"/>
          <w:lang w:val="es-ES_tradnl"/>
        </w:rPr>
        <w:t xml:space="preserve">que </w:t>
      </w:r>
      <w:r w:rsidR="00E30B36">
        <w:rPr>
          <w:rFonts w:ascii="ITC Avant Garde" w:hAnsi="ITC Avant Garde"/>
          <w:lang w:val="es-ES_tradnl"/>
        </w:rPr>
        <w:t>habrá de medirse</w:t>
      </w:r>
      <w:r w:rsidR="00DE3E12">
        <w:rPr>
          <w:rFonts w:ascii="ITC Avant Garde" w:hAnsi="ITC Avant Garde"/>
          <w:lang w:val="es-ES_tradnl"/>
        </w:rPr>
        <w:t xml:space="preserve"> y los cuales serán elegidos de manera aleatoria</w:t>
      </w:r>
      <w:r w:rsidR="00E30B36">
        <w:rPr>
          <w:rFonts w:ascii="ITC Avant Garde" w:hAnsi="ITC Avant Garde"/>
          <w:lang w:val="es-ES_tradnl"/>
        </w:rPr>
        <w:t>.</w:t>
      </w:r>
    </w:p>
    <w:p w:rsidR="00522981" w:rsidRDefault="00792B51" w:rsidP="00C4357A">
      <w:pPr>
        <w:spacing w:after="240"/>
        <w:jc w:val="both"/>
        <w:rPr>
          <w:rFonts w:ascii="ITC Avant Garde" w:hAnsi="ITC Avant Garde"/>
          <w:lang w:val="es-ES_tradnl"/>
        </w:rPr>
      </w:pPr>
      <w:r>
        <w:rPr>
          <w:rFonts w:ascii="ITC Avant Garde" w:hAnsi="ITC Avant Garde"/>
          <w:lang w:val="es-ES_tradnl"/>
        </w:rPr>
        <w:t>En la segunda etapa de la metodología estadística, el muestreo aleatorio simple permite</w:t>
      </w:r>
      <w:r w:rsidR="007B3B04" w:rsidRPr="007B3B04">
        <w:rPr>
          <w:rFonts w:ascii="ITC Avant Garde" w:hAnsi="ITC Avant Garde"/>
          <w:lang w:val="es-ES_tradnl"/>
        </w:rPr>
        <w:t xml:space="preserve"> determina</w:t>
      </w:r>
      <w:r>
        <w:rPr>
          <w:rFonts w:ascii="ITC Avant Garde" w:hAnsi="ITC Avant Garde"/>
          <w:lang w:val="es-ES_tradnl"/>
        </w:rPr>
        <w:t>r</w:t>
      </w:r>
      <w:r w:rsidR="007B3B04" w:rsidRPr="007B3B04">
        <w:rPr>
          <w:rFonts w:ascii="ITC Avant Garde" w:hAnsi="ITC Avant Garde"/>
          <w:lang w:val="es-ES_tradnl"/>
        </w:rPr>
        <w:t xml:space="preserve"> </w:t>
      </w:r>
      <w:r w:rsidR="008769C2">
        <w:rPr>
          <w:rFonts w:ascii="ITC Avant Garde" w:hAnsi="ITC Avant Garde"/>
          <w:lang w:val="es-ES_tradnl"/>
        </w:rPr>
        <w:t>el</w:t>
      </w:r>
      <w:r w:rsidR="007B3B04" w:rsidRPr="007B3B04">
        <w:rPr>
          <w:rFonts w:ascii="ITC Avant Garde" w:hAnsi="ITC Avant Garde"/>
          <w:lang w:val="es-ES_tradnl"/>
        </w:rPr>
        <w:t xml:space="preserve"> tamaño de muestra </w:t>
      </w:r>
      <w:r w:rsidR="004E6D72">
        <w:rPr>
          <w:rFonts w:ascii="ITC Avant Garde" w:hAnsi="ITC Avant Garde"/>
          <w:lang w:val="es-ES_tradnl"/>
        </w:rPr>
        <w:t xml:space="preserve">que </w:t>
      </w:r>
      <w:r>
        <w:rPr>
          <w:rFonts w:ascii="ITC Avant Garde" w:hAnsi="ITC Avant Garde"/>
          <w:lang w:val="es-ES_tradnl"/>
        </w:rPr>
        <w:t>define</w:t>
      </w:r>
      <w:r w:rsidR="00575911">
        <w:rPr>
          <w:rFonts w:ascii="ITC Avant Garde" w:hAnsi="ITC Avant Garde"/>
          <w:lang w:val="es-ES_tradnl"/>
        </w:rPr>
        <w:t xml:space="preserve"> el número de mediciones a realizar</w:t>
      </w:r>
      <w:r w:rsidR="008769C2" w:rsidRPr="008769C2">
        <w:rPr>
          <w:rFonts w:ascii="ITC Avant Garde" w:hAnsi="ITC Avant Garde"/>
          <w:lang w:val="es-ES_tradnl"/>
        </w:rPr>
        <w:t xml:space="preserve"> </w:t>
      </w:r>
      <w:r w:rsidR="00537D18">
        <w:rPr>
          <w:rFonts w:ascii="ITC Avant Garde" w:hAnsi="ITC Avant Garde"/>
          <w:lang w:val="es-ES_tradnl"/>
        </w:rPr>
        <w:t>dentro de</w:t>
      </w:r>
      <w:r w:rsidR="008769C2">
        <w:rPr>
          <w:rFonts w:ascii="ITC Avant Garde" w:hAnsi="ITC Avant Garde"/>
          <w:lang w:val="es-ES_tradnl"/>
        </w:rPr>
        <w:t xml:space="preserve"> cada </w:t>
      </w:r>
      <w:r>
        <w:rPr>
          <w:rFonts w:ascii="ITC Avant Garde" w:hAnsi="ITC Avant Garde"/>
          <w:lang w:val="es-ES_tradnl"/>
        </w:rPr>
        <w:t>municipio</w:t>
      </w:r>
      <w:r w:rsidR="00537D18">
        <w:rPr>
          <w:rFonts w:ascii="ITC Avant Garde" w:hAnsi="ITC Avant Garde"/>
          <w:lang w:val="es-ES_tradnl"/>
        </w:rPr>
        <w:t xml:space="preserve">. </w:t>
      </w:r>
      <w:r w:rsidR="00B5242B">
        <w:rPr>
          <w:rFonts w:ascii="ITC Avant Garde" w:hAnsi="ITC Avant Garde"/>
          <w:lang w:val="es-ES_tradnl"/>
        </w:rPr>
        <w:t>Para esto, s</w:t>
      </w:r>
      <w:r w:rsidR="00537D18">
        <w:rPr>
          <w:rFonts w:ascii="ITC Avant Garde" w:hAnsi="ITC Avant Garde"/>
          <w:lang w:val="es-ES_tradnl"/>
        </w:rPr>
        <w:t xml:space="preserve">e </w:t>
      </w:r>
      <w:r w:rsidR="008769C2">
        <w:rPr>
          <w:rFonts w:ascii="ITC Avant Garde" w:hAnsi="ITC Avant Garde"/>
          <w:lang w:val="es-ES_tradnl"/>
        </w:rPr>
        <w:t>considera</w:t>
      </w:r>
      <w:r w:rsidR="004E6D72">
        <w:rPr>
          <w:rFonts w:ascii="ITC Avant Garde" w:hAnsi="ITC Avant Garde"/>
          <w:lang w:val="es-ES_tradnl"/>
        </w:rPr>
        <w:t xml:space="preserve"> </w:t>
      </w:r>
      <w:r w:rsidR="007B3B04" w:rsidRPr="007B3B04">
        <w:rPr>
          <w:rFonts w:ascii="ITC Avant Garde" w:hAnsi="ITC Avant Garde"/>
          <w:lang w:val="es-ES_tradnl"/>
        </w:rPr>
        <w:t xml:space="preserve">un error de estimación menor o igual al </w:t>
      </w:r>
      <w:r w:rsidR="00C04F49">
        <w:rPr>
          <w:rFonts w:ascii="ITC Avant Garde" w:hAnsi="ITC Avant Garde"/>
          <w:lang w:val="es-ES_tradnl"/>
        </w:rPr>
        <w:t xml:space="preserve">2% </w:t>
      </w:r>
      <w:r w:rsidR="00537D18">
        <w:rPr>
          <w:rFonts w:ascii="ITC Avant Garde" w:hAnsi="ITC Avant Garde"/>
          <w:lang w:val="es-ES_tradnl"/>
        </w:rPr>
        <w:t xml:space="preserve">y un nivel de confianza de 95% </w:t>
      </w:r>
      <w:r w:rsidR="00522981">
        <w:rPr>
          <w:rFonts w:ascii="ITC Avant Garde" w:hAnsi="ITC Avant Garde"/>
          <w:lang w:val="es-ES_tradnl"/>
        </w:rPr>
        <w:t>que toma en cuenta las</w:t>
      </w:r>
      <w:r w:rsidR="00537D18">
        <w:rPr>
          <w:rFonts w:ascii="ITC Avant Garde" w:hAnsi="ITC Avant Garde"/>
          <w:lang w:val="es-ES_tradnl"/>
        </w:rPr>
        <w:t xml:space="preserve"> recomendaciones de</w:t>
      </w:r>
      <w:r w:rsidR="000B08CA">
        <w:rPr>
          <w:rFonts w:ascii="ITC Avant Garde" w:hAnsi="ITC Avant Garde"/>
          <w:lang w:val="es-ES_tradnl"/>
        </w:rPr>
        <w:t>l ETSI</w:t>
      </w:r>
      <w:r w:rsidR="00537D18">
        <w:rPr>
          <w:rStyle w:val="Refdenotaalpie"/>
          <w:rFonts w:ascii="ITC Avant Garde" w:hAnsi="ITC Avant Garde"/>
          <w:lang w:val="es-ES_tradnl"/>
        </w:rPr>
        <w:footnoteReference w:id="2"/>
      </w:r>
      <w:r w:rsidR="007B3B04" w:rsidRPr="007B3B04">
        <w:rPr>
          <w:rFonts w:ascii="ITC Avant Garde" w:hAnsi="ITC Avant Garde"/>
          <w:lang w:val="es-ES_tradnl"/>
        </w:rPr>
        <w:t xml:space="preserve">. </w:t>
      </w:r>
      <w:r w:rsidR="00522981">
        <w:rPr>
          <w:rFonts w:ascii="ITC Avant Garde" w:hAnsi="ITC Avant Garde"/>
          <w:lang w:val="es-ES_tradnl"/>
        </w:rPr>
        <w:t xml:space="preserve">Con el objeto de obtener resultados que representen </w:t>
      </w:r>
      <w:r w:rsidR="00B5242B">
        <w:rPr>
          <w:rFonts w:ascii="ITC Avant Garde" w:hAnsi="ITC Avant Garde"/>
          <w:lang w:val="es-ES_tradnl"/>
        </w:rPr>
        <w:t xml:space="preserve">a </w:t>
      </w:r>
      <w:r w:rsidR="00522981">
        <w:rPr>
          <w:rFonts w:ascii="ITC Avant Garde" w:hAnsi="ITC Avant Garde"/>
          <w:lang w:val="es-ES_tradnl"/>
        </w:rPr>
        <w:t xml:space="preserve">cada uno de los tres estratos, se propone que las mediciones se lleven a cabo dentro de localidades que correspondan al estrato correspondiente; el área geográfica a medir se determina a partir de los polígonos de INEGI referidos en el Considerando Sexto. Se propone la obtención de </w:t>
      </w:r>
      <w:r w:rsidR="00522981">
        <w:rPr>
          <w:rFonts w:ascii="ITC Avant Garde" w:hAnsi="ITC Avant Garde"/>
          <w:lang w:val="es-ES_tradnl"/>
        </w:rPr>
        <w:lastRenderedPageBreak/>
        <w:t>valores promedio ponderados que tomen en cuenta la población cubierta en cada estrato con respecto a la población nacional.</w:t>
      </w:r>
    </w:p>
    <w:p w:rsidR="00971D20" w:rsidRDefault="00522981" w:rsidP="00C4357A">
      <w:pPr>
        <w:spacing w:after="240"/>
        <w:jc w:val="both"/>
        <w:rPr>
          <w:rFonts w:ascii="ITC Avant Garde" w:hAnsi="ITC Avant Garde"/>
          <w:lang w:val="es-ES_tradnl"/>
        </w:rPr>
      </w:pPr>
      <w:r>
        <w:rPr>
          <w:rFonts w:ascii="ITC Avant Garde" w:hAnsi="ITC Avant Garde"/>
          <w:lang w:val="es-ES_tradnl"/>
        </w:rPr>
        <w:t>De esta manera</w:t>
      </w:r>
      <w:r w:rsidR="006F5B06">
        <w:rPr>
          <w:rFonts w:ascii="ITC Avant Garde" w:hAnsi="ITC Avant Garde"/>
          <w:lang w:val="es-ES_tradnl"/>
        </w:rPr>
        <w:t xml:space="preserve">, </w:t>
      </w:r>
      <w:r w:rsidR="007649F1">
        <w:rPr>
          <w:rFonts w:ascii="ITC Avant Garde" w:hAnsi="ITC Avant Garde"/>
          <w:lang w:val="es-ES_tradnl"/>
        </w:rPr>
        <w:t>a partir de</w:t>
      </w:r>
      <w:r w:rsidR="00696AEA" w:rsidRPr="00CC2367">
        <w:rPr>
          <w:rFonts w:ascii="ITC Avant Garde" w:hAnsi="ITC Avant Garde"/>
          <w:lang w:val="es-ES_tradnl"/>
        </w:rPr>
        <w:t xml:space="preserve"> la información obtenida en los ejercicios de medición, se considera llevar a cabo una prueba de hipótesis estadística que permita determinar el cumplimiento o incumplimiento de los parámetros de cobertura</w:t>
      </w:r>
      <w:r>
        <w:rPr>
          <w:rFonts w:ascii="ITC Avant Garde" w:hAnsi="ITC Avant Garde"/>
          <w:lang w:val="es-ES_tradnl"/>
        </w:rPr>
        <w:t xml:space="preserve"> partiendo de una hipótesis nula y una alternativa y analizando si existe información </w:t>
      </w:r>
      <w:r w:rsidR="003D12F9">
        <w:rPr>
          <w:rFonts w:ascii="ITC Avant Garde" w:hAnsi="ITC Avant Garde"/>
          <w:lang w:val="es-ES_tradnl"/>
        </w:rPr>
        <w:t>estadísticamente suficiente</w:t>
      </w:r>
      <w:r w:rsidR="007649F1">
        <w:rPr>
          <w:rFonts w:ascii="ITC Avant Garde" w:hAnsi="ITC Avant Garde"/>
          <w:lang w:val="es-ES_tradnl"/>
        </w:rPr>
        <w:t xml:space="preserve"> </w:t>
      </w:r>
      <w:r>
        <w:rPr>
          <w:rFonts w:ascii="ITC Avant Garde" w:hAnsi="ITC Avant Garde"/>
          <w:lang w:val="es-ES_tradnl"/>
        </w:rPr>
        <w:t xml:space="preserve">que permita </w:t>
      </w:r>
      <w:r w:rsidR="003D12F9">
        <w:rPr>
          <w:rFonts w:ascii="ITC Avant Garde" w:hAnsi="ITC Avant Garde"/>
          <w:lang w:val="es-ES_tradnl"/>
        </w:rPr>
        <w:t>aceptar o rechazar cada hipótesis</w:t>
      </w:r>
      <w:r w:rsidR="00696AEA" w:rsidRPr="00CC2367">
        <w:rPr>
          <w:rFonts w:ascii="ITC Avant Garde" w:hAnsi="ITC Avant Garde"/>
          <w:lang w:val="es-ES_tradnl"/>
        </w:rPr>
        <w:t>.</w:t>
      </w:r>
      <w:r w:rsidR="003D12F9">
        <w:rPr>
          <w:rFonts w:ascii="ITC Avant Garde" w:hAnsi="ITC Avant Garde"/>
          <w:lang w:val="es-ES_tradnl"/>
        </w:rPr>
        <w:t xml:space="preserve"> En este caso, las hipótesis nula y alternativa corresponden al hecho de que el concesionario mayorista está o no en cumplimiento de los parámetros de cobertura como fueron establecidos en su título de concesión.</w:t>
      </w:r>
    </w:p>
    <w:p w:rsidR="007649F1" w:rsidRDefault="007649F1" w:rsidP="00C4357A">
      <w:pPr>
        <w:spacing w:after="240"/>
        <w:jc w:val="both"/>
        <w:rPr>
          <w:rFonts w:ascii="ITC Avant Garde" w:hAnsi="ITC Avant Garde"/>
          <w:lang w:val="es-ES_tradnl"/>
        </w:rPr>
      </w:pPr>
      <w:r>
        <w:rPr>
          <w:rFonts w:ascii="ITC Avant Garde" w:hAnsi="ITC Avant Garde"/>
          <w:lang w:val="es-ES_tradnl"/>
        </w:rPr>
        <w:t>Finalmente, en el procedimiento de selección aleatoria de puntos de medición</w:t>
      </w:r>
      <w:r w:rsidR="00DD5D47">
        <w:rPr>
          <w:rFonts w:ascii="ITC Avant Garde" w:hAnsi="ITC Avant Garde"/>
          <w:lang w:val="es-ES_tradnl"/>
        </w:rPr>
        <w:t>,</w:t>
      </w:r>
      <w:r>
        <w:rPr>
          <w:rFonts w:ascii="ITC Avant Garde" w:hAnsi="ITC Avant Garde"/>
          <w:lang w:val="es-ES_tradnl"/>
        </w:rPr>
        <w:t xml:space="preserve"> se incorporó un factor de ponderación que </w:t>
      </w:r>
      <w:r w:rsidR="00DD5D47">
        <w:rPr>
          <w:rFonts w:ascii="ITC Avant Garde" w:hAnsi="ITC Avant Garde"/>
          <w:lang w:val="es-ES_tradnl"/>
        </w:rPr>
        <w:t>otorgue</w:t>
      </w:r>
      <w:r>
        <w:rPr>
          <w:rFonts w:ascii="ITC Avant Garde" w:hAnsi="ITC Avant Garde"/>
          <w:lang w:val="es-ES_tradnl"/>
        </w:rPr>
        <w:t xml:space="preserve"> un mayor peso a aquéllas localidades de</w:t>
      </w:r>
      <w:r w:rsidR="00DD5D47">
        <w:rPr>
          <w:rFonts w:ascii="ITC Avant Garde" w:hAnsi="ITC Avant Garde"/>
          <w:lang w:val="es-ES_tradnl"/>
        </w:rPr>
        <w:t>ntro de los municipios elegidos que contengan la mayor población</w:t>
      </w:r>
      <w:r w:rsidR="00981502">
        <w:rPr>
          <w:rFonts w:ascii="ITC Avant Garde" w:hAnsi="ITC Avant Garde"/>
          <w:lang w:val="es-ES_tradnl"/>
        </w:rPr>
        <w:t xml:space="preserve">. Lo anterior con el objetivo de que </w:t>
      </w:r>
      <w:r w:rsidR="00DD5D47">
        <w:rPr>
          <w:rFonts w:ascii="ITC Avant Garde" w:hAnsi="ITC Avant Garde"/>
          <w:lang w:val="es-ES_tradnl"/>
        </w:rPr>
        <w:t>la probabilidad de resultar seleccionadas se</w:t>
      </w:r>
      <w:r w:rsidR="00B5242B">
        <w:rPr>
          <w:rFonts w:ascii="ITC Avant Garde" w:hAnsi="ITC Avant Garde"/>
          <w:lang w:val="es-ES_tradnl"/>
        </w:rPr>
        <w:t>a</w:t>
      </w:r>
      <w:r w:rsidR="00DD5D47">
        <w:rPr>
          <w:rFonts w:ascii="ITC Avant Garde" w:hAnsi="ITC Avant Garde"/>
          <w:lang w:val="es-ES_tradnl"/>
        </w:rPr>
        <w:t xml:space="preserve"> mayor</w:t>
      </w:r>
      <w:r w:rsidR="00981502">
        <w:rPr>
          <w:rFonts w:ascii="ITC Avant Garde" w:hAnsi="ITC Avant Garde"/>
          <w:lang w:val="es-ES_tradnl"/>
        </w:rPr>
        <w:t xml:space="preserve"> a aquélla de localidades con menor población</w:t>
      </w:r>
      <w:r w:rsidR="00DD5D47">
        <w:rPr>
          <w:rFonts w:ascii="ITC Avant Garde" w:hAnsi="ITC Avant Garde"/>
          <w:lang w:val="es-ES_tradnl"/>
        </w:rPr>
        <w:t>.</w:t>
      </w:r>
      <w:r>
        <w:rPr>
          <w:rFonts w:ascii="ITC Avant Garde" w:hAnsi="ITC Avant Garde"/>
          <w:lang w:val="es-ES_tradnl"/>
        </w:rPr>
        <w:t xml:space="preserve"> </w:t>
      </w:r>
    </w:p>
    <w:p w:rsidR="00C4357A" w:rsidRDefault="009A081D" w:rsidP="00C4357A">
      <w:pPr>
        <w:spacing w:before="240" w:after="240"/>
        <w:jc w:val="both"/>
        <w:rPr>
          <w:rFonts w:ascii="ITC Avant Garde" w:hAnsi="ITC Avant Garde"/>
          <w:bCs/>
          <w:color w:val="000000"/>
          <w:lang w:eastAsia="es-MX"/>
        </w:rPr>
      </w:pPr>
      <w:r w:rsidRPr="00D54D56">
        <w:rPr>
          <w:rFonts w:ascii="ITC Avant Garde" w:hAnsi="ITC Avant Garde"/>
          <w:bCs/>
          <w:color w:val="000000"/>
          <w:lang w:eastAsia="es-MX"/>
        </w:rPr>
        <w:t xml:space="preserve">Por lo anteriormente señalado, y con fundamento en los artículos 28 párrafos </w:t>
      </w:r>
      <w:r w:rsidR="006C2671">
        <w:rPr>
          <w:rFonts w:ascii="ITC Avant Garde" w:hAnsi="ITC Avant Garde"/>
          <w:bCs/>
          <w:color w:val="000000"/>
          <w:lang w:eastAsia="es-MX"/>
        </w:rPr>
        <w:t>D</w:t>
      </w:r>
      <w:r w:rsidR="006C2671" w:rsidRPr="00D54D56">
        <w:rPr>
          <w:rFonts w:ascii="ITC Avant Garde" w:hAnsi="ITC Avant Garde"/>
          <w:bCs/>
          <w:color w:val="000000"/>
          <w:lang w:eastAsia="es-MX"/>
        </w:rPr>
        <w:t xml:space="preserve">écimo Quinto, Décimo Sexto </w:t>
      </w:r>
      <w:r w:rsidRPr="00D54D56">
        <w:rPr>
          <w:rFonts w:ascii="ITC Avant Garde" w:hAnsi="ITC Avant Garde"/>
          <w:bCs/>
          <w:color w:val="000000"/>
          <w:lang w:eastAsia="es-MX"/>
        </w:rPr>
        <w:t xml:space="preserve">y </w:t>
      </w:r>
      <w:r w:rsidR="006C2671" w:rsidRPr="00D54D56">
        <w:rPr>
          <w:rFonts w:ascii="ITC Avant Garde" w:hAnsi="ITC Avant Garde"/>
          <w:bCs/>
          <w:color w:val="000000"/>
          <w:lang w:eastAsia="es-MX"/>
        </w:rPr>
        <w:t xml:space="preserve">Décimo Séptimo </w:t>
      </w:r>
      <w:r w:rsidRPr="00D54D56">
        <w:rPr>
          <w:rFonts w:ascii="ITC Avant Garde" w:hAnsi="ITC Avant Garde"/>
          <w:bCs/>
          <w:color w:val="000000"/>
          <w:lang w:eastAsia="es-MX"/>
        </w:rPr>
        <w:t xml:space="preserve">de la Constitución Política de los Estados Unidos Mexicanos; </w:t>
      </w:r>
      <w:r w:rsidRPr="00D54D56">
        <w:rPr>
          <w:rFonts w:ascii="ITC Avant Garde" w:hAnsi="ITC Avant Garde"/>
          <w:lang w:eastAsia="es-MX"/>
        </w:rPr>
        <w:t>Décimo Sexto Transitorio del “Decreto por el que se reforman y adicionan diversas disposiciones de los artículos 6o., 7o., 27, 28, 73, 78, 94 y 105 de la Constitución Política de los Estados Unidos Mexicanos, en materia de telecomunicaciones”;</w:t>
      </w:r>
      <w:r w:rsidRPr="00D54D56">
        <w:rPr>
          <w:rFonts w:ascii="ITC Avant Garde" w:hAnsi="ITC Avant Garde"/>
          <w:bCs/>
          <w:color w:val="000000"/>
          <w:lang w:eastAsia="es-MX"/>
        </w:rPr>
        <w:t xml:space="preserve"> </w:t>
      </w:r>
      <w:r w:rsidR="00F81B4D" w:rsidRPr="00F84180">
        <w:rPr>
          <w:rFonts w:ascii="ITC Avant Garde" w:eastAsia="Arial" w:hAnsi="ITC Avant Garde" w:cs="Arial"/>
        </w:rPr>
        <w:t>1, 2, 7, 15 fracción  XXVII</w:t>
      </w:r>
      <w:r w:rsidR="00FB6FB0">
        <w:rPr>
          <w:rFonts w:ascii="ITC Avant Garde" w:eastAsia="Arial" w:hAnsi="ITC Avant Garde" w:cs="Arial"/>
        </w:rPr>
        <w:t xml:space="preserve"> y</w:t>
      </w:r>
      <w:r w:rsidR="00F81B4D" w:rsidRPr="00F84180">
        <w:rPr>
          <w:rFonts w:ascii="ITC Avant Garde" w:eastAsia="Arial" w:hAnsi="ITC Avant Garde" w:cs="Arial"/>
        </w:rPr>
        <w:t xml:space="preserve"> 16 de la Ley Federal de Telecomunicaciones y Radiodifusión</w:t>
      </w:r>
      <w:r w:rsidR="0059036B">
        <w:rPr>
          <w:rFonts w:ascii="ITC Avant Garde" w:hAnsi="ITC Avant Garde"/>
          <w:bCs/>
          <w:color w:val="000000"/>
          <w:lang w:eastAsia="es-MX"/>
        </w:rPr>
        <w:t xml:space="preserve">; </w:t>
      </w:r>
      <w:r w:rsidRPr="00D54D56">
        <w:rPr>
          <w:rFonts w:ascii="ITC Avant Garde" w:hAnsi="ITC Avant Garde"/>
          <w:bCs/>
          <w:color w:val="000000"/>
          <w:lang w:eastAsia="es-MX"/>
        </w:rPr>
        <w:t>1, 6 fracci</w:t>
      </w:r>
      <w:r w:rsidR="0059036B">
        <w:rPr>
          <w:rFonts w:ascii="ITC Avant Garde" w:hAnsi="ITC Avant Garde"/>
          <w:bCs/>
          <w:color w:val="000000"/>
          <w:lang w:eastAsia="es-MX"/>
        </w:rPr>
        <w:t>ón</w:t>
      </w:r>
      <w:r w:rsidRPr="00D54D56">
        <w:rPr>
          <w:rFonts w:ascii="ITC Avant Garde" w:hAnsi="ITC Avant Garde"/>
          <w:bCs/>
          <w:color w:val="000000"/>
          <w:lang w:eastAsia="es-MX"/>
        </w:rPr>
        <w:t xml:space="preserve"> XXXVIII, del Estatuto Orgánico del Instituto Federal de Telecomunicaciones; y </w:t>
      </w:r>
      <w:r w:rsidR="0059036B">
        <w:rPr>
          <w:rFonts w:ascii="ITC Avant Garde" w:hAnsi="ITC Avant Garde"/>
          <w:bCs/>
          <w:color w:val="000000"/>
          <w:lang w:eastAsia="es-MX"/>
        </w:rPr>
        <w:t>la Resolución P/IFT/160117/2 “</w:t>
      </w:r>
      <w:r w:rsidR="0059036B" w:rsidRPr="0059036B">
        <w:rPr>
          <w:rFonts w:ascii="ITC Avant Garde" w:hAnsi="ITC Avant Garde"/>
          <w:bCs/>
          <w:color w:val="000000"/>
          <w:lang w:eastAsia="es-MX"/>
        </w:rPr>
        <w:t>RESOLUCIÓN MEDIANTE LA CUAL EL PLENO DEL INSTITUTO FEDERAL DE TELECOMUNICACIONES OTORGA A ALTÁN REDES, S.A.P.I. DE C.V., UN TÍTULO DE CONCESIÓN PARA USO COMERCIAL CON CARÁCTER DE RED COMPARTIDA MAYORISTA DE SERVICIOS DE TELECOMUNICACIONES.</w:t>
      </w:r>
      <w:r w:rsidR="0059036B">
        <w:rPr>
          <w:rFonts w:ascii="ITC Avant Garde" w:hAnsi="ITC Avant Garde"/>
          <w:bCs/>
          <w:color w:val="000000"/>
          <w:lang w:eastAsia="es-MX"/>
        </w:rPr>
        <w:t xml:space="preserve">”, se emiten los </w:t>
      </w:r>
      <w:r w:rsidR="0005211F">
        <w:rPr>
          <w:rFonts w:ascii="ITC Avant Garde" w:hAnsi="ITC Avant Garde"/>
          <w:bCs/>
          <w:color w:val="000000"/>
          <w:lang w:eastAsia="es-MX"/>
        </w:rPr>
        <w:t>siguientes:</w:t>
      </w:r>
    </w:p>
    <w:p w:rsidR="00C4357A" w:rsidRDefault="00423CB8" w:rsidP="00C4357A">
      <w:pPr>
        <w:pStyle w:val="Ttulo2"/>
        <w:keepLines/>
        <w:spacing w:before="40" w:after="240" w:line="276" w:lineRule="auto"/>
        <w:ind w:firstLine="0"/>
        <w:jc w:val="center"/>
        <w:rPr>
          <w:rFonts w:ascii="ITC Avant Garde" w:eastAsiaTheme="majorEastAsia" w:hAnsi="ITC Avant Garde" w:cstheme="majorBidi"/>
          <w:color w:val="000000" w:themeColor="text1"/>
          <w:sz w:val="22"/>
          <w:szCs w:val="22"/>
          <w:lang w:eastAsia="en-US"/>
        </w:rPr>
      </w:pPr>
      <w:r w:rsidRPr="001A7DC5">
        <w:rPr>
          <w:rFonts w:ascii="ITC Avant Garde" w:eastAsiaTheme="majorEastAsia" w:hAnsi="ITC Avant Garde" w:cstheme="majorBidi"/>
          <w:color w:val="000000" w:themeColor="text1"/>
          <w:sz w:val="22"/>
          <w:szCs w:val="22"/>
          <w:lang w:eastAsia="en-US"/>
        </w:rPr>
        <w:t>RESOLUTIVOS</w:t>
      </w:r>
    </w:p>
    <w:p w:rsidR="00C4357A" w:rsidRDefault="00423CB8" w:rsidP="00C4357A">
      <w:pPr>
        <w:spacing w:before="240" w:after="240"/>
        <w:jc w:val="both"/>
        <w:rPr>
          <w:rFonts w:ascii="ITC Avant Garde" w:hAnsi="ITC Avant Garde"/>
          <w:bCs/>
          <w:color w:val="000000"/>
          <w:lang w:eastAsia="es-MX"/>
        </w:rPr>
      </w:pPr>
      <w:r w:rsidRPr="001A7DC5">
        <w:rPr>
          <w:rFonts w:ascii="ITC Avant Garde" w:hAnsi="ITC Avant Garde"/>
          <w:b/>
          <w:bCs/>
          <w:color w:val="000000"/>
          <w:lang w:eastAsia="es-MX"/>
        </w:rPr>
        <w:t xml:space="preserve">PRIMERO.- </w:t>
      </w:r>
      <w:r w:rsidRPr="001A7DC5">
        <w:rPr>
          <w:rFonts w:ascii="ITC Avant Garde" w:hAnsi="ITC Avant Garde"/>
          <w:bCs/>
          <w:color w:val="000000"/>
          <w:lang w:eastAsia="es-MX"/>
        </w:rPr>
        <w:t xml:space="preserve">Se </w:t>
      </w:r>
      <w:r w:rsidR="001A7DC5" w:rsidRPr="001A7DC5">
        <w:rPr>
          <w:rFonts w:ascii="ITC Avant Garde" w:hAnsi="ITC Avant Garde"/>
          <w:bCs/>
          <w:color w:val="000000"/>
          <w:lang w:eastAsia="es-MX"/>
        </w:rPr>
        <w:t>aprueba y emite la “METODOLOGÍA PARA EVALUAR EL CUMPLIMIENTO DE LAS OBLIGACIONES DE COBERTURA DE LA RED COMPARTIDA MAYORISTA ESTABLECIDAS EN SU TÍTULO DE CONCESIÓN”.</w:t>
      </w:r>
    </w:p>
    <w:p w:rsidR="00C4357A" w:rsidRPr="00496B50" w:rsidRDefault="00423CB8" w:rsidP="00496B50">
      <w:pPr>
        <w:spacing w:before="240" w:after="240"/>
        <w:jc w:val="both"/>
        <w:rPr>
          <w:rFonts w:ascii="ITC Avant Garde" w:hAnsi="ITC Avant Garde"/>
          <w:bCs/>
          <w:lang w:eastAsia="es-MX"/>
        </w:rPr>
      </w:pPr>
      <w:r w:rsidRPr="001A7DC5">
        <w:rPr>
          <w:rFonts w:ascii="ITC Avant Garde" w:hAnsi="ITC Avant Garde"/>
          <w:b/>
          <w:bCs/>
          <w:color w:val="000000"/>
          <w:lang w:eastAsia="es-MX"/>
        </w:rPr>
        <w:t>SEGUNDO</w:t>
      </w:r>
      <w:r w:rsidRPr="001A7DC5">
        <w:rPr>
          <w:rFonts w:ascii="ITC Avant Garde" w:hAnsi="ITC Avant Garde"/>
          <w:b/>
          <w:bCs/>
          <w:lang w:eastAsia="es-MX"/>
        </w:rPr>
        <w:t xml:space="preserve">.- </w:t>
      </w:r>
      <w:r w:rsidRPr="001A7DC5">
        <w:rPr>
          <w:rFonts w:ascii="ITC Avant Garde" w:hAnsi="ITC Avant Garde"/>
          <w:bCs/>
          <w:lang w:eastAsia="es-MX"/>
        </w:rPr>
        <w:t xml:space="preserve">Se instruye a la Unidad de Concesiones y Servicios a notificar a </w:t>
      </w:r>
      <w:r w:rsidR="001A7DC5" w:rsidRPr="001A7DC5">
        <w:rPr>
          <w:rFonts w:ascii="ITC Avant Garde" w:hAnsi="ITC Avant Garde"/>
          <w:bCs/>
          <w:color w:val="000000"/>
          <w:lang w:eastAsia="es-MX"/>
        </w:rPr>
        <w:t>ALTÁN REDES</w:t>
      </w:r>
      <w:r w:rsidRPr="001A7DC5">
        <w:rPr>
          <w:rFonts w:ascii="ITC Avant Garde" w:hAnsi="ITC Avant Garde"/>
          <w:bCs/>
          <w:color w:val="000000"/>
          <w:lang w:eastAsia="es-MX"/>
        </w:rPr>
        <w:t>, S.A.P.I. de C.V.</w:t>
      </w:r>
      <w:r w:rsidRPr="001A7DC5">
        <w:rPr>
          <w:rFonts w:ascii="ITC Avant Garde" w:hAnsi="ITC Avant Garde"/>
          <w:bCs/>
          <w:lang w:eastAsia="es-MX"/>
        </w:rPr>
        <w:t>, el contenido de la presente Resolución.</w:t>
      </w:r>
    </w:p>
    <w:p w:rsidR="00C4357A" w:rsidRDefault="00433F40" w:rsidP="00C4357A">
      <w:pPr>
        <w:pStyle w:val="Prrafodelista"/>
        <w:spacing w:after="240" w:line="240" w:lineRule="auto"/>
        <w:ind w:left="0"/>
        <w:jc w:val="both"/>
        <w:rPr>
          <w:rFonts w:ascii="ITC Avant Garde" w:hAnsi="ITC Avant Garde"/>
          <w:sz w:val="14"/>
        </w:rPr>
      </w:pPr>
      <w:r w:rsidRPr="00433F40">
        <w:rPr>
          <w:rFonts w:ascii="ITC Avant Garde" w:hAnsi="ITC Avant Garde"/>
          <w:sz w:val="14"/>
        </w:rPr>
        <w:t xml:space="preserve">La presente Resolución fue aprobada por el Pleno del Instituto Federal de Telecomunicaciones en su XLV Sesión Ordinaria celebrada el 8 de noviembre de 2017, en lo general </w:t>
      </w:r>
      <w:r w:rsidRPr="00433F40">
        <w:rPr>
          <w:rFonts w:ascii="ITC Avant Garde" w:hAnsi="ITC Avant Garde"/>
          <w:bCs/>
          <w:sz w:val="14"/>
        </w:rPr>
        <w:t>por unanimidad</w:t>
      </w:r>
      <w:r w:rsidRPr="00433F40">
        <w:rPr>
          <w:rFonts w:ascii="ITC Avant Garde" w:hAnsi="ITC Avant Garde"/>
          <w:sz w:val="14"/>
        </w:rPr>
        <w:t xml:space="preserve"> de votos de los Comisionados Gabriel Oswaldo Contreras Saldívar, Adriana Sofía </w:t>
      </w:r>
      <w:proofErr w:type="spellStart"/>
      <w:r w:rsidRPr="00433F40">
        <w:rPr>
          <w:rFonts w:ascii="ITC Avant Garde" w:hAnsi="ITC Avant Garde"/>
          <w:sz w:val="14"/>
        </w:rPr>
        <w:lastRenderedPageBreak/>
        <w:t>Labardini</w:t>
      </w:r>
      <w:proofErr w:type="spellEnd"/>
      <w:r w:rsidRPr="00433F40">
        <w:rPr>
          <w:rFonts w:ascii="ITC Avant Garde" w:hAnsi="ITC Avant Garde"/>
          <w:sz w:val="14"/>
        </w:rPr>
        <w:t xml:space="preserve"> </w:t>
      </w:r>
      <w:proofErr w:type="spellStart"/>
      <w:r w:rsidRPr="00433F40">
        <w:rPr>
          <w:rFonts w:ascii="ITC Avant Garde" w:hAnsi="ITC Avant Garde"/>
          <w:sz w:val="14"/>
        </w:rPr>
        <w:t>Inzunza</w:t>
      </w:r>
      <w:proofErr w:type="spellEnd"/>
      <w:r w:rsidRPr="00433F40">
        <w:rPr>
          <w:rFonts w:ascii="ITC Avant Garde" w:hAnsi="ITC Avant Garde"/>
          <w:sz w:val="14"/>
        </w:rPr>
        <w:t xml:space="preserve">, María Elena </w:t>
      </w:r>
      <w:proofErr w:type="spellStart"/>
      <w:r w:rsidRPr="00433F40">
        <w:rPr>
          <w:rFonts w:ascii="ITC Avant Garde" w:hAnsi="ITC Avant Garde"/>
          <w:sz w:val="14"/>
        </w:rPr>
        <w:t>Estavillo</w:t>
      </w:r>
      <w:proofErr w:type="spellEnd"/>
      <w:r w:rsidRPr="00433F40">
        <w:rPr>
          <w:rFonts w:ascii="ITC Avant Garde" w:hAnsi="ITC Avant Garde"/>
          <w:sz w:val="14"/>
        </w:rPr>
        <w:t xml:space="preserve"> Flores, Mario Germán </w:t>
      </w:r>
      <w:proofErr w:type="spellStart"/>
      <w:r w:rsidRPr="00433F40">
        <w:rPr>
          <w:rFonts w:ascii="ITC Avant Garde" w:hAnsi="ITC Avant Garde"/>
          <w:sz w:val="14"/>
        </w:rPr>
        <w:t>Fromow</w:t>
      </w:r>
      <w:proofErr w:type="spellEnd"/>
      <w:r w:rsidRPr="00433F40">
        <w:rPr>
          <w:rFonts w:ascii="ITC Avant Garde" w:hAnsi="ITC Avant Garde"/>
          <w:sz w:val="14"/>
        </w:rPr>
        <w:t xml:space="preserve"> Rangel, Adolfo Cuevas Teja, Javier Juárez Mojica y Arturo Robles </w:t>
      </w:r>
      <w:proofErr w:type="spellStart"/>
      <w:r w:rsidRPr="00433F40">
        <w:rPr>
          <w:rFonts w:ascii="ITC Avant Garde" w:hAnsi="ITC Avant Garde"/>
          <w:sz w:val="14"/>
        </w:rPr>
        <w:t>Rovalo</w:t>
      </w:r>
      <w:proofErr w:type="spellEnd"/>
      <w:r w:rsidRPr="00433F40">
        <w:rPr>
          <w:rFonts w:ascii="ITC Avant Garde" w:hAnsi="ITC Avant Garde"/>
          <w:sz w:val="14"/>
        </w:rPr>
        <w:t>.</w:t>
      </w:r>
    </w:p>
    <w:p w:rsidR="00C4357A" w:rsidRDefault="00433F40" w:rsidP="00C4357A">
      <w:pPr>
        <w:pStyle w:val="Prrafodelista"/>
        <w:spacing w:after="240" w:line="240" w:lineRule="auto"/>
        <w:ind w:left="0"/>
        <w:jc w:val="both"/>
        <w:rPr>
          <w:rFonts w:ascii="ITC Avant Garde" w:hAnsi="ITC Avant Garde"/>
          <w:sz w:val="14"/>
          <w:lang w:val="es-ES_tradnl"/>
        </w:rPr>
      </w:pPr>
      <w:r w:rsidRPr="00433F40">
        <w:rPr>
          <w:rFonts w:ascii="ITC Avant Garde" w:hAnsi="ITC Avant Garde"/>
          <w:sz w:val="14"/>
        </w:rPr>
        <w:t xml:space="preserve">En lo particular, la Comisionada María Elena </w:t>
      </w:r>
      <w:proofErr w:type="spellStart"/>
      <w:r w:rsidRPr="00433F40">
        <w:rPr>
          <w:rFonts w:ascii="ITC Avant Garde" w:hAnsi="ITC Avant Garde"/>
          <w:sz w:val="14"/>
        </w:rPr>
        <w:t>Estavillo</w:t>
      </w:r>
      <w:proofErr w:type="spellEnd"/>
      <w:r w:rsidRPr="00433F40">
        <w:rPr>
          <w:rFonts w:ascii="ITC Avant Garde" w:hAnsi="ITC Avant Garde"/>
          <w:sz w:val="14"/>
        </w:rPr>
        <w:t xml:space="preserve"> Flores manifestó voto en contra del numeral 12</w:t>
      </w:r>
      <w:r w:rsidRPr="00433F40">
        <w:rPr>
          <w:rFonts w:ascii="ITC Avant Garde" w:hAnsi="ITC Avant Garde"/>
          <w:sz w:val="14"/>
          <w:lang w:val="es-ES_tradnl"/>
        </w:rPr>
        <w:t xml:space="preserve">, fracción IV, de la Metodología. </w:t>
      </w:r>
    </w:p>
    <w:p w:rsidR="00496B50" w:rsidRDefault="00433F40" w:rsidP="00C4357A">
      <w:pPr>
        <w:pStyle w:val="Prrafodelista"/>
        <w:spacing w:after="240" w:line="240" w:lineRule="auto"/>
        <w:ind w:left="0"/>
        <w:jc w:val="both"/>
        <w:rPr>
          <w:rFonts w:ascii="ITC Avant Garde" w:hAnsi="ITC Avant Garde"/>
          <w:sz w:val="14"/>
        </w:rPr>
        <w:sectPr w:rsidR="00496B50" w:rsidSect="00433F40">
          <w:headerReference w:type="even" r:id="rId8"/>
          <w:footerReference w:type="default" r:id="rId9"/>
          <w:headerReference w:type="first" r:id="rId10"/>
          <w:pgSz w:w="12240" w:h="15840" w:code="1"/>
          <w:pgMar w:top="2041" w:right="1418" w:bottom="1418" w:left="1418" w:header="567" w:footer="709" w:gutter="0"/>
          <w:cols w:space="708"/>
          <w:docGrid w:linePitch="360"/>
        </w:sectPr>
      </w:pPr>
      <w:r w:rsidRPr="00433F40">
        <w:rPr>
          <w:rFonts w:ascii="ITC Avant Garde" w:hAnsi="ITC Avant Garde"/>
          <w:sz w:val="14"/>
        </w:rPr>
        <w:t>Lo anterior,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P/IFT/081117/684.</w:t>
      </w:r>
    </w:p>
    <w:p w:rsidR="00496B50" w:rsidRDefault="00496B50" w:rsidP="00496B50">
      <w:pPr>
        <w:pStyle w:val="Ttulo1"/>
        <w:spacing w:after="240"/>
        <w:jc w:val="center"/>
        <w:rPr>
          <w:rFonts w:ascii="ITC Avant Garde" w:hAnsi="ITC Avant Garde"/>
          <w:b/>
          <w:color w:val="000000" w:themeColor="text1"/>
          <w:sz w:val="22"/>
          <w:szCs w:val="22"/>
          <w:lang w:val="es-ES_tradnl"/>
        </w:rPr>
      </w:pPr>
      <w:r w:rsidRPr="004903E2">
        <w:rPr>
          <w:rFonts w:ascii="ITC Avant Garde" w:hAnsi="ITC Avant Garde"/>
          <w:b/>
          <w:color w:val="000000" w:themeColor="text1"/>
          <w:sz w:val="22"/>
          <w:szCs w:val="22"/>
          <w:lang w:val="es-ES_tradnl"/>
        </w:rPr>
        <w:lastRenderedPageBreak/>
        <w:t>ANEXO ÚNICO</w:t>
      </w:r>
    </w:p>
    <w:p w:rsidR="00496B50" w:rsidRDefault="00496B50" w:rsidP="00496B50">
      <w:pPr>
        <w:widowControl w:val="0"/>
        <w:spacing w:before="240" w:after="240"/>
        <w:jc w:val="both"/>
        <w:rPr>
          <w:rFonts w:ascii="ITC Avant Garde" w:hAnsi="ITC Avant Garde"/>
          <w:b/>
          <w:lang w:val="es-ES_tradnl"/>
        </w:rPr>
      </w:pPr>
      <w:r w:rsidRPr="00FE6BB3">
        <w:rPr>
          <w:rFonts w:ascii="ITC Avant Garde" w:hAnsi="ITC Avant Garde"/>
          <w:b/>
          <w:lang w:val="es-ES_tradnl"/>
        </w:rPr>
        <w:t>METODOLOGÍA PARA EVALUAR EL CUMPLIMIENTO DE LAS OBLIGACIONES DE COBERTURA DE LA RED COMPARTIDA MAYORISTA ESTABLECIDAS EN LA CONDICIÓN 10.3  DEL TÍTULO DE CONCESIÓN PARA USO COMERCIAL CON CARÁCTER DE RED COMPARTIDA MAYORISTA DE SERVICIOS DE TELECOMUNICACIONES QUE OTORGÓ EL INSTITUTO FEDERAL DE TELECOMUNICACIONES EN FAVOR DE ALTÁN REDES, S.A.P.I. DE C.V. MEDIANTE ACUERDO P/IFT/160117/2.</w:t>
      </w:r>
    </w:p>
    <w:p w:rsidR="00496B50" w:rsidRDefault="00496B50" w:rsidP="00496B50">
      <w:pPr>
        <w:spacing w:before="240" w:after="240"/>
        <w:jc w:val="both"/>
        <w:rPr>
          <w:rFonts w:ascii="ITC Avant Garde" w:hAnsi="ITC Avant Garde"/>
          <w:bCs/>
          <w:color w:val="000000" w:themeColor="text1"/>
          <w:lang w:val="es-ES_tradnl"/>
        </w:rPr>
      </w:pPr>
      <w:r w:rsidRPr="00FE6BB3">
        <w:rPr>
          <w:rFonts w:ascii="ITC Avant Garde" w:hAnsi="ITC Avant Garde"/>
          <w:lang w:val="es-ES_tradnl"/>
        </w:rPr>
        <w:t xml:space="preserve">La presente metodología tiene por objeto establecer el procedimiento de medición para evaluar el cumplimiento de las obligaciones de cobertura establecidas en la </w:t>
      </w:r>
      <w:r w:rsidRPr="00FE6BB3">
        <w:rPr>
          <w:rFonts w:ascii="ITC Avant Garde" w:hAnsi="ITC Avant Garde"/>
          <w:bCs/>
          <w:color w:val="000000" w:themeColor="text1"/>
          <w:lang w:val="es-ES_tradnl"/>
        </w:rPr>
        <w:t xml:space="preserve">condición 10.3 del título de concesión para uso comercial con carácter de red compartida mayorista de servicios de telecomunicaciones, que otorgó el Instituto Federal de Telecomunicaciones en favor de </w:t>
      </w:r>
      <w:proofErr w:type="spellStart"/>
      <w:r w:rsidRPr="00FE6BB3">
        <w:rPr>
          <w:rFonts w:ascii="ITC Avant Garde" w:hAnsi="ITC Avant Garde"/>
          <w:bCs/>
          <w:color w:val="000000" w:themeColor="text1"/>
          <w:lang w:val="es-ES_tradnl"/>
        </w:rPr>
        <w:t>Altán</w:t>
      </w:r>
      <w:proofErr w:type="spellEnd"/>
      <w:r w:rsidRPr="00FE6BB3">
        <w:rPr>
          <w:rFonts w:ascii="ITC Avant Garde" w:hAnsi="ITC Avant Garde"/>
          <w:bCs/>
          <w:color w:val="000000" w:themeColor="text1"/>
          <w:lang w:val="es-ES_tradnl"/>
        </w:rPr>
        <w:t xml:space="preserve"> Redes, S.A.P.I. de C.V. mediante acuerdo P/IFT/160117/2.</w:t>
      </w:r>
    </w:p>
    <w:p w:rsidR="00496B50" w:rsidRDefault="00496B50" w:rsidP="00496B50">
      <w:pPr>
        <w:pStyle w:val="Prrafodelista"/>
        <w:widowControl w:val="0"/>
        <w:numPr>
          <w:ilvl w:val="0"/>
          <w:numId w:val="16"/>
        </w:numPr>
        <w:spacing w:before="240" w:after="240" w:line="276" w:lineRule="auto"/>
        <w:jc w:val="both"/>
        <w:rPr>
          <w:rFonts w:ascii="ITC Avant Garde" w:hAnsi="ITC Avant Garde"/>
          <w:lang w:val="es-ES_tradnl"/>
        </w:rPr>
      </w:pPr>
      <w:r w:rsidRPr="00FE6BB3">
        <w:rPr>
          <w:rFonts w:ascii="ITC Avant Garde" w:hAnsi="ITC Avant Garde"/>
          <w:b/>
          <w:lang w:val="es-ES_tradnl"/>
        </w:rPr>
        <w:t>Definiciones</w:t>
      </w:r>
      <w:r w:rsidRPr="00FE6BB3">
        <w:rPr>
          <w:rFonts w:ascii="ITC Avant Garde" w:hAnsi="ITC Avant Garde"/>
          <w:lang w:val="es-ES_tradnl"/>
        </w:rPr>
        <w:t>. Para efectos de la presente metodología, además de las definiciones previstas en la Ley Federal de Telecomunicaciones y Radiodifusión y demás disposiciones legales, reglamentarias y administrativas aplicables, se entenderá por:</w:t>
      </w:r>
    </w:p>
    <w:p w:rsidR="00496B50" w:rsidRDefault="00496B50" w:rsidP="00496B50">
      <w:pPr>
        <w:pStyle w:val="Prrafodelista"/>
        <w:widowControl w:val="0"/>
        <w:numPr>
          <w:ilvl w:val="1"/>
          <w:numId w:val="16"/>
        </w:numPr>
        <w:spacing w:before="240" w:after="240" w:line="276" w:lineRule="auto"/>
        <w:jc w:val="both"/>
        <w:rPr>
          <w:rFonts w:ascii="ITC Avant Garde" w:hAnsi="ITC Avant Garde"/>
          <w:b/>
          <w:lang w:val="es-ES_tradnl"/>
        </w:rPr>
      </w:pPr>
      <w:r w:rsidRPr="00FE6BB3">
        <w:rPr>
          <w:rFonts w:ascii="ITC Avant Garde" w:hAnsi="ITC Avant Garde"/>
          <w:b/>
          <w:lang w:val="es-ES_tradnl"/>
        </w:rPr>
        <w:t xml:space="preserve">3GPP </w:t>
      </w:r>
      <w:r w:rsidRPr="00FE6BB3">
        <w:rPr>
          <w:rFonts w:ascii="ITC Avant Garde" w:hAnsi="ITC Avant Garde"/>
          <w:lang w:val="es-ES_tradnl"/>
        </w:rPr>
        <w:t xml:space="preserve">(del inglés, </w:t>
      </w:r>
      <w:proofErr w:type="spellStart"/>
      <w:r w:rsidRPr="00FE6BB3">
        <w:rPr>
          <w:rFonts w:ascii="ITC Avant Garde" w:hAnsi="ITC Avant Garde"/>
          <w:i/>
          <w:lang w:val="es-ES_tradnl"/>
        </w:rPr>
        <w:t>Third</w:t>
      </w:r>
      <w:proofErr w:type="spellEnd"/>
      <w:r w:rsidRPr="00FE6BB3">
        <w:rPr>
          <w:rFonts w:ascii="ITC Avant Garde" w:hAnsi="ITC Avant Garde"/>
          <w:i/>
          <w:lang w:val="es-ES_tradnl"/>
        </w:rPr>
        <w:t xml:space="preserve"> </w:t>
      </w:r>
      <w:proofErr w:type="spellStart"/>
      <w:r w:rsidRPr="00FE6BB3">
        <w:rPr>
          <w:rFonts w:ascii="ITC Avant Garde" w:hAnsi="ITC Avant Garde"/>
          <w:i/>
          <w:lang w:val="es-ES_tradnl"/>
        </w:rPr>
        <w:t>Generation</w:t>
      </w:r>
      <w:proofErr w:type="spellEnd"/>
      <w:r w:rsidRPr="00FE6BB3">
        <w:rPr>
          <w:rFonts w:ascii="ITC Avant Garde" w:hAnsi="ITC Avant Garde"/>
          <w:i/>
          <w:lang w:val="es-ES_tradnl"/>
        </w:rPr>
        <w:t xml:space="preserve"> </w:t>
      </w:r>
      <w:proofErr w:type="spellStart"/>
      <w:r w:rsidRPr="00FE6BB3">
        <w:rPr>
          <w:rFonts w:ascii="ITC Avant Garde" w:hAnsi="ITC Avant Garde"/>
          <w:i/>
          <w:lang w:val="es-ES_tradnl"/>
        </w:rPr>
        <w:t>Partnership</w:t>
      </w:r>
      <w:proofErr w:type="spellEnd"/>
      <w:r w:rsidRPr="00FE6BB3">
        <w:rPr>
          <w:rFonts w:ascii="ITC Avant Garde" w:hAnsi="ITC Avant Garde"/>
          <w:i/>
          <w:lang w:val="es-ES_tradnl"/>
        </w:rPr>
        <w:t xml:space="preserve"> Project</w:t>
      </w:r>
      <w:r w:rsidRPr="00FE6BB3">
        <w:rPr>
          <w:rFonts w:ascii="ITC Avant Garde" w:hAnsi="ITC Avant Garde"/>
          <w:lang w:val="es-ES_tradnl"/>
        </w:rPr>
        <w:t>)</w:t>
      </w:r>
      <w:r w:rsidRPr="00FE6BB3">
        <w:rPr>
          <w:rFonts w:ascii="ITC Avant Garde" w:hAnsi="ITC Avant Garde"/>
          <w:b/>
          <w:lang w:val="es-ES_tradnl"/>
        </w:rPr>
        <w:t xml:space="preserve">: </w:t>
      </w:r>
      <w:r w:rsidRPr="00FE6BB3">
        <w:rPr>
          <w:rFonts w:ascii="ITC Avant Garde" w:hAnsi="ITC Avant Garde"/>
          <w:lang w:val="es-ES_tradnl"/>
        </w:rPr>
        <w:t>Proyecto de Asociación de Tercera Generación;</w:t>
      </w:r>
    </w:p>
    <w:p w:rsidR="00496B50" w:rsidRDefault="00496B50" w:rsidP="00496B50">
      <w:pPr>
        <w:pStyle w:val="Prrafodelista"/>
        <w:widowControl w:val="0"/>
        <w:numPr>
          <w:ilvl w:val="1"/>
          <w:numId w:val="16"/>
        </w:numPr>
        <w:spacing w:before="240" w:after="240" w:line="276" w:lineRule="auto"/>
        <w:jc w:val="both"/>
        <w:rPr>
          <w:rFonts w:ascii="ITC Avant Garde" w:hAnsi="ITC Avant Garde"/>
          <w:b/>
          <w:color w:val="0070C0"/>
          <w:lang w:val="es-ES_tradnl"/>
        </w:rPr>
      </w:pPr>
      <w:r w:rsidRPr="00FE6BB3">
        <w:rPr>
          <w:rFonts w:ascii="ITC Avant Garde" w:hAnsi="ITC Avant Garde"/>
          <w:b/>
          <w:lang w:val="es-ES_tradnl"/>
        </w:rPr>
        <w:t xml:space="preserve">Área de Evaluación: </w:t>
      </w:r>
      <w:r w:rsidRPr="00FE6BB3">
        <w:rPr>
          <w:rFonts w:ascii="ITC Avant Garde" w:hAnsi="ITC Avant Garde"/>
          <w:lang w:val="es-ES_tradnl"/>
        </w:rPr>
        <w:t>Zona geográfica representada en el mapa de cobertura de la red del concesionario mayorista que comprende el área dentro del borde de cobertura y, en la cual se llevarán a cabo los ejercicios de medición;</w:t>
      </w:r>
      <w:r w:rsidRPr="00FE6BB3">
        <w:rPr>
          <w:rFonts w:ascii="ITC Avant Garde" w:hAnsi="ITC Avant Garde"/>
          <w:b/>
          <w:lang w:val="es-ES_tradnl"/>
        </w:rPr>
        <w:t xml:space="preserve"> </w:t>
      </w:r>
    </w:p>
    <w:p w:rsidR="00496B50" w:rsidRDefault="00496B50" w:rsidP="00496B50">
      <w:pPr>
        <w:pStyle w:val="Prrafodelista"/>
        <w:widowControl w:val="0"/>
        <w:numPr>
          <w:ilvl w:val="1"/>
          <w:numId w:val="16"/>
        </w:numPr>
        <w:spacing w:before="240" w:after="240" w:line="276" w:lineRule="auto"/>
        <w:jc w:val="both"/>
        <w:rPr>
          <w:rFonts w:ascii="ITC Avant Garde" w:hAnsi="ITC Avant Garde"/>
          <w:b/>
          <w:lang w:val="es-ES_tradnl"/>
        </w:rPr>
      </w:pPr>
      <w:r w:rsidRPr="00FE6BB3">
        <w:rPr>
          <w:rFonts w:ascii="ITC Avant Garde" w:hAnsi="ITC Avant Garde"/>
          <w:b/>
          <w:lang w:val="es-ES_tradnl"/>
        </w:rPr>
        <w:t>Bitácora de Medición</w:t>
      </w:r>
      <w:r w:rsidRPr="00FE6BB3">
        <w:rPr>
          <w:rFonts w:ascii="ITC Avant Garde" w:hAnsi="ITC Avant Garde"/>
          <w:lang w:val="es-ES_tradnl"/>
        </w:rPr>
        <w:t>: Conjunto de dispositivos y funcionalidades capaces de registrar por día, hora y posición georreferenciada, aquellos eventos y situaciones durante el ejercicio de medición definidos por el Instituto Federal de Telecomunicaciones;</w:t>
      </w:r>
    </w:p>
    <w:p w:rsidR="00496B50" w:rsidRPr="00720E49" w:rsidRDefault="00496B50" w:rsidP="00496B50">
      <w:pPr>
        <w:pStyle w:val="Prrafodelista"/>
        <w:widowControl w:val="0"/>
        <w:numPr>
          <w:ilvl w:val="1"/>
          <w:numId w:val="16"/>
        </w:numPr>
        <w:spacing w:before="240" w:after="240" w:line="276" w:lineRule="auto"/>
        <w:jc w:val="both"/>
        <w:rPr>
          <w:rFonts w:ascii="ITC Avant Garde" w:hAnsi="ITC Avant Garde"/>
          <w:b/>
          <w:lang w:val="es-ES_tradnl"/>
        </w:rPr>
      </w:pPr>
      <w:r w:rsidRPr="00FE6BB3">
        <w:rPr>
          <w:rFonts w:ascii="ITC Avant Garde" w:hAnsi="ITC Avant Garde"/>
          <w:b/>
          <w:lang w:val="es-ES_tradnl"/>
        </w:rPr>
        <w:t xml:space="preserve">Borde de Cobertura: </w:t>
      </w:r>
      <w:r w:rsidRPr="00FE6BB3">
        <w:rPr>
          <w:rFonts w:ascii="ITC Avant Garde" w:hAnsi="ITC Avant Garde"/>
          <w:lang w:val="es-ES_tradnl"/>
        </w:rPr>
        <w:t xml:space="preserve">Área comprendida dentro de los polígonos definidos por el INEGI para las localidades del mismo tipo </w:t>
      </w:r>
      <w:r>
        <w:rPr>
          <w:rFonts w:ascii="ITC Avant Garde" w:hAnsi="ITC Avant Garde"/>
          <w:lang w:val="es-ES_tradnl"/>
        </w:rPr>
        <w:t xml:space="preserve">(urbano, suburbano o rural) </w:t>
      </w:r>
      <w:r w:rsidRPr="00FE6BB3">
        <w:rPr>
          <w:rFonts w:ascii="ITC Avant Garde" w:hAnsi="ITC Avant Garde"/>
          <w:lang w:val="es-ES_tradnl"/>
        </w:rPr>
        <w:t>que el municipio al que pertenecen y que se encuentran dentro del mapa de cobertura de la red del concesionario mayorista. Los polígonos de las localidades deberán corresponder a localidades del Censo Nacional de Población y Vivienda 2010 publicado por el INEGI;</w:t>
      </w:r>
    </w:p>
    <w:p w:rsidR="00496B50" w:rsidRDefault="00496B50" w:rsidP="00496B50">
      <w:pPr>
        <w:pStyle w:val="Prrafodelista"/>
        <w:widowControl w:val="0"/>
        <w:numPr>
          <w:ilvl w:val="1"/>
          <w:numId w:val="16"/>
        </w:numPr>
        <w:spacing w:before="240" w:after="240" w:line="276" w:lineRule="auto"/>
        <w:jc w:val="both"/>
        <w:rPr>
          <w:rFonts w:ascii="ITC Avant Garde" w:hAnsi="ITC Avant Garde"/>
          <w:b/>
          <w:lang w:val="es-ES_tradnl"/>
        </w:rPr>
      </w:pPr>
      <w:r w:rsidRPr="00FE6BB3">
        <w:rPr>
          <w:rFonts w:ascii="ITC Avant Garde" w:hAnsi="ITC Avant Garde"/>
          <w:b/>
          <w:lang w:val="es-ES_tradnl"/>
        </w:rPr>
        <w:t>Cifrado:</w:t>
      </w:r>
      <w:r w:rsidRPr="00FE6BB3">
        <w:rPr>
          <w:rFonts w:ascii="ITC Avant Garde" w:hAnsi="ITC Avant Garde"/>
          <w:lang w:val="es-ES_tradnl"/>
        </w:rPr>
        <w:t xml:space="preserve"> Proceso que hace que los datos sean ilegibles para entidades no autorizadas, aplicando un algoritmo criptográfico;</w:t>
      </w:r>
    </w:p>
    <w:p w:rsidR="00496B50" w:rsidRDefault="00496B50" w:rsidP="00496B50">
      <w:pPr>
        <w:pStyle w:val="Prrafodelista"/>
        <w:widowControl w:val="0"/>
        <w:numPr>
          <w:ilvl w:val="1"/>
          <w:numId w:val="16"/>
        </w:numPr>
        <w:spacing w:before="240" w:after="240" w:line="276" w:lineRule="auto"/>
        <w:jc w:val="both"/>
        <w:rPr>
          <w:rFonts w:ascii="ITC Avant Garde" w:hAnsi="ITC Avant Garde"/>
          <w:b/>
          <w:lang w:val="es-ES_tradnl"/>
        </w:rPr>
      </w:pPr>
      <w:r w:rsidRPr="00FE6BB3">
        <w:rPr>
          <w:rFonts w:ascii="ITC Avant Garde" w:hAnsi="ITC Avant Garde"/>
          <w:b/>
          <w:lang w:val="es-ES_tradnl"/>
        </w:rPr>
        <w:t xml:space="preserve">Cliente: </w:t>
      </w:r>
      <w:r w:rsidRPr="00FE6BB3">
        <w:rPr>
          <w:rFonts w:ascii="ITC Avant Garde" w:hAnsi="ITC Avant Garde"/>
          <w:lang w:val="es-ES_tradnl"/>
        </w:rPr>
        <w:t xml:space="preserve">Concesionario de servicios de telecomunicaciones o comercializadora, que celebra un contrato con el concesionario </w:t>
      </w:r>
      <w:r w:rsidRPr="00FE6BB3">
        <w:rPr>
          <w:rFonts w:ascii="ITC Avant Garde" w:hAnsi="ITC Avant Garde"/>
          <w:lang w:val="es-ES_tradnl"/>
        </w:rPr>
        <w:lastRenderedPageBreak/>
        <w:t>mayorista, por virtud del cual utiliza la capacidad, infraestructura o servicios mayoristas de telecomunicaciones que ofrece dicho concesionario a través de su red;</w:t>
      </w:r>
    </w:p>
    <w:p w:rsidR="00496B50" w:rsidRDefault="00496B50" w:rsidP="00496B50">
      <w:pPr>
        <w:pStyle w:val="Prrafodelista"/>
        <w:widowControl w:val="0"/>
        <w:numPr>
          <w:ilvl w:val="1"/>
          <w:numId w:val="16"/>
        </w:numPr>
        <w:spacing w:before="240" w:after="240" w:line="276" w:lineRule="auto"/>
        <w:jc w:val="both"/>
        <w:rPr>
          <w:rFonts w:ascii="ITC Avant Garde" w:hAnsi="ITC Avant Garde"/>
          <w:b/>
          <w:lang w:val="es-ES_tradnl"/>
        </w:rPr>
      </w:pPr>
      <w:r w:rsidRPr="00FE6BB3">
        <w:rPr>
          <w:rFonts w:ascii="ITC Avant Garde" w:hAnsi="ITC Avant Garde"/>
          <w:b/>
          <w:lang w:val="es-ES_tradnl"/>
        </w:rPr>
        <w:t xml:space="preserve">Cobertura de Servicios: </w:t>
      </w:r>
      <w:r w:rsidRPr="00FE6BB3">
        <w:rPr>
          <w:rFonts w:ascii="ITC Avant Garde" w:hAnsi="ITC Avant Garde"/>
          <w:lang w:val="es-ES_tradnl"/>
        </w:rPr>
        <w:t xml:space="preserve">Posibilidad de ofrecer al Cliente condiciones que le permitan proveer a sus usuarios las tasas de transmisión de datos (velocidades de transferencia de datos) establecidas para el enlace ascendente y el descendente; </w:t>
      </w:r>
    </w:p>
    <w:p w:rsidR="00496B50" w:rsidRDefault="00496B50" w:rsidP="00496B50">
      <w:pPr>
        <w:pStyle w:val="estilo30"/>
        <w:numPr>
          <w:ilvl w:val="1"/>
          <w:numId w:val="16"/>
        </w:numPr>
        <w:spacing w:before="240" w:beforeAutospacing="0" w:after="240" w:afterAutospacing="0" w:line="276" w:lineRule="auto"/>
        <w:jc w:val="both"/>
        <w:rPr>
          <w:rFonts w:ascii="ITC Avant Garde" w:hAnsi="ITC Avant Garde"/>
          <w:bCs/>
          <w:color w:val="000000"/>
          <w:sz w:val="22"/>
          <w:szCs w:val="22"/>
          <w:lang w:val="es-ES_tradnl"/>
        </w:rPr>
      </w:pPr>
      <w:r w:rsidRPr="00FE6BB3">
        <w:rPr>
          <w:rFonts w:ascii="ITC Avant Garde" w:hAnsi="ITC Avant Garde"/>
          <w:b/>
          <w:bCs/>
          <w:color w:val="000000"/>
          <w:sz w:val="22"/>
          <w:szCs w:val="22"/>
          <w:lang w:val="es-ES_tradnl"/>
        </w:rPr>
        <w:t>Concesionario Mayorista:</w:t>
      </w:r>
      <w:r w:rsidRPr="00FE6BB3">
        <w:rPr>
          <w:rFonts w:ascii="ITC Avant Garde" w:hAnsi="ITC Avant Garde"/>
          <w:bCs/>
          <w:color w:val="000000"/>
          <w:sz w:val="22"/>
          <w:szCs w:val="22"/>
          <w:lang w:val="es-ES_tradnl"/>
        </w:rPr>
        <w:t xml:space="preserve"> Titular de la concesión para uso comercial con carácter de red compartida mayorista de servicios de telecomunicaciones otorgada por el Instituto Federal de Telecomunicaciones mediante Acuerdo P/IFT/160117/2;</w:t>
      </w:r>
    </w:p>
    <w:p w:rsidR="00496B50" w:rsidRDefault="00496B50" w:rsidP="00496B50">
      <w:pPr>
        <w:pStyle w:val="Prrafodelista"/>
        <w:widowControl w:val="0"/>
        <w:numPr>
          <w:ilvl w:val="1"/>
          <w:numId w:val="16"/>
        </w:numPr>
        <w:spacing w:before="240" w:after="240" w:line="276" w:lineRule="auto"/>
        <w:jc w:val="both"/>
        <w:rPr>
          <w:rFonts w:ascii="ITC Avant Garde" w:hAnsi="ITC Avant Garde"/>
          <w:b/>
          <w:lang w:val="es-ES_tradnl"/>
        </w:rPr>
      </w:pPr>
      <w:r w:rsidRPr="00FE6BB3">
        <w:rPr>
          <w:rFonts w:ascii="ITC Avant Garde" w:hAnsi="ITC Avant Garde"/>
          <w:b/>
          <w:lang w:val="es-ES_tradnl"/>
        </w:rPr>
        <w:t>Contadores de Desempeño:</w:t>
      </w:r>
      <w:r w:rsidRPr="00FE6BB3">
        <w:rPr>
          <w:rFonts w:ascii="ITC Avant Garde" w:hAnsi="ITC Avant Garde"/>
          <w:lang w:val="es-ES_tradnl"/>
        </w:rPr>
        <w:t xml:space="preserve"> Elementos básicos de medición del rendimiento de una red de telecomunicaciones de forma desagregada por sector de </w:t>
      </w:r>
      <w:proofErr w:type="spellStart"/>
      <w:r w:rsidRPr="00FE6BB3">
        <w:rPr>
          <w:rFonts w:ascii="ITC Avant Garde" w:hAnsi="ITC Avant Garde"/>
          <w:lang w:val="es-ES_tradnl"/>
        </w:rPr>
        <w:t>radiobase</w:t>
      </w:r>
      <w:proofErr w:type="spellEnd"/>
      <w:r w:rsidRPr="00FE6BB3">
        <w:rPr>
          <w:rFonts w:ascii="ITC Avant Garde" w:hAnsi="ITC Avant Garde"/>
          <w:lang w:val="es-ES_tradnl"/>
        </w:rPr>
        <w:t xml:space="preserve">; </w:t>
      </w:r>
    </w:p>
    <w:p w:rsidR="00496B50" w:rsidRDefault="00496B50" w:rsidP="00496B50">
      <w:pPr>
        <w:pStyle w:val="Prrafodelista"/>
        <w:widowControl w:val="0"/>
        <w:numPr>
          <w:ilvl w:val="1"/>
          <w:numId w:val="16"/>
        </w:numPr>
        <w:spacing w:before="240" w:after="240" w:line="276" w:lineRule="auto"/>
        <w:jc w:val="both"/>
        <w:rPr>
          <w:rFonts w:ascii="ITC Avant Garde" w:hAnsi="ITC Avant Garde"/>
          <w:b/>
          <w:lang w:val="es-ES_tradnl"/>
        </w:rPr>
      </w:pPr>
      <w:r w:rsidRPr="00FE6BB3">
        <w:rPr>
          <w:rFonts w:ascii="ITC Avant Garde" w:hAnsi="ITC Avant Garde"/>
          <w:b/>
          <w:lang w:val="es-ES_tradnl"/>
        </w:rPr>
        <w:t xml:space="preserve">Núcleo de la red (CORE): </w:t>
      </w:r>
      <w:r w:rsidRPr="00FE6BB3">
        <w:rPr>
          <w:rFonts w:ascii="ITC Avant Garde" w:hAnsi="ITC Avant Garde"/>
          <w:lang w:val="es-ES_tradnl"/>
        </w:rPr>
        <w:t>Parte central de una red del servicio móvil cuya función es</w:t>
      </w:r>
      <w:r>
        <w:rPr>
          <w:rFonts w:ascii="ITC Avant Garde" w:hAnsi="ITC Avant Garde"/>
          <w:lang w:val="es-ES_tradnl"/>
        </w:rPr>
        <w:t>, entre otras,</w:t>
      </w:r>
      <w:r w:rsidRPr="00FE6BB3">
        <w:rPr>
          <w:rFonts w:ascii="ITC Avant Garde" w:hAnsi="ITC Avant Garde"/>
          <w:lang w:val="es-ES_tradnl"/>
        </w:rPr>
        <w:t xml:space="preserve"> la de conectar la red de acceso y proveer una puerta de enlace hacia otras redes;</w:t>
      </w:r>
      <w:r w:rsidRPr="00FE6BB3">
        <w:rPr>
          <w:rFonts w:ascii="ITC Avant Garde" w:hAnsi="ITC Avant Garde"/>
          <w:b/>
          <w:lang w:val="es-ES_tradnl"/>
        </w:rPr>
        <w:t xml:space="preserve"> </w:t>
      </w:r>
    </w:p>
    <w:p w:rsidR="00496B50" w:rsidRDefault="00496B50" w:rsidP="00496B50">
      <w:pPr>
        <w:pStyle w:val="Prrafodelista"/>
        <w:widowControl w:val="0"/>
        <w:numPr>
          <w:ilvl w:val="1"/>
          <w:numId w:val="16"/>
        </w:numPr>
        <w:spacing w:before="240" w:after="240" w:line="276" w:lineRule="auto"/>
        <w:jc w:val="both"/>
        <w:rPr>
          <w:rFonts w:ascii="ITC Avant Garde" w:hAnsi="ITC Avant Garde"/>
          <w:b/>
          <w:lang w:val="es-ES_tradnl"/>
        </w:rPr>
      </w:pPr>
      <w:r w:rsidRPr="00FE6BB3">
        <w:rPr>
          <w:rFonts w:ascii="ITC Avant Garde" w:hAnsi="ITC Avant Garde"/>
          <w:b/>
          <w:lang w:val="es-ES_tradnl"/>
        </w:rPr>
        <w:t>Ejercicio de Medición</w:t>
      </w:r>
      <w:r w:rsidRPr="00FE6BB3">
        <w:rPr>
          <w:rFonts w:ascii="ITC Avant Garde" w:hAnsi="ITC Avant Garde"/>
          <w:lang w:val="es-ES_tradnl"/>
        </w:rPr>
        <w:t xml:space="preserve">: Programa determinado por el Instituto Federal de Telecomunicaciones para efectuar las mediciones, el </w:t>
      </w:r>
      <w:proofErr w:type="spellStart"/>
      <w:r w:rsidRPr="00FE6BB3">
        <w:rPr>
          <w:rFonts w:ascii="ITC Avant Garde" w:hAnsi="ITC Avant Garde"/>
          <w:lang w:val="es-ES_tradnl"/>
        </w:rPr>
        <w:t>posproceso</w:t>
      </w:r>
      <w:proofErr w:type="spellEnd"/>
      <w:r w:rsidRPr="00FE6BB3">
        <w:rPr>
          <w:rFonts w:ascii="ITC Avant Garde" w:hAnsi="ITC Avant Garde"/>
          <w:lang w:val="es-ES_tradnl"/>
        </w:rPr>
        <w:t xml:space="preserve"> y análisis de la información con el fin de verificar el cumplimiento de las obligaciones de cobertura de la red del Concesionario Mayorista;</w:t>
      </w:r>
    </w:p>
    <w:p w:rsidR="00496B50" w:rsidRPr="00FE6BB3" w:rsidRDefault="00496B50" w:rsidP="00496B50">
      <w:pPr>
        <w:pStyle w:val="Prrafodelista"/>
        <w:widowControl w:val="0"/>
        <w:numPr>
          <w:ilvl w:val="1"/>
          <w:numId w:val="16"/>
        </w:numPr>
        <w:spacing w:before="240" w:after="240" w:line="276" w:lineRule="auto"/>
        <w:jc w:val="both"/>
        <w:rPr>
          <w:rFonts w:ascii="ITC Avant Garde" w:hAnsi="ITC Avant Garde"/>
          <w:b/>
          <w:lang w:val="es-ES_tradnl"/>
        </w:rPr>
      </w:pPr>
      <w:r w:rsidRPr="00FE6BB3">
        <w:rPr>
          <w:rFonts w:ascii="ITC Avant Garde" w:hAnsi="ITC Avant Garde"/>
          <w:b/>
          <w:lang w:val="es-ES_tradnl"/>
        </w:rPr>
        <w:t>Equipo de Medición</w:t>
      </w:r>
      <w:r w:rsidRPr="00FE6BB3">
        <w:rPr>
          <w:rFonts w:ascii="ITC Avant Garde" w:hAnsi="ITC Avant Garde"/>
          <w:lang w:val="es-ES_tradnl"/>
        </w:rPr>
        <w:t xml:space="preserve">: Instrumento automatizado capaz de llevar a cabo pruebas en campo para la medición de las obligaciones de cobertura previstas en el título de concesión para uso comercial con carácter de red compartida mayorista de servicios de telecomunicaciones, que otorgó el Instituto Federal de Telecomunicaciones en favor de </w:t>
      </w:r>
      <w:proofErr w:type="spellStart"/>
      <w:r w:rsidRPr="00FE6BB3">
        <w:rPr>
          <w:rFonts w:ascii="ITC Avant Garde" w:hAnsi="ITC Avant Garde"/>
          <w:lang w:val="es-ES_tradnl"/>
        </w:rPr>
        <w:t>Altán</w:t>
      </w:r>
      <w:proofErr w:type="spellEnd"/>
      <w:r w:rsidRPr="00FE6BB3">
        <w:rPr>
          <w:rFonts w:ascii="ITC Avant Garde" w:hAnsi="ITC Avant Garde"/>
          <w:lang w:val="es-ES_tradnl"/>
        </w:rPr>
        <w:t xml:space="preserve"> redes, S.A.P.I. DE C.V. mediante resolución del Pleno P/IFT/160117/2 y que debe cumplir con la normatividad aplicable y contar con una Bitácora de Medición;</w:t>
      </w:r>
    </w:p>
    <w:p w:rsidR="00496B50" w:rsidRDefault="00496B50" w:rsidP="00496B50">
      <w:pPr>
        <w:pStyle w:val="Prrafodelista"/>
        <w:widowControl w:val="0"/>
        <w:numPr>
          <w:ilvl w:val="1"/>
          <w:numId w:val="16"/>
        </w:numPr>
        <w:spacing w:before="240" w:after="240" w:line="276" w:lineRule="auto"/>
        <w:jc w:val="both"/>
        <w:rPr>
          <w:rFonts w:ascii="ITC Avant Garde" w:hAnsi="ITC Avant Garde"/>
          <w:b/>
          <w:lang w:val="es-ES_tradnl"/>
        </w:rPr>
      </w:pPr>
      <w:r w:rsidRPr="00FE6BB3">
        <w:rPr>
          <w:rFonts w:ascii="ITC Avant Garde" w:hAnsi="ITC Avant Garde"/>
          <w:b/>
          <w:lang w:val="es-ES_tradnl"/>
        </w:rPr>
        <w:t xml:space="preserve">Equipo Terminal Móvil: </w:t>
      </w:r>
      <w:r w:rsidRPr="00FE6BB3">
        <w:rPr>
          <w:rFonts w:ascii="ITC Avant Garde" w:hAnsi="ITC Avant Garde"/>
          <w:lang w:val="es-ES_tradnl"/>
        </w:rPr>
        <w:t xml:space="preserve">Equipo que utiliza el usuario para conectarse </w:t>
      </w:r>
      <w:r>
        <w:rPr>
          <w:rFonts w:ascii="ITC Avant Garde" w:hAnsi="ITC Avant Garde"/>
          <w:lang w:val="es-ES_tradnl"/>
        </w:rPr>
        <w:t>más allá del punto de conexión terminal de</w:t>
      </w:r>
      <w:r w:rsidRPr="00FE6BB3">
        <w:rPr>
          <w:rFonts w:ascii="ITC Avant Garde" w:hAnsi="ITC Avant Garde"/>
          <w:lang w:val="es-ES_tradnl"/>
        </w:rPr>
        <w:t xml:space="preserve"> una red pública con el propósito de tener acceso y/o recibir </w:t>
      </w:r>
      <w:r>
        <w:rPr>
          <w:rFonts w:ascii="ITC Avant Garde" w:hAnsi="ITC Avant Garde"/>
          <w:lang w:val="es-ES_tradnl"/>
        </w:rPr>
        <w:t xml:space="preserve">uno o más </w:t>
      </w:r>
      <w:r w:rsidRPr="00FE6BB3">
        <w:rPr>
          <w:rFonts w:ascii="ITC Avant Garde" w:hAnsi="ITC Avant Garde"/>
          <w:lang w:val="es-ES_tradnl"/>
        </w:rPr>
        <w:t xml:space="preserve"> servicio</w:t>
      </w:r>
      <w:r>
        <w:rPr>
          <w:rFonts w:ascii="ITC Avant Garde" w:hAnsi="ITC Avant Garde"/>
          <w:lang w:val="es-ES_tradnl"/>
        </w:rPr>
        <w:t>s</w:t>
      </w:r>
      <w:r w:rsidRPr="00FE6BB3">
        <w:rPr>
          <w:rFonts w:ascii="ITC Avant Garde" w:hAnsi="ITC Avant Garde"/>
          <w:lang w:val="es-ES_tradnl"/>
        </w:rPr>
        <w:t xml:space="preserve"> </w:t>
      </w:r>
      <w:r>
        <w:rPr>
          <w:rFonts w:ascii="ITC Avant Garde" w:hAnsi="ITC Avant Garde"/>
          <w:lang w:val="es-ES_tradnl"/>
        </w:rPr>
        <w:t>de telecomunicaciones</w:t>
      </w:r>
      <w:r w:rsidRPr="00FE6BB3">
        <w:rPr>
          <w:rFonts w:ascii="ITC Avant Garde" w:hAnsi="ITC Avant Garde"/>
          <w:lang w:val="es-ES_tradnl"/>
        </w:rPr>
        <w:t>;</w:t>
      </w:r>
    </w:p>
    <w:p w:rsidR="00496B50" w:rsidRDefault="00496B50" w:rsidP="00496B50">
      <w:pPr>
        <w:pStyle w:val="Prrafodelista"/>
        <w:numPr>
          <w:ilvl w:val="1"/>
          <w:numId w:val="16"/>
        </w:numPr>
        <w:spacing w:before="240" w:after="240" w:line="276" w:lineRule="auto"/>
        <w:jc w:val="both"/>
        <w:rPr>
          <w:rFonts w:ascii="ITC Avant Garde" w:hAnsi="ITC Avant Garde"/>
          <w:lang w:val="es-ES_tradnl"/>
        </w:rPr>
      </w:pPr>
      <w:r w:rsidRPr="00FE6BB3">
        <w:rPr>
          <w:rFonts w:ascii="ITC Avant Garde" w:hAnsi="ITC Avant Garde"/>
          <w:b/>
          <w:lang w:val="es-ES_tradnl"/>
        </w:rPr>
        <w:t xml:space="preserve">ETSI </w:t>
      </w:r>
      <w:r w:rsidRPr="00FE6BB3">
        <w:rPr>
          <w:rFonts w:ascii="ITC Avant Garde" w:hAnsi="ITC Avant Garde"/>
          <w:lang w:val="es-ES_tradnl"/>
        </w:rPr>
        <w:t xml:space="preserve">(del inglés, </w:t>
      </w:r>
      <w:proofErr w:type="spellStart"/>
      <w:r w:rsidRPr="00FE6BB3">
        <w:rPr>
          <w:rFonts w:ascii="ITC Avant Garde" w:hAnsi="ITC Avant Garde"/>
          <w:i/>
          <w:lang w:val="es-ES_tradnl"/>
        </w:rPr>
        <w:t>European</w:t>
      </w:r>
      <w:proofErr w:type="spellEnd"/>
      <w:r w:rsidRPr="00FE6BB3">
        <w:rPr>
          <w:rFonts w:ascii="ITC Avant Garde" w:hAnsi="ITC Avant Garde"/>
          <w:i/>
          <w:lang w:val="es-ES_tradnl"/>
        </w:rPr>
        <w:t xml:space="preserve"> </w:t>
      </w:r>
      <w:proofErr w:type="spellStart"/>
      <w:r w:rsidRPr="00FE6BB3">
        <w:rPr>
          <w:rFonts w:ascii="ITC Avant Garde" w:hAnsi="ITC Avant Garde"/>
          <w:i/>
          <w:lang w:val="es-ES_tradnl"/>
        </w:rPr>
        <w:t>Telecommunications</w:t>
      </w:r>
      <w:proofErr w:type="spellEnd"/>
      <w:r w:rsidRPr="00FE6BB3">
        <w:rPr>
          <w:rFonts w:ascii="ITC Avant Garde" w:hAnsi="ITC Avant Garde"/>
          <w:i/>
          <w:lang w:val="es-ES_tradnl"/>
        </w:rPr>
        <w:t xml:space="preserve"> Standard </w:t>
      </w:r>
      <w:proofErr w:type="spellStart"/>
      <w:r w:rsidRPr="00FE6BB3">
        <w:rPr>
          <w:rFonts w:ascii="ITC Avant Garde" w:hAnsi="ITC Avant Garde"/>
          <w:i/>
          <w:lang w:val="es-ES_tradnl"/>
        </w:rPr>
        <w:t>Institute</w:t>
      </w:r>
      <w:proofErr w:type="spellEnd"/>
      <w:r w:rsidRPr="00FE6BB3">
        <w:rPr>
          <w:rFonts w:ascii="ITC Avant Garde" w:hAnsi="ITC Avant Garde"/>
          <w:lang w:val="es-ES_tradnl"/>
        </w:rPr>
        <w:t>)</w:t>
      </w:r>
      <w:r w:rsidRPr="00FE6BB3">
        <w:rPr>
          <w:rFonts w:ascii="ITC Avant Garde" w:hAnsi="ITC Avant Garde"/>
          <w:b/>
          <w:lang w:val="es-ES_tradnl"/>
        </w:rPr>
        <w:t>:</w:t>
      </w:r>
      <w:r w:rsidRPr="00FE6BB3">
        <w:rPr>
          <w:rFonts w:ascii="ITC Avant Garde" w:hAnsi="ITC Avant Garde"/>
          <w:lang w:val="es-ES_tradnl"/>
        </w:rPr>
        <w:t xml:space="preserve"> Instituto Europeo de Normas de Telecomunicaciones;</w:t>
      </w:r>
    </w:p>
    <w:p w:rsidR="00496B50" w:rsidRDefault="00496B50" w:rsidP="00496B50">
      <w:pPr>
        <w:pStyle w:val="Prrafodelista"/>
        <w:widowControl w:val="0"/>
        <w:numPr>
          <w:ilvl w:val="1"/>
          <w:numId w:val="16"/>
        </w:numPr>
        <w:spacing w:before="240" w:after="240" w:line="276" w:lineRule="auto"/>
        <w:jc w:val="both"/>
        <w:rPr>
          <w:rFonts w:ascii="ITC Avant Garde" w:hAnsi="ITC Avant Garde"/>
          <w:b/>
          <w:color w:val="0070C0"/>
          <w:lang w:val="es-ES_tradnl"/>
        </w:rPr>
      </w:pPr>
      <w:r w:rsidRPr="00FE6BB3">
        <w:rPr>
          <w:rFonts w:ascii="ITC Avant Garde" w:hAnsi="ITC Avant Garde"/>
          <w:b/>
          <w:lang w:val="es-ES_tradnl"/>
        </w:rPr>
        <w:t xml:space="preserve">Evento: </w:t>
      </w:r>
      <w:r w:rsidRPr="00FE6BB3">
        <w:rPr>
          <w:rFonts w:ascii="ITC Avant Garde" w:hAnsi="ITC Avant Garde"/>
          <w:lang w:val="es-ES_tradnl"/>
        </w:rPr>
        <w:t>Cada uno de los intentos de medición programadas durante el Ejercicio de Medición;</w:t>
      </w:r>
    </w:p>
    <w:p w:rsidR="00496B50" w:rsidRDefault="00496B50" w:rsidP="00496B50">
      <w:pPr>
        <w:pStyle w:val="Prrafodelista"/>
        <w:widowControl w:val="0"/>
        <w:numPr>
          <w:ilvl w:val="1"/>
          <w:numId w:val="16"/>
        </w:numPr>
        <w:spacing w:before="240" w:after="240" w:line="276" w:lineRule="auto"/>
        <w:jc w:val="both"/>
        <w:rPr>
          <w:rFonts w:ascii="ITC Avant Garde" w:hAnsi="ITC Avant Garde"/>
          <w:lang w:val="es-ES_tradnl"/>
        </w:rPr>
      </w:pPr>
      <w:r w:rsidRPr="00FE6BB3">
        <w:rPr>
          <w:rFonts w:ascii="ITC Avant Garde" w:hAnsi="ITC Avant Garde"/>
          <w:b/>
          <w:lang w:val="es-ES_tradnl"/>
        </w:rPr>
        <w:t xml:space="preserve">FTP </w:t>
      </w:r>
      <w:r w:rsidRPr="00FE6BB3">
        <w:rPr>
          <w:rFonts w:ascii="ITC Avant Garde" w:hAnsi="ITC Avant Garde"/>
          <w:lang w:val="es-ES_tradnl"/>
        </w:rPr>
        <w:t xml:space="preserve">(del inglés, </w:t>
      </w:r>
      <w:r w:rsidRPr="00FE6BB3">
        <w:rPr>
          <w:rFonts w:ascii="ITC Avant Garde" w:hAnsi="ITC Avant Garde"/>
          <w:i/>
          <w:lang w:val="es-ES_tradnl"/>
        </w:rPr>
        <w:t xml:space="preserve">File Transfer </w:t>
      </w:r>
      <w:proofErr w:type="spellStart"/>
      <w:r w:rsidRPr="00FE6BB3">
        <w:rPr>
          <w:rFonts w:ascii="ITC Avant Garde" w:hAnsi="ITC Avant Garde"/>
          <w:i/>
          <w:lang w:val="es-ES_tradnl"/>
        </w:rPr>
        <w:t>Protocol</w:t>
      </w:r>
      <w:proofErr w:type="spellEnd"/>
      <w:r w:rsidRPr="00FE6BB3">
        <w:rPr>
          <w:rFonts w:ascii="ITC Avant Garde" w:hAnsi="ITC Avant Garde"/>
          <w:lang w:val="es-ES_tradnl"/>
        </w:rPr>
        <w:t>)</w:t>
      </w:r>
      <w:r w:rsidRPr="00FE6BB3">
        <w:rPr>
          <w:rFonts w:ascii="ITC Avant Garde" w:hAnsi="ITC Avant Garde"/>
          <w:b/>
          <w:lang w:val="es-ES_tradnl"/>
        </w:rPr>
        <w:t>:</w:t>
      </w:r>
      <w:r w:rsidRPr="00FE6BB3">
        <w:rPr>
          <w:rFonts w:ascii="ITC Avant Garde" w:hAnsi="ITC Avant Garde"/>
          <w:lang w:val="es-ES_tradnl"/>
        </w:rPr>
        <w:t xml:space="preserve"> Protocolo de Transferencia de Archivos; </w:t>
      </w:r>
    </w:p>
    <w:p w:rsidR="00496B50" w:rsidRDefault="00496B50" w:rsidP="00496B50">
      <w:pPr>
        <w:pStyle w:val="Prrafodelista"/>
        <w:widowControl w:val="0"/>
        <w:numPr>
          <w:ilvl w:val="1"/>
          <w:numId w:val="16"/>
        </w:numPr>
        <w:spacing w:before="240" w:after="240" w:line="276" w:lineRule="auto"/>
        <w:jc w:val="both"/>
        <w:rPr>
          <w:rFonts w:ascii="ITC Avant Garde" w:hAnsi="ITC Avant Garde"/>
          <w:b/>
          <w:lang w:val="es-ES_tradnl"/>
        </w:rPr>
      </w:pPr>
      <w:r w:rsidRPr="00FE6BB3">
        <w:rPr>
          <w:rFonts w:ascii="ITC Avant Garde" w:hAnsi="ITC Avant Garde"/>
          <w:b/>
          <w:lang w:val="es-ES_tradnl"/>
        </w:rPr>
        <w:t xml:space="preserve">GPS </w:t>
      </w:r>
      <w:r w:rsidRPr="00FE6BB3">
        <w:rPr>
          <w:rFonts w:ascii="ITC Avant Garde" w:hAnsi="ITC Avant Garde"/>
          <w:lang w:val="es-ES_tradnl"/>
        </w:rPr>
        <w:t xml:space="preserve">(del inglés, </w:t>
      </w:r>
      <w:r w:rsidRPr="00FE6BB3">
        <w:rPr>
          <w:rFonts w:ascii="ITC Avant Garde" w:hAnsi="ITC Avant Garde"/>
          <w:i/>
          <w:lang w:val="es-ES_tradnl"/>
        </w:rPr>
        <w:t xml:space="preserve">Global </w:t>
      </w:r>
      <w:proofErr w:type="spellStart"/>
      <w:r w:rsidRPr="00FE6BB3">
        <w:rPr>
          <w:rFonts w:ascii="ITC Avant Garde" w:hAnsi="ITC Avant Garde"/>
          <w:i/>
          <w:lang w:val="es-ES_tradnl"/>
        </w:rPr>
        <w:t>Positioning</w:t>
      </w:r>
      <w:proofErr w:type="spellEnd"/>
      <w:r w:rsidRPr="00FE6BB3">
        <w:rPr>
          <w:rFonts w:ascii="ITC Avant Garde" w:hAnsi="ITC Avant Garde"/>
          <w:i/>
          <w:lang w:val="es-ES_tradnl"/>
        </w:rPr>
        <w:t xml:space="preserve"> </w:t>
      </w:r>
      <w:proofErr w:type="spellStart"/>
      <w:r w:rsidRPr="00FE6BB3">
        <w:rPr>
          <w:rFonts w:ascii="ITC Avant Garde" w:hAnsi="ITC Avant Garde"/>
          <w:i/>
          <w:lang w:val="es-ES_tradnl"/>
        </w:rPr>
        <w:t>System</w:t>
      </w:r>
      <w:proofErr w:type="spellEnd"/>
      <w:r w:rsidRPr="00FE6BB3">
        <w:rPr>
          <w:rFonts w:ascii="ITC Avant Garde" w:hAnsi="ITC Avant Garde"/>
          <w:lang w:val="es-ES_tradnl"/>
        </w:rPr>
        <w:t>)</w:t>
      </w:r>
      <w:r w:rsidRPr="00FE6BB3">
        <w:rPr>
          <w:rFonts w:ascii="ITC Avant Garde" w:hAnsi="ITC Avant Garde"/>
          <w:b/>
          <w:lang w:val="es-ES_tradnl"/>
        </w:rPr>
        <w:t xml:space="preserve">: </w:t>
      </w:r>
      <w:r w:rsidRPr="00FE6BB3">
        <w:rPr>
          <w:rFonts w:ascii="ITC Avant Garde" w:hAnsi="ITC Avant Garde"/>
          <w:lang w:val="es-ES_tradnl"/>
        </w:rPr>
        <w:t xml:space="preserve">Sistema de Posicionamiento </w:t>
      </w:r>
      <w:r w:rsidRPr="00FE6BB3">
        <w:rPr>
          <w:rFonts w:ascii="ITC Avant Garde" w:hAnsi="ITC Avant Garde"/>
          <w:lang w:val="es-ES_tradnl"/>
        </w:rPr>
        <w:lastRenderedPageBreak/>
        <w:t>Global;</w:t>
      </w:r>
    </w:p>
    <w:p w:rsidR="00496B50" w:rsidRDefault="00496B50" w:rsidP="00496B50">
      <w:pPr>
        <w:pStyle w:val="estilo30"/>
        <w:numPr>
          <w:ilvl w:val="1"/>
          <w:numId w:val="16"/>
        </w:numPr>
        <w:spacing w:before="240" w:beforeAutospacing="0" w:after="240" w:afterAutospacing="0" w:line="276" w:lineRule="auto"/>
        <w:jc w:val="both"/>
        <w:rPr>
          <w:rFonts w:ascii="ITC Avant Garde" w:hAnsi="ITC Avant Garde"/>
          <w:bCs/>
          <w:color w:val="000000"/>
          <w:sz w:val="22"/>
          <w:szCs w:val="22"/>
          <w:lang w:val="es-ES_tradnl"/>
        </w:rPr>
      </w:pPr>
      <w:r w:rsidRPr="00FE6BB3">
        <w:rPr>
          <w:rFonts w:ascii="ITC Avant Garde" w:hAnsi="ITC Avant Garde"/>
          <w:b/>
          <w:bCs/>
          <w:color w:val="000000"/>
          <w:sz w:val="22"/>
          <w:szCs w:val="22"/>
          <w:lang w:val="es-ES_tradnl"/>
        </w:rPr>
        <w:t xml:space="preserve">Hora Pico de la Red: </w:t>
      </w:r>
      <w:r w:rsidRPr="00FE6BB3">
        <w:rPr>
          <w:rFonts w:ascii="ITC Avant Garde" w:hAnsi="ITC Avant Garde"/>
          <w:bCs/>
          <w:color w:val="000000"/>
          <w:sz w:val="22"/>
          <w:szCs w:val="22"/>
          <w:lang w:val="es-ES_tradnl"/>
        </w:rPr>
        <w:t>Intervalo de una hora durante el cual la red experimenta, en promedio, el máximo tráfico cursado de datos y que se determina con base en estadísticas de tráfico;</w:t>
      </w:r>
    </w:p>
    <w:p w:rsidR="00496B50" w:rsidRDefault="00496B50" w:rsidP="00496B50">
      <w:pPr>
        <w:pStyle w:val="Prrafodelista"/>
        <w:widowControl w:val="0"/>
        <w:numPr>
          <w:ilvl w:val="1"/>
          <w:numId w:val="16"/>
        </w:numPr>
        <w:spacing w:before="240" w:after="240" w:line="276" w:lineRule="auto"/>
        <w:jc w:val="both"/>
        <w:rPr>
          <w:rFonts w:ascii="ITC Avant Garde" w:hAnsi="ITC Avant Garde"/>
          <w:b/>
          <w:lang w:val="es-ES_tradnl"/>
        </w:rPr>
      </w:pPr>
      <w:r w:rsidRPr="00FE6BB3">
        <w:rPr>
          <w:rFonts w:ascii="ITC Avant Garde" w:hAnsi="ITC Avant Garde"/>
          <w:b/>
          <w:lang w:val="es-ES_tradnl"/>
        </w:rPr>
        <w:t xml:space="preserve">Herramienta de </w:t>
      </w:r>
      <w:proofErr w:type="spellStart"/>
      <w:r w:rsidRPr="00FE6BB3">
        <w:rPr>
          <w:rFonts w:ascii="ITC Avant Garde" w:hAnsi="ITC Avant Garde"/>
          <w:b/>
          <w:lang w:val="es-ES_tradnl"/>
        </w:rPr>
        <w:t>Posproceso</w:t>
      </w:r>
      <w:proofErr w:type="spellEnd"/>
      <w:r w:rsidRPr="00FE6BB3">
        <w:rPr>
          <w:rFonts w:ascii="ITC Avant Garde" w:hAnsi="ITC Avant Garde"/>
          <w:b/>
          <w:lang w:val="es-ES_tradnl"/>
        </w:rPr>
        <w:t xml:space="preserve">: </w:t>
      </w:r>
      <w:r w:rsidRPr="00FE6BB3">
        <w:rPr>
          <w:rFonts w:ascii="ITC Avant Garde" w:hAnsi="ITC Avant Garde"/>
          <w:lang w:val="es-ES_tradnl"/>
        </w:rPr>
        <w:t>Equipo y/o programa informático capaz de llevar a cabo el procesamiento de la información generada en cada Ejercicio de Medición;</w:t>
      </w:r>
    </w:p>
    <w:p w:rsidR="00496B50" w:rsidRDefault="00496B50" w:rsidP="00496B50">
      <w:pPr>
        <w:pStyle w:val="Prrafodelista"/>
        <w:widowControl w:val="0"/>
        <w:numPr>
          <w:ilvl w:val="1"/>
          <w:numId w:val="16"/>
        </w:numPr>
        <w:spacing w:before="240" w:after="240" w:line="276" w:lineRule="auto"/>
        <w:jc w:val="both"/>
        <w:rPr>
          <w:rFonts w:ascii="ITC Avant Garde" w:hAnsi="ITC Avant Garde"/>
          <w:b/>
          <w:lang w:val="es-ES_tradnl"/>
        </w:rPr>
      </w:pPr>
      <w:r w:rsidRPr="00FE6BB3">
        <w:rPr>
          <w:rFonts w:ascii="ITC Avant Garde" w:hAnsi="ITC Avant Garde"/>
          <w:b/>
          <w:lang w:val="es-ES_tradnl"/>
        </w:rPr>
        <w:t>INEGI:</w:t>
      </w:r>
      <w:r w:rsidRPr="00FE6BB3">
        <w:rPr>
          <w:rFonts w:ascii="ITC Avant Garde" w:hAnsi="ITC Avant Garde"/>
          <w:lang w:val="es-ES_tradnl"/>
        </w:rPr>
        <w:t xml:space="preserve"> Instituto Nacional de Estadística y Geografía;</w:t>
      </w:r>
    </w:p>
    <w:p w:rsidR="00496B50" w:rsidRDefault="00496B50" w:rsidP="00496B50">
      <w:pPr>
        <w:pStyle w:val="Prrafodelista"/>
        <w:widowControl w:val="0"/>
        <w:numPr>
          <w:ilvl w:val="1"/>
          <w:numId w:val="16"/>
        </w:numPr>
        <w:spacing w:before="240" w:after="240" w:line="276" w:lineRule="auto"/>
        <w:jc w:val="both"/>
        <w:rPr>
          <w:rFonts w:ascii="ITC Avant Garde" w:hAnsi="ITC Avant Garde"/>
          <w:lang w:val="es-ES_tradnl"/>
        </w:rPr>
      </w:pPr>
      <w:r w:rsidRPr="00FE6BB3">
        <w:rPr>
          <w:rFonts w:ascii="ITC Avant Garde" w:hAnsi="ITC Avant Garde"/>
          <w:b/>
          <w:lang w:val="es-ES_tradnl"/>
        </w:rPr>
        <w:t>Instituto:</w:t>
      </w:r>
      <w:r w:rsidRPr="00FE6BB3">
        <w:rPr>
          <w:rFonts w:ascii="ITC Avant Garde" w:hAnsi="ITC Avant Garde"/>
          <w:lang w:val="es-ES_tradnl"/>
        </w:rPr>
        <w:t xml:space="preserve"> Instituto Federal de Telecomunicaciones;</w:t>
      </w:r>
    </w:p>
    <w:p w:rsidR="00496B50" w:rsidRDefault="00496B50" w:rsidP="00496B50">
      <w:pPr>
        <w:pStyle w:val="Prrafodelista"/>
        <w:widowControl w:val="0"/>
        <w:numPr>
          <w:ilvl w:val="1"/>
          <w:numId w:val="16"/>
        </w:numPr>
        <w:spacing w:before="240" w:after="240" w:line="276" w:lineRule="auto"/>
        <w:jc w:val="both"/>
        <w:rPr>
          <w:rFonts w:ascii="ITC Avant Garde" w:hAnsi="ITC Avant Garde"/>
          <w:lang w:val="es-ES_tradnl"/>
        </w:rPr>
      </w:pPr>
      <w:r w:rsidRPr="00FE6BB3">
        <w:rPr>
          <w:rFonts w:ascii="ITC Avant Garde" w:hAnsi="ITC Avant Garde"/>
          <w:b/>
          <w:lang w:val="es-ES_tradnl"/>
        </w:rPr>
        <w:t xml:space="preserve">IP </w:t>
      </w:r>
      <w:r w:rsidRPr="00FE6BB3">
        <w:rPr>
          <w:rFonts w:ascii="ITC Avant Garde" w:hAnsi="ITC Avant Garde"/>
          <w:lang w:val="es-ES_tradnl"/>
        </w:rPr>
        <w:t xml:space="preserve">(del inglés, </w:t>
      </w:r>
      <w:r w:rsidRPr="00FE6BB3">
        <w:rPr>
          <w:rFonts w:ascii="ITC Avant Garde" w:hAnsi="ITC Avant Garde"/>
          <w:i/>
          <w:lang w:val="es-ES_tradnl"/>
        </w:rPr>
        <w:t>Internet</w:t>
      </w:r>
      <w:r w:rsidRPr="00FE6BB3">
        <w:rPr>
          <w:rFonts w:ascii="ITC Avant Garde" w:hAnsi="ITC Avant Garde"/>
          <w:lang w:val="es-ES_tradnl"/>
        </w:rPr>
        <w:t xml:space="preserve"> </w:t>
      </w:r>
      <w:proofErr w:type="spellStart"/>
      <w:r w:rsidRPr="00FE6BB3">
        <w:rPr>
          <w:rFonts w:ascii="ITC Avant Garde" w:hAnsi="ITC Avant Garde"/>
          <w:i/>
          <w:lang w:val="es-ES_tradnl"/>
        </w:rPr>
        <w:t>Protocol</w:t>
      </w:r>
      <w:proofErr w:type="spellEnd"/>
      <w:r w:rsidRPr="00FE6BB3">
        <w:rPr>
          <w:rFonts w:ascii="ITC Avant Garde" w:hAnsi="ITC Avant Garde"/>
          <w:lang w:val="es-ES_tradnl"/>
        </w:rPr>
        <w:t>)</w:t>
      </w:r>
      <w:r w:rsidRPr="00FE6BB3">
        <w:rPr>
          <w:rFonts w:ascii="ITC Avant Garde" w:hAnsi="ITC Avant Garde"/>
          <w:b/>
          <w:lang w:val="es-ES_tradnl"/>
        </w:rPr>
        <w:t>:</w:t>
      </w:r>
      <w:r w:rsidRPr="00FE6BB3">
        <w:rPr>
          <w:rFonts w:ascii="ITC Avant Garde" w:hAnsi="ITC Avant Garde"/>
          <w:lang w:val="es-ES_tradnl"/>
        </w:rPr>
        <w:t xml:space="preserve"> Protocolo de Internet;</w:t>
      </w:r>
    </w:p>
    <w:p w:rsidR="00496B50" w:rsidRDefault="00496B50" w:rsidP="00496B50">
      <w:pPr>
        <w:pStyle w:val="Prrafodelista"/>
        <w:widowControl w:val="0"/>
        <w:numPr>
          <w:ilvl w:val="1"/>
          <w:numId w:val="16"/>
        </w:numPr>
        <w:spacing w:before="240" w:after="240" w:line="276" w:lineRule="auto"/>
        <w:jc w:val="both"/>
        <w:rPr>
          <w:rFonts w:ascii="ITC Avant Garde" w:hAnsi="ITC Avant Garde"/>
          <w:b/>
        </w:rPr>
      </w:pPr>
      <w:r w:rsidRPr="00FE6BB3">
        <w:rPr>
          <w:rFonts w:ascii="ITC Avant Garde" w:hAnsi="ITC Avant Garde"/>
          <w:b/>
        </w:rPr>
        <w:t xml:space="preserve">Localidades Rurales: </w:t>
      </w:r>
      <w:r w:rsidRPr="00FE6BB3">
        <w:rPr>
          <w:rFonts w:ascii="ITC Avant Garde" w:hAnsi="ITC Avant Garde"/>
        </w:rPr>
        <w:t>Aquéllas que tienen una población menor a 2</w:t>
      </w:r>
      <w:r>
        <w:rPr>
          <w:rFonts w:ascii="ITC Avant Garde" w:hAnsi="ITC Avant Garde"/>
        </w:rPr>
        <w:t>,</w:t>
      </w:r>
      <w:r w:rsidRPr="00FE6BB3">
        <w:rPr>
          <w:rFonts w:ascii="ITC Avant Garde" w:hAnsi="ITC Avant Garde"/>
        </w:rPr>
        <w:t>500 habitantes;</w:t>
      </w:r>
    </w:p>
    <w:p w:rsidR="00496B50" w:rsidRDefault="00496B50" w:rsidP="00496B50">
      <w:pPr>
        <w:pStyle w:val="Prrafodelista"/>
        <w:widowControl w:val="0"/>
        <w:numPr>
          <w:ilvl w:val="1"/>
          <w:numId w:val="16"/>
        </w:numPr>
        <w:spacing w:before="240" w:after="240" w:line="276" w:lineRule="auto"/>
        <w:jc w:val="both"/>
        <w:rPr>
          <w:rFonts w:ascii="ITC Avant Garde" w:hAnsi="ITC Avant Garde"/>
          <w:b/>
        </w:rPr>
      </w:pPr>
      <w:r w:rsidRPr="00FE6BB3">
        <w:rPr>
          <w:rFonts w:ascii="ITC Avant Garde" w:hAnsi="ITC Avant Garde"/>
          <w:b/>
        </w:rPr>
        <w:t xml:space="preserve">Localidades Suburbanas: </w:t>
      </w:r>
      <w:r w:rsidRPr="00FE6BB3">
        <w:rPr>
          <w:rFonts w:ascii="ITC Avant Garde" w:hAnsi="ITC Avant Garde"/>
        </w:rPr>
        <w:t>Aquéllas con una población mayor o igual a</w:t>
      </w:r>
      <w:r>
        <w:rPr>
          <w:rFonts w:ascii="ITC Avant Garde" w:hAnsi="ITC Avant Garde"/>
        </w:rPr>
        <w:t xml:space="preserve"> 2,</w:t>
      </w:r>
      <w:r w:rsidRPr="00FE6BB3">
        <w:rPr>
          <w:rFonts w:ascii="ITC Avant Garde" w:hAnsi="ITC Avant Garde"/>
        </w:rPr>
        <w:t>500 y menor a</w:t>
      </w:r>
      <w:r>
        <w:rPr>
          <w:rFonts w:ascii="ITC Avant Garde" w:hAnsi="ITC Avant Garde"/>
        </w:rPr>
        <w:t xml:space="preserve"> 15,</w:t>
      </w:r>
      <w:r w:rsidRPr="00FE6BB3">
        <w:rPr>
          <w:rFonts w:ascii="ITC Avant Garde" w:hAnsi="ITC Avant Garde"/>
        </w:rPr>
        <w:t>000 habitantes;</w:t>
      </w:r>
    </w:p>
    <w:p w:rsidR="00496B50" w:rsidRPr="00836B62" w:rsidRDefault="00496B50" w:rsidP="00496B50">
      <w:pPr>
        <w:pStyle w:val="Prrafodelista"/>
        <w:widowControl w:val="0"/>
        <w:numPr>
          <w:ilvl w:val="1"/>
          <w:numId w:val="16"/>
        </w:numPr>
        <w:spacing w:before="240" w:after="240" w:line="276" w:lineRule="auto"/>
        <w:jc w:val="both"/>
        <w:rPr>
          <w:rFonts w:ascii="ITC Avant Garde" w:hAnsi="ITC Avant Garde"/>
          <w:b/>
        </w:rPr>
      </w:pPr>
      <w:r w:rsidRPr="00FE6BB3">
        <w:rPr>
          <w:rFonts w:ascii="ITC Avant Garde" w:hAnsi="ITC Avant Garde"/>
          <w:b/>
        </w:rPr>
        <w:t xml:space="preserve">Localidades Urbanas: </w:t>
      </w:r>
      <w:r w:rsidRPr="00FE6BB3">
        <w:rPr>
          <w:rFonts w:ascii="ITC Avant Garde" w:hAnsi="ITC Avant Garde"/>
        </w:rPr>
        <w:t xml:space="preserve">Aquéllas que tienen una población mayor o </w:t>
      </w:r>
      <w:r>
        <w:rPr>
          <w:rFonts w:ascii="ITC Avant Garde" w:hAnsi="ITC Avant Garde"/>
        </w:rPr>
        <w:t>igual a 15,</w:t>
      </w:r>
      <w:r w:rsidRPr="00FE6BB3">
        <w:rPr>
          <w:rFonts w:ascii="ITC Avant Garde" w:hAnsi="ITC Avant Garde"/>
        </w:rPr>
        <w:t>000 habitantes;</w:t>
      </w:r>
    </w:p>
    <w:p w:rsidR="00496B50" w:rsidRDefault="00496B50" w:rsidP="00496B50">
      <w:pPr>
        <w:pStyle w:val="Prrafodelista"/>
        <w:widowControl w:val="0"/>
        <w:numPr>
          <w:ilvl w:val="1"/>
          <w:numId w:val="16"/>
        </w:numPr>
        <w:spacing w:before="240" w:after="240" w:line="276" w:lineRule="auto"/>
        <w:jc w:val="both"/>
        <w:rPr>
          <w:rFonts w:ascii="ITC Avant Garde" w:hAnsi="ITC Avant Garde"/>
          <w:lang w:val="es-ES_tradnl"/>
        </w:rPr>
      </w:pPr>
      <w:r w:rsidRPr="00FE6BB3">
        <w:rPr>
          <w:rFonts w:ascii="ITC Avant Garde" w:hAnsi="ITC Avant Garde"/>
          <w:b/>
        </w:rPr>
        <w:t xml:space="preserve">LTE </w:t>
      </w:r>
      <w:r w:rsidRPr="00FE6BB3">
        <w:rPr>
          <w:rFonts w:ascii="ITC Avant Garde" w:hAnsi="ITC Avant Garde"/>
        </w:rPr>
        <w:t xml:space="preserve">(del inglés, </w:t>
      </w:r>
      <w:r w:rsidRPr="00FE6BB3">
        <w:rPr>
          <w:rFonts w:ascii="ITC Avant Garde" w:hAnsi="ITC Avant Garde"/>
          <w:i/>
        </w:rPr>
        <w:t xml:space="preserve">Long </w:t>
      </w:r>
      <w:proofErr w:type="spellStart"/>
      <w:r w:rsidRPr="00FE6BB3">
        <w:rPr>
          <w:rFonts w:ascii="ITC Avant Garde" w:hAnsi="ITC Avant Garde"/>
          <w:i/>
        </w:rPr>
        <w:t>Term</w:t>
      </w:r>
      <w:proofErr w:type="spellEnd"/>
      <w:r w:rsidRPr="00FE6BB3">
        <w:rPr>
          <w:rFonts w:ascii="ITC Avant Garde" w:hAnsi="ITC Avant Garde"/>
          <w:i/>
        </w:rPr>
        <w:t xml:space="preserve"> </w:t>
      </w:r>
      <w:proofErr w:type="spellStart"/>
      <w:r w:rsidRPr="00FE6BB3">
        <w:rPr>
          <w:rFonts w:ascii="ITC Avant Garde" w:hAnsi="ITC Avant Garde"/>
          <w:i/>
        </w:rPr>
        <w:t>Evolution</w:t>
      </w:r>
      <w:proofErr w:type="spellEnd"/>
      <w:r w:rsidRPr="00FE6BB3">
        <w:rPr>
          <w:rFonts w:ascii="ITC Avant Garde" w:hAnsi="ITC Avant Garde"/>
        </w:rPr>
        <w:t>)</w:t>
      </w:r>
      <w:r w:rsidRPr="00FE6BB3">
        <w:rPr>
          <w:rFonts w:ascii="ITC Avant Garde" w:hAnsi="ITC Avant Garde"/>
          <w:b/>
        </w:rPr>
        <w:t xml:space="preserve">: </w:t>
      </w:r>
      <w:r w:rsidRPr="00FE6BB3">
        <w:rPr>
          <w:rFonts w:ascii="ITC Avant Garde" w:hAnsi="ITC Avant Garde"/>
        </w:rPr>
        <w:t>Evolución de Largo Plazo;</w:t>
      </w:r>
    </w:p>
    <w:p w:rsidR="00496B50" w:rsidRDefault="00496B50" w:rsidP="00496B50">
      <w:pPr>
        <w:pStyle w:val="Prrafodelista"/>
        <w:widowControl w:val="0"/>
        <w:numPr>
          <w:ilvl w:val="1"/>
          <w:numId w:val="16"/>
        </w:numPr>
        <w:spacing w:before="240" w:after="240" w:line="276" w:lineRule="auto"/>
        <w:jc w:val="both"/>
        <w:rPr>
          <w:rFonts w:ascii="ITC Avant Garde" w:hAnsi="ITC Avant Garde"/>
          <w:lang w:val="es-ES_tradnl"/>
        </w:rPr>
      </w:pPr>
      <w:r w:rsidRPr="00FE6BB3">
        <w:rPr>
          <w:rFonts w:ascii="ITC Avant Garde" w:hAnsi="ITC Avant Garde"/>
          <w:b/>
          <w:lang w:val="es-ES_tradnl"/>
        </w:rPr>
        <w:t xml:space="preserve">Mapas de Cobertura: </w:t>
      </w:r>
      <w:r w:rsidRPr="00FE6BB3">
        <w:rPr>
          <w:rFonts w:ascii="ITC Avant Garde" w:hAnsi="ITC Avant Garde"/>
          <w:lang w:val="es-ES_tradnl"/>
        </w:rPr>
        <w:t>Representación gráfica</w:t>
      </w:r>
      <w:r w:rsidRPr="00FE6BB3">
        <w:rPr>
          <w:rFonts w:ascii="ITC Avant Garde" w:hAnsi="ITC Avant Garde"/>
          <w:b/>
          <w:lang w:val="es-ES_tradnl"/>
        </w:rPr>
        <w:t xml:space="preserve"> </w:t>
      </w:r>
      <w:r w:rsidRPr="00FE6BB3">
        <w:rPr>
          <w:rFonts w:ascii="ITC Avant Garde" w:hAnsi="ITC Avant Garde"/>
          <w:lang w:val="es-ES_tradnl"/>
        </w:rPr>
        <w:t>que refleja la zona geográfica donde el Concesionario Mayorista manifiesta que ofrece el servicio mayorista de telecomunicaciones y cumple con los parámetros de cobertura;</w:t>
      </w:r>
    </w:p>
    <w:p w:rsidR="00496B50" w:rsidRDefault="00496B50" w:rsidP="00496B50">
      <w:pPr>
        <w:pStyle w:val="Prrafodelista"/>
        <w:widowControl w:val="0"/>
        <w:numPr>
          <w:ilvl w:val="1"/>
          <w:numId w:val="16"/>
        </w:numPr>
        <w:spacing w:before="240" w:after="240" w:line="276" w:lineRule="auto"/>
        <w:jc w:val="both"/>
        <w:rPr>
          <w:rFonts w:ascii="ITC Avant Garde" w:hAnsi="ITC Avant Garde"/>
          <w:lang w:val="es-ES_tradnl"/>
        </w:rPr>
      </w:pPr>
      <w:r w:rsidRPr="00FE6BB3">
        <w:rPr>
          <w:rFonts w:ascii="ITC Avant Garde" w:hAnsi="ITC Avant Garde"/>
          <w:b/>
          <w:lang w:val="es-ES_tradnl"/>
        </w:rPr>
        <w:t xml:space="preserve">Mapas de Densidad Poblacional: </w:t>
      </w:r>
      <w:r w:rsidRPr="00FE6BB3">
        <w:rPr>
          <w:rFonts w:ascii="ITC Avant Garde" w:hAnsi="ITC Avant Garde"/>
          <w:lang w:val="es-ES_tradnl"/>
        </w:rPr>
        <w:t>Representación gráfica que refleja</w:t>
      </w:r>
      <w:r w:rsidRPr="00FE6BB3">
        <w:rPr>
          <w:rFonts w:ascii="ITC Avant Garde" w:hAnsi="ITC Avant Garde"/>
          <w:b/>
          <w:lang w:val="es-ES_tradnl"/>
        </w:rPr>
        <w:t xml:space="preserve"> </w:t>
      </w:r>
      <w:r w:rsidRPr="00FE6BB3">
        <w:rPr>
          <w:rFonts w:ascii="ITC Avant Garde" w:hAnsi="ITC Avant Garde"/>
          <w:lang w:val="es-ES_tradnl"/>
        </w:rPr>
        <w:t xml:space="preserve">la cantidad de población que existe en cada pixel de 25 metros por 25 metros así como su distribución a lo largo del territorio nacional con base en la información de la población correspondiente al Censo Nacional de Población y Vivienda 2010 publicado por el INEGI, proporcionados por el Instituto a los licitantes del concurso internacional número APP-009000896-E1-2016, convocado por la Secretaría de Comunicaciones y Transportes para la adjudicación de un proyecto de asociación público-privada, para la instalación y operación de la red pública compartida de telecomunicaciones a que se refiere el artículo Décimo Sexto Transitorio del Decreto por el que se reforman y adicionan diversas disposiciones de los artículos 6o., 7o., 27, 28, 73, 78, 94 y 105 de la Constitución Política de los Estados Unidos Mexicanos, en materia de telecomunicaciones, publicado en el Diario Oficial de la Federación el 11 de junio de 2013; </w:t>
      </w:r>
    </w:p>
    <w:p w:rsidR="00496B50" w:rsidRDefault="00496B50" w:rsidP="00496B50">
      <w:pPr>
        <w:pStyle w:val="Prrafodelista"/>
        <w:widowControl w:val="0"/>
        <w:numPr>
          <w:ilvl w:val="1"/>
          <w:numId w:val="16"/>
        </w:numPr>
        <w:spacing w:before="240" w:after="240" w:line="276" w:lineRule="auto"/>
        <w:jc w:val="both"/>
        <w:rPr>
          <w:rFonts w:ascii="ITC Avant Garde" w:hAnsi="ITC Avant Garde"/>
          <w:lang w:val="es-ES_tradnl"/>
        </w:rPr>
      </w:pPr>
      <w:r w:rsidRPr="00FE6BB3">
        <w:rPr>
          <w:rFonts w:ascii="ITC Avant Garde" w:hAnsi="ITC Avant Garde"/>
          <w:b/>
          <w:lang w:val="es-ES_tradnl"/>
        </w:rPr>
        <w:t>Medición:</w:t>
      </w:r>
      <w:r w:rsidRPr="00FE6BB3">
        <w:rPr>
          <w:rFonts w:ascii="ITC Avant Garde" w:hAnsi="ITC Avant Garde"/>
          <w:lang w:val="es-ES_tradnl"/>
        </w:rPr>
        <w:t xml:space="preserve"> Función que comprende el registro, recolección, almacenamiento y procesamiento de información con respecto a los parámetros que definen las obligaciones de cobertura de la red del </w:t>
      </w:r>
      <w:r w:rsidRPr="00FE6BB3">
        <w:rPr>
          <w:rFonts w:ascii="ITC Avant Garde" w:hAnsi="ITC Avant Garde"/>
          <w:lang w:val="es-ES_tradnl"/>
        </w:rPr>
        <w:lastRenderedPageBreak/>
        <w:t>Concesionario Mayorista;</w:t>
      </w:r>
    </w:p>
    <w:p w:rsidR="00496B50" w:rsidRDefault="00496B50" w:rsidP="00496B50">
      <w:pPr>
        <w:pStyle w:val="Prrafodelista"/>
        <w:widowControl w:val="0"/>
        <w:numPr>
          <w:ilvl w:val="1"/>
          <w:numId w:val="16"/>
        </w:numPr>
        <w:spacing w:before="240" w:after="240" w:line="276" w:lineRule="auto"/>
        <w:jc w:val="both"/>
        <w:rPr>
          <w:rFonts w:ascii="ITC Avant Garde" w:hAnsi="ITC Avant Garde"/>
          <w:lang w:val="es-ES_tradnl"/>
        </w:rPr>
      </w:pPr>
      <w:r w:rsidRPr="00FE6BB3">
        <w:rPr>
          <w:rFonts w:ascii="ITC Avant Garde" w:hAnsi="ITC Avant Garde"/>
          <w:b/>
          <w:lang w:val="es-ES_tradnl"/>
        </w:rPr>
        <w:t>Parámetros de Cobertura:</w:t>
      </w:r>
      <w:r w:rsidRPr="00FE6BB3">
        <w:rPr>
          <w:rFonts w:ascii="ITC Avant Garde" w:hAnsi="ITC Avant Garde"/>
          <w:lang w:val="es-ES_tradnl"/>
        </w:rPr>
        <w:t xml:space="preserve"> Velocidades de transferencia de datos que serán utilizadas para determinar la Cobertura de Servicios;</w:t>
      </w:r>
    </w:p>
    <w:p w:rsidR="00496B50" w:rsidRDefault="00496B50" w:rsidP="00496B50">
      <w:pPr>
        <w:pStyle w:val="Prrafodelista"/>
        <w:widowControl w:val="0"/>
        <w:numPr>
          <w:ilvl w:val="1"/>
          <w:numId w:val="16"/>
        </w:numPr>
        <w:spacing w:before="240" w:after="240" w:line="276" w:lineRule="auto"/>
        <w:jc w:val="both"/>
        <w:rPr>
          <w:rFonts w:ascii="ITC Avant Garde" w:hAnsi="ITC Avant Garde"/>
          <w:lang w:val="es-ES_tradnl"/>
        </w:rPr>
      </w:pPr>
      <w:r w:rsidRPr="00FE6BB3">
        <w:rPr>
          <w:rFonts w:ascii="ITC Avant Garde" w:hAnsi="ITC Avant Garde"/>
          <w:b/>
          <w:lang w:val="es-ES_tradnl"/>
        </w:rPr>
        <w:t xml:space="preserve">PDCP </w:t>
      </w:r>
      <w:r w:rsidRPr="00FE6BB3">
        <w:rPr>
          <w:rFonts w:ascii="ITC Avant Garde" w:hAnsi="ITC Avant Garde"/>
          <w:lang w:val="es-ES_tradnl"/>
        </w:rPr>
        <w:t xml:space="preserve">(del inglés, </w:t>
      </w:r>
      <w:proofErr w:type="spellStart"/>
      <w:r w:rsidRPr="00FE6BB3">
        <w:rPr>
          <w:rFonts w:ascii="ITC Avant Garde" w:hAnsi="ITC Avant Garde"/>
          <w:i/>
          <w:lang w:val="es-ES_tradnl"/>
        </w:rPr>
        <w:t>Packet</w:t>
      </w:r>
      <w:proofErr w:type="spellEnd"/>
      <w:r w:rsidRPr="00FE6BB3">
        <w:rPr>
          <w:rFonts w:ascii="ITC Avant Garde" w:hAnsi="ITC Avant Garde"/>
          <w:i/>
          <w:lang w:val="es-ES_tradnl"/>
        </w:rPr>
        <w:t xml:space="preserve"> Data </w:t>
      </w:r>
      <w:proofErr w:type="spellStart"/>
      <w:r w:rsidRPr="00FE6BB3">
        <w:rPr>
          <w:rFonts w:ascii="ITC Avant Garde" w:hAnsi="ITC Avant Garde"/>
          <w:i/>
          <w:lang w:val="es-ES_tradnl"/>
        </w:rPr>
        <w:t>Convergence</w:t>
      </w:r>
      <w:proofErr w:type="spellEnd"/>
      <w:r w:rsidRPr="00FE6BB3">
        <w:rPr>
          <w:rFonts w:ascii="ITC Avant Garde" w:hAnsi="ITC Avant Garde"/>
          <w:i/>
          <w:lang w:val="es-ES_tradnl"/>
        </w:rPr>
        <w:t xml:space="preserve"> </w:t>
      </w:r>
      <w:proofErr w:type="spellStart"/>
      <w:r w:rsidRPr="00FE6BB3">
        <w:rPr>
          <w:rFonts w:ascii="ITC Avant Garde" w:hAnsi="ITC Avant Garde"/>
          <w:i/>
          <w:lang w:val="es-ES_tradnl"/>
        </w:rPr>
        <w:t>Protocol</w:t>
      </w:r>
      <w:proofErr w:type="spellEnd"/>
      <w:r w:rsidRPr="00FE6BB3">
        <w:rPr>
          <w:rFonts w:ascii="ITC Avant Garde" w:hAnsi="ITC Avant Garde"/>
          <w:lang w:val="es-ES_tradnl"/>
        </w:rPr>
        <w:t>)</w:t>
      </w:r>
      <w:r w:rsidRPr="00FE6BB3">
        <w:rPr>
          <w:rFonts w:ascii="ITC Avant Garde" w:hAnsi="ITC Avant Garde"/>
          <w:b/>
          <w:lang w:val="es-ES_tradnl"/>
        </w:rPr>
        <w:t xml:space="preserve">: </w:t>
      </w:r>
      <w:r w:rsidRPr="00FE6BB3">
        <w:rPr>
          <w:rFonts w:ascii="ITC Avant Garde" w:hAnsi="ITC Avant Garde"/>
          <w:lang w:val="es-ES_tradnl"/>
        </w:rPr>
        <w:t xml:space="preserve">Protocolo de Convergencia de Paquetes de Datos; </w:t>
      </w:r>
    </w:p>
    <w:p w:rsidR="00496B50" w:rsidRPr="00836B62" w:rsidRDefault="00496B50" w:rsidP="00496B50">
      <w:pPr>
        <w:pStyle w:val="Prrafodelista"/>
        <w:widowControl w:val="0"/>
        <w:numPr>
          <w:ilvl w:val="1"/>
          <w:numId w:val="16"/>
        </w:numPr>
        <w:spacing w:before="240" w:after="240" w:line="276" w:lineRule="auto"/>
        <w:jc w:val="both"/>
        <w:rPr>
          <w:rFonts w:ascii="ITC Avant Garde" w:hAnsi="ITC Avant Garde"/>
          <w:lang w:val="es-ES_tradnl"/>
        </w:rPr>
      </w:pPr>
      <w:r w:rsidRPr="00FE6BB3">
        <w:rPr>
          <w:rFonts w:ascii="ITC Avant Garde" w:hAnsi="ITC Avant Garde"/>
          <w:b/>
          <w:lang w:val="es-ES_tradnl"/>
        </w:rPr>
        <w:t>Puertos COM:</w:t>
      </w:r>
      <w:r w:rsidRPr="00FE6BB3">
        <w:rPr>
          <w:rFonts w:ascii="ITC Avant Garde" w:hAnsi="ITC Avant Garde"/>
          <w:lang w:val="es-ES_tradnl"/>
        </w:rPr>
        <w:t xml:space="preserve"> Puertos seriales en un equipo de cómputo utilizados para enlazar módems, terminales de obtención de datos u otros dispositivos a través de una interfaz serial, donde se transmite la información bit a bit;</w:t>
      </w:r>
    </w:p>
    <w:p w:rsidR="00496B50" w:rsidRDefault="00496B50" w:rsidP="00496B50">
      <w:pPr>
        <w:pStyle w:val="Prrafodelista"/>
        <w:widowControl w:val="0"/>
        <w:numPr>
          <w:ilvl w:val="1"/>
          <w:numId w:val="16"/>
        </w:numPr>
        <w:spacing w:before="240" w:after="240" w:line="276" w:lineRule="auto"/>
        <w:jc w:val="both"/>
        <w:rPr>
          <w:rFonts w:ascii="ITC Avant Garde" w:hAnsi="ITC Avant Garde"/>
          <w:lang w:val="es-ES_tradnl"/>
        </w:rPr>
      </w:pPr>
      <w:r w:rsidRPr="00FE6BB3">
        <w:rPr>
          <w:rFonts w:ascii="ITC Avant Garde" w:hAnsi="ITC Avant Garde"/>
          <w:b/>
          <w:lang w:val="es-ES_tradnl"/>
        </w:rPr>
        <w:t xml:space="preserve">Sector de </w:t>
      </w:r>
      <w:proofErr w:type="spellStart"/>
      <w:r w:rsidRPr="00FE6BB3">
        <w:rPr>
          <w:rFonts w:ascii="ITC Avant Garde" w:hAnsi="ITC Avant Garde"/>
          <w:b/>
          <w:lang w:val="es-ES_tradnl"/>
        </w:rPr>
        <w:t>Radiobase</w:t>
      </w:r>
      <w:proofErr w:type="spellEnd"/>
      <w:r w:rsidRPr="00FE6BB3">
        <w:rPr>
          <w:rFonts w:ascii="ITC Avant Garde" w:hAnsi="ITC Avant Garde"/>
          <w:b/>
          <w:lang w:val="es-ES_tradnl"/>
        </w:rPr>
        <w:t xml:space="preserve"> </w:t>
      </w:r>
      <w:r w:rsidRPr="00FE6BB3">
        <w:rPr>
          <w:rFonts w:ascii="ITC Avant Garde" w:hAnsi="ITC Avant Garde"/>
          <w:lang w:val="es-ES_tradnl"/>
        </w:rPr>
        <w:t xml:space="preserve">(del inglés, </w:t>
      </w:r>
      <w:r w:rsidRPr="00FE6BB3">
        <w:rPr>
          <w:rFonts w:ascii="ITC Avant Garde" w:hAnsi="ITC Avant Garde"/>
          <w:i/>
          <w:lang w:val="es-ES_tradnl"/>
        </w:rPr>
        <w:t xml:space="preserve">Sector </w:t>
      </w:r>
      <w:proofErr w:type="spellStart"/>
      <w:r w:rsidRPr="00FE6BB3">
        <w:rPr>
          <w:rFonts w:ascii="ITC Avant Garde" w:hAnsi="ITC Avant Garde"/>
          <w:i/>
          <w:lang w:val="es-ES_tradnl"/>
        </w:rPr>
        <w:t>Identity</w:t>
      </w:r>
      <w:proofErr w:type="spellEnd"/>
      <w:r w:rsidRPr="00FE6BB3">
        <w:rPr>
          <w:rFonts w:ascii="ITC Avant Garde" w:hAnsi="ITC Avant Garde"/>
          <w:lang w:val="es-ES_tradnl"/>
        </w:rPr>
        <w:t>)</w:t>
      </w:r>
      <w:r w:rsidRPr="00FE6BB3">
        <w:rPr>
          <w:rFonts w:ascii="ITC Avant Garde" w:hAnsi="ITC Avant Garde"/>
          <w:b/>
          <w:lang w:val="es-ES_tradnl"/>
        </w:rPr>
        <w:t xml:space="preserve">: </w:t>
      </w:r>
      <w:r w:rsidRPr="00FE6BB3">
        <w:rPr>
          <w:rFonts w:ascii="ITC Avant Garde" w:hAnsi="ITC Avant Garde"/>
          <w:lang w:val="es-ES_tradnl"/>
        </w:rPr>
        <w:t>División de la capacidad de un sitio celular de acuerdo a la planeación de los recursos de radiofrecuencia que genera un área geográfica de cobertura en la que se presta el servicio móvil o servicios mayoristas de telecomunicaciones. El área resultante se identifica por una o más antenas que utilizan el mismo identificador de celda;</w:t>
      </w:r>
    </w:p>
    <w:p w:rsidR="00496B50" w:rsidRDefault="00496B50" w:rsidP="00496B50">
      <w:pPr>
        <w:pStyle w:val="Prrafodelista"/>
        <w:widowControl w:val="0"/>
        <w:numPr>
          <w:ilvl w:val="1"/>
          <w:numId w:val="16"/>
        </w:numPr>
        <w:tabs>
          <w:tab w:val="left" w:pos="2410"/>
        </w:tabs>
        <w:spacing w:before="240" w:after="240" w:line="276" w:lineRule="auto"/>
        <w:jc w:val="both"/>
        <w:rPr>
          <w:rFonts w:ascii="ITC Avant Garde" w:hAnsi="ITC Avant Garde"/>
          <w:lang w:val="es-ES_tradnl"/>
        </w:rPr>
      </w:pPr>
      <w:r w:rsidRPr="00FE6BB3">
        <w:rPr>
          <w:rFonts w:ascii="ITC Avant Garde" w:hAnsi="ITC Avant Garde"/>
          <w:b/>
          <w:lang w:val="es-ES_tradnl"/>
        </w:rPr>
        <w:t xml:space="preserve">Servicio Móvil: </w:t>
      </w:r>
      <w:r w:rsidRPr="00FE6BB3">
        <w:rPr>
          <w:rFonts w:ascii="ITC Avant Garde" w:hAnsi="ITC Avant Garde"/>
          <w:lang w:val="es-ES_tradnl"/>
        </w:rPr>
        <w:t>Servicio de telecomunicaciones prestado a usuarios finales, que se brinda a través de Equipos Terminales Móviles que no tienen una ubicación geográfica determinada;</w:t>
      </w:r>
    </w:p>
    <w:p w:rsidR="00496B50" w:rsidRDefault="00496B50" w:rsidP="00496B50">
      <w:pPr>
        <w:pStyle w:val="Prrafodelista"/>
        <w:widowControl w:val="0"/>
        <w:numPr>
          <w:ilvl w:val="1"/>
          <w:numId w:val="16"/>
        </w:numPr>
        <w:spacing w:before="240" w:after="240" w:line="276" w:lineRule="auto"/>
        <w:jc w:val="both"/>
        <w:rPr>
          <w:rFonts w:ascii="ITC Avant Garde" w:hAnsi="ITC Avant Garde"/>
          <w:lang w:val="es-ES_tradnl"/>
        </w:rPr>
      </w:pPr>
      <w:r w:rsidRPr="00FE6BB3">
        <w:rPr>
          <w:rFonts w:ascii="ITC Avant Garde" w:hAnsi="ITC Avant Garde"/>
          <w:b/>
          <w:lang w:val="es-ES_tradnl"/>
        </w:rPr>
        <w:t xml:space="preserve">Sistema de Gestión: </w:t>
      </w:r>
      <w:r w:rsidRPr="00FE6BB3">
        <w:rPr>
          <w:rFonts w:ascii="ITC Avant Garde" w:hAnsi="ITC Avant Garde"/>
          <w:lang w:val="es-ES_tradnl"/>
        </w:rPr>
        <w:t>Sistema que puede realizar funciones, tales como, de inventario, ingeniería, administración, facturación, planificación y/o funciones de reparación de la red o de un elemento de la infraestructura del Concesionario Mayorista;</w:t>
      </w:r>
    </w:p>
    <w:p w:rsidR="00496B50" w:rsidRDefault="00496B50" w:rsidP="00496B50">
      <w:pPr>
        <w:pStyle w:val="Prrafodelista"/>
        <w:widowControl w:val="0"/>
        <w:numPr>
          <w:ilvl w:val="1"/>
          <w:numId w:val="16"/>
        </w:numPr>
        <w:spacing w:before="240" w:after="240" w:line="276" w:lineRule="auto"/>
        <w:jc w:val="both"/>
        <w:rPr>
          <w:rFonts w:ascii="ITC Avant Garde" w:hAnsi="ITC Avant Garde"/>
          <w:lang w:val="es-ES_tradnl"/>
        </w:rPr>
      </w:pPr>
      <w:r w:rsidRPr="00FE6BB3">
        <w:rPr>
          <w:rFonts w:ascii="ITC Avant Garde" w:hAnsi="ITC Avant Garde"/>
          <w:b/>
          <w:lang w:val="es-ES_tradnl"/>
        </w:rPr>
        <w:t xml:space="preserve">Sistema de Información Geográfica </w:t>
      </w:r>
      <w:r w:rsidRPr="00FE6BB3">
        <w:rPr>
          <w:rFonts w:ascii="ITC Avant Garde" w:hAnsi="ITC Avant Garde"/>
          <w:lang w:val="es-ES_tradnl"/>
        </w:rPr>
        <w:t xml:space="preserve">(del inglés, </w:t>
      </w:r>
      <w:r w:rsidRPr="00FE6BB3">
        <w:rPr>
          <w:rFonts w:ascii="ITC Avant Garde" w:hAnsi="ITC Avant Garde"/>
          <w:i/>
          <w:lang w:val="es-ES_tradnl"/>
        </w:rPr>
        <w:t>GIS</w:t>
      </w:r>
      <w:r w:rsidRPr="00FE6BB3">
        <w:rPr>
          <w:rFonts w:ascii="ITC Avant Garde" w:hAnsi="ITC Avant Garde"/>
          <w:lang w:val="es-ES_tradnl"/>
        </w:rPr>
        <w:t>)</w:t>
      </w:r>
      <w:r w:rsidRPr="00FE6BB3">
        <w:rPr>
          <w:rFonts w:ascii="ITC Avant Garde" w:hAnsi="ITC Avant Garde"/>
          <w:b/>
          <w:lang w:val="es-ES_tradnl"/>
        </w:rPr>
        <w:t xml:space="preserve">: </w:t>
      </w:r>
      <w:r w:rsidRPr="00FE6BB3">
        <w:rPr>
          <w:rFonts w:ascii="ITC Avant Garde" w:hAnsi="ITC Avant Garde"/>
          <w:lang w:val="es-ES_tradnl"/>
        </w:rPr>
        <w:t>Herramienta informática que permiten el manejo, visualización, edición y análisis estadístico de mapas digitales;</w:t>
      </w:r>
    </w:p>
    <w:p w:rsidR="00496B50" w:rsidRDefault="00496B50" w:rsidP="00496B50">
      <w:pPr>
        <w:pStyle w:val="Prrafodelista"/>
        <w:widowControl w:val="0"/>
        <w:numPr>
          <w:ilvl w:val="1"/>
          <w:numId w:val="16"/>
        </w:numPr>
        <w:spacing w:before="240" w:after="240" w:line="276" w:lineRule="auto"/>
        <w:jc w:val="both"/>
        <w:rPr>
          <w:rFonts w:ascii="ITC Avant Garde" w:hAnsi="ITC Avant Garde"/>
          <w:lang w:val="es-ES_tradnl"/>
        </w:rPr>
      </w:pPr>
      <w:r w:rsidRPr="00FE6BB3">
        <w:rPr>
          <w:rFonts w:ascii="ITC Avant Garde" w:hAnsi="ITC Avant Garde"/>
          <w:b/>
          <w:lang w:val="es-ES_tradnl"/>
        </w:rPr>
        <w:t xml:space="preserve">Tasa de Transmisión de Datos del Enlace Ascendente: </w:t>
      </w:r>
      <w:r w:rsidRPr="00FE6BB3">
        <w:rPr>
          <w:rFonts w:ascii="ITC Avant Garde" w:hAnsi="ITC Avant Garde"/>
          <w:lang w:val="es-ES_tradnl"/>
        </w:rPr>
        <w:t xml:space="preserve">Cantidad promedio de datos cargada con respecto al tiempo establecido para la evaluación del parámetro correspondiente y que deberá ser </w:t>
      </w:r>
      <w:r w:rsidRPr="00FE6BB3">
        <w:rPr>
          <w:rFonts w:ascii="ITC Avant Garde" w:hAnsi="ITC Avant Garde"/>
          <w:bCs/>
          <w:lang w:val="es-ES_tradnl"/>
        </w:rPr>
        <w:t>de al menos 1 (un) Megabit por segundo en el Borde de Cobertura en Hora Pico de la Red</w:t>
      </w:r>
      <w:r w:rsidRPr="00FE6BB3">
        <w:rPr>
          <w:rFonts w:ascii="ITC Avant Garde" w:hAnsi="ITC Avant Garde"/>
          <w:lang w:val="es-ES_tradnl"/>
        </w:rPr>
        <w:t>;</w:t>
      </w:r>
    </w:p>
    <w:p w:rsidR="00496B50" w:rsidRDefault="00496B50" w:rsidP="00496B50">
      <w:pPr>
        <w:pStyle w:val="Prrafodelista"/>
        <w:widowControl w:val="0"/>
        <w:numPr>
          <w:ilvl w:val="1"/>
          <w:numId w:val="16"/>
        </w:numPr>
        <w:spacing w:before="240" w:after="240" w:line="276" w:lineRule="auto"/>
        <w:jc w:val="both"/>
        <w:rPr>
          <w:rFonts w:ascii="ITC Avant Garde" w:hAnsi="ITC Avant Garde"/>
          <w:lang w:val="es-ES_tradnl"/>
        </w:rPr>
      </w:pPr>
      <w:r w:rsidRPr="00FE6BB3">
        <w:rPr>
          <w:rFonts w:ascii="ITC Avant Garde" w:hAnsi="ITC Avant Garde"/>
          <w:b/>
          <w:lang w:val="es-ES_tradnl"/>
        </w:rPr>
        <w:t xml:space="preserve">Tasa de Transmisión de Datos del Enlace Descendente: </w:t>
      </w:r>
      <w:r w:rsidRPr="00FE6BB3">
        <w:rPr>
          <w:rFonts w:ascii="ITC Avant Garde" w:hAnsi="ITC Avant Garde"/>
          <w:lang w:val="es-ES_tradnl"/>
        </w:rPr>
        <w:t xml:space="preserve">Cantidad promedio de datos descargada con respecto al tiempo establecido para la evaluación del parámetro correspondiente y que deberá ser </w:t>
      </w:r>
      <w:r w:rsidRPr="00FE6BB3">
        <w:rPr>
          <w:rFonts w:ascii="ITC Avant Garde" w:hAnsi="ITC Avant Garde"/>
          <w:bCs/>
          <w:lang w:val="es-ES_tradnl"/>
        </w:rPr>
        <w:t>de al menos 4 (cuatro) Megabits por segundo en el Borde de Cobertura en Hora Pico de la Red</w:t>
      </w:r>
      <w:r w:rsidRPr="00FE6BB3">
        <w:rPr>
          <w:rFonts w:ascii="ITC Avant Garde" w:hAnsi="ITC Avant Garde"/>
          <w:lang w:val="es-ES_tradnl"/>
        </w:rPr>
        <w:t>;</w:t>
      </w:r>
    </w:p>
    <w:p w:rsidR="00496B50" w:rsidRDefault="00496B50" w:rsidP="00496B50">
      <w:pPr>
        <w:pStyle w:val="Prrafodelista"/>
        <w:widowControl w:val="0"/>
        <w:numPr>
          <w:ilvl w:val="1"/>
          <w:numId w:val="16"/>
        </w:numPr>
        <w:spacing w:before="240" w:after="240" w:line="276" w:lineRule="auto"/>
        <w:jc w:val="both"/>
        <w:rPr>
          <w:rFonts w:ascii="ITC Avant Garde" w:hAnsi="ITC Avant Garde"/>
          <w:b/>
          <w:lang w:val="es-ES_tradnl"/>
        </w:rPr>
      </w:pPr>
      <w:r w:rsidRPr="00FE6BB3">
        <w:rPr>
          <w:rFonts w:ascii="ITC Avant Garde" w:hAnsi="ITC Avant Garde"/>
          <w:b/>
          <w:lang w:val="es-ES_tradnl"/>
        </w:rPr>
        <w:t xml:space="preserve">TCP </w:t>
      </w:r>
      <w:r w:rsidRPr="00FE6BB3">
        <w:rPr>
          <w:rFonts w:ascii="ITC Avant Garde" w:hAnsi="ITC Avant Garde"/>
          <w:lang w:val="es-ES_tradnl"/>
        </w:rPr>
        <w:t xml:space="preserve">(del inglés, </w:t>
      </w:r>
      <w:proofErr w:type="spellStart"/>
      <w:r w:rsidRPr="00FE6BB3">
        <w:rPr>
          <w:rFonts w:ascii="ITC Avant Garde" w:hAnsi="ITC Avant Garde"/>
          <w:i/>
          <w:lang w:val="es-ES_tradnl"/>
        </w:rPr>
        <w:t>Transmission</w:t>
      </w:r>
      <w:proofErr w:type="spellEnd"/>
      <w:r w:rsidRPr="00FE6BB3">
        <w:rPr>
          <w:rFonts w:ascii="ITC Avant Garde" w:hAnsi="ITC Avant Garde"/>
          <w:i/>
          <w:lang w:val="es-ES_tradnl"/>
        </w:rPr>
        <w:t xml:space="preserve"> Control </w:t>
      </w:r>
      <w:proofErr w:type="spellStart"/>
      <w:r w:rsidRPr="00FE6BB3">
        <w:rPr>
          <w:rFonts w:ascii="ITC Avant Garde" w:hAnsi="ITC Avant Garde"/>
          <w:i/>
          <w:lang w:val="es-ES_tradnl"/>
        </w:rPr>
        <w:t>Protocol</w:t>
      </w:r>
      <w:proofErr w:type="spellEnd"/>
      <w:r w:rsidRPr="00FE6BB3">
        <w:rPr>
          <w:rFonts w:ascii="ITC Avant Garde" w:hAnsi="ITC Avant Garde"/>
          <w:lang w:val="es-ES_tradnl"/>
        </w:rPr>
        <w:t>)</w:t>
      </w:r>
      <w:r w:rsidRPr="00FE6BB3">
        <w:rPr>
          <w:rFonts w:ascii="ITC Avant Garde" w:hAnsi="ITC Avant Garde"/>
          <w:b/>
          <w:lang w:val="es-ES_tradnl"/>
        </w:rPr>
        <w:t xml:space="preserve">: </w:t>
      </w:r>
      <w:r w:rsidRPr="00FE6BB3">
        <w:rPr>
          <w:rFonts w:ascii="ITC Avant Garde" w:hAnsi="ITC Avant Garde"/>
          <w:lang w:val="es-ES_tradnl"/>
        </w:rPr>
        <w:t xml:space="preserve">Protocolo de Control de Transmisión; </w:t>
      </w:r>
    </w:p>
    <w:p w:rsidR="00496B50" w:rsidRDefault="00496B50" w:rsidP="00496B50">
      <w:pPr>
        <w:pStyle w:val="Prrafodelista"/>
        <w:widowControl w:val="0"/>
        <w:numPr>
          <w:ilvl w:val="1"/>
          <w:numId w:val="16"/>
        </w:numPr>
        <w:spacing w:before="240" w:after="240" w:line="276" w:lineRule="auto"/>
        <w:jc w:val="both"/>
        <w:rPr>
          <w:rFonts w:ascii="ITC Avant Garde" w:hAnsi="ITC Avant Garde"/>
          <w:b/>
          <w:lang w:val="es-ES_tradnl"/>
        </w:rPr>
      </w:pPr>
      <w:r w:rsidRPr="00FE6BB3">
        <w:rPr>
          <w:rFonts w:ascii="ITC Avant Garde" w:hAnsi="ITC Avant Garde"/>
          <w:b/>
          <w:lang w:val="es-ES_tradnl"/>
        </w:rPr>
        <w:t xml:space="preserve">Tecnología de Acceso: </w:t>
      </w:r>
      <w:r w:rsidRPr="00FE6BB3">
        <w:rPr>
          <w:rFonts w:ascii="ITC Avant Garde" w:hAnsi="ITC Avant Garde"/>
          <w:lang w:val="es-ES_tradnl"/>
        </w:rPr>
        <w:t>Tipo de tecnologías utilizadas en la red del Concesionario Mayorista mediante la cual el usuario final accede a los servicios que se brindan a través de la red del Concesionario Mayorista;</w:t>
      </w:r>
    </w:p>
    <w:p w:rsidR="00496B50" w:rsidRDefault="00496B50" w:rsidP="00496B50">
      <w:pPr>
        <w:pStyle w:val="Prrafodelista"/>
        <w:numPr>
          <w:ilvl w:val="1"/>
          <w:numId w:val="16"/>
        </w:numPr>
        <w:spacing w:before="240" w:after="240" w:line="276" w:lineRule="auto"/>
        <w:jc w:val="both"/>
        <w:rPr>
          <w:rFonts w:ascii="ITC Avant Garde" w:hAnsi="ITC Avant Garde"/>
          <w:b/>
          <w:lang w:val="es-ES_tradnl"/>
        </w:rPr>
      </w:pPr>
      <w:r w:rsidRPr="00FE6BB3">
        <w:rPr>
          <w:rFonts w:ascii="ITC Avant Garde" w:hAnsi="ITC Avant Garde"/>
          <w:b/>
          <w:lang w:val="es-ES_tradnl"/>
        </w:rPr>
        <w:lastRenderedPageBreak/>
        <w:t xml:space="preserve">Tiempo de Guarda: </w:t>
      </w:r>
      <w:r w:rsidRPr="00FE6BB3">
        <w:rPr>
          <w:rFonts w:ascii="ITC Avant Garde" w:hAnsi="ITC Avant Garde"/>
          <w:lang w:val="es-ES_tradnl"/>
        </w:rPr>
        <w:t>Intervalo de tiempo entre Eventos consecutivos durante el Ejercicio de Medición;</w:t>
      </w:r>
    </w:p>
    <w:p w:rsidR="00496B50" w:rsidRDefault="00496B50" w:rsidP="00496B50">
      <w:pPr>
        <w:pStyle w:val="Prrafodelista"/>
        <w:widowControl w:val="0"/>
        <w:numPr>
          <w:ilvl w:val="1"/>
          <w:numId w:val="16"/>
        </w:numPr>
        <w:spacing w:before="240" w:after="240" w:line="276" w:lineRule="auto"/>
        <w:jc w:val="both"/>
        <w:rPr>
          <w:rFonts w:ascii="ITC Avant Garde" w:hAnsi="ITC Avant Garde"/>
          <w:b/>
          <w:lang w:val="es-ES_tradnl"/>
        </w:rPr>
      </w:pPr>
      <w:r w:rsidRPr="00FE6BB3">
        <w:rPr>
          <w:rFonts w:ascii="ITC Avant Garde" w:hAnsi="ITC Avant Garde"/>
          <w:b/>
          <w:lang w:val="es-ES_tradnl"/>
        </w:rPr>
        <w:t xml:space="preserve">Título de Concesión Mayorista: </w:t>
      </w:r>
      <w:r w:rsidRPr="00FE6BB3">
        <w:rPr>
          <w:rFonts w:ascii="ITC Avant Garde" w:hAnsi="ITC Avant Garde"/>
          <w:lang w:val="es-ES_tradnl"/>
        </w:rPr>
        <w:t xml:space="preserve">Título de concesión para uso comercial con carácter de Red Compartida Mayorista de servicios de telecomunicaciones, que otorgó el Instituto Federal de Telecomunicaciones en favor de </w:t>
      </w:r>
      <w:proofErr w:type="spellStart"/>
      <w:r w:rsidRPr="00FE6BB3">
        <w:rPr>
          <w:rFonts w:ascii="ITC Avant Garde" w:hAnsi="ITC Avant Garde"/>
          <w:lang w:val="es-ES_tradnl"/>
        </w:rPr>
        <w:t>Altán</w:t>
      </w:r>
      <w:proofErr w:type="spellEnd"/>
      <w:r w:rsidRPr="00FE6BB3">
        <w:rPr>
          <w:rFonts w:ascii="ITC Avant Garde" w:hAnsi="ITC Avant Garde"/>
          <w:lang w:val="es-ES_tradnl"/>
        </w:rPr>
        <w:t xml:space="preserve"> redes, S.A.P.I. DE C.V. mediante resolución del Pleno P/IFT/160117/2, y</w:t>
      </w:r>
    </w:p>
    <w:p w:rsidR="00496B50" w:rsidRDefault="00496B50" w:rsidP="00496B50">
      <w:pPr>
        <w:pStyle w:val="Prrafodelista"/>
        <w:widowControl w:val="0"/>
        <w:numPr>
          <w:ilvl w:val="1"/>
          <w:numId w:val="16"/>
        </w:numPr>
        <w:spacing w:before="240" w:after="240" w:line="276" w:lineRule="auto"/>
        <w:jc w:val="both"/>
        <w:rPr>
          <w:rFonts w:ascii="ITC Avant Garde" w:hAnsi="ITC Avant Garde"/>
          <w:b/>
          <w:lang w:val="es-ES_tradnl"/>
        </w:rPr>
      </w:pPr>
      <w:r w:rsidRPr="00FE6BB3">
        <w:rPr>
          <w:rFonts w:ascii="ITC Avant Garde" w:hAnsi="ITC Avant Garde"/>
          <w:b/>
          <w:lang w:val="es-ES_tradnl"/>
        </w:rPr>
        <w:t xml:space="preserve">UTM </w:t>
      </w:r>
      <w:r w:rsidRPr="00FE6BB3">
        <w:rPr>
          <w:rFonts w:ascii="ITC Avant Garde" w:hAnsi="ITC Avant Garde"/>
          <w:lang w:val="es-ES_tradnl"/>
        </w:rPr>
        <w:t xml:space="preserve">(del inglés, </w:t>
      </w:r>
      <w:r w:rsidRPr="00FE6BB3">
        <w:rPr>
          <w:rFonts w:ascii="ITC Avant Garde" w:hAnsi="ITC Avant Garde"/>
          <w:i/>
          <w:iCs/>
          <w:lang w:val="es-ES_tradnl"/>
        </w:rPr>
        <w:t xml:space="preserve">Universal </w:t>
      </w:r>
      <w:proofErr w:type="spellStart"/>
      <w:r w:rsidRPr="00FE6BB3">
        <w:rPr>
          <w:rFonts w:ascii="ITC Avant Garde" w:hAnsi="ITC Avant Garde"/>
          <w:i/>
          <w:iCs/>
          <w:lang w:val="es-ES_tradnl"/>
        </w:rPr>
        <w:t>Transverse</w:t>
      </w:r>
      <w:proofErr w:type="spellEnd"/>
      <w:r w:rsidRPr="00FE6BB3">
        <w:rPr>
          <w:rFonts w:ascii="ITC Avant Garde" w:hAnsi="ITC Avant Garde"/>
          <w:i/>
          <w:iCs/>
          <w:lang w:val="es-ES_tradnl"/>
        </w:rPr>
        <w:t xml:space="preserve"> </w:t>
      </w:r>
      <w:proofErr w:type="spellStart"/>
      <w:r w:rsidRPr="00FE6BB3">
        <w:rPr>
          <w:rFonts w:ascii="ITC Avant Garde" w:hAnsi="ITC Avant Garde"/>
          <w:i/>
          <w:iCs/>
          <w:lang w:val="es-ES_tradnl"/>
        </w:rPr>
        <w:t>Mercator</w:t>
      </w:r>
      <w:proofErr w:type="spellEnd"/>
      <w:r w:rsidRPr="00FE6BB3">
        <w:rPr>
          <w:rFonts w:ascii="ITC Avant Garde" w:hAnsi="ITC Avant Garde"/>
          <w:lang w:val="es-ES_tradnl"/>
        </w:rPr>
        <w:t>)</w:t>
      </w:r>
      <w:r w:rsidRPr="00FE6BB3">
        <w:rPr>
          <w:rFonts w:ascii="ITC Avant Garde" w:hAnsi="ITC Avant Garde"/>
          <w:b/>
          <w:lang w:val="es-ES_tradnl"/>
        </w:rPr>
        <w:t xml:space="preserve">: </w:t>
      </w:r>
      <w:r w:rsidRPr="00FE6BB3">
        <w:rPr>
          <w:rFonts w:ascii="ITC Avant Garde" w:hAnsi="ITC Avant Garde"/>
          <w:lang w:val="es-ES_tradnl"/>
        </w:rPr>
        <w:t xml:space="preserve">Sistema de Coordenadas Universal Transversal de </w:t>
      </w:r>
      <w:proofErr w:type="spellStart"/>
      <w:r w:rsidRPr="00FE6BB3">
        <w:rPr>
          <w:rFonts w:ascii="ITC Avant Garde" w:hAnsi="ITC Avant Garde"/>
          <w:lang w:val="es-ES_tradnl"/>
        </w:rPr>
        <w:t>Mercator</w:t>
      </w:r>
      <w:proofErr w:type="spellEnd"/>
      <w:r w:rsidRPr="00FE6BB3">
        <w:rPr>
          <w:rFonts w:ascii="ITC Avant Garde" w:hAnsi="ITC Avant Garde"/>
          <w:lang w:val="es-ES_tradnl"/>
        </w:rPr>
        <w:t>.</w:t>
      </w:r>
    </w:p>
    <w:p w:rsidR="00496B50" w:rsidRDefault="00496B50" w:rsidP="00496B50">
      <w:pPr>
        <w:pStyle w:val="Prrafodelista"/>
        <w:widowControl w:val="0"/>
        <w:spacing w:before="240" w:after="240"/>
        <w:jc w:val="both"/>
        <w:rPr>
          <w:rFonts w:ascii="ITC Avant Garde" w:hAnsi="ITC Avant Garde"/>
          <w:lang w:val="es-ES_tradnl"/>
        </w:rPr>
      </w:pPr>
      <w:r w:rsidRPr="00FE6BB3">
        <w:rPr>
          <w:rFonts w:ascii="ITC Avant Garde" w:hAnsi="ITC Avant Garde"/>
          <w:lang w:val="es-ES_tradnl"/>
        </w:rPr>
        <w:t>Estas definiciones podrán ser utilizadas en singular o en plural, en masculino o en femenino, de forma indistinta.</w:t>
      </w:r>
    </w:p>
    <w:p w:rsidR="00496B50" w:rsidRDefault="00496B50" w:rsidP="00496B50">
      <w:pPr>
        <w:pStyle w:val="Prrafodelista"/>
        <w:widowControl w:val="0"/>
        <w:numPr>
          <w:ilvl w:val="0"/>
          <w:numId w:val="16"/>
        </w:numPr>
        <w:spacing w:before="240" w:after="240" w:line="276" w:lineRule="auto"/>
        <w:jc w:val="both"/>
        <w:rPr>
          <w:rFonts w:ascii="ITC Avant Garde" w:hAnsi="ITC Avant Garde"/>
          <w:lang w:val="es-ES_tradnl"/>
        </w:rPr>
      </w:pPr>
      <w:r w:rsidRPr="00FE6BB3">
        <w:rPr>
          <w:rFonts w:ascii="ITC Avant Garde" w:hAnsi="ITC Avant Garde"/>
          <w:b/>
          <w:lang w:val="es-ES_tradnl"/>
        </w:rPr>
        <w:t xml:space="preserve">Disposiciones Generales. </w:t>
      </w:r>
      <w:r w:rsidRPr="00FE6BB3">
        <w:rPr>
          <w:rFonts w:ascii="ITC Avant Garde" w:hAnsi="ITC Avant Garde"/>
          <w:lang w:val="es-ES_tradnl"/>
        </w:rPr>
        <w:t>En relación con el Ejercicio de Medición, se llevarán a cabo las siguientes acciones:</w:t>
      </w:r>
    </w:p>
    <w:p w:rsidR="00496B50" w:rsidRDefault="00496B50" w:rsidP="00496B50">
      <w:pPr>
        <w:pStyle w:val="Prrafodelista"/>
        <w:widowControl w:val="0"/>
        <w:numPr>
          <w:ilvl w:val="0"/>
          <w:numId w:val="22"/>
        </w:numPr>
        <w:spacing w:before="240" w:after="240" w:line="276" w:lineRule="auto"/>
        <w:jc w:val="both"/>
        <w:rPr>
          <w:rFonts w:ascii="ITC Avant Garde" w:hAnsi="ITC Avant Garde"/>
          <w:lang w:val="es-ES_tradnl"/>
        </w:rPr>
      </w:pPr>
      <w:r w:rsidRPr="00FE6BB3">
        <w:rPr>
          <w:rFonts w:ascii="ITC Avant Garde" w:hAnsi="ITC Avant Garde"/>
          <w:lang w:val="es-ES_tradnl"/>
        </w:rPr>
        <w:t>El Concesionario Mayorista deberá entregar al Instituto los Mapas de Cobertura dentro de los primeros diez días hábiles del mes de febrero de cada año en el que se llevarán a cabo las mediciones objeto de la presente metodología</w:t>
      </w:r>
      <w:r>
        <w:rPr>
          <w:rFonts w:ascii="ITC Avant Garde" w:hAnsi="ITC Avant Garde"/>
          <w:lang w:val="es-ES_tradnl"/>
        </w:rPr>
        <w:t xml:space="preserve"> o cuando el Instituto lo requiera</w:t>
      </w:r>
      <w:r w:rsidRPr="00FE6BB3">
        <w:rPr>
          <w:rFonts w:ascii="ITC Avant Garde" w:hAnsi="ITC Avant Garde"/>
          <w:lang w:val="es-ES_tradnl"/>
        </w:rPr>
        <w:t>, conforme a las siguientes características:</w:t>
      </w:r>
    </w:p>
    <w:p w:rsidR="00496B50" w:rsidRPr="00FE6BB3" w:rsidRDefault="00496B50" w:rsidP="00496B50">
      <w:pPr>
        <w:pStyle w:val="Prrafodelista"/>
        <w:widowControl w:val="0"/>
        <w:numPr>
          <w:ilvl w:val="0"/>
          <w:numId w:val="17"/>
        </w:numPr>
        <w:spacing w:before="240" w:after="240" w:line="276" w:lineRule="auto"/>
        <w:ind w:left="1843" w:hanging="425"/>
        <w:jc w:val="both"/>
        <w:rPr>
          <w:rFonts w:ascii="ITC Avant Garde" w:hAnsi="ITC Avant Garde"/>
          <w:lang w:val="es-ES_tradnl"/>
        </w:rPr>
      </w:pPr>
      <w:r w:rsidRPr="00FE6BB3">
        <w:rPr>
          <w:rFonts w:ascii="ITC Avant Garde" w:hAnsi="ITC Avant Garde"/>
          <w:lang w:val="es-ES_tradnl"/>
        </w:rPr>
        <w:t>Tener una resolución de al menos 25 metros;</w:t>
      </w:r>
    </w:p>
    <w:p w:rsidR="00496B50" w:rsidRPr="00FE6BB3" w:rsidRDefault="00496B50" w:rsidP="00496B50">
      <w:pPr>
        <w:pStyle w:val="Prrafodelista"/>
        <w:widowControl w:val="0"/>
        <w:numPr>
          <w:ilvl w:val="0"/>
          <w:numId w:val="17"/>
        </w:numPr>
        <w:spacing w:before="240" w:after="240" w:line="276" w:lineRule="auto"/>
        <w:ind w:left="1843" w:hanging="425"/>
        <w:jc w:val="both"/>
        <w:rPr>
          <w:rFonts w:ascii="ITC Avant Garde" w:hAnsi="ITC Avant Garde"/>
          <w:lang w:val="es-ES_tradnl"/>
        </w:rPr>
      </w:pPr>
      <w:r w:rsidRPr="00FE6BB3">
        <w:rPr>
          <w:rFonts w:ascii="ITC Avant Garde" w:hAnsi="ITC Avant Garde"/>
          <w:lang w:val="es-ES_tradnl"/>
        </w:rPr>
        <w:t xml:space="preserve">Formato </w:t>
      </w:r>
      <w:proofErr w:type="spellStart"/>
      <w:r w:rsidRPr="00FE6BB3">
        <w:rPr>
          <w:rFonts w:ascii="ITC Avant Garde" w:hAnsi="ITC Avant Garde"/>
          <w:lang w:val="es-ES_tradnl"/>
        </w:rPr>
        <w:t>Mapinfo</w:t>
      </w:r>
      <w:proofErr w:type="spellEnd"/>
      <w:r w:rsidRPr="00FE6BB3">
        <w:rPr>
          <w:rFonts w:ascii="ITC Avant Garde" w:hAnsi="ITC Avant Garde"/>
          <w:lang w:val="es-ES_tradnl"/>
        </w:rPr>
        <w:t xml:space="preserve"> (.</w:t>
      </w:r>
      <w:proofErr w:type="spellStart"/>
      <w:r w:rsidRPr="00FE6BB3">
        <w:rPr>
          <w:rFonts w:ascii="ITC Avant Garde" w:hAnsi="ITC Avant Garde"/>
          <w:lang w:val="es-ES_tradnl"/>
        </w:rPr>
        <w:t>tab</w:t>
      </w:r>
      <w:proofErr w:type="spellEnd"/>
      <w:r w:rsidRPr="00FE6BB3">
        <w:rPr>
          <w:rFonts w:ascii="ITC Avant Garde" w:hAnsi="ITC Avant Garde"/>
          <w:lang w:val="es-ES_tradnl"/>
        </w:rPr>
        <w:t xml:space="preserve">) o </w:t>
      </w:r>
      <w:proofErr w:type="spellStart"/>
      <w:r w:rsidRPr="00FE6BB3">
        <w:rPr>
          <w:rFonts w:ascii="ITC Avant Garde" w:hAnsi="ITC Avant Garde"/>
          <w:lang w:val="es-ES_tradnl"/>
        </w:rPr>
        <w:t>Arcview</w:t>
      </w:r>
      <w:proofErr w:type="spellEnd"/>
      <w:r w:rsidRPr="00FE6BB3">
        <w:rPr>
          <w:rFonts w:ascii="ITC Avant Garde" w:hAnsi="ITC Avant Garde"/>
          <w:lang w:val="es-ES_tradnl"/>
        </w:rPr>
        <w:t xml:space="preserve"> (.</w:t>
      </w:r>
      <w:proofErr w:type="spellStart"/>
      <w:r w:rsidRPr="00FE6BB3">
        <w:rPr>
          <w:rFonts w:ascii="ITC Avant Garde" w:hAnsi="ITC Avant Garde"/>
          <w:lang w:val="es-ES_tradnl"/>
        </w:rPr>
        <w:t>shp</w:t>
      </w:r>
      <w:proofErr w:type="spellEnd"/>
      <w:r w:rsidRPr="00FE6BB3">
        <w:rPr>
          <w:rFonts w:ascii="ITC Avant Garde" w:hAnsi="ITC Avant Garde"/>
          <w:lang w:val="es-ES_tradnl"/>
        </w:rPr>
        <w:t>);</w:t>
      </w:r>
    </w:p>
    <w:p w:rsidR="00496B50" w:rsidRPr="00FE6BB3" w:rsidRDefault="00496B50" w:rsidP="00496B50">
      <w:pPr>
        <w:pStyle w:val="Prrafodelista"/>
        <w:widowControl w:val="0"/>
        <w:numPr>
          <w:ilvl w:val="0"/>
          <w:numId w:val="17"/>
        </w:numPr>
        <w:spacing w:before="240" w:after="240" w:line="276" w:lineRule="auto"/>
        <w:ind w:left="1843" w:hanging="425"/>
        <w:jc w:val="both"/>
        <w:rPr>
          <w:rFonts w:ascii="ITC Avant Garde" w:hAnsi="ITC Avant Garde"/>
          <w:lang w:val="es-ES_tradnl"/>
        </w:rPr>
      </w:pPr>
      <w:r w:rsidRPr="00FE6BB3">
        <w:rPr>
          <w:rFonts w:ascii="ITC Avant Garde" w:hAnsi="ITC Avant Garde"/>
          <w:lang w:val="es-ES_tradnl"/>
        </w:rPr>
        <w:t>Uno por cada región celular para cada tipo de Tecnología de Acceso;</w:t>
      </w:r>
    </w:p>
    <w:p w:rsidR="00496B50" w:rsidRDefault="00496B50" w:rsidP="00496B50">
      <w:pPr>
        <w:pStyle w:val="Prrafodelista"/>
        <w:widowControl w:val="0"/>
        <w:numPr>
          <w:ilvl w:val="0"/>
          <w:numId w:val="17"/>
        </w:numPr>
        <w:spacing w:before="240" w:after="240" w:line="276" w:lineRule="auto"/>
        <w:ind w:left="1843" w:hanging="425"/>
        <w:jc w:val="both"/>
        <w:rPr>
          <w:rFonts w:ascii="ITC Avant Garde" w:hAnsi="ITC Avant Garde"/>
          <w:lang w:val="es-ES_tradnl"/>
        </w:rPr>
      </w:pPr>
      <w:r w:rsidRPr="00FE6BB3">
        <w:rPr>
          <w:rFonts w:ascii="ITC Avant Garde" w:hAnsi="ITC Avant Garde"/>
          <w:lang w:val="es-ES_tradnl"/>
        </w:rPr>
        <w:t>Proyección UTM-14 para su geolocalización.</w:t>
      </w:r>
    </w:p>
    <w:p w:rsidR="00496B50" w:rsidRDefault="00496B50" w:rsidP="00496B50">
      <w:pPr>
        <w:widowControl w:val="0"/>
        <w:spacing w:before="240" w:after="240"/>
        <w:ind w:left="1416"/>
        <w:jc w:val="both"/>
        <w:rPr>
          <w:rFonts w:ascii="ITC Avant Garde" w:hAnsi="ITC Avant Garde"/>
          <w:lang w:val="es-ES_tradnl"/>
        </w:rPr>
      </w:pPr>
      <w:r w:rsidRPr="00FE6BB3">
        <w:rPr>
          <w:rFonts w:ascii="ITC Avant Garde" w:hAnsi="ITC Avant Garde"/>
          <w:lang w:val="es-ES_tradnl"/>
        </w:rPr>
        <w:t xml:space="preserve">El porcentaje de cobertura de la población agregada a nivel nacional de los Mapas de Cobertura entregados por el Concesionario Mayorista deberá corresponder al menos con el porcentaje establecido para el cumplimiento de cada año definido en el Título de Concesión Mayorista y aquellas disposiciones legales aplicables; </w:t>
      </w:r>
    </w:p>
    <w:p w:rsidR="00496B50" w:rsidRDefault="00496B50" w:rsidP="00496B50">
      <w:pPr>
        <w:pStyle w:val="Prrafodelista"/>
        <w:numPr>
          <w:ilvl w:val="0"/>
          <w:numId w:val="22"/>
        </w:numPr>
        <w:spacing w:before="240" w:after="240" w:line="276" w:lineRule="auto"/>
        <w:jc w:val="both"/>
        <w:rPr>
          <w:rFonts w:ascii="ITC Avant Garde" w:hAnsi="ITC Avant Garde"/>
          <w:lang w:val="es-ES_tradnl"/>
        </w:rPr>
      </w:pPr>
      <w:r w:rsidRPr="00FE6BB3">
        <w:rPr>
          <w:rFonts w:ascii="ITC Avant Garde" w:hAnsi="ITC Avant Garde"/>
          <w:lang w:val="es-ES_tradnl"/>
        </w:rPr>
        <w:t>El Instituto determinará el número de municipios donde se llevará a cabo el Ejercicio de Medición de conformidad con la estratificación y el tamaño de muestra correspondiente con base en lo establecido en el numeral 11 de la presente metodología. Lo anterior considerando el Borde de Cobertura correspondiente a cada estrato;</w:t>
      </w:r>
    </w:p>
    <w:p w:rsidR="00496B50" w:rsidRDefault="00496B50" w:rsidP="00496B50">
      <w:pPr>
        <w:pStyle w:val="Prrafodelista"/>
        <w:widowControl w:val="0"/>
        <w:numPr>
          <w:ilvl w:val="0"/>
          <w:numId w:val="22"/>
        </w:numPr>
        <w:spacing w:before="240" w:after="240" w:line="276" w:lineRule="auto"/>
        <w:jc w:val="both"/>
        <w:rPr>
          <w:rFonts w:ascii="ITC Avant Garde" w:hAnsi="ITC Avant Garde"/>
          <w:lang w:val="es-ES_tradnl"/>
        </w:rPr>
      </w:pPr>
      <w:r w:rsidRPr="00FE6BB3">
        <w:rPr>
          <w:rFonts w:ascii="ITC Avant Garde" w:hAnsi="ITC Avant Garde"/>
          <w:lang w:val="es-ES_tradnl"/>
        </w:rPr>
        <w:t xml:space="preserve">Para efectos de la presente metodología, los municipios serán clasificados en tres estratos: urbano, suburbano o rural. La clasificación de cada municipio se determinará </w:t>
      </w:r>
      <w:r w:rsidRPr="00FE6BB3">
        <w:rPr>
          <w:rFonts w:ascii="ITC Avant Garde" w:hAnsi="ITC Avant Garde"/>
        </w:rPr>
        <w:t xml:space="preserve">considerando la mayoría del tipo de habitantes, por localidad, que residen en dicho municipio. </w:t>
      </w:r>
      <w:r w:rsidRPr="00FE6BB3">
        <w:rPr>
          <w:rFonts w:ascii="ITC Avant Garde" w:hAnsi="ITC Avant Garde"/>
          <w:lang w:val="es-ES_tradnl"/>
        </w:rPr>
        <w:t>Para tales efectos, se considerarán los datos de los Mapas de Densidad Poblacional</w:t>
      </w:r>
      <w:r w:rsidRPr="00FE6BB3">
        <w:rPr>
          <w:rFonts w:ascii="ITC Avant Garde" w:hAnsi="ITC Avant Garde"/>
        </w:rPr>
        <w:t xml:space="preserve"> y los Mapas de Cobertura</w:t>
      </w:r>
      <w:r w:rsidRPr="00FE6BB3">
        <w:rPr>
          <w:rFonts w:ascii="ITC Avant Garde" w:hAnsi="ITC Avant Garde"/>
          <w:lang w:val="es-ES_tradnl"/>
        </w:rPr>
        <w:t>;</w:t>
      </w:r>
    </w:p>
    <w:p w:rsidR="00496B50" w:rsidRDefault="00496B50" w:rsidP="00496B50">
      <w:pPr>
        <w:pStyle w:val="Prrafodelista"/>
        <w:widowControl w:val="0"/>
        <w:numPr>
          <w:ilvl w:val="0"/>
          <w:numId w:val="22"/>
        </w:numPr>
        <w:spacing w:before="240" w:after="240" w:line="276" w:lineRule="auto"/>
        <w:jc w:val="both"/>
        <w:rPr>
          <w:rFonts w:ascii="ITC Avant Garde" w:hAnsi="ITC Avant Garde"/>
          <w:lang w:val="es-ES_tradnl"/>
        </w:rPr>
      </w:pPr>
      <w:r w:rsidRPr="00FE6BB3">
        <w:rPr>
          <w:rFonts w:ascii="ITC Avant Garde" w:hAnsi="ITC Avant Garde"/>
          <w:lang w:val="es-ES_tradnl"/>
        </w:rPr>
        <w:lastRenderedPageBreak/>
        <w:t>La elección de los municipios y localidades dentro del Borde de Cobertura donde se lleven a cabo los Eventos del Ejercicio de Medición se realizará de manera aleatoria, siguiendo el procedimiento establecido en el numeral 12, y</w:t>
      </w:r>
    </w:p>
    <w:p w:rsidR="00496B50" w:rsidRDefault="00496B50" w:rsidP="00496B50">
      <w:pPr>
        <w:pStyle w:val="Prrafodelista"/>
        <w:widowControl w:val="0"/>
        <w:numPr>
          <w:ilvl w:val="0"/>
          <w:numId w:val="22"/>
        </w:numPr>
        <w:spacing w:before="240" w:after="240" w:line="276" w:lineRule="auto"/>
        <w:jc w:val="both"/>
        <w:rPr>
          <w:rFonts w:ascii="ITC Avant Garde" w:hAnsi="ITC Avant Garde"/>
          <w:lang w:val="es-ES_tradnl"/>
        </w:rPr>
      </w:pPr>
      <w:r w:rsidRPr="00FE6BB3">
        <w:rPr>
          <w:rFonts w:ascii="ITC Avant Garde" w:hAnsi="ITC Avant Garde"/>
          <w:lang w:val="es-ES_tradnl"/>
        </w:rPr>
        <w:t>Los resultados del Ejercicio de Medición serán publicados en el portal de Internet del Instituto dentro de los 30 días naturales posteriores a su conclusión.</w:t>
      </w:r>
    </w:p>
    <w:p w:rsidR="00496B50" w:rsidRDefault="00496B50" w:rsidP="00496B50">
      <w:pPr>
        <w:pStyle w:val="Prrafodelista"/>
        <w:widowControl w:val="0"/>
        <w:numPr>
          <w:ilvl w:val="0"/>
          <w:numId w:val="16"/>
        </w:numPr>
        <w:spacing w:before="240" w:after="240" w:line="276" w:lineRule="auto"/>
        <w:jc w:val="both"/>
        <w:rPr>
          <w:rFonts w:ascii="ITC Avant Garde" w:hAnsi="ITC Avant Garde"/>
          <w:lang w:val="es-ES_tradnl"/>
        </w:rPr>
      </w:pPr>
      <w:r w:rsidRPr="00FE6BB3">
        <w:rPr>
          <w:rFonts w:ascii="ITC Avant Garde" w:hAnsi="ITC Avant Garde"/>
          <w:b/>
          <w:lang w:val="es-ES_tradnl"/>
        </w:rPr>
        <w:t xml:space="preserve">Evaluación de Gabinete. </w:t>
      </w:r>
      <w:r w:rsidRPr="00FE6BB3">
        <w:rPr>
          <w:rFonts w:ascii="ITC Avant Garde" w:hAnsi="ITC Avant Garde"/>
          <w:lang w:val="es-ES_tradnl"/>
        </w:rPr>
        <w:t>Con el objetivo de verificar el porcentaje de cobertura de la población agregada a nivel nacional, el Instituto llevará a cabo la validación de la misma de acuerdo a las siguientes consideraciones:</w:t>
      </w:r>
    </w:p>
    <w:p w:rsidR="00496B50" w:rsidRDefault="00496B50" w:rsidP="00496B50">
      <w:pPr>
        <w:pStyle w:val="Prrafodelista"/>
        <w:numPr>
          <w:ilvl w:val="1"/>
          <w:numId w:val="16"/>
        </w:numPr>
        <w:spacing w:before="240" w:after="240" w:line="276" w:lineRule="auto"/>
        <w:jc w:val="both"/>
        <w:rPr>
          <w:rFonts w:ascii="ITC Avant Garde" w:hAnsi="ITC Avant Garde"/>
          <w:lang w:val="es-ES_tradnl"/>
        </w:rPr>
      </w:pPr>
      <w:r w:rsidRPr="00FE6BB3">
        <w:rPr>
          <w:rFonts w:ascii="ITC Avant Garde" w:hAnsi="ITC Avant Garde"/>
          <w:lang w:val="es-ES_tradnl"/>
        </w:rPr>
        <w:t>A partir de la información de los Mapas de Cobertura entregados por el Concesionario Mayorista, el Instituto determinará el porcentaje de cobertura poblacional de la red del Concesionario Mayorista utilizando como referencia los Mapas de Densidad Poblacional;</w:t>
      </w:r>
    </w:p>
    <w:p w:rsidR="00496B50" w:rsidRDefault="00496B50" w:rsidP="00496B50">
      <w:pPr>
        <w:pStyle w:val="Prrafodelista"/>
        <w:numPr>
          <w:ilvl w:val="1"/>
          <w:numId w:val="16"/>
        </w:numPr>
        <w:spacing w:before="240" w:after="240" w:line="276" w:lineRule="auto"/>
        <w:jc w:val="both"/>
        <w:rPr>
          <w:rFonts w:ascii="ITC Avant Garde" w:hAnsi="ITC Avant Garde"/>
          <w:lang w:val="es-ES_tradnl"/>
        </w:rPr>
      </w:pPr>
      <w:r w:rsidRPr="00FE6BB3">
        <w:rPr>
          <w:rFonts w:ascii="ITC Avant Garde" w:hAnsi="ITC Avant Garde"/>
          <w:lang w:val="es-ES_tradnl"/>
        </w:rPr>
        <w:t>Con el objetivo de calcular el porcentaje de población cubierta agregada a nivel nacional, el Instituto importará los Mapas de Cobertura en una herramienta de planeación de redes o en un Sistema de Información Geográfica donde previamente se carguen los Mapas de Densidad Poblacional. A partir de esta información, el Instituto calculará el porcentaje de población cubierta de la red del Concesionario Mayorista, y</w:t>
      </w:r>
    </w:p>
    <w:p w:rsidR="00496B50" w:rsidRDefault="00496B50" w:rsidP="00496B50">
      <w:pPr>
        <w:pStyle w:val="Prrafodelista"/>
        <w:numPr>
          <w:ilvl w:val="1"/>
          <w:numId w:val="16"/>
        </w:numPr>
        <w:spacing w:before="240" w:after="240" w:line="276" w:lineRule="auto"/>
        <w:jc w:val="both"/>
        <w:rPr>
          <w:rFonts w:ascii="ITC Avant Garde" w:hAnsi="ITC Avant Garde"/>
          <w:lang w:val="es-ES_tradnl"/>
        </w:rPr>
      </w:pPr>
      <w:r w:rsidRPr="00FE6BB3">
        <w:rPr>
          <w:rFonts w:ascii="ITC Avant Garde" w:hAnsi="ITC Avant Garde"/>
          <w:lang w:val="es-ES_tradnl"/>
        </w:rPr>
        <w:t>El porcentaje de cobertura poblacional obtenida deberá corresponder, como mínimo, al porcentaje de cumplimiento establecido en el Título de Concesión Mayorista para el periodo correspondiente. De no cumplirse lo anterior, no se procederá con las mediciones objeto de la presente metodología.</w:t>
      </w:r>
    </w:p>
    <w:p w:rsidR="00496B50" w:rsidRDefault="00496B50" w:rsidP="00496B50">
      <w:pPr>
        <w:pStyle w:val="Prrafodelista"/>
        <w:widowControl w:val="0"/>
        <w:numPr>
          <w:ilvl w:val="0"/>
          <w:numId w:val="16"/>
        </w:numPr>
        <w:spacing w:before="240" w:after="240" w:line="276" w:lineRule="auto"/>
        <w:jc w:val="both"/>
        <w:rPr>
          <w:rFonts w:ascii="ITC Avant Garde" w:hAnsi="ITC Avant Garde"/>
          <w:b/>
          <w:lang w:val="es-ES_tradnl"/>
        </w:rPr>
      </w:pPr>
      <w:r w:rsidRPr="00FE6BB3">
        <w:rPr>
          <w:rFonts w:ascii="ITC Avant Garde" w:hAnsi="ITC Avant Garde"/>
          <w:b/>
          <w:lang w:val="es-ES_tradnl"/>
        </w:rPr>
        <w:t xml:space="preserve">Equipo de medición. </w:t>
      </w:r>
      <w:r w:rsidRPr="00FE6BB3">
        <w:rPr>
          <w:rFonts w:ascii="ITC Avant Garde" w:hAnsi="ITC Avant Garde"/>
          <w:lang w:val="es-ES_tradnl"/>
        </w:rPr>
        <w:t>El Equipo de Medición contará con las siguientes características:</w:t>
      </w:r>
    </w:p>
    <w:p w:rsidR="00496B50" w:rsidRDefault="00496B50" w:rsidP="00496B50">
      <w:pPr>
        <w:pStyle w:val="Prrafodelista"/>
        <w:numPr>
          <w:ilvl w:val="0"/>
          <w:numId w:val="19"/>
        </w:numPr>
        <w:spacing w:before="240" w:after="240" w:line="276" w:lineRule="auto"/>
        <w:jc w:val="both"/>
        <w:rPr>
          <w:rFonts w:ascii="ITC Avant Garde" w:hAnsi="ITC Avant Garde"/>
          <w:lang w:val="es-ES_tradnl"/>
        </w:rPr>
      </w:pPr>
      <w:r w:rsidRPr="00FE6BB3">
        <w:rPr>
          <w:rFonts w:ascii="ITC Avant Garde" w:hAnsi="ITC Avant Garde"/>
          <w:lang w:val="es-ES_tradnl"/>
        </w:rPr>
        <w:t>El Equipo de Medición almacenará automáticamente la información obtenida de los Eventos y contará con respaldo en dispositivos externos de mayor capacidad;</w:t>
      </w:r>
    </w:p>
    <w:p w:rsidR="00496B50" w:rsidRDefault="00496B50" w:rsidP="00496B50">
      <w:pPr>
        <w:pStyle w:val="Normal1"/>
        <w:widowControl w:val="0"/>
        <w:numPr>
          <w:ilvl w:val="0"/>
          <w:numId w:val="19"/>
        </w:numPr>
        <w:spacing w:before="240" w:after="240"/>
        <w:contextualSpacing/>
        <w:jc w:val="both"/>
        <w:rPr>
          <w:rFonts w:ascii="ITC Avant Garde" w:hAnsi="ITC Avant Garde"/>
          <w:szCs w:val="22"/>
          <w:lang w:val="es-ES_tradnl"/>
        </w:rPr>
      </w:pPr>
      <w:r w:rsidRPr="00FE6BB3">
        <w:rPr>
          <w:rFonts w:ascii="ITC Avant Garde" w:hAnsi="ITC Avant Garde"/>
          <w:szCs w:val="22"/>
          <w:lang w:val="es-ES_tradnl"/>
        </w:rPr>
        <w:t>El Equipo de Medición tendrá un sistema GPS que permita conocer y registrar la ubicación para cada uno de los Eventos;</w:t>
      </w:r>
    </w:p>
    <w:p w:rsidR="00496B50" w:rsidRDefault="00496B50" w:rsidP="00496B50">
      <w:pPr>
        <w:pStyle w:val="Normal1"/>
        <w:widowControl w:val="0"/>
        <w:numPr>
          <w:ilvl w:val="0"/>
          <w:numId w:val="19"/>
        </w:numPr>
        <w:spacing w:before="240" w:after="240"/>
        <w:contextualSpacing/>
        <w:jc w:val="both"/>
        <w:rPr>
          <w:rFonts w:ascii="ITC Avant Garde" w:hAnsi="ITC Avant Garde"/>
          <w:szCs w:val="22"/>
          <w:lang w:val="es-ES_tradnl"/>
        </w:rPr>
      </w:pPr>
      <w:r w:rsidRPr="00FE6BB3">
        <w:rPr>
          <w:rFonts w:ascii="ITC Avant Garde" w:hAnsi="ITC Avant Garde"/>
          <w:szCs w:val="22"/>
          <w:lang w:val="es-ES_tradnl"/>
        </w:rPr>
        <w:t>El Equipo de Medición estará en óptimas condiciones de operación;</w:t>
      </w:r>
    </w:p>
    <w:p w:rsidR="00496B50" w:rsidRDefault="00496B50" w:rsidP="00496B50">
      <w:pPr>
        <w:pStyle w:val="Prrafodelista"/>
        <w:numPr>
          <w:ilvl w:val="0"/>
          <w:numId w:val="19"/>
        </w:numPr>
        <w:spacing w:before="240" w:after="240" w:line="276" w:lineRule="auto"/>
        <w:jc w:val="both"/>
        <w:rPr>
          <w:rFonts w:ascii="ITC Avant Garde" w:hAnsi="ITC Avant Garde"/>
          <w:lang w:val="es-ES_tradnl"/>
        </w:rPr>
      </w:pPr>
      <w:r w:rsidRPr="00FE6BB3">
        <w:rPr>
          <w:rFonts w:ascii="ITC Avant Garde" w:hAnsi="ITC Avant Garde"/>
          <w:lang w:val="es-ES_tradnl"/>
        </w:rPr>
        <w:t xml:space="preserve">Una vez iniciado el Ejercicio de Medición correspondiente, las características técnicas del </w:t>
      </w:r>
      <w:r w:rsidRPr="00FE6BB3">
        <w:rPr>
          <w:rFonts w:ascii="ITC Avant Garde" w:hAnsi="ITC Avant Garde"/>
          <w:i/>
          <w:lang w:val="es-ES_tradnl"/>
        </w:rPr>
        <w:t>software</w:t>
      </w:r>
      <w:r w:rsidRPr="00FE6BB3">
        <w:rPr>
          <w:rFonts w:ascii="ITC Avant Garde" w:hAnsi="ITC Avant Garde"/>
          <w:lang w:val="es-ES_tradnl"/>
        </w:rPr>
        <w:t xml:space="preserve"> y </w:t>
      </w:r>
      <w:r w:rsidRPr="00FE6BB3">
        <w:rPr>
          <w:rFonts w:ascii="ITC Avant Garde" w:hAnsi="ITC Avant Garde"/>
          <w:i/>
          <w:lang w:val="es-ES_tradnl"/>
        </w:rPr>
        <w:t>hardware</w:t>
      </w:r>
      <w:r w:rsidRPr="00FE6BB3">
        <w:rPr>
          <w:rFonts w:ascii="ITC Avant Garde" w:hAnsi="ITC Avant Garde"/>
          <w:lang w:val="es-ES_tradnl"/>
        </w:rPr>
        <w:t xml:space="preserve"> del Equipo de Medición se mantendrán sin cambios hasta la finalización del mismo;</w:t>
      </w:r>
    </w:p>
    <w:p w:rsidR="00496B50" w:rsidRDefault="00496B50" w:rsidP="00496B50">
      <w:pPr>
        <w:pStyle w:val="Prrafodelista"/>
        <w:numPr>
          <w:ilvl w:val="0"/>
          <w:numId w:val="19"/>
        </w:numPr>
        <w:spacing w:before="240" w:after="240" w:line="276" w:lineRule="auto"/>
        <w:jc w:val="both"/>
        <w:rPr>
          <w:rFonts w:ascii="ITC Avant Garde" w:hAnsi="ITC Avant Garde"/>
          <w:lang w:val="es-ES_tradnl"/>
        </w:rPr>
      </w:pPr>
      <w:r w:rsidRPr="00FE6BB3">
        <w:rPr>
          <w:rFonts w:ascii="ITC Avant Garde" w:hAnsi="ITC Avant Garde"/>
          <w:lang w:val="es-ES_tradnl"/>
        </w:rPr>
        <w:lastRenderedPageBreak/>
        <w:t>El Equipo de Medición tendrá la capacidad de realizar mediciones a más de un Operador Móvil Virtual</w:t>
      </w:r>
      <w:r>
        <w:rPr>
          <w:rFonts w:ascii="ITC Avant Garde" w:hAnsi="ITC Avant Garde"/>
          <w:lang w:val="es-ES_tradnl"/>
        </w:rPr>
        <w:t>;</w:t>
      </w:r>
    </w:p>
    <w:p w:rsidR="00496B50" w:rsidRDefault="00496B50" w:rsidP="00496B50">
      <w:pPr>
        <w:pStyle w:val="Normal1"/>
        <w:widowControl w:val="0"/>
        <w:numPr>
          <w:ilvl w:val="0"/>
          <w:numId w:val="19"/>
        </w:numPr>
        <w:autoSpaceDE w:val="0"/>
        <w:autoSpaceDN w:val="0"/>
        <w:adjustRightInd w:val="0"/>
        <w:spacing w:before="240" w:after="240"/>
        <w:contextualSpacing/>
        <w:jc w:val="both"/>
        <w:rPr>
          <w:rFonts w:ascii="ITC Avant Garde" w:hAnsi="ITC Avant Garde"/>
          <w:szCs w:val="22"/>
          <w:lang w:val="es-ES_tradnl"/>
        </w:rPr>
      </w:pPr>
      <w:r w:rsidRPr="00FE6BB3">
        <w:rPr>
          <w:rFonts w:ascii="ITC Avant Garde" w:hAnsi="ITC Avant Garde"/>
          <w:szCs w:val="22"/>
          <w:lang w:val="es-ES_tradnl"/>
        </w:rPr>
        <w:t>El Equipo de Medición soportará mediciones para las Tecnologías de Acceso ofrecidas por el Concesionario Mayorista a través del uso de Equipos Terminales Móviles. Asimismo, el Equipo de Medición deberá satisfacer las necesidades de la evolución tecnológica;</w:t>
      </w:r>
    </w:p>
    <w:p w:rsidR="00496B50" w:rsidRDefault="00496B50" w:rsidP="00496B50">
      <w:pPr>
        <w:pStyle w:val="Prrafodelista"/>
        <w:numPr>
          <w:ilvl w:val="0"/>
          <w:numId w:val="19"/>
        </w:numPr>
        <w:spacing w:before="240" w:after="240" w:line="276" w:lineRule="auto"/>
        <w:jc w:val="both"/>
        <w:rPr>
          <w:rFonts w:ascii="ITC Avant Garde" w:hAnsi="ITC Avant Garde"/>
          <w:lang w:val="es-ES_tradnl"/>
        </w:rPr>
      </w:pPr>
      <w:r w:rsidRPr="00FE6BB3">
        <w:rPr>
          <w:rFonts w:ascii="ITC Avant Garde" w:hAnsi="ITC Avant Garde"/>
          <w:lang w:val="es-ES_tradnl"/>
        </w:rPr>
        <w:t>Los Equipos Terminales Móviles utilizados para la realización del Ejercicio de Medición deberán ser iguales o similares a los comercializados por los Clientes y deberán estar homologados, cumpliendo, en lo aplicable, con las disposiciones técnicas que emita el Instituto en la materia. Dichos Equipos Terminales Móviles deberán corresponder a Operadores Móviles Virtuales que previamente hayan contratado el servicio al Concesionario Mayorista y que utilicen únicamente la red del Concesionario Mayorista.  Los Operadores Móviles Virtuales</w:t>
      </w:r>
      <w:r w:rsidRPr="00FE6BB3" w:rsidDel="00E96CEA">
        <w:rPr>
          <w:rFonts w:ascii="ITC Avant Garde" w:hAnsi="ITC Avant Garde"/>
          <w:lang w:val="es-ES_tradnl"/>
        </w:rPr>
        <w:t xml:space="preserve"> </w:t>
      </w:r>
      <w:r w:rsidRPr="00FE6BB3">
        <w:rPr>
          <w:rFonts w:ascii="ITC Avant Garde" w:hAnsi="ITC Avant Garde"/>
          <w:lang w:val="es-ES_tradnl"/>
        </w:rPr>
        <w:t xml:space="preserve"> serán elegidos de manera aleatoria; </w:t>
      </w:r>
    </w:p>
    <w:p w:rsidR="00496B50" w:rsidRDefault="00496B50" w:rsidP="00496B50">
      <w:pPr>
        <w:pStyle w:val="Normal1"/>
        <w:widowControl w:val="0"/>
        <w:numPr>
          <w:ilvl w:val="0"/>
          <w:numId w:val="19"/>
        </w:numPr>
        <w:autoSpaceDE w:val="0"/>
        <w:autoSpaceDN w:val="0"/>
        <w:adjustRightInd w:val="0"/>
        <w:spacing w:before="240" w:after="240"/>
        <w:ind w:right="-59"/>
        <w:contextualSpacing/>
        <w:jc w:val="both"/>
        <w:rPr>
          <w:rFonts w:ascii="ITC Avant Garde" w:hAnsi="ITC Avant Garde"/>
          <w:szCs w:val="22"/>
          <w:lang w:val="es-ES_tradnl"/>
        </w:rPr>
      </w:pPr>
      <w:r w:rsidRPr="00FE6BB3">
        <w:rPr>
          <w:rFonts w:ascii="ITC Avant Garde" w:hAnsi="ITC Avant Garde"/>
          <w:szCs w:val="22"/>
          <w:lang w:val="es-ES_tradnl"/>
        </w:rPr>
        <w:t xml:space="preserve">El Equipo de Medición permitirá la creación flexible de los Eventos y el uso de plantillas para la reutilización de los mismos; </w:t>
      </w:r>
    </w:p>
    <w:p w:rsidR="00496B50" w:rsidRDefault="00496B50" w:rsidP="00496B50">
      <w:pPr>
        <w:pStyle w:val="Normal1"/>
        <w:widowControl w:val="0"/>
        <w:numPr>
          <w:ilvl w:val="0"/>
          <w:numId w:val="19"/>
        </w:numPr>
        <w:autoSpaceDE w:val="0"/>
        <w:autoSpaceDN w:val="0"/>
        <w:adjustRightInd w:val="0"/>
        <w:spacing w:before="240" w:after="240"/>
        <w:ind w:right="-59"/>
        <w:contextualSpacing/>
        <w:jc w:val="both"/>
        <w:rPr>
          <w:rFonts w:ascii="ITC Avant Garde" w:hAnsi="ITC Avant Garde"/>
          <w:szCs w:val="22"/>
          <w:lang w:val="es-ES_tradnl"/>
        </w:rPr>
      </w:pPr>
      <w:r w:rsidRPr="00FE6BB3">
        <w:rPr>
          <w:rFonts w:ascii="ITC Avant Garde" w:hAnsi="ITC Avant Garde"/>
          <w:szCs w:val="22"/>
          <w:lang w:val="es-ES_tradnl"/>
        </w:rPr>
        <w:t>El Equipo de Medición cumplirá, en lo aplicable, con las últimas versiones de las especificaciones técnicas y de las recomendaciones emitidas por el ETSI y el 3GPP, y</w:t>
      </w:r>
    </w:p>
    <w:p w:rsidR="00496B50" w:rsidRDefault="00496B50" w:rsidP="00496B50">
      <w:pPr>
        <w:pStyle w:val="Prrafodelista"/>
        <w:numPr>
          <w:ilvl w:val="0"/>
          <w:numId w:val="19"/>
        </w:numPr>
        <w:spacing w:before="240" w:after="240" w:line="276" w:lineRule="auto"/>
        <w:jc w:val="both"/>
        <w:rPr>
          <w:rFonts w:ascii="ITC Avant Garde" w:hAnsi="ITC Avant Garde"/>
          <w:lang w:val="es-ES_tradnl"/>
        </w:rPr>
      </w:pPr>
      <w:r w:rsidRPr="00FE6BB3">
        <w:rPr>
          <w:rFonts w:ascii="ITC Avant Garde" w:hAnsi="ITC Avant Garde"/>
          <w:lang w:val="es-ES_tradnl"/>
        </w:rPr>
        <w:t>En caso de falla del Equipo de Medición o de los Equipos Terminales Móviles utilizados en el Ejercicio de Medición, se deberá reproducir una alarma visual y/o auditiva.</w:t>
      </w:r>
    </w:p>
    <w:p w:rsidR="00496B50" w:rsidRDefault="00496B50" w:rsidP="00496B50">
      <w:pPr>
        <w:pStyle w:val="Prrafodelista"/>
        <w:widowControl w:val="0"/>
        <w:numPr>
          <w:ilvl w:val="0"/>
          <w:numId w:val="16"/>
        </w:numPr>
        <w:spacing w:before="240" w:after="240" w:line="276" w:lineRule="auto"/>
        <w:jc w:val="both"/>
        <w:rPr>
          <w:rFonts w:ascii="ITC Avant Garde" w:hAnsi="ITC Avant Garde"/>
          <w:lang w:val="es-ES_tradnl"/>
        </w:rPr>
      </w:pPr>
      <w:r w:rsidRPr="00FE6BB3">
        <w:rPr>
          <w:rFonts w:ascii="ITC Avant Garde" w:hAnsi="ITC Avant Garde"/>
          <w:b/>
          <w:lang w:val="es-ES_tradnl"/>
        </w:rPr>
        <w:t xml:space="preserve">Bitácora de Medición. </w:t>
      </w:r>
      <w:r w:rsidRPr="00FE6BB3">
        <w:rPr>
          <w:rFonts w:ascii="ITC Avant Garde" w:hAnsi="ITC Avant Garde"/>
          <w:lang w:val="es-ES_tradnl"/>
        </w:rPr>
        <w:t>La Bitácora de Medición del Equipo de Medición contará con las siguientes características:</w:t>
      </w:r>
    </w:p>
    <w:p w:rsidR="00496B50" w:rsidRDefault="00496B50" w:rsidP="00496B50">
      <w:pPr>
        <w:pStyle w:val="Prrafodelista"/>
        <w:widowControl w:val="0"/>
        <w:numPr>
          <w:ilvl w:val="1"/>
          <w:numId w:val="16"/>
        </w:numPr>
        <w:spacing w:before="240" w:after="240" w:line="276" w:lineRule="auto"/>
        <w:jc w:val="both"/>
        <w:rPr>
          <w:rFonts w:ascii="ITC Avant Garde" w:hAnsi="ITC Avant Garde"/>
          <w:b/>
          <w:lang w:val="es-ES_tradnl"/>
        </w:rPr>
      </w:pPr>
      <w:r w:rsidRPr="00FE6BB3">
        <w:rPr>
          <w:rFonts w:ascii="ITC Avant Garde" w:hAnsi="ITC Avant Garde"/>
          <w:lang w:val="es-ES_tradnl"/>
        </w:rPr>
        <w:t xml:space="preserve">La Bitácora de Medición contará con un sistema de captura consistente en un servicio del sistema operativo que se ejecute en segundo plano y que registre los servicios en funcionamiento de la computadora utilizada por el Equipo de Medición durante los Eventos del Ejercicio de Medición, así como el estado de los Puertos COM y los almacene en archivos de registro (del inglés, </w:t>
      </w:r>
      <w:proofErr w:type="spellStart"/>
      <w:r w:rsidRPr="00FE6BB3">
        <w:rPr>
          <w:rFonts w:ascii="ITC Avant Garde" w:hAnsi="ITC Avant Garde"/>
          <w:i/>
          <w:lang w:val="es-ES_tradnl"/>
        </w:rPr>
        <w:t>logs</w:t>
      </w:r>
      <w:proofErr w:type="spellEnd"/>
      <w:r w:rsidRPr="00FE6BB3">
        <w:rPr>
          <w:rFonts w:ascii="ITC Avant Garde" w:hAnsi="ITC Avant Garde"/>
          <w:lang w:val="es-ES_tradnl"/>
        </w:rPr>
        <w:t>) en una carpeta Cifrada;</w:t>
      </w:r>
    </w:p>
    <w:p w:rsidR="00496B50" w:rsidRDefault="00496B50" w:rsidP="00496B50">
      <w:pPr>
        <w:pStyle w:val="Prrafodelista"/>
        <w:widowControl w:val="0"/>
        <w:numPr>
          <w:ilvl w:val="1"/>
          <w:numId w:val="16"/>
        </w:numPr>
        <w:spacing w:before="240" w:after="240" w:line="276" w:lineRule="auto"/>
        <w:jc w:val="both"/>
        <w:rPr>
          <w:rFonts w:ascii="ITC Avant Garde" w:hAnsi="ITC Avant Garde"/>
          <w:b/>
          <w:lang w:val="es-ES_tradnl"/>
        </w:rPr>
      </w:pPr>
      <w:r w:rsidRPr="00FE6BB3">
        <w:rPr>
          <w:rFonts w:ascii="ITC Avant Garde" w:hAnsi="ITC Avant Garde"/>
          <w:lang w:val="es-ES_tradnl"/>
        </w:rPr>
        <w:t xml:space="preserve">La Bitácora de Medición, a través de los Equipos Terminales Móviles utilizados por el Equipo de Medición, registrará el estado del </w:t>
      </w:r>
      <w:r w:rsidRPr="00FE6BB3">
        <w:rPr>
          <w:rFonts w:ascii="ITC Avant Garde" w:hAnsi="ITC Avant Garde"/>
          <w:i/>
          <w:lang w:val="es-ES_tradnl"/>
        </w:rPr>
        <w:t>software</w:t>
      </w:r>
      <w:r w:rsidRPr="00FE6BB3">
        <w:rPr>
          <w:rFonts w:ascii="ITC Avant Garde" w:hAnsi="ITC Avant Garde"/>
          <w:lang w:val="es-ES_tradnl"/>
        </w:rPr>
        <w:t xml:space="preserve"> de Medición mediante su posición georreferenciada así como si el </w:t>
      </w:r>
      <w:r w:rsidRPr="00FE6BB3">
        <w:rPr>
          <w:rFonts w:ascii="ITC Avant Garde" w:hAnsi="ITC Avant Garde"/>
          <w:i/>
          <w:lang w:val="es-ES_tradnl"/>
        </w:rPr>
        <w:t>software</w:t>
      </w:r>
      <w:r w:rsidRPr="00FE6BB3">
        <w:rPr>
          <w:rFonts w:ascii="ITC Avant Garde" w:hAnsi="ITC Avant Garde"/>
          <w:lang w:val="es-ES_tradnl"/>
        </w:rPr>
        <w:t xml:space="preserve"> de Medición se encuentra activo;</w:t>
      </w:r>
    </w:p>
    <w:p w:rsidR="00496B50" w:rsidRDefault="00496B50" w:rsidP="00496B50">
      <w:pPr>
        <w:pStyle w:val="Prrafodelista"/>
        <w:widowControl w:val="0"/>
        <w:numPr>
          <w:ilvl w:val="1"/>
          <w:numId w:val="16"/>
        </w:numPr>
        <w:spacing w:before="240" w:after="240" w:line="276" w:lineRule="auto"/>
        <w:jc w:val="both"/>
        <w:rPr>
          <w:rFonts w:ascii="ITC Avant Garde" w:hAnsi="ITC Avant Garde"/>
          <w:b/>
          <w:lang w:val="es-ES_tradnl"/>
        </w:rPr>
      </w:pPr>
      <w:r w:rsidRPr="00FE6BB3">
        <w:rPr>
          <w:rFonts w:ascii="ITC Avant Garde" w:hAnsi="ITC Avant Garde"/>
          <w:lang w:val="es-ES_tradnl"/>
        </w:rPr>
        <w:t xml:space="preserve">La Bitácora de Medición, a través de un Equipo Terminal Móvil independiente al Equipo de Medición autentificado mediante usuario y </w:t>
      </w:r>
      <w:r w:rsidRPr="00FE6BB3">
        <w:rPr>
          <w:rFonts w:ascii="ITC Avant Garde" w:hAnsi="ITC Avant Garde"/>
          <w:lang w:val="es-ES_tradnl"/>
        </w:rPr>
        <w:lastRenderedPageBreak/>
        <w:t>contraseña, registrará las actividades que forman parte del Ejercicio de Medición definidas por el Instituto mediante la hora y posición georreferenciada así como evidencia multimedia de cada registro de actividad. Dichas actividades incluirán, al menos, inicio y fin del Ejercicio de Medición, pausas durante el Ejercicio de Medición y motivo de las mismas, fallas del Equipo de Medición, situaciones extraordinarias tales como, concentración atípica de usuarios, vandalismo, interferencia reportada, casos fortuitos o de fuerza mayor, en su caso, inicio y fin de la calibración del Equipo de Medición, y situaciones que pudieran afectar los resultados de los Eventos y que no sean imputables al Concesionario Mayorista;</w:t>
      </w:r>
    </w:p>
    <w:p w:rsidR="00496B50" w:rsidRDefault="00496B50" w:rsidP="00496B50">
      <w:pPr>
        <w:pStyle w:val="Prrafodelista"/>
        <w:widowControl w:val="0"/>
        <w:numPr>
          <w:ilvl w:val="1"/>
          <w:numId w:val="16"/>
        </w:numPr>
        <w:spacing w:before="240" w:after="240" w:line="276" w:lineRule="auto"/>
        <w:jc w:val="both"/>
        <w:rPr>
          <w:rFonts w:ascii="ITC Avant Garde" w:hAnsi="ITC Avant Garde"/>
          <w:b/>
          <w:lang w:val="es-ES_tradnl"/>
        </w:rPr>
      </w:pPr>
      <w:r w:rsidRPr="00FE6BB3">
        <w:rPr>
          <w:rFonts w:ascii="ITC Avant Garde" w:hAnsi="ITC Avant Garde"/>
          <w:lang w:val="es-ES_tradnl"/>
        </w:rPr>
        <w:t>La Bitácora de Medición contará con funcionalidades de recolección y análisis de los archivos de registro generados por las interfaces de captura mencionados en las fracciones I, II y III del presente numeral, y</w:t>
      </w:r>
    </w:p>
    <w:p w:rsidR="00496B50" w:rsidRDefault="00496B50" w:rsidP="00496B50">
      <w:pPr>
        <w:pStyle w:val="Prrafodelista"/>
        <w:widowControl w:val="0"/>
        <w:numPr>
          <w:ilvl w:val="1"/>
          <w:numId w:val="16"/>
        </w:numPr>
        <w:spacing w:before="240" w:after="240" w:line="276" w:lineRule="auto"/>
        <w:jc w:val="both"/>
        <w:rPr>
          <w:rFonts w:ascii="ITC Avant Garde" w:hAnsi="ITC Avant Garde"/>
          <w:b/>
          <w:lang w:val="es-ES_tradnl"/>
        </w:rPr>
      </w:pPr>
      <w:r w:rsidRPr="00FE6BB3">
        <w:rPr>
          <w:rFonts w:ascii="ITC Avant Garde" w:hAnsi="ITC Avant Garde"/>
          <w:lang w:val="es-ES_tradnl"/>
        </w:rPr>
        <w:t xml:space="preserve">La Bitácora de Medición permitirá la generación automática de reportes que serán utilizados para validar las actividades registradas así como insumo para el </w:t>
      </w:r>
      <w:proofErr w:type="spellStart"/>
      <w:r w:rsidRPr="00FE6BB3">
        <w:rPr>
          <w:rFonts w:ascii="ITC Avant Garde" w:hAnsi="ITC Avant Garde"/>
          <w:lang w:val="es-ES_tradnl"/>
        </w:rPr>
        <w:t>posproceso</w:t>
      </w:r>
      <w:proofErr w:type="spellEnd"/>
      <w:r w:rsidRPr="00FE6BB3">
        <w:rPr>
          <w:rFonts w:ascii="ITC Avant Garde" w:hAnsi="ITC Avant Garde"/>
          <w:lang w:val="es-ES_tradnl"/>
        </w:rPr>
        <w:t xml:space="preserve"> de los Ejercicios de Medición.</w:t>
      </w:r>
    </w:p>
    <w:p w:rsidR="00496B50" w:rsidRDefault="00496B50" w:rsidP="00496B50">
      <w:pPr>
        <w:pStyle w:val="Prrafodelista"/>
        <w:widowControl w:val="0"/>
        <w:numPr>
          <w:ilvl w:val="0"/>
          <w:numId w:val="16"/>
        </w:numPr>
        <w:spacing w:before="240" w:after="240" w:line="276" w:lineRule="auto"/>
        <w:jc w:val="both"/>
        <w:rPr>
          <w:rFonts w:ascii="ITC Avant Garde" w:hAnsi="ITC Avant Garde"/>
          <w:b/>
          <w:lang w:val="es-ES_tradnl"/>
        </w:rPr>
      </w:pPr>
      <w:r w:rsidRPr="00FE6BB3">
        <w:rPr>
          <w:rFonts w:ascii="ITC Avant Garde" w:hAnsi="ITC Avant Garde"/>
          <w:b/>
          <w:lang w:val="es-ES_tradnl"/>
        </w:rPr>
        <w:t xml:space="preserve">Herramienta de </w:t>
      </w:r>
      <w:proofErr w:type="spellStart"/>
      <w:r w:rsidRPr="00FE6BB3">
        <w:rPr>
          <w:rFonts w:ascii="ITC Avant Garde" w:hAnsi="ITC Avant Garde"/>
          <w:b/>
          <w:lang w:val="es-ES_tradnl"/>
        </w:rPr>
        <w:t>Posproceso</w:t>
      </w:r>
      <w:proofErr w:type="spellEnd"/>
      <w:r w:rsidRPr="00FE6BB3">
        <w:rPr>
          <w:rFonts w:ascii="ITC Avant Garde" w:hAnsi="ITC Avant Garde"/>
          <w:b/>
          <w:lang w:val="es-ES_tradnl"/>
        </w:rPr>
        <w:t xml:space="preserve">. </w:t>
      </w:r>
      <w:r w:rsidRPr="00FE6BB3">
        <w:rPr>
          <w:rFonts w:ascii="ITC Avant Garde" w:hAnsi="ITC Avant Garde"/>
          <w:lang w:val="es-ES_tradnl"/>
        </w:rPr>
        <w:t xml:space="preserve">La Herramienta de </w:t>
      </w:r>
      <w:proofErr w:type="spellStart"/>
      <w:r w:rsidRPr="00FE6BB3">
        <w:rPr>
          <w:rFonts w:ascii="ITC Avant Garde" w:hAnsi="ITC Avant Garde"/>
          <w:lang w:val="es-ES_tradnl"/>
        </w:rPr>
        <w:t>Posproceso</w:t>
      </w:r>
      <w:proofErr w:type="spellEnd"/>
      <w:r w:rsidRPr="00FE6BB3">
        <w:rPr>
          <w:rFonts w:ascii="ITC Avant Garde" w:hAnsi="ITC Avant Garde"/>
          <w:lang w:val="es-ES_tradnl"/>
        </w:rPr>
        <w:t xml:space="preserve"> tendrá las siguientes características:</w:t>
      </w:r>
    </w:p>
    <w:p w:rsidR="00496B50" w:rsidRDefault="00496B50" w:rsidP="00496B50">
      <w:pPr>
        <w:pStyle w:val="Normal1"/>
        <w:widowControl w:val="0"/>
        <w:numPr>
          <w:ilvl w:val="0"/>
          <w:numId w:val="20"/>
        </w:numPr>
        <w:spacing w:before="240" w:after="240"/>
        <w:ind w:right="-59"/>
        <w:contextualSpacing/>
        <w:jc w:val="both"/>
        <w:rPr>
          <w:rFonts w:ascii="ITC Avant Garde" w:hAnsi="ITC Avant Garde"/>
          <w:szCs w:val="22"/>
          <w:lang w:val="es-ES_tradnl" w:eastAsia="es-MX"/>
        </w:rPr>
      </w:pPr>
      <w:r w:rsidRPr="00FE6BB3">
        <w:rPr>
          <w:rFonts w:ascii="ITC Avant Garde" w:hAnsi="ITC Avant Garde"/>
          <w:szCs w:val="22"/>
          <w:lang w:val="es-ES_tradnl" w:eastAsia="es-MX"/>
        </w:rPr>
        <w:t xml:space="preserve">El </w:t>
      </w:r>
      <w:proofErr w:type="spellStart"/>
      <w:r w:rsidRPr="00FE6BB3">
        <w:rPr>
          <w:rFonts w:ascii="ITC Avant Garde" w:hAnsi="ITC Avant Garde"/>
          <w:szCs w:val="22"/>
          <w:lang w:val="es-ES_tradnl" w:eastAsia="es-MX"/>
        </w:rPr>
        <w:t>posproceso</w:t>
      </w:r>
      <w:proofErr w:type="spellEnd"/>
      <w:r w:rsidRPr="00FE6BB3">
        <w:rPr>
          <w:rFonts w:ascii="ITC Avant Garde" w:hAnsi="ITC Avant Garde"/>
          <w:szCs w:val="22"/>
          <w:lang w:val="es-ES_tradnl" w:eastAsia="es-MX"/>
        </w:rPr>
        <w:t xml:space="preserve"> de la información será un proceso automático, que gestione los archivos de registro del Equipo de Medición considerando para la emisión de resultados lo registrado a través de la Bitácora de Medición. Durante el </w:t>
      </w:r>
      <w:proofErr w:type="spellStart"/>
      <w:r w:rsidRPr="00FE6BB3">
        <w:rPr>
          <w:rFonts w:ascii="ITC Avant Garde" w:hAnsi="ITC Avant Garde"/>
          <w:szCs w:val="22"/>
          <w:lang w:val="es-ES_tradnl" w:eastAsia="es-MX"/>
        </w:rPr>
        <w:t>posproceso</w:t>
      </w:r>
      <w:proofErr w:type="spellEnd"/>
      <w:r w:rsidRPr="00FE6BB3">
        <w:rPr>
          <w:rFonts w:ascii="ITC Avant Garde" w:hAnsi="ITC Avant Garde"/>
          <w:szCs w:val="22"/>
          <w:lang w:val="es-ES_tradnl" w:eastAsia="es-MX"/>
        </w:rPr>
        <w:t xml:space="preserve"> y emisión de resultados se limitará la intervención humana a la mínima necesaria, y</w:t>
      </w:r>
    </w:p>
    <w:p w:rsidR="00496B50" w:rsidRDefault="00496B50" w:rsidP="00496B50">
      <w:pPr>
        <w:pStyle w:val="Normal1"/>
        <w:widowControl w:val="0"/>
        <w:numPr>
          <w:ilvl w:val="0"/>
          <w:numId w:val="20"/>
        </w:numPr>
        <w:spacing w:before="240" w:after="240"/>
        <w:ind w:right="-59"/>
        <w:contextualSpacing/>
        <w:jc w:val="both"/>
        <w:rPr>
          <w:rFonts w:ascii="ITC Avant Garde" w:hAnsi="ITC Avant Garde"/>
          <w:szCs w:val="22"/>
          <w:lang w:val="es-ES_tradnl" w:eastAsia="es-MX"/>
        </w:rPr>
      </w:pPr>
      <w:r w:rsidRPr="00FE6BB3">
        <w:rPr>
          <w:rFonts w:ascii="ITC Avant Garde" w:hAnsi="ITC Avant Garde"/>
          <w:szCs w:val="22"/>
          <w:lang w:val="es-ES_tradnl" w:eastAsia="es-MX"/>
        </w:rPr>
        <w:t xml:space="preserve">La Herramienta de </w:t>
      </w:r>
      <w:proofErr w:type="spellStart"/>
      <w:r w:rsidRPr="00FE6BB3">
        <w:rPr>
          <w:rFonts w:ascii="ITC Avant Garde" w:hAnsi="ITC Avant Garde"/>
          <w:szCs w:val="22"/>
          <w:lang w:val="es-ES_tradnl" w:eastAsia="es-MX"/>
        </w:rPr>
        <w:t>Posproceso</w:t>
      </w:r>
      <w:proofErr w:type="spellEnd"/>
      <w:r w:rsidRPr="00FE6BB3">
        <w:rPr>
          <w:rFonts w:ascii="ITC Avant Garde" w:hAnsi="ITC Avant Garde"/>
          <w:szCs w:val="22"/>
          <w:lang w:val="es-ES_tradnl" w:eastAsia="es-MX"/>
        </w:rPr>
        <w:t xml:space="preserve"> contará con una configuración que, basada en los códigos generados para cada Evento por el Equipo de Medición, permita la exclusión </w:t>
      </w:r>
      <w:r w:rsidRPr="00B25816">
        <w:rPr>
          <w:rFonts w:ascii="ITC Avant Garde" w:hAnsi="ITC Avant Garde"/>
          <w:szCs w:val="22"/>
          <w:lang w:val="es-ES_tradnl" w:eastAsia="es-MX"/>
        </w:rPr>
        <w:t>automática de aquellos Eventos que se vean afectados por casos fortuitos o de fuerza mayor ajenos a la red del Concesionario Mayorista.</w:t>
      </w:r>
    </w:p>
    <w:p w:rsidR="00496B50" w:rsidRDefault="00496B50" w:rsidP="00496B50">
      <w:pPr>
        <w:pStyle w:val="Prrafodelista"/>
        <w:numPr>
          <w:ilvl w:val="0"/>
          <w:numId w:val="16"/>
        </w:numPr>
        <w:spacing w:before="240" w:after="240" w:line="276" w:lineRule="auto"/>
        <w:jc w:val="both"/>
        <w:rPr>
          <w:rFonts w:ascii="ITC Avant Garde" w:hAnsi="ITC Avant Garde"/>
          <w:b/>
          <w:lang w:val="es-ES_tradnl"/>
        </w:rPr>
      </w:pPr>
      <w:r w:rsidRPr="00B25816">
        <w:rPr>
          <w:rFonts w:ascii="ITC Avant Garde" w:hAnsi="ITC Avant Garde"/>
          <w:b/>
          <w:lang w:val="es-ES_tradnl"/>
        </w:rPr>
        <w:t xml:space="preserve">Ejercicio de Medición. </w:t>
      </w:r>
      <w:r w:rsidRPr="00B25816">
        <w:rPr>
          <w:rFonts w:ascii="ITC Avant Garde" w:hAnsi="ITC Avant Garde"/>
          <w:lang w:val="es-ES_tradnl"/>
        </w:rPr>
        <w:t>El desarrollo del Ejercicio de Medición estará sujeto a los siguientes criterios:</w:t>
      </w:r>
    </w:p>
    <w:p w:rsidR="00496B50" w:rsidRDefault="00496B50" w:rsidP="00496B50">
      <w:pPr>
        <w:pStyle w:val="Prrafodelista"/>
        <w:widowControl w:val="0"/>
        <w:numPr>
          <w:ilvl w:val="0"/>
          <w:numId w:val="21"/>
        </w:numPr>
        <w:spacing w:before="240" w:after="240" w:line="276" w:lineRule="auto"/>
        <w:jc w:val="both"/>
        <w:rPr>
          <w:rFonts w:ascii="ITC Avant Garde" w:hAnsi="ITC Avant Garde"/>
          <w:lang w:val="es-ES_tradnl"/>
        </w:rPr>
      </w:pPr>
      <w:r w:rsidRPr="00B25816">
        <w:rPr>
          <w:rFonts w:ascii="ITC Avant Garde" w:hAnsi="ITC Avant Garde"/>
          <w:lang w:val="es-ES_tradnl"/>
        </w:rPr>
        <w:t>El Instituto realizará el Ejercicio de Medición de conformidad con las disposiciones aplicables, sin previo aviso, y basándose en la presente metodología con el objetivo de verificar el cumplimiento de los Parámetros de Cobertura;</w:t>
      </w:r>
    </w:p>
    <w:p w:rsidR="00496B50" w:rsidRDefault="00496B50" w:rsidP="00496B50">
      <w:pPr>
        <w:pStyle w:val="Prrafodelista"/>
        <w:numPr>
          <w:ilvl w:val="0"/>
          <w:numId w:val="21"/>
        </w:numPr>
        <w:spacing w:before="240" w:after="240" w:line="276" w:lineRule="auto"/>
        <w:jc w:val="both"/>
        <w:rPr>
          <w:rFonts w:ascii="ITC Avant Garde" w:hAnsi="ITC Avant Garde"/>
          <w:lang w:val="es-ES_tradnl"/>
        </w:rPr>
      </w:pPr>
      <w:r w:rsidRPr="00B25816">
        <w:rPr>
          <w:rFonts w:ascii="ITC Avant Garde" w:eastAsia="Calibri" w:hAnsi="ITC Avant Garde" w:cs="Times New Roman"/>
          <w:lang w:val="es-ES_tradnl"/>
        </w:rPr>
        <w:t xml:space="preserve">Las Mediciones se realizarán en las Horas Pico de la Red y los puntos de medición deberán corresponder a ubicaciones fijas dentro del Área de Evaluación para cada municipio. Las Horas Pico de la Red se determinará </w:t>
      </w:r>
      <w:r w:rsidRPr="00B25816">
        <w:rPr>
          <w:rFonts w:ascii="ITC Avant Garde" w:eastAsia="Calibri" w:hAnsi="ITC Avant Garde" w:cs="Times New Roman"/>
          <w:lang w:val="es-ES_tradnl"/>
        </w:rPr>
        <w:lastRenderedPageBreak/>
        <w:t>para cada día de la semana de conformidad con lo establecido en el numeral 10 de la presente metodología;</w:t>
      </w:r>
      <w:r w:rsidRPr="00B25816">
        <w:rPr>
          <w:rFonts w:ascii="ITC Avant Garde" w:hAnsi="ITC Avant Garde"/>
          <w:lang w:val="es-ES_tradnl"/>
        </w:rPr>
        <w:t xml:space="preserve"> </w:t>
      </w:r>
    </w:p>
    <w:p w:rsidR="00496B50" w:rsidRDefault="00496B50" w:rsidP="00496B50">
      <w:pPr>
        <w:pStyle w:val="Prrafodelista"/>
        <w:numPr>
          <w:ilvl w:val="0"/>
          <w:numId w:val="21"/>
        </w:numPr>
        <w:spacing w:before="240" w:after="240" w:line="276" w:lineRule="auto"/>
        <w:jc w:val="both"/>
        <w:rPr>
          <w:rFonts w:ascii="ITC Avant Garde" w:hAnsi="ITC Avant Garde"/>
          <w:lang w:val="es-ES_tradnl"/>
        </w:rPr>
      </w:pPr>
      <w:r w:rsidRPr="00B25816">
        <w:rPr>
          <w:rFonts w:ascii="ITC Avant Garde" w:hAnsi="ITC Avant Garde"/>
          <w:lang w:val="es-ES_tradnl"/>
        </w:rPr>
        <w:t>Para cada estrato, los Eventos deberán ser generados dentro de localidades del mismo tipo que el estrato correspondiente. En</w:t>
      </w:r>
      <w:r w:rsidRPr="00FE6BB3">
        <w:rPr>
          <w:rFonts w:ascii="ITC Avant Garde" w:hAnsi="ITC Avant Garde"/>
          <w:lang w:val="es-ES_tradnl"/>
        </w:rPr>
        <w:t xml:space="preserve"> caso de que se generen Eventos en un tipo de localidad que no corresponda a la clasificación del estrato correspondiente, éstos serán descartados y no serán considerados en el </w:t>
      </w:r>
      <w:proofErr w:type="spellStart"/>
      <w:r w:rsidRPr="00FE6BB3">
        <w:rPr>
          <w:rFonts w:ascii="ITC Avant Garde" w:hAnsi="ITC Avant Garde"/>
          <w:lang w:val="es-ES_tradnl"/>
        </w:rPr>
        <w:t>posproceso</w:t>
      </w:r>
      <w:proofErr w:type="spellEnd"/>
      <w:r w:rsidRPr="00FE6BB3">
        <w:rPr>
          <w:rFonts w:ascii="ITC Avant Garde" w:hAnsi="ITC Avant Garde"/>
          <w:lang w:val="es-ES_tradnl"/>
        </w:rPr>
        <w:t>;</w:t>
      </w:r>
    </w:p>
    <w:p w:rsidR="00496B50" w:rsidRDefault="00496B50" w:rsidP="00496B50">
      <w:pPr>
        <w:pStyle w:val="Normal1"/>
        <w:widowControl w:val="0"/>
        <w:numPr>
          <w:ilvl w:val="0"/>
          <w:numId w:val="21"/>
        </w:numPr>
        <w:spacing w:before="240" w:after="240"/>
        <w:ind w:right="-59"/>
        <w:contextualSpacing/>
        <w:jc w:val="both"/>
        <w:rPr>
          <w:lang w:val="es-ES_tradnl"/>
        </w:rPr>
      </w:pPr>
      <w:r w:rsidRPr="00FE6BB3">
        <w:rPr>
          <w:rFonts w:ascii="ITC Avant Garde" w:hAnsi="ITC Avant Garde"/>
          <w:szCs w:val="22"/>
          <w:lang w:val="es-ES_tradnl" w:eastAsia="es-MX"/>
        </w:rPr>
        <w:t xml:space="preserve">Todos los Eventos se llevarán a cabo exclusivamente en exteriores y al menos a 1.5 metros del nivel de superficie; </w:t>
      </w:r>
    </w:p>
    <w:p w:rsidR="00496B50" w:rsidRDefault="00496B50" w:rsidP="00496B50">
      <w:pPr>
        <w:pStyle w:val="Prrafodelista"/>
        <w:numPr>
          <w:ilvl w:val="0"/>
          <w:numId w:val="21"/>
        </w:numPr>
        <w:spacing w:before="240" w:after="240" w:line="276" w:lineRule="auto"/>
        <w:jc w:val="both"/>
        <w:rPr>
          <w:rFonts w:ascii="ITC Avant Garde" w:hAnsi="ITC Avant Garde"/>
          <w:lang w:val="es-ES_tradnl"/>
        </w:rPr>
      </w:pPr>
      <w:r w:rsidRPr="00FE6BB3">
        <w:rPr>
          <w:rFonts w:ascii="ITC Avant Garde" w:hAnsi="ITC Avant Garde"/>
          <w:lang w:val="es-ES_tradnl"/>
        </w:rPr>
        <w:t xml:space="preserve">En caso de que el personal a cargo de la realización del Ejercicio de Medición, detecte fallas atribuibles al Equipo de Medición, las mismas deberán ser registradas por la Bitácora de Medición para que los Eventos correspondientes sean descartados en la etapa de </w:t>
      </w:r>
      <w:proofErr w:type="spellStart"/>
      <w:r w:rsidRPr="00FE6BB3">
        <w:rPr>
          <w:rFonts w:ascii="ITC Avant Garde" w:hAnsi="ITC Avant Garde"/>
          <w:lang w:val="es-ES_tradnl"/>
        </w:rPr>
        <w:t>posproceso</w:t>
      </w:r>
      <w:proofErr w:type="spellEnd"/>
      <w:r w:rsidRPr="00FE6BB3">
        <w:rPr>
          <w:rFonts w:ascii="ITC Avant Garde" w:hAnsi="ITC Avant Garde"/>
          <w:lang w:val="es-ES_tradnl"/>
        </w:rPr>
        <w:t>;</w:t>
      </w:r>
    </w:p>
    <w:p w:rsidR="00496B50" w:rsidRDefault="00496B50" w:rsidP="00496B50">
      <w:pPr>
        <w:pStyle w:val="Prrafodelista"/>
        <w:numPr>
          <w:ilvl w:val="0"/>
          <w:numId w:val="21"/>
        </w:numPr>
        <w:spacing w:before="240" w:after="240" w:line="276" w:lineRule="auto"/>
        <w:jc w:val="both"/>
        <w:rPr>
          <w:rFonts w:ascii="ITC Avant Garde" w:hAnsi="ITC Avant Garde"/>
          <w:lang w:val="es-ES_tradnl"/>
        </w:rPr>
      </w:pPr>
      <w:r w:rsidRPr="00FE6BB3">
        <w:rPr>
          <w:rFonts w:ascii="ITC Avant Garde" w:hAnsi="ITC Avant Garde"/>
          <w:lang w:val="es-ES_tradnl"/>
        </w:rPr>
        <w:t>La Tecnología de Acceso en los Dispositivos o Equipos Terminales Móviles será asignada de manera automática por la red del Concesionario Mayorista sin que exista ningún tipo de forzamiento, y</w:t>
      </w:r>
    </w:p>
    <w:p w:rsidR="00496B50" w:rsidRDefault="00496B50" w:rsidP="00496B50">
      <w:pPr>
        <w:pStyle w:val="Normal1"/>
        <w:widowControl w:val="0"/>
        <w:numPr>
          <w:ilvl w:val="0"/>
          <w:numId w:val="21"/>
        </w:numPr>
        <w:spacing w:before="240" w:after="240"/>
        <w:ind w:right="-59"/>
        <w:contextualSpacing/>
        <w:jc w:val="both"/>
        <w:rPr>
          <w:rFonts w:ascii="ITC Avant Garde" w:hAnsi="ITC Avant Garde"/>
          <w:lang w:val="es-ES_tradnl"/>
        </w:rPr>
      </w:pPr>
      <w:r w:rsidRPr="00FE6BB3">
        <w:rPr>
          <w:rFonts w:ascii="ITC Avant Garde" w:hAnsi="ITC Avant Garde"/>
          <w:szCs w:val="22"/>
          <w:lang w:val="es-ES_tradnl"/>
        </w:rPr>
        <w:t>No se llevarán a cabo mediciones en las zonas donde previamente se identifique hecho fortuito o causa de fuerza mayor que pudieran afectar los resultados, así como aquellas zonas donde 20 días hábiles previo al Ejercicio de Medición se haya reportado al Instituto alguna falla que provoque ausencia del servicio y ésta no haya sido resuelta.</w:t>
      </w:r>
    </w:p>
    <w:p w:rsidR="00496B50" w:rsidRDefault="00496B50" w:rsidP="00496B50">
      <w:pPr>
        <w:pStyle w:val="Prrafodelista"/>
        <w:numPr>
          <w:ilvl w:val="0"/>
          <w:numId w:val="16"/>
        </w:numPr>
        <w:spacing w:before="240" w:after="240" w:line="276" w:lineRule="auto"/>
        <w:jc w:val="both"/>
        <w:rPr>
          <w:rFonts w:ascii="ITC Avant Garde" w:hAnsi="ITC Avant Garde"/>
          <w:b/>
          <w:lang w:val="es-ES_tradnl"/>
        </w:rPr>
      </w:pPr>
      <w:r w:rsidRPr="00FE6BB3">
        <w:rPr>
          <w:rFonts w:ascii="ITC Avant Garde" w:hAnsi="ITC Avant Garde"/>
          <w:b/>
          <w:lang w:val="es-ES_tradnl"/>
        </w:rPr>
        <w:t xml:space="preserve">Evaluación de los Parámetros de Cobertura: </w:t>
      </w:r>
      <w:r w:rsidRPr="00FE6BB3">
        <w:rPr>
          <w:rFonts w:ascii="ITC Avant Garde" w:hAnsi="ITC Avant Garde"/>
          <w:lang w:val="es-ES_tradnl"/>
        </w:rPr>
        <w:t>La evaluación de los Eventos de los Parámetros de Cobertura se llevará a cabo bajo los siguientes criterios:</w:t>
      </w:r>
    </w:p>
    <w:p w:rsidR="00496B50" w:rsidRDefault="00496B50" w:rsidP="00496B50">
      <w:pPr>
        <w:pStyle w:val="Prrafodelista"/>
        <w:numPr>
          <w:ilvl w:val="0"/>
          <w:numId w:val="23"/>
        </w:numPr>
        <w:spacing w:before="240" w:after="240" w:line="276" w:lineRule="auto"/>
        <w:jc w:val="both"/>
        <w:rPr>
          <w:lang w:val="es-ES_tradnl"/>
        </w:rPr>
      </w:pPr>
      <w:r w:rsidRPr="00FE6BB3">
        <w:rPr>
          <w:rFonts w:ascii="ITC Avant Garde" w:hAnsi="ITC Avant Garde"/>
          <w:lang w:val="es-ES_tradnl"/>
        </w:rPr>
        <w:t>Para efectos de la evaluación de los Eventos y en coordinación con el Concesionario Mayorista, se instalará un servidor de pruebas del Instituto, en la misma ubicación geográfica que el CORE de la red del Concesionario Mayorista y será gestionado exclusivamente por el Instituto contando con amplia capacidad para soportar el tráfico estimado resultante del Ejercicio de Medición.</w:t>
      </w:r>
      <w:r w:rsidRPr="00FE6BB3">
        <w:t xml:space="preserve"> </w:t>
      </w:r>
      <w:r w:rsidRPr="00FE6BB3">
        <w:rPr>
          <w:rFonts w:ascii="ITC Avant Garde" w:hAnsi="ITC Avant Garde"/>
          <w:lang w:val="es-ES_tradnl"/>
        </w:rPr>
        <w:t>De igual manera, dicho servidor generará archivos de registro asociados al desempeño de dicho servidor;</w:t>
      </w:r>
    </w:p>
    <w:p w:rsidR="00496B50" w:rsidRDefault="00496B50" w:rsidP="00496B50">
      <w:pPr>
        <w:pStyle w:val="Prrafodelista"/>
        <w:numPr>
          <w:ilvl w:val="0"/>
          <w:numId w:val="23"/>
        </w:numPr>
        <w:spacing w:before="240" w:after="240" w:line="276" w:lineRule="auto"/>
        <w:jc w:val="both"/>
        <w:rPr>
          <w:rFonts w:ascii="ITC Avant Garde" w:hAnsi="ITC Avant Garde"/>
          <w:lang w:val="es-ES_tradnl"/>
        </w:rPr>
      </w:pPr>
      <w:r w:rsidRPr="00FE6BB3">
        <w:rPr>
          <w:rFonts w:ascii="ITC Avant Garde" w:hAnsi="ITC Avant Garde"/>
          <w:lang w:val="es-ES_tradnl"/>
        </w:rPr>
        <w:t xml:space="preserve">Para el caso de la evaluación de la Tasa de Transmisión de Datos del Enlace Descendente, el archivo a ser transferido por sesión de FTP no podrá ser comprimible y tendrá un tamaño de 2 Gigabytes, alojado en el servidor de pruebas del Instituto; </w:t>
      </w:r>
    </w:p>
    <w:p w:rsidR="00496B50" w:rsidRDefault="00496B50" w:rsidP="00496B50">
      <w:pPr>
        <w:pStyle w:val="Prrafodelista"/>
        <w:numPr>
          <w:ilvl w:val="0"/>
          <w:numId w:val="23"/>
        </w:numPr>
        <w:spacing w:before="240" w:after="240" w:line="276" w:lineRule="auto"/>
        <w:jc w:val="both"/>
        <w:rPr>
          <w:rFonts w:ascii="ITC Avant Garde" w:hAnsi="ITC Avant Garde"/>
          <w:lang w:val="es-ES_tradnl"/>
        </w:rPr>
      </w:pPr>
      <w:r w:rsidRPr="00FE6BB3">
        <w:rPr>
          <w:rFonts w:ascii="ITC Avant Garde" w:hAnsi="ITC Avant Garde"/>
          <w:lang w:val="es-ES_tradnl"/>
        </w:rPr>
        <w:t xml:space="preserve">Para el caso de la evaluación de la Tasa de Transmisión de Datos del Enlace Ascendente, el archivo será transferido al servidor de pruebas del Instituto, </w:t>
      </w:r>
      <w:r w:rsidRPr="00FE6BB3">
        <w:rPr>
          <w:rFonts w:ascii="ITC Avant Garde" w:hAnsi="ITC Avant Garde"/>
          <w:lang w:val="es-ES_tradnl"/>
        </w:rPr>
        <w:lastRenderedPageBreak/>
        <w:t>por sesión de FTP. El archivo no podrá ser comprimible y tendrá un tamaño de 500 Megabytes el cual deberá ser almacenado en los Equipos Terminales Móviles previo al Ejercicio de Medición;</w:t>
      </w:r>
    </w:p>
    <w:p w:rsidR="00496B50" w:rsidRDefault="00496B50" w:rsidP="00496B50">
      <w:pPr>
        <w:pStyle w:val="Prrafodelista"/>
        <w:numPr>
          <w:ilvl w:val="0"/>
          <w:numId w:val="23"/>
        </w:numPr>
        <w:spacing w:before="240" w:after="240" w:line="276" w:lineRule="auto"/>
        <w:jc w:val="both"/>
        <w:rPr>
          <w:rFonts w:ascii="ITC Avant Garde" w:eastAsia="Calibri" w:hAnsi="ITC Avant Garde" w:cs="Times New Roman"/>
          <w:lang w:val="es-ES_tradnl"/>
        </w:rPr>
      </w:pPr>
      <w:r w:rsidRPr="00FE6BB3">
        <w:rPr>
          <w:rFonts w:ascii="ITC Avant Garde" w:eastAsia="Calibri" w:hAnsi="ITC Avant Garde" w:cs="Times New Roman"/>
          <w:lang w:val="es-ES_tradnl"/>
        </w:rPr>
        <w:t>La Tasa de Transmisión del Enlace Ascendente se determina con base en la siguiente fórmula:</w:t>
      </w:r>
    </w:p>
    <w:p w:rsidR="00496B50" w:rsidRDefault="00496B50" w:rsidP="00496B50">
      <w:pPr>
        <w:pStyle w:val="Normal1"/>
        <w:spacing w:before="240" w:after="240"/>
        <w:ind w:left="1416"/>
        <w:contextualSpacing/>
        <w:jc w:val="both"/>
        <w:rPr>
          <w:rFonts w:ascii="ITC Avant Garde" w:hAnsi="ITC Avant Garde"/>
          <w:szCs w:val="22"/>
          <w:lang w:val="es-ES_tradnl"/>
        </w:rPr>
      </w:pPr>
      <m:oMathPara>
        <m:oMath>
          <m:r>
            <w:rPr>
              <w:rFonts w:ascii="Cambria Math" w:hAnsi="Cambria Math"/>
              <w:szCs w:val="22"/>
              <w:lang w:val="es-ES_tradnl"/>
            </w:rPr>
            <m:t>Tasa de Transmisión de Datos del Enlace Ascendente =</m:t>
          </m:r>
          <m:f>
            <m:fPr>
              <m:ctrlPr>
                <w:rPr>
                  <w:rFonts w:ascii="Cambria Math" w:hAnsi="Cambria Math"/>
                  <w:i/>
                  <w:szCs w:val="22"/>
                  <w:lang w:val="es-ES_tradnl"/>
                </w:rPr>
              </m:ctrlPr>
            </m:fPr>
            <m:num>
              <m:nary>
                <m:naryPr>
                  <m:chr m:val="∑"/>
                  <m:limLoc m:val="undOvr"/>
                  <m:ctrlPr>
                    <w:rPr>
                      <w:rFonts w:ascii="Cambria Math" w:hAnsi="Cambria Math"/>
                      <w:i/>
                      <w:szCs w:val="22"/>
                      <w:lang w:val="es-ES_tradnl"/>
                    </w:rPr>
                  </m:ctrlPr>
                </m:naryPr>
                <m:sub>
                  <m:r>
                    <w:rPr>
                      <w:rFonts w:ascii="Cambria Math" w:hAnsi="Cambria Math"/>
                      <w:szCs w:val="22"/>
                      <w:lang w:val="es-ES_tradnl"/>
                    </w:rPr>
                    <m:t>i=1</m:t>
                  </m:r>
                </m:sub>
                <m:sup>
                  <m:sSub>
                    <m:sSubPr>
                      <m:ctrlPr>
                        <w:rPr>
                          <w:rFonts w:ascii="Cambria Math" w:hAnsi="Cambria Math"/>
                          <w:i/>
                          <w:szCs w:val="22"/>
                          <w:lang w:val="es-ES_tradnl"/>
                        </w:rPr>
                      </m:ctrlPr>
                    </m:sSubPr>
                    <m:e>
                      <m:r>
                        <w:rPr>
                          <w:rFonts w:ascii="Cambria Math" w:hAnsi="Cambria Math"/>
                          <w:szCs w:val="22"/>
                          <w:lang w:val="es-ES_tradnl"/>
                        </w:rPr>
                        <m:t>O</m:t>
                      </m:r>
                    </m:e>
                    <m:sub>
                      <m:r>
                        <w:rPr>
                          <w:rFonts w:ascii="Cambria Math" w:hAnsi="Cambria Math"/>
                          <w:szCs w:val="22"/>
                          <w:lang w:val="es-ES_tradnl"/>
                        </w:rPr>
                        <m:t>Tc</m:t>
                      </m:r>
                    </m:sub>
                  </m:sSub>
                </m:sup>
                <m:e>
                  <m:f>
                    <m:fPr>
                      <m:ctrlPr>
                        <w:rPr>
                          <w:rFonts w:ascii="Cambria Math" w:hAnsi="Cambria Math"/>
                          <w:i/>
                          <w:szCs w:val="22"/>
                          <w:lang w:val="es-ES_tradnl"/>
                        </w:rPr>
                      </m:ctrlPr>
                    </m:fPr>
                    <m:num>
                      <m:sSubSup>
                        <m:sSubSupPr>
                          <m:ctrlPr>
                            <w:rPr>
                              <w:rFonts w:ascii="Cambria Math" w:hAnsi="Cambria Math"/>
                              <w:i/>
                              <w:szCs w:val="22"/>
                              <w:lang w:val="es-ES_tradnl"/>
                            </w:rPr>
                          </m:ctrlPr>
                        </m:sSubSupPr>
                        <m:e>
                          <m:r>
                            <w:rPr>
                              <w:rFonts w:ascii="Cambria Math" w:hAnsi="Cambria Math"/>
                              <w:szCs w:val="22"/>
                              <w:lang w:val="es-ES_tradnl"/>
                            </w:rPr>
                            <m:t>H</m:t>
                          </m:r>
                        </m:e>
                        <m:sub>
                          <m:r>
                            <w:rPr>
                              <w:rFonts w:ascii="Cambria Math" w:hAnsi="Cambria Math"/>
                              <w:szCs w:val="22"/>
                              <w:lang w:val="es-ES_tradnl"/>
                            </w:rPr>
                            <m:t>i</m:t>
                          </m:r>
                        </m:sub>
                        <m:sup>
                          <m:r>
                            <w:rPr>
                              <w:rFonts w:ascii="Cambria Math" w:hAnsi="Cambria Math"/>
                              <w:szCs w:val="22"/>
                              <w:lang w:val="es-ES_tradnl"/>
                            </w:rPr>
                            <m:t>'</m:t>
                          </m:r>
                        </m:sup>
                      </m:sSubSup>
                    </m:num>
                    <m:den>
                      <m:sSup>
                        <m:sSupPr>
                          <m:ctrlPr>
                            <w:rPr>
                              <w:rFonts w:ascii="Cambria Math" w:hAnsi="Cambria Math"/>
                              <w:i/>
                              <w:szCs w:val="22"/>
                              <w:lang w:val="es-ES_tradnl"/>
                            </w:rPr>
                          </m:ctrlPr>
                        </m:sSupPr>
                        <m:e>
                          <m:r>
                            <w:rPr>
                              <w:rFonts w:ascii="Cambria Math" w:hAnsi="Cambria Math"/>
                              <w:szCs w:val="22"/>
                              <w:lang w:val="es-ES_tradnl"/>
                            </w:rPr>
                            <m:t>n</m:t>
                          </m:r>
                        </m:e>
                        <m:sup>
                          <m:r>
                            <w:rPr>
                              <w:rFonts w:ascii="Cambria Math" w:hAnsi="Cambria Math"/>
                              <w:szCs w:val="22"/>
                              <w:lang w:val="es-ES_tradnl"/>
                            </w:rPr>
                            <m:t>'</m:t>
                          </m:r>
                        </m:sup>
                      </m:sSup>
                    </m:den>
                  </m:f>
                </m:e>
              </m:nary>
            </m:num>
            <m:den>
              <m:sSub>
                <m:sSubPr>
                  <m:ctrlPr>
                    <w:rPr>
                      <w:rFonts w:ascii="Cambria Math" w:hAnsi="Cambria Math"/>
                      <w:i/>
                      <w:szCs w:val="22"/>
                      <w:lang w:val="es-ES_tradnl"/>
                    </w:rPr>
                  </m:ctrlPr>
                </m:sSubPr>
                <m:e>
                  <m:r>
                    <w:rPr>
                      <w:rFonts w:ascii="Cambria Math" w:hAnsi="Cambria Math"/>
                      <w:szCs w:val="22"/>
                      <w:lang w:val="es-ES_tradnl"/>
                    </w:rPr>
                    <m:t>O</m:t>
                  </m:r>
                </m:e>
                <m:sub>
                  <m:r>
                    <w:rPr>
                      <w:rFonts w:ascii="Cambria Math" w:hAnsi="Cambria Math"/>
                      <w:szCs w:val="22"/>
                      <w:lang w:val="es-ES_tradnl"/>
                    </w:rPr>
                    <m:t>Tc</m:t>
                  </m:r>
                </m:sub>
              </m:sSub>
              <m:r>
                <w:rPr>
                  <w:rFonts w:ascii="Cambria Math" w:hAnsi="Cambria Math"/>
                  <w:szCs w:val="22"/>
                  <w:lang w:val="es-ES_tradnl"/>
                </w:rPr>
                <m:t>-</m:t>
              </m:r>
              <m:sSub>
                <m:sSubPr>
                  <m:ctrlPr>
                    <w:rPr>
                      <w:rFonts w:ascii="Cambria Math" w:hAnsi="Cambria Math"/>
                      <w:i/>
                      <w:szCs w:val="22"/>
                      <w:lang w:val="es-ES_tradnl"/>
                    </w:rPr>
                  </m:ctrlPr>
                </m:sSubPr>
                <m:e>
                  <m:r>
                    <w:rPr>
                      <w:rFonts w:ascii="Cambria Math" w:hAnsi="Cambria Math"/>
                      <w:szCs w:val="22"/>
                      <w:lang w:val="es-ES_tradnl"/>
                    </w:rPr>
                    <m:t>O</m:t>
                  </m:r>
                </m:e>
                <m:sub>
                  <m:r>
                    <w:rPr>
                      <w:rFonts w:ascii="Cambria Math" w:hAnsi="Cambria Math"/>
                      <w:szCs w:val="22"/>
                      <w:lang w:val="es-ES_tradnl"/>
                    </w:rPr>
                    <m:t>Fc</m:t>
                  </m:r>
                </m:sub>
              </m:sSub>
            </m:den>
          </m:f>
          <m:d>
            <m:dPr>
              <m:begChr m:val="["/>
              <m:endChr m:val="]"/>
              <m:ctrlPr>
                <w:rPr>
                  <w:rFonts w:ascii="Cambria Math" w:hAnsi="Cambria Math"/>
                  <w:i/>
                  <w:szCs w:val="22"/>
                  <w:lang w:val="es-ES_tradnl"/>
                </w:rPr>
              </m:ctrlPr>
            </m:dPr>
            <m:e>
              <m:f>
                <m:fPr>
                  <m:ctrlPr>
                    <w:rPr>
                      <w:rFonts w:ascii="Cambria Math" w:hAnsi="Cambria Math"/>
                      <w:i/>
                      <w:szCs w:val="22"/>
                      <w:lang w:val="es-ES_tradnl"/>
                    </w:rPr>
                  </m:ctrlPr>
                </m:fPr>
                <m:num>
                  <m:r>
                    <w:rPr>
                      <w:rFonts w:ascii="Cambria Math" w:hAnsi="Cambria Math"/>
                      <w:szCs w:val="22"/>
                      <w:lang w:val="es-ES_tradnl"/>
                    </w:rPr>
                    <m:t>Mbits</m:t>
                  </m:r>
                </m:num>
                <m:den>
                  <m:r>
                    <w:rPr>
                      <w:rFonts w:ascii="Cambria Math" w:hAnsi="Cambria Math"/>
                      <w:szCs w:val="22"/>
                      <w:lang w:val="es-ES_tradnl"/>
                    </w:rPr>
                    <m:t>segundo</m:t>
                  </m:r>
                </m:den>
              </m:f>
            </m:e>
          </m:d>
        </m:oMath>
      </m:oMathPara>
    </w:p>
    <w:p w:rsidR="00496B50" w:rsidRDefault="00496B50" w:rsidP="00496B50">
      <w:pPr>
        <w:pStyle w:val="Normal1"/>
        <w:tabs>
          <w:tab w:val="left" w:pos="709"/>
        </w:tabs>
        <w:spacing w:before="240" w:after="240"/>
        <w:ind w:left="708" w:firstLine="708"/>
        <w:jc w:val="both"/>
        <w:rPr>
          <w:rFonts w:ascii="ITC Avant Garde" w:hAnsi="ITC Avant Garde"/>
          <w:b/>
          <w:szCs w:val="22"/>
          <w:lang w:val="es-ES_tradnl"/>
        </w:rPr>
      </w:pPr>
      <w:r w:rsidRPr="00FE6BB3">
        <w:rPr>
          <w:rFonts w:ascii="ITC Avant Garde" w:hAnsi="ITC Avant Garde"/>
          <w:b/>
          <w:szCs w:val="22"/>
          <w:lang w:val="es-ES_tradnl"/>
        </w:rPr>
        <w:t>Donde:</w:t>
      </w:r>
    </w:p>
    <w:p w:rsidR="00496B50" w:rsidRPr="00FE6BB3" w:rsidRDefault="00496B50" w:rsidP="00496B50">
      <w:pPr>
        <w:pStyle w:val="Normal1"/>
        <w:spacing w:before="240" w:after="240"/>
        <w:ind w:left="1417"/>
        <w:jc w:val="both"/>
        <w:rPr>
          <w:rFonts w:ascii="ITC Avant Garde" w:hAnsi="ITC Avant Garde"/>
          <w:szCs w:val="22"/>
          <w:lang w:val="es-ES_tradnl"/>
        </w:rPr>
      </w:pPr>
      <m:oMath>
        <m:sSubSup>
          <m:sSubSupPr>
            <m:ctrlPr>
              <w:rPr>
                <w:rFonts w:ascii="Cambria Math" w:hAnsi="Cambria Math"/>
                <w:i/>
                <w:szCs w:val="22"/>
                <w:lang w:val="es-ES_tradnl"/>
              </w:rPr>
            </m:ctrlPr>
          </m:sSubSupPr>
          <m:e>
            <m:r>
              <w:rPr>
                <w:rFonts w:ascii="Cambria Math" w:hAnsi="Cambria Math"/>
                <w:szCs w:val="22"/>
                <w:lang w:val="es-ES_tradnl"/>
              </w:rPr>
              <m:t>H</m:t>
            </m:r>
          </m:e>
          <m:sub>
            <m:r>
              <w:rPr>
                <w:rFonts w:ascii="Cambria Math" w:hAnsi="Cambria Math"/>
                <w:szCs w:val="22"/>
                <w:lang w:val="es-ES_tradnl"/>
              </w:rPr>
              <m:t>i</m:t>
            </m:r>
          </m:sub>
          <m:sup>
            <m:r>
              <w:rPr>
                <w:rFonts w:ascii="Cambria Math" w:hAnsi="Cambria Math"/>
                <w:szCs w:val="22"/>
                <w:lang w:val="es-ES_tradnl"/>
              </w:rPr>
              <m:t>'</m:t>
            </m:r>
          </m:sup>
        </m:sSubSup>
      </m:oMath>
      <w:r w:rsidRPr="00FE6BB3">
        <w:rPr>
          <w:rFonts w:ascii="ITC Avant Garde" w:hAnsi="ITC Avant Garde"/>
          <w:b/>
          <w:szCs w:val="22"/>
          <w:lang w:val="es-ES_tradnl"/>
        </w:rPr>
        <w:t xml:space="preserve"> </w:t>
      </w:r>
      <w:r w:rsidRPr="00FE6BB3">
        <w:rPr>
          <w:rFonts w:ascii="ITC Avant Garde" w:hAnsi="ITC Avant Garde"/>
          <w:szCs w:val="22"/>
          <w:lang w:val="es-ES_tradnl"/>
        </w:rPr>
        <w:t xml:space="preserve">= cantidad de datos cargada o carga útil (del inglés, </w:t>
      </w:r>
      <w:proofErr w:type="spellStart"/>
      <w:r w:rsidRPr="00FE6BB3">
        <w:rPr>
          <w:rFonts w:ascii="ITC Avant Garde" w:hAnsi="ITC Avant Garde"/>
          <w:i/>
          <w:szCs w:val="22"/>
          <w:lang w:val="es-ES_tradnl"/>
        </w:rPr>
        <w:t>payload</w:t>
      </w:r>
      <w:proofErr w:type="spellEnd"/>
      <w:r w:rsidRPr="00FE6BB3">
        <w:rPr>
          <w:rFonts w:ascii="ITC Avant Garde" w:hAnsi="ITC Avant Garde"/>
          <w:szCs w:val="22"/>
          <w:lang w:val="es-ES_tradnl"/>
        </w:rPr>
        <w:t xml:space="preserve">) expresada en Megabits del intento de sesión establecida exitosamente FTP </w:t>
      </w:r>
      <m:oMath>
        <m:r>
          <w:rPr>
            <w:rFonts w:ascii="Cambria Math" w:hAnsi="Cambria Math"/>
            <w:szCs w:val="22"/>
            <w:lang w:val="es-ES_tradnl"/>
          </w:rPr>
          <m:t>i</m:t>
        </m:r>
      </m:oMath>
      <w:r w:rsidRPr="00FE6BB3">
        <w:rPr>
          <w:rFonts w:ascii="ITC Avant Garde" w:hAnsi="ITC Avant Garde"/>
          <w:szCs w:val="22"/>
          <w:lang w:val="es-ES_tradnl"/>
        </w:rPr>
        <w:t>;</w:t>
      </w:r>
    </w:p>
    <w:p w:rsidR="00496B50" w:rsidRPr="00FE6BB3" w:rsidRDefault="00496B50" w:rsidP="00496B50">
      <w:pPr>
        <w:pStyle w:val="Normal1"/>
        <w:spacing w:before="240" w:after="240"/>
        <w:ind w:left="1417"/>
        <w:jc w:val="both"/>
        <w:rPr>
          <w:rFonts w:ascii="ITC Avant Garde" w:hAnsi="ITC Avant Garde"/>
          <w:szCs w:val="22"/>
          <w:lang w:val="es-ES_tradnl"/>
        </w:rPr>
      </w:pPr>
      <m:oMath>
        <m:sSup>
          <m:sSupPr>
            <m:ctrlPr>
              <w:rPr>
                <w:rFonts w:ascii="Cambria Math" w:hAnsi="Cambria Math"/>
                <w:i/>
                <w:szCs w:val="22"/>
                <w:lang w:val="es-ES_tradnl"/>
              </w:rPr>
            </m:ctrlPr>
          </m:sSupPr>
          <m:e>
            <m:r>
              <w:rPr>
                <w:rFonts w:ascii="Cambria Math" w:hAnsi="Cambria Math"/>
                <w:szCs w:val="22"/>
                <w:lang w:val="es-ES_tradnl"/>
              </w:rPr>
              <m:t>n</m:t>
            </m:r>
          </m:e>
          <m:sup>
            <m:r>
              <w:rPr>
                <w:rFonts w:ascii="Cambria Math" w:hAnsi="Cambria Math"/>
                <w:szCs w:val="22"/>
                <w:lang w:val="es-ES_tradnl"/>
              </w:rPr>
              <m:t>'</m:t>
            </m:r>
          </m:sup>
        </m:sSup>
      </m:oMath>
      <w:r w:rsidRPr="00FE6BB3">
        <w:rPr>
          <w:rFonts w:ascii="ITC Avant Garde" w:hAnsi="ITC Avant Garde"/>
          <w:b/>
          <w:szCs w:val="22"/>
          <w:lang w:val="es-ES_tradnl"/>
        </w:rPr>
        <w:t xml:space="preserve"> </w:t>
      </w:r>
      <w:r w:rsidRPr="00FE6BB3">
        <w:rPr>
          <w:rFonts w:ascii="ITC Avant Garde" w:hAnsi="ITC Avant Garde"/>
          <w:szCs w:val="22"/>
          <w:lang w:val="es-ES_tradnl"/>
        </w:rPr>
        <w:t>= duración en segundos de la sesión FTP establecida;</w:t>
      </w:r>
    </w:p>
    <w:p w:rsidR="00496B50" w:rsidRPr="00FE6BB3" w:rsidRDefault="00496B50" w:rsidP="00496B50">
      <w:pPr>
        <w:pStyle w:val="Normal1"/>
        <w:spacing w:before="240" w:after="240"/>
        <w:ind w:left="1428"/>
        <w:jc w:val="both"/>
        <w:rPr>
          <w:rFonts w:ascii="ITC Avant Garde" w:hAnsi="ITC Avant Garde"/>
          <w:szCs w:val="22"/>
          <w:lang w:val="es-ES_tradnl"/>
        </w:rPr>
      </w:pPr>
      <m:oMath>
        <m:sSub>
          <m:sSubPr>
            <m:ctrlPr>
              <w:rPr>
                <w:rFonts w:ascii="Cambria Math" w:hAnsi="Cambria Math"/>
                <w:i/>
                <w:szCs w:val="22"/>
                <w:lang w:val="es-ES_tradnl"/>
              </w:rPr>
            </m:ctrlPr>
          </m:sSubPr>
          <m:e>
            <m:r>
              <w:rPr>
                <w:rFonts w:ascii="Cambria Math" w:hAnsi="Cambria Math"/>
                <w:szCs w:val="22"/>
                <w:lang w:val="es-ES_tradnl"/>
              </w:rPr>
              <m:t>O</m:t>
            </m:r>
          </m:e>
          <m:sub>
            <m:r>
              <w:rPr>
                <w:rFonts w:ascii="Cambria Math" w:hAnsi="Cambria Math"/>
                <w:szCs w:val="22"/>
                <w:lang w:val="es-ES_tradnl"/>
              </w:rPr>
              <m:t>Fc</m:t>
            </m:r>
          </m:sub>
        </m:sSub>
      </m:oMath>
      <w:r w:rsidRPr="00FE6BB3">
        <w:rPr>
          <w:rFonts w:ascii="ITC Avant Garde" w:hAnsi="ITC Avant Garde"/>
          <w:szCs w:val="22"/>
          <w:lang w:val="es-ES_tradnl"/>
        </w:rPr>
        <w:t xml:space="preserve"> = número de intentos de sesiones fallidas FTP de carga, y;</w:t>
      </w:r>
    </w:p>
    <w:p w:rsidR="00496B50" w:rsidRDefault="00496B50" w:rsidP="00496B50">
      <w:pPr>
        <w:pStyle w:val="Normal1"/>
        <w:spacing w:before="240" w:after="240"/>
        <w:ind w:left="1428"/>
        <w:contextualSpacing/>
        <w:jc w:val="both"/>
        <w:rPr>
          <w:rFonts w:ascii="ITC Avant Garde" w:hAnsi="ITC Avant Garde"/>
          <w:szCs w:val="22"/>
          <w:lang w:val="es-ES_tradnl"/>
        </w:rPr>
      </w:pPr>
      <m:oMath>
        <m:sSub>
          <m:sSubPr>
            <m:ctrlPr>
              <w:rPr>
                <w:rFonts w:ascii="Cambria Math" w:hAnsi="Cambria Math"/>
                <w:i/>
                <w:szCs w:val="22"/>
                <w:lang w:val="es-ES_tradnl"/>
              </w:rPr>
            </m:ctrlPr>
          </m:sSubPr>
          <m:e>
            <m:r>
              <w:rPr>
                <w:rFonts w:ascii="Cambria Math" w:hAnsi="Cambria Math"/>
                <w:szCs w:val="22"/>
                <w:lang w:val="es-ES_tradnl"/>
              </w:rPr>
              <m:t>O</m:t>
            </m:r>
          </m:e>
          <m:sub>
            <m:r>
              <w:rPr>
                <w:rFonts w:ascii="Cambria Math" w:hAnsi="Cambria Math"/>
                <w:szCs w:val="22"/>
                <w:lang w:val="es-ES_tradnl"/>
              </w:rPr>
              <m:t>Tc</m:t>
            </m:r>
          </m:sub>
        </m:sSub>
      </m:oMath>
      <w:r w:rsidRPr="00FE6BB3">
        <w:rPr>
          <w:rFonts w:ascii="ITC Avant Garde" w:hAnsi="ITC Avant Garde"/>
          <w:szCs w:val="22"/>
          <w:lang w:val="es-ES_tradnl"/>
        </w:rPr>
        <w:t xml:space="preserve"> = número total de intentos de sesiones FTP de carga.</w:t>
      </w:r>
    </w:p>
    <w:p w:rsidR="00496B50" w:rsidRDefault="00496B50" w:rsidP="00496B50">
      <w:pPr>
        <w:pStyle w:val="Prrafodelista"/>
        <w:spacing w:before="240" w:after="240"/>
        <w:ind w:left="1428"/>
        <w:jc w:val="both"/>
        <w:rPr>
          <w:rFonts w:ascii="ITC Avant Garde" w:hAnsi="ITC Avant Garde"/>
          <w:lang w:val="es-ES_tradnl"/>
        </w:rPr>
      </w:pPr>
      <w:r w:rsidRPr="00EC07DB">
        <w:rPr>
          <w:rFonts w:ascii="ITC Avant Garde" w:hAnsi="ITC Avant Garde"/>
          <w:lang w:val="es-ES_tradnl"/>
        </w:rPr>
        <w:t>Serán consideradas como fallidas aquellas sesiones FTP que no logren establecer conexión con el servidor definido por el Instituto para tales efectos;</w:t>
      </w:r>
    </w:p>
    <w:p w:rsidR="00496B50" w:rsidRDefault="00496B50" w:rsidP="00496B50">
      <w:pPr>
        <w:numPr>
          <w:ilvl w:val="0"/>
          <w:numId w:val="23"/>
        </w:numPr>
        <w:spacing w:before="240" w:after="240"/>
        <w:contextualSpacing/>
        <w:jc w:val="both"/>
        <w:rPr>
          <w:rFonts w:ascii="ITC Avant Garde" w:hAnsi="ITC Avant Garde"/>
          <w:lang w:val="es-ES_tradnl"/>
        </w:rPr>
      </w:pPr>
      <w:r w:rsidRPr="00FE6BB3">
        <w:rPr>
          <w:rFonts w:ascii="ITC Avant Garde" w:hAnsi="ITC Avant Garde"/>
          <w:lang w:val="es-ES_tradnl"/>
        </w:rPr>
        <w:t>La Tasa de Transmisión Descendente se determina con base en la sig</w:t>
      </w:r>
      <w:r w:rsidRPr="00B25816">
        <w:rPr>
          <w:rFonts w:ascii="ITC Avant Garde" w:hAnsi="ITC Avant Garde"/>
          <w:lang w:val="es-ES_tradnl"/>
        </w:rPr>
        <w:t>uiente fórmula:</w:t>
      </w:r>
    </w:p>
    <w:p w:rsidR="00496B50" w:rsidRDefault="00496B50" w:rsidP="00496B50">
      <w:pPr>
        <w:pStyle w:val="Normal1"/>
        <w:spacing w:before="240" w:after="240"/>
        <w:ind w:left="1416"/>
        <w:contextualSpacing/>
        <w:jc w:val="both"/>
        <w:rPr>
          <w:rFonts w:ascii="ITC Avant Garde" w:hAnsi="ITC Avant Garde"/>
          <w:b/>
          <w:szCs w:val="22"/>
          <w:lang w:val="es-ES_tradnl"/>
        </w:rPr>
      </w:pPr>
      <m:oMathPara>
        <m:oMath>
          <m:r>
            <w:rPr>
              <w:rFonts w:ascii="Cambria Math" w:hAnsi="Cambria Math"/>
              <w:szCs w:val="22"/>
              <w:lang w:val="es-ES_tradnl"/>
            </w:rPr>
            <m:t>Tasa de Transmisión de Datos del Enlace Descendente=</m:t>
          </m:r>
          <m:f>
            <m:fPr>
              <m:ctrlPr>
                <w:rPr>
                  <w:rFonts w:ascii="Cambria Math" w:hAnsi="Cambria Math"/>
                  <w:i/>
                  <w:szCs w:val="22"/>
                  <w:lang w:val="es-ES_tradnl"/>
                </w:rPr>
              </m:ctrlPr>
            </m:fPr>
            <m:num>
              <m:nary>
                <m:naryPr>
                  <m:chr m:val="∑"/>
                  <m:limLoc m:val="undOvr"/>
                  <m:ctrlPr>
                    <w:rPr>
                      <w:rFonts w:ascii="Cambria Math" w:hAnsi="Cambria Math"/>
                      <w:i/>
                      <w:szCs w:val="22"/>
                      <w:lang w:val="es-ES_tradnl"/>
                    </w:rPr>
                  </m:ctrlPr>
                </m:naryPr>
                <m:sub>
                  <m:r>
                    <w:rPr>
                      <w:rFonts w:ascii="Cambria Math" w:hAnsi="Cambria Math"/>
                      <w:szCs w:val="22"/>
                      <w:lang w:val="es-ES_tradnl"/>
                    </w:rPr>
                    <m:t>i=1</m:t>
                  </m:r>
                </m:sub>
                <m:sup>
                  <m:sSub>
                    <m:sSubPr>
                      <m:ctrlPr>
                        <w:rPr>
                          <w:rFonts w:ascii="Cambria Math" w:hAnsi="Cambria Math"/>
                          <w:i/>
                          <w:szCs w:val="22"/>
                          <w:lang w:val="es-ES_tradnl"/>
                        </w:rPr>
                      </m:ctrlPr>
                    </m:sSubPr>
                    <m:e>
                      <m:r>
                        <w:rPr>
                          <w:rFonts w:ascii="Cambria Math" w:hAnsi="Cambria Math"/>
                          <w:szCs w:val="22"/>
                          <w:lang w:val="es-ES_tradnl"/>
                        </w:rPr>
                        <m:t>O</m:t>
                      </m:r>
                    </m:e>
                    <m:sub>
                      <m:r>
                        <w:rPr>
                          <w:rFonts w:ascii="Cambria Math" w:hAnsi="Cambria Math"/>
                          <w:szCs w:val="22"/>
                          <w:lang w:val="es-ES_tradnl"/>
                        </w:rPr>
                        <m:t>Td</m:t>
                      </m:r>
                    </m:sub>
                  </m:sSub>
                </m:sup>
                <m:e>
                  <m:f>
                    <m:fPr>
                      <m:ctrlPr>
                        <w:rPr>
                          <w:rFonts w:ascii="Cambria Math" w:hAnsi="Cambria Math"/>
                          <w:i/>
                          <w:szCs w:val="22"/>
                          <w:lang w:val="es-ES_tradnl"/>
                        </w:rPr>
                      </m:ctrlPr>
                    </m:fPr>
                    <m:num>
                      <m:sSub>
                        <m:sSubPr>
                          <m:ctrlPr>
                            <w:rPr>
                              <w:rFonts w:ascii="Cambria Math" w:hAnsi="Cambria Math"/>
                              <w:i/>
                              <w:szCs w:val="22"/>
                              <w:lang w:val="es-ES_tradnl"/>
                            </w:rPr>
                          </m:ctrlPr>
                        </m:sSubPr>
                        <m:e>
                          <m:r>
                            <w:rPr>
                              <w:rFonts w:ascii="Cambria Math" w:hAnsi="Cambria Math"/>
                              <w:szCs w:val="22"/>
                              <w:lang w:val="es-ES_tradnl"/>
                            </w:rPr>
                            <m:t>H</m:t>
                          </m:r>
                        </m:e>
                        <m:sub>
                          <m:r>
                            <w:rPr>
                              <w:rFonts w:ascii="Cambria Math" w:hAnsi="Cambria Math"/>
                              <w:szCs w:val="22"/>
                              <w:lang w:val="es-ES_tradnl"/>
                            </w:rPr>
                            <m:t>i</m:t>
                          </m:r>
                        </m:sub>
                      </m:sSub>
                    </m:num>
                    <m:den>
                      <m:r>
                        <w:rPr>
                          <w:rFonts w:ascii="Cambria Math" w:hAnsi="Cambria Math"/>
                          <w:szCs w:val="22"/>
                          <w:lang w:val="es-ES_tradnl"/>
                        </w:rPr>
                        <m:t>n</m:t>
                      </m:r>
                    </m:den>
                  </m:f>
                </m:e>
              </m:nary>
            </m:num>
            <m:den>
              <m:sSub>
                <m:sSubPr>
                  <m:ctrlPr>
                    <w:rPr>
                      <w:rFonts w:ascii="Cambria Math" w:hAnsi="Cambria Math"/>
                      <w:i/>
                      <w:szCs w:val="22"/>
                      <w:lang w:val="es-ES_tradnl"/>
                    </w:rPr>
                  </m:ctrlPr>
                </m:sSubPr>
                <m:e>
                  <m:r>
                    <w:rPr>
                      <w:rFonts w:ascii="Cambria Math" w:hAnsi="Cambria Math"/>
                      <w:szCs w:val="22"/>
                      <w:lang w:val="es-ES_tradnl"/>
                    </w:rPr>
                    <m:t>O</m:t>
                  </m:r>
                </m:e>
                <m:sub>
                  <m:r>
                    <w:rPr>
                      <w:rFonts w:ascii="Cambria Math" w:hAnsi="Cambria Math"/>
                      <w:szCs w:val="22"/>
                      <w:lang w:val="es-ES_tradnl"/>
                    </w:rPr>
                    <m:t>Td</m:t>
                  </m:r>
                </m:sub>
              </m:sSub>
              <m:r>
                <w:rPr>
                  <w:rFonts w:ascii="Cambria Math" w:hAnsi="Cambria Math"/>
                  <w:szCs w:val="22"/>
                  <w:lang w:val="es-ES_tradnl"/>
                </w:rPr>
                <m:t>-</m:t>
              </m:r>
              <m:sSub>
                <m:sSubPr>
                  <m:ctrlPr>
                    <w:rPr>
                      <w:rFonts w:ascii="Cambria Math" w:hAnsi="Cambria Math"/>
                      <w:i/>
                      <w:szCs w:val="22"/>
                      <w:lang w:val="es-ES_tradnl"/>
                    </w:rPr>
                  </m:ctrlPr>
                </m:sSubPr>
                <m:e>
                  <m:r>
                    <w:rPr>
                      <w:rFonts w:ascii="Cambria Math" w:hAnsi="Cambria Math"/>
                      <w:szCs w:val="22"/>
                      <w:lang w:val="es-ES_tradnl"/>
                    </w:rPr>
                    <m:t>O</m:t>
                  </m:r>
                </m:e>
                <m:sub>
                  <m:r>
                    <w:rPr>
                      <w:rFonts w:ascii="Cambria Math" w:hAnsi="Cambria Math"/>
                      <w:szCs w:val="22"/>
                      <w:lang w:val="es-ES_tradnl"/>
                    </w:rPr>
                    <m:t>Fd</m:t>
                  </m:r>
                </m:sub>
              </m:sSub>
            </m:den>
          </m:f>
          <m:d>
            <m:dPr>
              <m:begChr m:val="["/>
              <m:endChr m:val="]"/>
              <m:ctrlPr>
                <w:rPr>
                  <w:rFonts w:ascii="Cambria Math" w:hAnsi="Cambria Math"/>
                  <w:i/>
                  <w:szCs w:val="22"/>
                  <w:lang w:val="es-ES_tradnl"/>
                </w:rPr>
              </m:ctrlPr>
            </m:dPr>
            <m:e>
              <m:f>
                <m:fPr>
                  <m:ctrlPr>
                    <w:rPr>
                      <w:rFonts w:ascii="Cambria Math" w:hAnsi="Cambria Math"/>
                      <w:i/>
                      <w:szCs w:val="22"/>
                      <w:lang w:val="es-ES_tradnl"/>
                    </w:rPr>
                  </m:ctrlPr>
                </m:fPr>
                <m:num>
                  <m:r>
                    <w:rPr>
                      <w:rFonts w:ascii="Cambria Math" w:hAnsi="Cambria Math"/>
                      <w:szCs w:val="22"/>
                      <w:lang w:val="es-ES_tradnl"/>
                    </w:rPr>
                    <m:t>Mbits</m:t>
                  </m:r>
                </m:num>
                <m:den>
                  <m:r>
                    <w:rPr>
                      <w:rFonts w:ascii="Cambria Math" w:hAnsi="Cambria Math"/>
                      <w:szCs w:val="22"/>
                      <w:lang w:val="es-ES_tradnl"/>
                    </w:rPr>
                    <m:t>segundo</m:t>
                  </m:r>
                </m:den>
              </m:f>
            </m:e>
          </m:d>
        </m:oMath>
      </m:oMathPara>
    </w:p>
    <w:p w:rsidR="00496B50" w:rsidRDefault="00496B50" w:rsidP="00496B50">
      <w:pPr>
        <w:pStyle w:val="Normal1"/>
        <w:spacing w:before="240" w:after="240"/>
        <w:ind w:left="696" w:firstLine="720"/>
        <w:jc w:val="both"/>
        <w:rPr>
          <w:rFonts w:ascii="ITC Avant Garde" w:hAnsi="ITC Avant Garde"/>
          <w:b/>
          <w:szCs w:val="22"/>
          <w:lang w:val="es-ES_tradnl"/>
        </w:rPr>
      </w:pPr>
      <w:r w:rsidRPr="00B25816">
        <w:rPr>
          <w:rFonts w:ascii="ITC Avant Garde" w:hAnsi="ITC Avant Garde"/>
          <w:b/>
          <w:szCs w:val="22"/>
          <w:lang w:val="es-ES_tradnl"/>
        </w:rPr>
        <w:t>Donde:</w:t>
      </w:r>
    </w:p>
    <w:p w:rsidR="00496B50" w:rsidRPr="00B25816" w:rsidRDefault="00496B50" w:rsidP="00496B50">
      <w:pPr>
        <w:pStyle w:val="Normal1"/>
        <w:spacing w:before="240" w:after="240"/>
        <w:ind w:left="1416"/>
        <w:jc w:val="both"/>
        <w:rPr>
          <w:rFonts w:ascii="ITC Avant Garde" w:hAnsi="ITC Avant Garde"/>
          <w:szCs w:val="22"/>
          <w:lang w:val="es-ES_tradnl"/>
        </w:rPr>
      </w:pPr>
      <m:oMath>
        <m:sSub>
          <m:sSubPr>
            <m:ctrlPr>
              <w:rPr>
                <w:rFonts w:ascii="Cambria Math" w:hAnsi="Cambria Math"/>
                <w:i/>
                <w:szCs w:val="22"/>
                <w:lang w:val="es-ES_tradnl"/>
              </w:rPr>
            </m:ctrlPr>
          </m:sSubPr>
          <m:e>
            <m:r>
              <w:rPr>
                <w:rFonts w:ascii="Cambria Math" w:hAnsi="Cambria Math"/>
                <w:szCs w:val="22"/>
                <w:lang w:val="es-ES_tradnl"/>
              </w:rPr>
              <m:t>H</m:t>
            </m:r>
          </m:e>
          <m:sub>
            <m:r>
              <w:rPr>
                <w:rFonts w:ascii="Cambria Math" w:hAnsi="Cambria Math"/>
                <w:szCs w:val="22"/>
                <w:lang w:val="es-ES_tradnl"/>
              </w:rPr>
              <m:t>i</m:t>
            </m:r>
          </m:sub>
        </m:sSub>
      </m:oMath>
      <w:r w:rsidRPr="00B25816">
        <w:rPr>
          <w:rFonts w:ascii="ITC Avant Garde" w:hAnsi="ITC Avant Garde"/>
          <w:b/>
          <w:szCs w:val="22"/>
          <w:lang w:val="es-ES_tradnl"/>
        </w:rPr>
        <w:t xml:space="preserve"> </w:t>
      </w:r>
      <w:r w:rsidRPr="00B25816">
        <w:rPr>
          <w:rFonts w:ascii="ITC Avant Garde" w:hAnsi="ITC Avant Garde"/>
          <w:szCs w:val="22"/>
          <w:lang w:val="es-ES_tradnl"/>
        </w:rPr>
        <w:t xml:space="preserve">= cantidad de datos descargada o carga útil (del inglés, </w:t>
      </w:r>
      <w:proofErr w:type="spellStart"/>
      <w:r w:rsidRPr="00B25816">
        <w:rPr>
          <w:rFonts w:ascii="ITC Avant Garde" w:hAnsi="ITC Avant Garde"/>
          <w:i/>
          <w:szCs w:val="22"/>
          <w:lang w:val="es-ES_tradnl"/>
        </w:rPr>
        <w:t>payload</w:t>
      </w:r>
      <w:proofErr w:type="spellEnd"/>
      <w:r w:rsidRPr="00B25816">
        <w:rPr>
          <w:rFonts w:ascii="ITC Avant Garde" w:hAnsi="ITC Avant Garde"/>
          <w:szCs w:val="22"/>
          <w:lang w:val="es-ES_tradnl"/>
        </w:rPr>
        <w:t>) en Megabits del intento de sesión establecida exitosamente FTP</w:t>
      </w:r>
      <m:oMath>
        <m:r>
          <w:rPr>
            <w:rFonts w:ascii="Cambria Math" w:hAnsi="Cambria Math"/>
            <w:szCs w:val="22"/>
            <w:lang w:val="es-ES_tradnl"/>
          </w:rPr>
          <m:t>i</m:t>
        </m:r>
      </m:oMath>
      <w:r w:rsidRPr="00B25816">
        <w:rPr>
          <w:rFonts w:ascii="ITC Avant Garde" w:hAnsi="ITC Avant Garde"/>
          <w:szCs w:val="22"/>
          <w:lang w:val="es-ES_tradnl"/>
        </w:rPr>
        <w:t>;</w:t>
      </w:r>
    </w:p>
    <w:p w:rsidR="00496B50" w:rsidRPr="00B25816" w:rsidRDefault="00496B50" w:rsidP="00496B50">
      <w:pPr>
        <w:pStyle w:val="Normal1"/>
        <w:spacing w:before="240" w:after="240"/>
        <w:ind w:left="1416"/>
        <w:jc w:val="both"/>
        <w:rPr>
          <w:rFonts w:ascii="ITC Avant Garde" w:hAnsi="ITC Avant Garde"/>
          <w:szCs w:val="22"/>
          <w:lang w:val="es-ES_tradnl"/>
        </w:rPr>
      </w:pPr>
      <m:oMath>
        <m:r>
          <w:rPr>
            <w:rFonts w:ascii="Cambria Math" w:hAnsi="Cambria Math"/>
            <w:szCs w:val="22"/>
            <w:lang w:val="es-ES_tradnl"/>
          </w:rPr>
          <m:t>n</m:t>
        </m:r>
      </m:oMath>
      <w:r w:rsidRPr="00B25816">
        <w:rPr>
          <w:rFonts w:ascii="ITC Avant Garde" w:hAnsi="ITC Avant Garde"/>
          <w:b/>
          <w:szCs w:val="22"/>
          <w:lang w:val="es-ES_tradnl"/>
        </w:rPr>
        <w:t xml:space="preserve"> </w:t>
      </w:r>
      <w:r w:rsidRPr="00B25816">
        <w:rPr>
          <w:rFonts w:ascii="ITC Avant Garde" w:hAnsi="ITC Avant Garde"/>
          <w:szCs w:val="22"/>
          <w:lang w:val="es-ES_tradnl"/>
        </w:rPr>
        <w:t>= duración en segundos de la sesión FTP establecida;</w:t>
      </w:r>
    </w:p>
    <w:p w:rsidR="00496B50" w:rsidRPr="00B25816" w:rsidRDefault="00496B50" w:rsidP="00496B50">
      <w:pPr>
        <w:pStyle w:val="Normal1"/>
        <w:spacing w:before="240" w:after="240"/>
        <w:ind w:left="1416"/>
        <w:jc w:val="both"/>
        <w:rPr>
          <w:rFonts w:ascii="ITC Avant Garde" w:hAnsi="ITC Avant Garde"/>
          <w:szCs w:val="22"/>
          <w:lang w:val="es-ES_tradnl"/>
        </w:rPr>
      </w:pPr>
      <m:oMath>
        <m:r>
          <w:rPr>
            <w:rFonts w:ascii="Cambria Math" w:hAnsi="Cambria Math"/>
            <w:szCs w:val="22"/>
            <w:lang w:val="es-ES_tradnl"/>
          </w:rPr>
          <m:t xml:space="preserve"> </m:t>
        </m:r>
        <m:sSub>
          <m:sSubPr>
            <m:ctrlPr>
              <w:rPr>
                <w:rFonts w:ascii="Cambria Math" w:hAnsi="Cambria Math"/>
                <w:i/>
                <w:szCs w:val="22"/>
                <w:lang w:val="es-ES_tradnl"/>
              </w:rPr>
            </m:ctrlPr>
          </m:sSubPr>
          <m:e>
            <m:r>
              <w:rPr>
                <w:rFonts w:ascii="Cambria Math" w:hAnsi="Cambria Math"/>
                <w:szCs w:val="22"/>
                <w:lang w:val="es-ES_tradnl"/>
              </w:rPr>
              <m:t>O</m:t>
            </m:r>
          </m:e>
          <m:sub>
            <m:r>
              <w:rPr>
                <w:rFonts w:ascii="Cambria Math" w:hAnsi="Cambria Math"/>
                <w:szCs w:val="22"/>
                <w:lang w:val="es-ES_tradnl"/>
              </w:rPr>
              <m:t>Fd</m:t>
            </m:r>
          </m:sub>
        </m:sSub>
      </m:oMath>
      <w:r w:rsidRPr="00B25816">
        <w:rPr>
          <w:rFonts w:ascii="ITC Avant Garde" w:hAnsi="ITC Avant Garde"/>
          <w:szCs w:val="22"/>
          <w:lang w:val="es-ES_tradnl"/>
        </w:rPr>
        <w:t xml:space="preserve"> = número de intentos de sesiones fallidas FTP de descarga, y;</w:t>
      </w:r>
    </w:p>
    <w:p w:rsidR="00496B50" w:rsidRDefault="00496B50" w:rsidP="00496B50">
      <w:pPr>
        <w:pStyle w:val="Normal1"/>
        <w:spacing w:before="240" w:after="240"/>
        <w:ind w:left="1428"/>
        <w:contextualSpacing/>
        <w:jc w:val="both"/>
        <w:rPr>
          <w:rFonts w:ascii="ITC Avant Garde" w:hAnsi="ITC Avant Garde"/>
          <w:szCs w:val="22"/>
          <w:lang w:val="es-ES_tradnl"/>
        </w:rPr>
      </w:pPr>
      <m:oMath>
        <m:sSub>
          <m:sSubPr>
            <m:ctrlPr>
              <w:rPr>
                <w:rFonts w:ascii="Cambria Math" w:hAnsi="Cambria Math"/>
                <w:i/>
                <w:szCs w:val="22"/>
                <w:lang w:val="es-ES_tradnl"/>
              </w:rPr>
            </m:ctrlPr>
          </m:sSubPr>
          <m:e>
            <m:r>
              <w:rPr>
                <w:rFonts w:ascii="Cambria Math" w:hAnsi="Cambria Math"/>
                <w:szCs w:val="22"/>
                <w:lang w:val="es-ES_tradnl"/>
              </w:rPr>
              <m:t>O</m:t>
            </m:r>
          </m:e>
          <m:sub>
            <m:r>
              <w:rPr>
                <w:rFonts w:ascii="Cambria Math" w:hAnsi="Cambria Math"/>
                <w:szCs w:val="22"/>
                <w:lang w:val="es-ES_tradnl"/>
              </w:rPr>
              <m:t>Td</m:t>
            </m:r>
          </m:sub>
        </m:sSub>
      </m:oMath>
      <w:r w:rsidRPr="00B25816">
        <w:rPr>
          <w:rFonts w:ascii="ITC Avant Garde" w:hAnsi="ITC Avant Garde"/>
          <w:szCs w:val="22"/>
          <w:lang w:val="es-ES_tradnl"/>
        </w:rPr>
        <w:t xml:space="preserve"> = número total de intentos de sesiones FTP de descarga.</w:t>
      </w:r>
    </w:p>
    <w:p w:rsidR="00496B50" w:rsidRDefault="00496B50" w:rsidP="00496B50">
      <w:pPr>
        <w:pStyle w:val="Prrafodelista"/>
        <w:spacing w:before="240" w:after="240"/>
        <w:ind w:left="1428"/>
        <w:jc w:val="both"/>
        <w:rPr>
          <w:rFonts w:ascii="ITC Avant Garde" w:hAnsi="ITC Avant Garde"/>
          <w:lang w:val="es-ES_tradnl"/>
        </w:rPr>
      </w:pPr>
      <w:r w:rsidRPr="00B25816">
        <w:rPr>
          <w:rFonts w:ascii="ITC Avant Garde" w:hAnsi="ITC Avant Garde"/>
          <w:lang w:val="es-ES_tradnl"/>
        </w:rPr>
        <w:lastRenderedPageBreak/>
        <w:t>Serán consideradas como fallidas aquellas sesiones FTP que no logren establecer conexión con el servidor definido por el Instituto para tales efectos;</w:t>
      </w:r>
    </w:p>
    <w:p w:rsidR="00496B50" w:rsidRPr="00B25816" w:rsidRDefault="00496B50" w:rsidP="00496B50">
      <w:pPr>
        <w:pStyle w:val="Prrafodelista"/>
        <w:numPr>
          <w:ilvl w:val="0"/>
          <w:numId w:val="23"/>
        </w:numPr>
        <w:spacing w:before="240" w:after="240" w:line="276" w:lineRule="auto"/>
        <w:jc w:val="both"/>
        <w:rPr>
          <w:rFonts w:ascii="ITC Avant Garde" w:hAnsi="ITC Avant Garde"/>
          <w:lang w:val="es-ES_tradnl"/>
        </w:rPr>
      </w:pPr>
      <w:r w:rsidRPr="00B25816">
        <w:rPr>
          <w:rFonts w:ascii="ITC Avant Garde" w:hAnsi="ITC Avant Garde"/>
          <w:lang w:val="es-ES_tradnl"/>
        </w:rPr>
        <w:t>Se establecerá una sesión de FTP para cada evaluación de la Tasa de Transmisión de Datos promedio del Enlace Descendente y, otra sesión independiente de FTP para cada evaluación de la Tasa de Transmisión de Datos promedio del Enlace Ascendente;</w:t>
      </w:r>
    </w:p>
    <w:p w:rsidR="00496B50" w:rsidRPr="00B25816" w:rsidRDefault="00496B50" w:rsidP="00496B50">
      <w:pPr>
        <w:pStyle w:val="Prrafodelista"/>
        <w:spacing w:before="240" w:after="240"/>
        <w:ind w:left="1428"/>
        <w:jc w:val="both"/>
        <w:rPr>
          <w:rFonts w:ascii="ITC Avant Garde" w:hAnsi="ITC Avant Garde"/>
          <w:lang w:val="es-ES_tradnl"/>
        </w:rPr>
      </w:pPr>
      <w:r w:rsidRPr="00B25816">
        <w:rPr>
          <w:rFonts w:ascii="ITC Avant Garde" w:hAnsi="ITC Avant Garde"/>
          <w:lang w:val="es-ES_tradnl"/>
        </w:rPr>
        <w:t xml:space="preserve"> </w:t>
      </w:r>
    </w:p>
    <w:p w:rsidR="00496B50" w:rsidRDefault="00496B50" w:rsidP="00496B50">
      <w:pPr>
        <w:pStyle w:val="Prrafodelista"/>
        <w:numPr>
          <w:ilvl w:val="0"/>
          <w:numId w:val="23"/>
        </w:numPr>
        <w:spacing w:before="240" w:after="240" w:line="276" w:lineRule="auto"/>
        <w:jc w:val="both"/>
        <w:rPr>
          <w:rFonts w:ascii="ITC Avant Garde" w:hAnsi="ITC Avant Garde"/>
          <w:lang w:val="es-ES_tradnl"/>
        </w:rPr>
      </w:pPr>
      <w:r w:rsidRPr="00B25816">
        <w:rPr>
          <w:rFonts w:ascii="ITC Avant Garde" w:hAnsi="ITC Avant Garde"/>
          <w:lang w:val="es-ES_tradnl"/>
        </w:rPr>
        <w:t>Previo a cada sesión FTP se establecerá el servicio IP. El tiempo máximo para el establecimiento del servicio IP será de 15 segundos contados a partir de que se inicia el Evento correspondiente. En caso de que se supere dicho tiempo, se considerará como sesión fallida;</w:t>
      </w:r>
    </w:p>
    <w:p w:rsidR="00496B50" w:rsidRDefault="00496B50" w:rsidP="00496B50">
      <w:pPr>
        <w:pStyle w:val="Prrafodelista"/>
        <w:numPr>
          <w:ilvl w:val="0"/>
          <w:numId w:val="23"/>
        </w:numPr>
        <w:spacing w:before="240" w:after="240" w:line="276" w:lineRule="auto"/>
        <w:jc w:val="both"/>
        <w:rPr>
          <w:rFonts w:ascii="ITC Avant Garde" w:hAnsi="ITC Avant Garde"/>
          <w:lang w:val="es-ES_tradnl"/>
        </w:rPr>
      </w:pPr>
      <w:r w:rsidRPr="00B25816">
        <w:rPr>
          <w:rFonts w:ascii="ITC Avant Garde" w:hAnsi="ITC Avant Garde"/>
          <w:lang w:val="es-ES_tradnl"/>
        </w:rPr>
        <w:t>El tiempo máximo para el inicio exitoso de una sesión de FTP será de 10 segundos contados a partir de que se haya establecido el servicio IP;</w:t>
      </w:r>
    </w:p>
    <w:p w:rsidR="00496B50" w:rsidRDefault="00496B50" w:rsidP="00496B50">
      <w:pPr>
        <w:pStyle w:val="Prrafodelista"/>
        <w:numPr>
          <w:ilvl w:val="0"/>
          <w:numId w:val="23"/>
        </w:numPr>
        <w:spacing w:before="240" w:after="240" w:line="276" w:lineRule="auto"/>
        <w:jc w:val="both"/>
        <w:rPr>
          <w:rFonts w:ascii="ITC Avant Garde" w:hAnsi="ITC Avant Garde"/>
          <w:lang w:val="es-ES_tradnl"/>
        </w:rPr>
      </w:pPr>
      <w:r w:rsidRPr="00B25816">
        <w:rPr>
          <w:rFonts w:ascii="ITC Avant Garde" w:hAnsi="ITC Avant Garde"/>
          <w:lang w:val="es-ES_tradnl"/>
        </w:rPr>
        <w:t>Una vez establecida cada sesión de FTP (inicio exitoso), se deberá tomar en cuenta un tiempo de guarda de 500 milisegundos con el objetivo de tomar en cuenta el tiempo necesario para la estabilización de la Tasa de Transmisión de Datos propio del protocolo TCP;</w:t>
      </w:r>
    </w:p>
    <w:p w:rsidR="00496B50" w:rsidRDefault="00496B50" w:rsidP="00496B50">
      <w:pPr>
        <w:pStyle w:val="Prrafodelista"/>
        <w:numPr>
          <w:ilvl w:val="0"/>
          <w:numId w:val="23"/>
        </w:numPr>
        <w:spacing w:before="240" w:after="240" w:line="276" w:lineRule="auto"/>
        <w:jc w:val="both"/>
        <w:rPr>
          <w:rFonts w:ascii="ITC Avant Garde" w:hAnsi="ITC Avant Garde"/>
          <w:lang w:val="es-ES_tradnl"/>
        </w:rPr>
      </w:pPr>
      <w:r w:rsidRPr="00B25816">
        <w:rPr>
          <w:rFonts w:ascii="ITC Avant Garde" w:hAnsi="ITC Avant Garde"/>
          <w:lang w:val="es-ES_tradnl"/>
        </w:rPr>
        <w:t>El tiempo para evaluar la Tasa de Transmisión de Datos promedio del Enlace Descendente será de 10 segundos, medidos a partir del tiempo de guarda posterior al inicio exitoso de la sesión de FTP correspondiente. En caso de que la sesión de FTP sea interrumpida, se tomará en cuenta la cantidad de datos que haya logrado ser descargada en dicha sesión. La cantidad de datos descargada, medida en Megabits, será promediada en los 10 segundos que dura la prueba para determinar la Tasa de Transmisión de Datos promedio del Enlace Descendente;</w:t>
      </w:r>
    </w:p>
    <w:p w:rsidR="00496B50" w:rsidRDefault="00496B50" w:rsidP="00496B50">
      <w:pPr>
        <w:pStyle w:val="Prrafodelista"/>
        <w:numPr>
          <w:ilvl w:val="0"/>
          <w:numId w:val="23"/>
        </w:numPr>
        <w:spacing w:before="240" w:after="240" w:line="276" w:lineRule="auto"/>
        <w:jc w:val="both"/>
        <w:rPr>
          <w:rFonts w:ascii="ITC Avant Garde" w:hAnsi="ITC Avant Garde"/>
          <w:lang w:val="es-ES_tradnl"/>
        </w:rPr>
      </w:pPr>
      <w:r w:rsidRPr="00B25816">
        <w:rPr>
          <w:rFonts w:ascii="ITC Avant Garde" w:hAnsi="ITC Avant Garde"/>
          <w:lang w:val="es-ES_tradnl"/>
        </w:rPr>
        <w:t>El tiempo para evaluar la Tasa de Transmisión de Datos promedio del Enlace Ascendente será de 10 segundos, medidos a partir del tiempo de guarda posterior al inicio exitoso de la sesión de FTP correspondiente. En caso de que la sesión de FTP sea interrumpida, se tomará en cuenta la cantidad de datos que haya logrado ser cargada en dicha sesión. La cantidad de datos cargada, medida en Megabits, será promediada en los 10 segundos que dura la prueba para determinar la Tasa de Transmisión de Datos promedio del Enlace Ascendente;</w:t>
      </w:r>
    </w:p>
    <w:p w:rsidR="00496B50" w:rsidRDefault="00496B50" w:rsidP="00496B50">
      <w:pPr>
        <w:pStyle w:val="Prrafodelista"/>
        <w:numPr>
          <w:ilvl w:val="0"/>
          <w:numId w:val="23"/>
        </w:numPr>
        <w:spacing w:before="240" w:after="240" w:line="276" w:lineRule="auto"/>
        <w:jc w:val="both"/>
        <w:rPr>
          <w:rFonts w:ascii="ITC Avant Garde" w:hAnsi="ITC Avant Garde"/>
          <w:lang w:val="es-ES_tradnl"/>
        </w:rPr>
      </w:pPr>
      <w:r w:rsidRPr="00B25816">
        <w:rPr>
          <w:rFonts w:ascii="ITC Avant Garde" w:hAnsi="ITC Avant Garde"/>
          <w:lang w:val="es-ES_tradnl"/>
        </w:rPr>
        <w:t>El tiempo de guarda entre la evaluación de la Tasa de Transmisión de Datos promedio del Enlace Descendente y la evaluación de la Tasa de Transmisión de Datos promedio del Enlace Ascendente será de 10 segundos;</w:t>
      </w:r>
    </w:p>
    <w:p w:rsidR="00496B50" w:rsidRPr="00B25816" w:rsidRDefault="00496B50" w:rsidP="00496B50">
      <w:pPr>
        <w:pStyle w:val="Prrafodelista"/>
        <w:numPr>
          <w:ilvl w:val="0"/>
          <w:numId w:val="23"/>
        </w:numPr>
        <w:spacing w:before="240" w:after="240" w:line="276" w:lineRule="auto"/>
        <w:jc w:val="both"/>
        <w:rPr>
          <w:rFonts w:ascii="ITC Avant Garde" w:hAnsi="ITC Avant Garde"/>
          <w:lang w:val="es-ES_tradnl"/>
        </w:rPr>
      </w:pPr>
      <w:r w:rsidRPr="00B25816">
        <w:rPr>
          <w:rFonts w:ascii="ITC Avant Garde" w:hAnsi="ITC Avant Garde"/>
          <w:lang w:val="es-ES_tradnl"/>
        </w:rPr>
        <w:t>El siguiente diagrama muestra la secuencia de tiempos para la evaluación los Parámetros de Cobertura:</w:t>
      </w:r>
    </w:p>
    <w:p w:rsidR="00496B50" w:rsidRDefault="00496B50" w:rsidP="00496B50">
      <w:pPr>
        <w:spacing w:before="240" w:after="240"/>
        <w:jc w:val="center"/>
        <w:rPr>
          <w:rFonts w:ascii="ITC Avant Garde" w:hAnsi="ITC Avant Garde"/>
          <w:lang w:val="es-ES_tradnl"/>
        </w:rPr>
      </w:pPr>
      <w:r>
        <w:rPr>
          <w:rFonts w:ascii="ITC Avant Garde" w:hAnsi="ITC Avant Garde"/>
          <w:noProof/>
        </w:rPr>
        <w:lastRenderedPageBreak/>
        <w:drawing>
          <wp:inline distT="0" distB="0" distL="0" distR="0" wp14:anchorId="16389B86" wp14:editId="14B31ECD">
            <wp:extent cx="5789665" cy="3172571"/>
            <wp:effectExtent l="0" t="0" r="1905" b="8890"/>
            <wp:docPr id="7" name="Imagen 7" descr="Diagrama de la secuencia de tiempos para la evaluación los Parámetros de Cobertura"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06200" cy="3181632"/>
                    </a:xfrm>
                    <a:prstGeom prst="rect">
                      <a:avLst/>
                    </a:prstGeom>
                    <a:noFill/>
                    <a:ln>
                      <a:noFill/>
                    </a:ln>
                  </pic:spPr>
                </pic:pic>
              </a:graphicData>
            </a:graphic>
          </wp:inline>
        </w:drawing>
      </w:r>
    </w:p>
    <w:p w:rsidR="00496B50" w:rsidRDefault="00496B50" w:rsidP="00496B50">
      <w:pPr>
        <w:pStyle w:val="Prrafodelista"/>
        <w:numPr>
          <w:ilvl w:val="0"/>
          <w:numId w:val="23"/>
        </w:numPr>
        <w:spacing w:before="240" w:after="240" w:line="276" w:lineRule="auto"/>
        <w:jc w:val="both"/>
        <w:rPr>
          <w:rFonts w:ascii="ITC Avant Garde" w:hAnsi="ITC Avant Garde"/>
          <w:lang w:val="es-ES_tradnl"/>
        </w:rPr>
      </w:pPr>
      <w:r w:rsidRPr="00B25816">
        <w:rPr>
          <w:rFonts w:ascii="ITC Avant Garde" w:hAnsi="ITC Avant Garde"/>
          <w:lang w:val="es-ES_tradnl"/>
        </w:rPr>
        <w:t>Para determinar el cumplimiento o incumplimiento de los Parámetros de Cobertura se realizará una prueba de hipótesis con base en los resultados del Ejercicio de Medición de conformidad con lo establecido en el numeral 11. A partir de dicha prueba se determinará si existe suficiente evidencia en la muestra seleccionada para inferir que se está cumpliendo con los Parámetros de Cobertura.</w:t>
      </w:r>
    </w:p>
    <w:p w:rsidR="00496B50" w:rsidRDefault="00496B50" w:rsidP="00496B50">
      <w:pPr>
        <w:pStyle w:val="Prrafodelista"/>
        <w:numPr>
          <w:ilvl w:val="0"/>
          <w:numId w:val="16"/>
        </w:numPr>
        <w:spacing w:before="240" w:after="240" w:line="276" w:lineRule="auto"/>
        <w:jc w:val="both"/>
        <w:rPr>
          <w:rFonts w:ascii="ITC Avant Garde" w:hAnsi="ITC Avant Garde"/>
          <w:b/>
          <w:lang w:val="es-ES_tradnl"/>
        </w:rPr>
      </w:pPr>
      <w:r w:rsidRPr="00B25816">
        <w:rPr>
          <w:rFonts w:ascii="ITC Avant Garde" w:hAnsi="ITC Avant Garde"/>
          <w:b/>
          <w:lang w:val="es-ES_tradnl"/>
        </w:rPr>
        <w:t xml:space="preserve">Entrega de Información técnica de la red. </w:t>
      </w:r>
      <w:r w:rsidRPr="00B25816">
        <w:rPr>
          <w:rFonts w:ascii="ITC Avant Garde" w:hAnsi="ITC Avant Garde"/>
          <w:lang w:val="es-ES_tradnl"/>
        </w:rPr>
        <w:t>El Concesionario Mayorista deberá entregar la información técnica de la red de conformidad con los siguientes criterios:</w:t>
      </w:r>
    </w:p>
    <w:p w:rsidR="00496B50" w:rsidRDefault="00496B50" w:rsidP="00496B50">
      <w:pPr>
        <w:pStyle w:val="Normal1"/>
        <w:numPr>
          <w:ilvl w:val="0"/>
          <w:numId w:val="18"/>
        </w:numPr>
        <w:spacing w:before="240" w:after="240"/>
        <w:jc w:val="both"/>
        <w:rPr>
          <w:rFonts w:ascii="ITC Avant Garde" w:hAnsi="ITC Avant Garde"/>
          <w:color w:val="auto"/>
          <w:szCs w:val="22"/>
          <w:lang w:val="es-ES_tradnl"/>
        </w:rPr>
      </w:pPr>
      <w:r w:rsidRPr="00B25816">
        <w:rPr>
          <w:rFonts w:ascii="ITC Avant Garde" w:hAnsi="ITC Avant Garde"/>
          <w:color w:val="auto"/>
          <w:szCs w:val="22"/>
          <w:lang w:val="es-ES_tradnl"/>
        </w:rPr>
        <w:t xml:space="preserve">En cada año en el que se llevarán a cabo las mediciones objeto de la presente metodología, o cuando el Instituto lo requiera, el Concesionario Mayorista deberá conservar los archivos de Contadores de Desempeño de un mes calendario, extraídos de sus Sistemas de Gestión, sin haber sido manipulados y conservarlos durante los próximos tres meses. </w:t>
      </w:r>
      <w:r w:rsidRPr="00B25816">
        <w:rPr>
          <w:rFonts w:ascii="ITC Avant Garde" w:hAnsi="ITC Avant Garde"/>
          <w:lang w:val="es-ES_tradnl"/>
        </w:rPr>
        <w:t xml:space="preserve">Los archivos deberán contener la información del tráfico de datos correspondiente a las 24 horas del día a nivel Sector de </w:t>
      </w:r>
      <w:proofErr w:type="spellStart"/>
      <w:r w:rsidRPr="00B25816">
        <w:rPr>
          <w:rFonts w:ascii="ITC Avant Garde" w:hAnsi="ITC Avant Garde"/>
          <w:lang w:val="es-ES_tradnl"/>
        </w:rPr>
        <w:t>Radiobase</w:t>
      </w:r>
      <w:proofErr w:type="spellEnd"/>
      <w:r w:rsidRPr="00B25816">
        <w:rPr>
          <w:rFonts w:ascii="ITC Avant Garde" w:hAnsi="ITC Avant Garde"/>
          <w:lang w:val="es-ES_tradnl"/>
        </w:rPr>
        <w:t>;</w:t>
      </w:r>
    </w:p>
    <w:p w:rsidR="00496B50" w:rsidRDefault="00496B50" w:rsidP="00496B50">
      <w:pPr>
        <w:pStyle w:val="Prrafodelista"/>
        <w:numPr>
          <w:ilvl w:val="0"/>
          <w:numId w:val="18"/>
        </w:numPr>
        <w:spacing w:before="240" w:after="240" w:line="276" w:lineRule="auto"/>
        <w:jc w:val="both"/>
        <w:rPr>
          <w:rFonts w:ascii="ITC Avant Garde" w:hAnsi="ITC Avant Garde"/>
          <w:lang w:val="es-ES_tradnl"/>
        </w:rPr>
      </w:pPr>
      <w:r w:rsidRPr="00B25816">
        <w:rPr>
          <w:rFonts w:ascii="ITC Avant Garde" w:hAnsi="ITC Avant Garde"/>
          <w:lang w:val="es-ES_tradnl"/>
        </w:rPr>
        <w:t>El Concesionario Mayorista deberá poner a disposición del Instituto los referidos archivos de Contadores de Desempeño a través de un repositorio FTP al que el Instituto tendrá acceso en todo momento. Asimismo, el Concesionario Mayorista deberá entregar al Instituto, un listado, en formato (.</w:t>
      </w:r>
      <w:proofErr w:type="spellStart"/>
      <w:r w:rsidRPr="00B25816">
        <w:rPr>
          <w:rFonts w:ascii="ITC Avant Garde" w:hAnsi="ITC Avant Garde"/>
          <w:lang w:val="es-ES_tradnl"/>
        </w:rPr>
        <w:t>csv</w:t>
      </w:r>
      <w:proofErr w:type="spellEnd"/>
      <w:r w:rsidRPr="00B25816">
        <w:rPr>
          <w:rFonts w:ascii="ITC Avant Garde" w:hAnsi="ITC Avant Garde"/>
          <w:lang w:val="es-ES_tradnl"/>
        </w:rPr>
        <w:t xml:space="preserve">) separado por comas, con la posición georreferenciada de cada </w:t>
      </w:r>
      <w:r w:rsidRPr="00B25816">
        <w:rPr>
          <w:rFonts w:ascii="ITC Avant Garde" w:hAnsi="ITC Avant Garde"/>
          <w:lang w:val="es-ES_tradnl"/>
        </w:rPr>
        <w:lastRenderedPageBreak/>
        <w:t xml:space="preserve">Sector de </w:t>
      </w:r>
      <w:proofErr w:type="spellStart"/>
      <w:r w:rsidRPr="00B25816">
        <w:rPr>
          <w:rFonts w:ascii="ITC Avant Garde" w:hAnsi="ITC Avant Garde"/>
          <w:lang w:val="es-ES_tradnl"/>
        </w:rPr>
        <w:t>Radiobase</w:t>
      </w:r>
      <w:proofErr w:type="spellEnd"/>
      <w:r w:rsidRPr="00B25816">
        <w:rPr>
          <w:rFonts w:ascii="ITC Avant Garde" w:hAnsi="ITC Avant Garde"/>
          <w:lang w:val="es-ES_tradnl"/>
        </w:rPr>
        <w:t xml:space="preserve"> que incluya, al menos, latitud y longitud en formato decimal y con una precisión de 5 decimales. Todos los Sectores de </w:t>
      </w:r>
      <w:proofErr w:type="spellStart"/>
      <w:r w:rsidRPr="00B25816">
        <w:rPr>
          <w:rFonts w:ascii="ITC Avant Garde" w:hAnsi="ITC Avant Garde"/>
          <w:lang w:val="es-ES_tradnl"/>
        </w:rPr>
        <w:t>Radiobases</w:t>
      </w:r>
      <w:proofErr w:type="spellEnd"/>
      <w:r w:rsidRPr="00B25816">
        <w:rPr>
          <w:rFonts w:ascii="ITC Avant Garde" w:hAnsi="ITC Avant Garde"/>
          <w:lang w:val="es-ES_tradnl"/>
        </w:rPr>
        <w:t xml:space="preserve"> de los archivos de Contadores de Desempeño deberán poder ser identificados y georreferenciados con el objetivo de verificar que se encuentren dentro del Mapa de Cobertura entregado por el Concesionario Mayorista. Dichos archivos de Contadores de Desempeño correspondientes a cada mes calendario así como el listado deberán estar disponibles en el repositorio durante los siguientes cinco (5) días hábiles posteriores a la conclusión del mes calendario a que se refiere el numeral anterior;</w:t>
      </w:r>
    </w:p>
    <w:p w:rsidR="00496B50" w:rsidRDefault="00496B50" w:rsidP="00496B50">
      <w:pPr>
        <w:pStyle w:val="Normal1"/>
        <w:numPr>
          <w:ilvl w:val="0"/>
          <w:numId w:val="18"/>
        </w:numPr>
        <w:spacing w:before="240" w:after="240"/>
        <w:jc w:val="both"/>
        <w:rPr>
          <w:rFonts w:ascii="ITC Avant Garde" w:hAnsi="ITC Avant Garde"/>
          <w:color w:val="auto"/>
          <w:lang w:val="es-ES_tradnl"/>
        </w:rPr>
      </w:pPr>
      <w:r w:rsidRPr="00B25816">
        <w:rPr>
          <w:rFonts w:ascii="ITC Avant Garde" w:hAnsi="ITC Avant Garde"/>
          <w:lang w:val="es-ES_tradnl"/>
        </w:rPr>
        <w:t>Los archivos de Contadores de Desempeño deberán contener, al menos, el volumen de datos PDCP acumulado durante períodos de 60 minutos</w:t>
      </w:r>
      <w:r w:rsidRPr="00B25816">
        <w:rPr>
          <w:color w:val="1F497D"/>
          <w:lang w:val="es-ES_tradnl"/>
        </w:rPr>
        <w:t xml:space="preserve"> </w:t>
      </w:r>
      <w:r w:rsidRPr="00B25816">
        <w:rPr>
          <w:rFonts w:ascii="ITC Avant Garde" w:hAnsi="ITC Avant Garde"/>
          <w:lang w:val="es-ES_tradnl"/>
        </w:rPr>
        <w:t xml:space="preserve">el cual deberá representar la demanda agregada de tráfico de todos los usuarios para cada Sector de </w:t>
      </w:r>
      <w:proofErr w:type="spellStart"/>
      <w:r w:rsidRPr="00B25816">
        <w:rPr>
          <w:rFonts w:ascii="ITC Avant Garde" w:hAnsi="ITC Avant Garde"/>
          <w:lang w:val="es-ES_tradnl"/>
        </w:rPr>
        <w:t>Radiobase</w:t>
      </w:r>
      <w:proofErr w:type="spellEnd"/>
      <w:r w:rsidRPr="00B25816">
        <w:rPr>
          <w:rFonts w:ascii="ITC Avant Garde" w:hAnsi="ITC Avant Garde"/>
          <w:lang w:val="es-ES_tradnl"/>
        </w:rPr>
        <w:t xml:space="preserve"> de la red, y</w:t>
      </w:r>
    </w:p>
    <w:p w:rsidR="00496B50" w:rsidRDefault="00496B50" w:rsidP="00496B50">
      <w:pPr>
        <w:pStyle w:val="Normal1"/>
        <w:numPr>
          <w:ilvl w:val="0"/>
          <w:numId w:val="18"/>
        </w:numPr>
        <w:spacing w:before="240" w:after="240"/>
        <w:jc w:val="both"/>
        <w:rPr>
          <w:rFonts w:ascii="ITC Avant Garde" w:hAnsi="ITC Avant Garde"/>
          <w:color w:val="auto"/>
          <w:szCs w:val="22"/>
          <w:lang w:val="es-ES_tradnl"/>
        </w:rPr>
      </w:pPr>
      <w:r w:rsidRPr="00B25816">
        <w:rPr>
          <w:rFonts w:ascii="ITC Avant Garde" w:hAnsi="ITC Avant Garde"/>
          <w:color w:val="auto"/>
          <w:szCs w:val="22"/>
          <w:lang w:val="es-ES_tradnl"/>
        </w:rPr>
        <w:t xml:space="preserve">A partir de la información entregada, el Instituto llevará a cabo un análisis del tráfico que le permita identificar las Horas Pico de la Red. </w:t>
      </w:r>
    </w:p>
    <w:p w:rsidR="00496B50" w:rsidRDefault="00496B50" w:rsidP="00496B50">
      <w:pPr>
        <w:pStyle w:val="Prrafodelista"/>
        <w:numPr>
          <w:ilvl w:val="0"/>
          <w:numId w:val="16"/>
        </w:numPr>
        <w:spacing w:before="240" w:after="240" w:line="276" w:lineRule="auto"/>
        <w:jc w:val="both"/>
        <w:rPr>
          <w:rFonts w:ascii="ITC Avant Garde" w:hAnsi="ITC Avant Garde"/>
          <w:b/>
          <w:lang w:val="es-ES_tradnl"/>
        </w:rPr>
      </w:pPr>
      <w:r w:rsidRPr="00B25816">
        <w:rPr>
          <w:rFonts w:ascii="ITC Avant Garde" w:hAnsi="ITC Avant Garde"/>
          <w:b/>
          <w:lang w:val="es-ES_tradnl"/>
        </w:rPr>
        <w:t xml:space="preserve">Determinación de las Horas Pico de la Red. </w:t>
      </w:r>
      <w:r w:rsidRPr="00B25816">
        <w:rPr>
          <w:rFonts w:ascii="ITC Avant Garde" w:hAnsi="ITC Avant Garde"/>
          <w:lang w:val="es-ES_tradnl"/>
        </w:rPr>
        <w:t>A efectos de determinar la Hora Pico de la Red se deberá considerar lo siguiente:</w:t>
      </w:r>
      <w:r w:rsidRPr="00B25816">
        <w:rPr>
          <w:rFonts w:ascii="ITC Avant Garde" w:hAnsi="ITC Avant Garde"/>
          <w:b/>
          <w:lang w:val="es-ES_tradnl"/>
        </w:rPr>
        <w:t xml:space="preserve"> </w:t>
      </w:r>
    </w:p>
    <w:p w:rsidR="00496B50" w:rsidRDefault="00496B50" w:rsidP="00496B50">
      <w:pPr>
        <w:pStyle w:val="Prrafodelista"/>
        <w:numPr>
          <w:ilvl w:val="0"/>
          <w:numId w:val="25"/>
        </w:numPr>
        <w:spacing w:before="240" w:after="240" w:line="276" w:lineRule="auto"/>
        <w:ind w:left="1418"/>
        <w:jc w:val="both"/>
        <w:rPr>
          <w:rFonts w:ascii="ITC Avant Garde" w:hAnsi="ITC Avant Garde"/>
          <w:lang w:val="es-ES_tradnl"/>
        </w:rPr>
      </w:pPr>
      <w:r w:rsidRPr="00B25816">
        <w:rPr>
          <w:rFonts w:ascii="ITC Avant Garde" w:hAnsi="ITC Avant Garde"/>
          <w:lang w:val="es-ES_tradnl"/>
        </w:rPr>
        <w:t>Se considerarán las estadísticas de cada día de la semana de un mes calendario previo al Ejercicio de Medición y las Horas Pico de la Red del día de la semana correspondiente será aquellas en la cuales, con mayor frecuencia, se acumuló la mayor intensidad de tráfico entendida como el volumen de datos;</w:t>
      </w:r>
    </w:p>
    <w:p w:rsidR="00496B50" w:rsidRDefault="00496B50" w:rsidP="00496B50">
      <w:pPr>
        <w:pStyle w:val="Prrafodelista"/>
        <w:numPr>
          <w:ilvl w:val="0"/>
          <w:numId w:val="25"/>
        </w:numPr>
        <w:spacing w:before="240" w:after="240" w:line="276" w:lineRule="auto"/>
        <w:ind w:left="1418"/>
        <w:jc w:val="both"/>
        <w:rPr>
          <w:rFonts w:ascii="ITC Avant Garde" w:hAnsi="ITC Avant Garde"/>
          <w:lang w:val="es-ES_tradnl"/>
        </w:rPr>
      </w:pPr>
      <w:r w:rsidRPr="00B25816">
        <w:rPr>
          <w:rFonts w:ascii="ITC Avant Garde" w:hAnsi="ITC Avant Garde"/>
          <w:lang w:val="es-ES_tradnl"/>
        </w:rPr>
        <w:t>Se determinarán las Horas Pico de la Red para cada día de la semana. Para tales efectos</w:t>
      </w:r>
      <w:r w:rsidRPr="00FE6BB3">
        <w:rPr>
          <w:rFonts w:ascii="ITC Avant Garde" w:hAnsi="ITC Avant Garde"/>
          <w:lang w:val="es-ES_tradnl"/>
        </w:rPr>
        <w:t>, se identificarán los dos periodos de sesenta (60) minutos en que la red experimenta el máximo tráfico. El primer periodo será identificado en el lapso que comprende entre las 00-14 horas del día. El segundo periodo será aquél identificado en el lapso que comprende entre las 14-24 horas del día;</w:t>
      </w:r>
    </w:p>
    <w:p w:rsidR="00496B50" w:rsidRDefault="00496B50" w:rsidP="00496B50">
      <w:pPr>
        <w:pStyle w:val="Prrafodelista"/>
        <w:numPr>
          <w:ilvl w:val="0"/>
          <w:numId w:val="25"/>
        </w:numPr>
        <w:spacing w:before="240" w:after="240" w:line="276" w:lineRule="auto"/>
        <w:ind w:left="1418"/>
        <w:jc w:val="both"/>
        <w:rPr>
          <w:rFonts w:ascii="ITC Avant Garde" w:hAnsi="ITC Avant Garde"/>
          <w:lang w:val="es-ES_tradnl"/>
        </w:rPr>
      </w:pPr>
      <w:r w:rsidRPr="00FE6BB3">
        <w:rPr>
          <w:rFonts w:ascii="ITC Avant Garde" w:hAnsi="ITC Avant Garde"/>
          <w:lang w:val="es-ES_tradnl"/>
        </w:rPr>
        <w:t xml:space="preserve">El tráfico experimentado en la red se determinará con base en la suma del tráfico cursado por todos los Sectores de </w:t>
      </w:r>
      <w:proofErr w:type="spellStart"/>
      <w:r w:rsidRPr="00FE6BB3">
        <w:rPr>
          <w:rFonts w:ascii="ITC Avant Garde" w:hAnsi="ITC Avant Garde"/>
          <w:lang w:val="es-ES_tradnl"/>
        </w:rPr>
        <w:t>Radiobase</w:t>
      </w:r>
      <w:proofErr w:type="spellEnd"/>
      <w:r w:rsidRPr="00FE6BB3">
        <w:rPr>
          <w:rFonts w:ascii="ITC Avant Garde" w:hAnsi="ITC Avant Garde"/>
          <w:lang w:val="es-ES_tradnl"/>
        </w:rPr>
        <w:t xml:space="preserve"> (incluyendo todas las portadoras) de la red, y</w:t>
      </w:r>
    </w:p>
    <w:p w:rsidR="00496B50" w:rsidRDefault="00496B50" w:rsidP="00496B50">
      <w:pPr>
        <w:pStyle w:val="Prrafodelista"/>
        <w:numPr>
          <w:ilvl w:val="0"/>
          <w:numId w:val="25"/>
        </w:numPr>
        <w:spacing w:before="240" w:after="240" w:line="276" w:lineRule="auto"/>
        <w:ind w:left="1418"/>
        <w:jc w:val="both"/>
        <w:rPr>
          <w:rFonts w:ascii="ITC Avant Garde" w:hAnsi="ITC Avant Garde"/>
          <w:lang w:val="es-ES_tradnl"/>
        </w:rPr>
      </w:pPr>
      <w:r w:rsidRPr="00FE6BB3">
        <w:rPr>
          <w:rFonts w:ascii="ITC Avant Garde" w:hAnsi="ITC Avant Garde"/>
          <w:lang w:val="es-ES_tradnl"/>
        </w:rPr>
        <w:t xml:space="preserve">El tráfico cursado en cada Sector de </w:t>
      </w:r>
      <w:proofErr w:type="spellStart"/>
      <w:r w:rsidRPr="00FE6BB3">
        <w:rPr>
          <w:rFonts w:ascii="ITC Avant Garde" w:hAnsi="ITC Avant Garde"/>
          <w:lang w:val="es-ES_tradnl"/>
        </w:rPr>
        <w:t>Radiobase</w:t>
      </w:r>
      <w:proofErr w:type="spellEnd"/>
      <w:r w:rsidRPr="00FE6BB3">
        <w:rPr>
          <w:rFonts w:ascii="ITC Avant Garde" w:hAnsi="ITC Avant Garde"/>
          <w:lang w:val="es-ES_tradnl"/>
        </w:rPr>
        <w:t xml:space="preserve"> se calculará a partir de la información técnica de la red entregada por el Concesionario Mayorista (volumen de datos PDCP acumulado).</w:t>
      </w:r>
    </w:p>
    <w:p w:rsidR="00496B50" w:rsidRDefault="00496B50" w:rsidP="00496B50">
      <w:pPr>
        <w:pStyle w:val="Prrafodelista"/>
        <w:numPr>
          <w:ilvl w:val="0"/>
          <w:numId w:val="16"/>
        </w:numPr>
        <w:spacing w:before="240" w:after="240" w:line="276" w:lineRule="auto"/>
        <w:jc w:val="both"/>
        <w:rPr>
          <w:rFonts w:ascii="ITC Avant Garde" w:hAnsi="ITC Avant Garde"/>
          <w:b/>
          <w:lang w:val="es-ES_tradnl"/>
        </w:rPr>
      </w:pPr>
      <w:r w:rsidRPr="00FE6BB3">
        <w:rPr>
          <w:rFonts w:ascii="ITC Avant Garde" w:hAnsi="ITC Avant Garde"/>
          <w:b/>
          <w:lang w:val="es-ES_tradnl"/>
        </w:rPr>
        <w:t xml:space="preserve">Determinación del tamaño de la muestra y del cumplimiento. </w:t>
      </w:r>
      <w:r w:rsidRPr="00FE6BB3">
        <w:rPr>
          <w:rFonts w:ascii="ITC Avant Garde" w:hAnsi="ITC Avant Garde"/>
          <w:lang w:val="es-ES_tradnl"/>
        </w:rPr>
        <w:t xml:space="preserve">Para determinar el tamaño de la muestra, se considera un muestreo en dos etapas. La primera etapa </w:t>
      </w:r>
      <w:r w:rsidRPr="00FE6BB3">
        <w:rPr>
          <w:rFonts w:ascii="ITC Avant Garde" w:hAnsi="ITC Avant Garde"/>
          <w:lang w:val="es-ES_tradnl"/>
        </w:rPr>
        <w:lastRenderedPageBreak/>
        <w:t>consiste en un muestreo aleatorio estratificado compuesto de tres estratos definidos con base en la clasificación poblacional establecida en el numeral 2, fracción III. La segunda etapa consiste un muestreo aleatorio simple para obtener el número de Eventos a realizar en cada estrato con un nivel de confianza y un error de estimación determinados.</w:t>
      </w:r>
      <w:r w:rsidRPr="00FE6BB3">
        <w:rPr>
          <w:rFonts w:ascii="ITC Avant Garde" w:hAnsi="ITC Avant Garde"/>
          <w:b/>
          <w:lang w:val="es-ES_tradnl"/>
        </w:rPr>
        <w:t xml:space="preserve"> </w:t>
      </w:r>
    </w:p>
    <w:p w:rsidR="00496B50" w:rsidRDefault="00496B50" w:rsidP="00496B50">
      <w:pPr>
        <w:spacing w:before="240" w:after="240"/>
        <w:ind w:left="708"/>
        <w:jc w:val="both"/>
        <w:rPr>
          <w:rFonts w:ascii="ITC Avant Garde" w:hAnsi="ITC Avant Garde"/>
          <w:lang w:val="es-ES_tradnl"/>
        </w:rPr>
      </w:pPr>
      <w:r w:rsidRPr="00FE6BB3">
        <w:rPr>
          <w:rFonts w:ascii="ITC Avant Garde" w:hAnsi="ITC Avant Garde"/>
          <w:b/>
          <w:lang w:val="es-ES_tradnl"/>
        </w:rPr>
        <w:t xml:space="preserve">Primera etapa de muestreo. </w:t>
      </w:r>
      <w:r w:rsidRPr="00FE6BB3">
        <w:rPr>
          <w:rFonts w:ascii="ITC Avant Garde" w:hAnsi="ITC Avant Garde"/>
          <w:lang w:val="es-ES_tradnl"/>
        </w:rPr>
        <w:t xml:space="preserve">La estratificación permite la distribución de los municipios en distintos grupos, de tal forma que se obtienen grupos internamente homogéneos pero diferentes entre ellos. Lo anterior dado que cada estrato comparte características que inciden sobre los valores de la Tasa de Transmisión de Datos que se puede alcanzar como son: densidad de </w:t>
      </w:r>
      <w:proofErr w:type="spellStart"/>
      <w:r w:rsidRPr="00FE6BB3">
        <w:rPr>
          <w:rFonts w:ascii="ITC Avant Garde" w:hAnsi="ITC Avant Garde"/>
          <w:lang w:val="es-ES_tradnl"/>
        </w:rPr>
        <w:t>radiobases</w:t>
      </w:r>
      <w:proofErr w:type="spellEnd"/>
      <w:r w:rsidRPr="00FE6BB3">
        <w:rPr>
          <w:rFonts w:ascii="ITC Avant Garde" w:hAnsi="ITC Avant Garde"/>
          <w:lang w:val="es-ES_tradnl"/>
        </w:rPr>
        <w:t>, demanda de tráfico, niveles de interferencia, entre otros.</w:t>
      </w:r>
    </w:p>
    <w:p w:rsidR="00496B50" w:rsidRDefault="00496B50" w:rsidP="00496B50">
      <w:pPr>
        <w:spacing w:before="240" w:after="240"/>
        <w:ind w:left="708"/>
        <w:jc w:val="both"/>
        <w:rPr>
          <w:rFonts w:ascii="ITC Avant Garde" w:hAnsi="ITC Avant Garde"/>
          <w:lang w:val="es-ES_tradnl"/>
        </w:rPr>
      </w:pPr>
      <w:r w:rsidRPr="00FE6BB3">
        <w:rPr>
          <w:rFonts w:ascii="ITC Avant Garde" w:hAnsi="ITC Avant Garde"/>
          <w:lang w:val="es-ES_tradnl"/>
        </w:rPr>
        <w:t xml:space="preserve">Los municipios para cada estrato (urbano, suburbano y rural) serán elegidos de manera aleatoria siguiendo el procedimiento establecido en el numeral 12. </w:t>
      </w:r>
    </w:p>
    <w:p w:rsidR="00496B50" w:rsidRDefault="00496B50" w:rsidP="00496B50">
      <w:pPr>
        <w:spacing w:before="240" w:after="240"/>
        <w:ind w:left="708"/>
        <w:jc w:val="both"/>
        <w:rPr>
          <w:rFonts w:ascii="ITC Avant Garde" w:hAnsi="ITC Avant Garde"/>
          <w:lang w:val="es-ES_tradnl"/>
        </w:rPr>
      </w:pPr>
      <w:r w:rsidRPr="00FE6BB3">
        <w:rPr>
          <w:rFonts w:ascii="ITC Avant Garde" w:hAnsi="ITC Avant Garde"/>
          <w:lang w:val="es-ES_tradnl"/>
        </w:rPr>
        <w:t xml:space="preserve">El número de municipios </w:t>
      </w:r>
      <m:oMath>
        <m:r>
          <w:rPr>
            <w:rFonts w:ascii="Cambria Math" w:hAnsi="Cambria Math"/>
            <w:lang w:val="es-ES_tradnl"/>
          </w:rPr>
          <m:t>n</m:t>
        </m:r>
      </m:oMath>
      <w:r w:rsidRPr="00FE6BB3">
        <w:rPr>
          <w:rFonts w:ascii="ITC Avant Garde" w:hAnsi="ITC Avant Garde"/>
          <w:lang w:val="es-ES_tradnl"/>
        </w:rPr>
        <w:t xml:space="preserve"> a evaluar en el Ejercicio de Medición se calculará a partir de la siguiente fórmula: </w:t>
      </w:r>
    </w:p>
    <w:p w:rsidR="00496B50" w:rsidRDefault="00496B50" w:rsidP="00496B50">
      <w:pPr>
        <w:spacing w:before="240" w:after="240"/>
        <w:jc w:val="both"/>
        <w:rPr>
          <w:rFonts w:ascii="ITC Avant Garde" w:eastAsiaTheme="minorEastAsia" w:hAnsi="ITC Avant Garde"/>
          <w:lang w:val="es-ES_tradnl"/>
        </w:rPr>
      </w:pPr>
      <m:oMathPara>
        <m:oMath>
          <m:r>
            <w:rPr>
              <w:rFonts w:ascii="Cambria Math" w:hAnsi="Cambria Math"/>
              <w:lang w:val="es-ES_tradnl"/>
            </w:rPr>
            <m:t>n=</m:t>
          </m:r>
          <m:f>
            <m:fPr>
              <m:ctrlPr>
                <w:rPr>
                  <w:rFonts w:ascii="Cambria Math" w:eastAsiaTheme="minorHAnsi" w:hAnsi="Cambria Math"/>
                  <w:i/>
                  <w:lang w:val="es-ES_tradnl"/>
                </w:rPr>
              </m:ctrlPr>
            </m:fPr>
            <m:num>
              <m:sSup>
                <m:sSupPr>
                  <m:ctrlPr>
                    <w:rPr>
                      <w:rFonts w:ascii="Cambria Math" w:eastAsiaTheme="minorHAnsi" w:hAnsi="Cambria Math"/>
                      <w:i/>
                      <w:lang w:val="es-ES_tradnl"/>
                    </w:rPr>
                  </m:ctrlPr>
                </m:sSupPr>
                <m:e>
                  <m:d>
                    <m:dPr>
                      <m:ctrlPr>
                        <w:rPr>
                          <w:rFonts w:ascii="Cambria Math" w:eastAsiaTheme="minorHAnsi" w:hAnsi="Cambria Math"/>
                          <w:i/>
                          <w:lang w:val="es-ES_tradnl"/>
                        </w:rPr>
                      </m:ctrlPr>
                    </m:dPr>
                    <m:e>
                      <m:nary>
                        <m:naryPr>
                          <m:chr m:val="∑"/>
                          <m:limLoc m:val="undOvr"/>
                          <m:ctrlPr>
                            <w:rPr>
                              <w:rFonts w:ascii="Cambria Math" w:eastAsiaTheme="minorHAnsi" w:hAnsi="Cambria Math"/>
                              <w:i/>
                              <w:lang w:val="es-ES_tradnl"/>
                            </w:rPr>
                          </m:ctrlPr>
                        </m:naryPr>
                        <m:sub>
                          <m:r>
                            <w:rPr>
                              <w:rFonts w:ascii="Cambria Math" w:hAnsi="Cambria Math"/>
                              <w:lang w:val="es-ES_tradnl"/>
                            </w:rPr>
                            <m:t>i=1</m:t>
                          </m:r>
                        </m:sub>
                        <m:sup>
                          <m:r>
                            <w:rPr>
                              <w:rFonts w:ascii="Cambria Math" w:hAnsi="Cambria Math"/>
                              <w:lang w:val="es-ES_tradnl"/>
                            </w:rPr>
                            <m:t>L</m:t>
                          </m:r>
                        </m:sup>
                        <m:e>
                          <m:sSub>
                            <m:sSubPr>
                              <m:ctrlPr>
                                <w:rPr>
                                  <w:rFonts w:ascii="Cambria Math" w:eastAsiaTheme="minorHAnsi" w:hAnsi="Cambria Math"/>
                                  <w:i/>
                                  <w:lang w:val="es-ES_tradnl"/>
                                </w:rPr>
                              </m:ctrlPr>
                            </m:sSubPr>
                            <m:e>
                              <m:r>
                                <w:rPr>
                                  <w:rFonts w:ascii="Cambria Math" w:hAnsi="Cambria Math"/>
                                  <w:lang w:val="es-ES_tradnl"/>
                                </w:rPr>
                                <m:t>N</m:t>
                              </m:r>
                            </m:e>
                            <m:sub>
                              <m:r>
                                <w:rPr>
                                  <w:rFonts w:ascii="Cambria Math" w:hAnsi="Cambria Math"/>
                                  <w:lang w:val="es-ES_tradnl"/>
                                </w:rPr>
                                <m:t>i</m:t>
                              </m:r>
                            </m:sub>
                          </m:sSub>
                          <m:sSub>
                            <m:sSubPr>
                              <m:ctrlPr>
                                <w:rPr>
                                  <w:rFonts w:ascii="Cambria Math" w:eastAsiaTheme="minorHAnsi" w:hAnsi="Cambria Math"/>
                                  <w:i/>
                                  <w:lang w:val="es-ES_tradnl"/>
                                </w:rPr>
                              </m:ctrlPr>
                            </m:sSubPr>
                            <m:e>
                              <m:r>
                                <w:rPr>
                                  <w:rFonts w:ascii="Cambria Math" w:hAnsi="Cambria Math"/>
                                  <w:lang w:val="es-ES_tradnl"/>
                                </w:rPr>
                                <m:t>σ</m:t>
                              </m:r>
                            </m:e>
                            <m:sub>
                              <m:r>
                                <w:rPr>
                                  <w:rFonts w:ascii="Cambria Math" w:hAnsi="Cambria Math"/>
                                  <w:lang w:val="es-ES_tradnl"/>
                                </w:rPr>
                                <m:t>i</m:t>
                              </m:r>
                            </m:sub>
                          </m:sSub>
                        </m:e>
                      </m:nary>
                    </m:e>
                  </m:d>
                </m:e>
                <m:sup>
                  <m:r>
                    <w:rPr>
                      <w:rFonts w:ascii="Cambria Math" w:hAnsi="Cambria Math"/>
                      <w:lang w:val="es-ES_tradnl"/>
                    </w:rPr>
                    <m:t>2</m:t>
                  </m:r>
                </m:sup>
              </m:sSup>
            </m:num>
            <m:den>
              <m:sSup>
                <m:sSupPr>
                  <m:ctrlPr>
                    <w:rPr>
                      <w:rFonts w:ascii="Cambria Math" w:eastAsiaTheme="minorHAnsi" w:hAnsi="Cambria Math"/>
                      <w:i/>
                      <w:lang w:val="es-ES_tradnl"/>
                    </w:rPr>
                  </m:ctrlPr>
                </m:sSupPr>
                <m:e>
                  <m:r>
                    <w:rPr>
                      <w:rFonts w:ascii="Cambria Math" w:hAnsi="Cambria Math"/>
                      <w:lang w:val="es-ES_tradnl"/>
                    </w:rPr>
                    <m:t>N</m:t>
                  </m:r>
                </m:e>
                <m:sup>
                  <m:r>
                    <w:rPr>
                      <w:rFonts w:ascii="Cambria Math" w:hAnsi="Cambria Math"/>
                      <w:lang w:val="es-ES_tradnl"/>
                    </w:rPr>
                    <m:t>2</m:t>
                  </m:r>
                </m:sup>
              </m:sSup>
              <m:r>
                <w:rPr>
                  <w:rFonts w:ascii="Cambria Math" w:hAnsi="Cambria Math"/>
                  <w:lang w:val="es-ES_tradnl"/>
                </w:rPr>
                <m:t>D+</m:t>
              </m:r>
              <m:nary>
                <m:naryPr>
                  <m:chr m:val="∑"/>
                  <m:limLoc m:val="undOvr"/>
                  <m:ctrlPr>
                    <w:rPr>
                      <w:rFonts w:ascii="Cambria Math" w:eastAsiaTheme="minorHAnsi" w:hAnsi="Cambria Math"/>
                      <w:i/>
                      <w:lang w:val="es-ES_tradnl"/>
                    </w:rPr>
                  </m:ctrlPr>
                </m:naryPr>
                <m:sub>
                  <m:r>
                    <w:rPr>
                      <w:rFonts w:ascii="Cambria Math" w:hAnsi="Cambria Math"/>
                      <w:lang w:val="es-ES_tradnl"/>
                    </w:rPr>
                    <m:t>i=1</m:t>
                  </m:r>
                </m:sub>
                <m:sup>
                  <m:r>
                    <w:rPr>
                      <w:rFonts w:ascii="Cambria Math" w:hAnsi="Cambria Math"/>
                      <w:lang w:val="es-ES_tradnl"/>
                    </w:rPr>
                    <m:t>L</m:t>
                  </m:r>
                </m:sup>
                <m:e>
                  <m:sSub>
                    <m:sSubPr>
                      <m:ctrlPr>
                        <w:rPr>
                          <w:rFonts w:ascii="Cambria Math" w:eastAsiaTheme="minorHAnsi" w:hAnsi="Cambria Math"/>
                          <w:i/>
                          <w:lang w:val="es-ES_tradnl"/>
                        </w:rPr>
                      </m:ctrlPr>
                    </m:sSubPr>
                    <m:e>
                      <m:r>
                        <w:rPr>
                          <w:rFonts w:ascii="Cambria Math" w:hAnsi="Cambria Math"/>
                          <w:lang w:val="es-ES_tradnl"/>
                        </w:rPr>
                        <m:t>N</m:t>
                      </m:r>
                    </m:e>
                    <m:sub>
                      <m:r>
                        <w:rPr>
                          <w:rFonts w:ascii="Cambria Math" w:hAnsi="Cambria Math"/>
                          <w:lang w:val="es-ES_tradnl"/>
                        </w:rPr>
                        <m:t>i</m:t>
                      </m:r>
                    </m:sub>
                  </m:sSub>
                  <m:sSubSup>
                    <m:sSubSupPr>
                      <m:ctrlPr>
                        <w:rPr>
                          <w:rFonts w:ascii="Cambria Math" w:eastAsiaTheme="minorHAnsi" w:hAnsi="Cambria Math"/>
                          <w:i/>
                          <w:lang w:val="es-ES_tradnl"/>
                        </w:rPr>
                      </m:ctrlPr>
                    </m:sSubSupPr>
                    <m:e>
                      <m:r>
                        <w:rPr>
                          <w:rFonts w:ascii="Cambria Math" w:hAnsi="Cambria Math"/>
                          <w:lang w:val="es-ES_tradnl"/>
                        </w:rPr>
                        <m:t>σ</m:t>
                      </m:r>
                    </m:e>
                    <m:sub>
                      <m:r>
                        <w:rPr>
                          <w:rFonts w:ascii="Cambria Math" w:hAnsi="Cambria Math"/>
                          <w:lang w:val="es-ES_tradnl"/>
                        </w:rPr>
                        <m:t>i</m:t>
                      </m:r>
                    </m:sub>
                    <m:sup>
                      <m:r>
                        <w:rPr>
                          <w:rFonts w:ascii="Cambria Math" w:hAnsi="Cambria Math"/>
                          <w:lang w:val="es-ES_tradnl"/>
                        </w:rPr>
                        <m:t>2</m:t>
                      </m:r>
                    </m:sup>
                  </m:sSubSup>
                </m:e>
              </m:nary>
            </m:den>
          </m:f>
        </m:oMath>
      </m:oMathPara>
    </w:p>
    <w:p w:rsidR="00496B50" w:rsidRDefault="00496B50" w:rsidP="00496B50">
      <w:pPr>
        <w:spacing w:before="240" w:after="240"/>
        <w:ind w:firstLine="708"/>
        <w:jc w:val="both"/>
        <w:rPr>
          <w:rFonts w:ascii="ITC Avant Garde" w:eastAsiaTheme="minorEastAsia" w:hAnsi="ITC Avant Garde"/>
          <w:lang w:val="es-ES_tradnl"/>
        </w:rPr>
      </w:pPr>
      <w:r w:rsidRPr="00FE6BB3">
        <w:rPr>
          <w:rFonts w:ascii="ITC Avant Garde" w:eastAsiaTheme="minorEastAsia" w:hAnsi="ITC Avant Garde"/>
          <w:b/>
          <w:lang w:val="es-ES_tradnl"/>
        </w:rPr>
        <w:t>Donde</w:t>
      </w:r>
      <w:r w:rsidRPr="00FE6BB3">
        <w:rPr>
          <w:rFonts w:ascii="ITC Avant Garde" w:eastAsiaTheme="minorEastAsia" w:hAnsi="ITC Avant Garde"/>
          <w:lang w:val="es-ES_tradnl"/>
        </w:rPr>
        <w:t>:</w:t>
      </w:r>
    </w:p>
    <w:p w:rsidR="00496B50" w:rsidRPr="00FE6BB3" w:rsidRDefault="00496B50" w:rsidP="00496B50">
      <w:pPr>
        <w:spacing w:before="240" w:after="240"/>
        <w:ind w:left="708"/>
        <w:jc w:val="both"/>
        <w:rPr>
          <w:rFonts w:ascii="ITC Avant Garde" w:eastAsiaTheme="minorEastAsia" w:hAnsi="ITC Avant Garde"/>
          <w:lang w:val="es-ES_tradnl"/>
        </w:rPr>
      </w:pPr>
      <w:r w:rsidRPr="00FE6BB3">
        <w:rPr>
          <w:rFonts w:ascii="ITC Avant Garde" w:eastAsiaTheme="minorEastAsia" w:hAnsi="ITC Avant Garde"/>
          <w:lang w:val="es-ES_tradnl"/>
        </w:rPr>
        <w:t>L = número total de estratos en que se han dividido los municipios (L = 3);</w:t>
      </w:r>
    </w:p>
    <w:p w:rsidR="00496B50" w:rsidRPr="00FE6BB3" w:rsidRDefault="00496B50" w:rsidP="00496B50">
      <w:pPr>
        <w:spacing w:before="240" w:after="240"/>
        <w:ind w:left="708"/>
        <w:jc w:val="both"/>
        <w:rPr>
          <w:rFonts w:ascii="ITC Avant Garde" w:eastAsiaTheme="minorEastAsia" w:hAnsi="ITC Avant Garde"/>
          <w:lang w:val="es-ES_tradnl"/>
        </w:rPr>
      </w:pPr>
      <m:oMath>
        <m:sSub>
          <m:sSubPr>
            <m:ctrlPr>
              <w:rPr>
                <w:rFonts w:ascii="Cambria Math" w:eastAsiaTheme="minorHAnsi" w:hAnsi="Cambria Math"/>
                <w:i/>
                <w:lang w:val="es-ES_tradnl"/>
              </w:rPr>
            </m:ctrlPr>
          </m:sSubPr>
          <m:e>
            <m:r>
              <w:rPr>
                <w:rFonts w:ascii="Cambria Math" w:hAnsi="Cambria Math"/>
                <w:lang w:val="es-ES_tradnl"/>
              </w:rPr>
              <m:t>σ</m:t>
            </m:r>
          </m:e>
          <m:sub>
            <m:r>
              <w:rPr>
                <w:rFonts w:ascii="Cambria Math" w:hAnsi="Cambria Math"/>
                <w:lang w:val="es-ES_tradnl"/>
              </w:rPr>
              <m:t>i</m:t>
            </m:r>
          </m:sub>
        </m:sSub>
      </m:oMath>
      <w:r w:rsidRPr="00FE6BB3">
        <w:rPr>
          <w:rFonts w:ascii="ITC Avant Garde" w:eastAsiaTheme="minorEastAsia" w:hAnsi="ITC Avant Garde"/>
          <w:lang w:val="es-ES_tradnl"/>
        </w:rPr>
        <w:t xml:space="preserve">= </w:t>
      </w:r>
      <w:r w:rsidRPr="00FE6BB3">
        <w:rPr>
          <w:rFonts w:ascii="ITC Avant Garde" w:hAnsi="ITC Avant Garde"/>
          <w:lang w:val="es-ES_tradnl"/>
        </w:rPr>
        <w:t xml:space="preserve">desviación estándar esperada para el Parámetro de Cobertura correspondiente del estrato </w:t>
      </w:r>
      <m:oMath>
        <m:r>
          <w:rPr>
            <w:rFonts w:ascii="Cambria Math" w:eastAsia="MS Mincho" w:hAnsi="Cambria Math"/>
            <w:lang w:val="es-ES_tradnl"/>
          </w:rPr>
          <m:t>i</m:t>
        </m:r>
      </m:oMath>
      <w:r w:rsidRPr="00FE6BB3">
        <w:rPr>
          <w:rFonts w:ascii="ITC Avant Garde" w:eastAsiaTheme="minorEastAsia" w:hAnsi="ITC Avant Garde"/>
          <w:lang w:val="es-ES_tradnl"/>
        </w:rPr>
        <w:t>;</w:t>
      </w:r>
    </w:p>
    <w:p w:rsidR="00496B50" w:rsidRPr="00FE6BB3" w:rsidRDefault="00496B50" w:rsidP="00496B50">
      <w:pPr>
        <w:spacing w:before="240" w:after="240"/>
        <w:ind w:left="708"/>
        <w:jc w:val="both"/>
        <w:rPr>
          <w:rFonts w:ascii="ITC Avant Garde" w:eastAsiaTheme="minorEastAsia" w:hAnsi="ITC Avant Garde"/>
          <w:lang w:val="es-ES_tradnl"/>
        </w:rPr>
      </w:pPr>
      <m:oMath>
        <m:sSub>
          <m:sSubPr>
            <m:ctrlPr>
              <w:rPr>
                <w:rFonts w:ascii="Cambria Math" w:hAnsi="Cambria Math"/>
                <w:i/>
                <w:lang w:val="es-ES_tradnl"/>
              </w:rPr>
            </m:ctrlPr>
          </m:sSubPr>
          <m:e>
            <m:r>
              <w:rPr>
                <w:rFonts w:ascii="Cambria Math" w:hAnsi="Cambria Math"/>
                <w:lang w:val="es-ES_tradnl"/>
              </w:rPr>
              <m:t>N</m:t>
            </m:r>
          </m:e>
          <m:sub>
            <m:r>
              <w:rPr>
                <w:rFonts w:ascii="Cambria Math" w:hAnsi="Cambria Math"/>
                <w:lang w:val="es-ES_tradnl"/>
              </w:rPr>
              <m:t>i</m:t>
            </m:r>
          </m:sub>
        </m:sSub>
      </m:oMath>
      <w:r w:rsidRPr="00FE6BB3">
        <w:rPr>
          <w:rFonts w:ascii="ITC Avant Garde" w:eastAsiaTheme="minorEastAsia" w:hAnsi="ITC Avant Garde"/>
          <w:lang w:val="es-ES_tradnl"/>
        </w:rPr>
        <w:t xml:space="preserve"> = número de municipios en cada estrato; </w:t>
      </w:r>
      <w:r w:rsidRPr="00FE6BB3">
        <w:rPr>
          <w:rFonts w:ascii="ITC Avant Garde" w:eastAsiaTheme="minorEastAsia" w:hAnsi="ITC Avant Garde"/>
          <w:lang w:val="es-ES_tradnl"/>
        </w:rPr>
        <w:tab/>
      </w:r>
    </w:p>
    <w:p w:rsidR="00496B50" w:rsidRPr="00FE6BB3" w:rsidRDefault="00496B50" w:rsidP="00496B50">
      <w:pPr>
        <w:spacing w:before="240" w:after="240"/>
        <w:ind w:firstLine="708"/>
        <w:jc w:val="both"/>
        <w:rPr>
          <w:rFonts w:ascii="ITC Avant Garde" w:eastAsia="MS Mincho" w:hAnsi="ITC Avant Garde"/>
          <w:lang w:val="es-ES_tradnl"/>
        </w:rPr>
      </w:pPr>
      <m:oMath>
        <m:r>
          <w:rPr>
            <w:rFonts w:ascii="Cambria Math" w:eastAsia="MS Mincho" w:hAnsi="Cambria Math"/>
            <w:lang w:val="es-ES_tradnl"/>
          </w:rPr>
          <m:t>N</m:t>
        </m:r>
      </m:oMath>
      <w:r w:rsidRPr="00FE6BB3" w:rsidDel="008A6B30">
        <w:rPr>
          <w:rFonts w:ascii="ITC Avant Garde" w:eastAsia="MS Mincho" w:hAnsi="ITC Avant Garde"/>
          <w:lang w:val="es-ES_tradnl"/>
        </w:rPr>
        <w:t xml:space="preserve"> </w:t>
      </w:r>
      <w:r w:rsidRPr="00FE6BB3">
        <w:rPr>
          <w:rFonts w:ascii="ITC Avant Garde" w:eastAsia="MS Mincho" w:hAnsi="ITC Avant Garde"/>
          <w:lang w:val="es-ES_tradnl"/>
        </w:rPr>
        <w:t>= número total de municipios, y</w:t>
      </w:r>
    </w:p>
    <w:p w:rsidR="00496B50" w:rsidRDefault="00496B50" w:rsidP="00496B50">
      <w:pPr>
        <w:spacing w:before="240" w:after="240"/>
        <w:ind w:left="708"/>
        <w:jc w:val="both"/>
        <w:rPr>
          <w:rFonts w:ascii="ITC Avant Garde" w:eastAsiaTheme="minorEastAsia" w:hAnsi="ITC Avant Garde"/>
          <w:lang w:val="es-ES_tradnl"/>
        </w:rPr>
      </w:pPr>
      <m:oMath>
        <m:r>
          <w:rPr>
            <w:rFonts w:ascii="Cambria Math" w:eastAsiaTheme="minorEastAsia" w:hAnsi="Cambria Math"/>
            <w:lang w:val="es-ES_tradnl"/>
          </w:rPr>
          <m:t>D=</m:t>
        </m:r>
        <m:f>
          <m:fPr>
            <m:ctrlPr>
              <w:rPr>
                <w:rFonts w:ascii="Cambria Math" w:eastAsiaTheme="minorEastAsia" w:hAnsi="Cambria Math"/>
                <w:i/>
                <w:lang w:val="es-ES_tradnl"/>
              </w:rPr>
            </m:ctrlPr>
          </m:fPr>
          <m:num>
            <m:sSup>
              <m:sSupPr>
                <m:ctrlPr>
                  <w:rPr>
                    <w:rFonts w:ascii="Cambria Math" w:eastAsiaTheme="minorEastAsia" w:hAnsi="Cambria Math"/>
                    <w:i/>
                    <w:lang w:val="es-ES_tradnl"/>
                  </w:rPr>
                </m:ctrlPr>
              </m:sSupPr>
              <m:e>
                <m:r>
                  <w:rPr>
                    <w:rFonts w:ascii="Cambria Math" w:eastAsiaTheme="minorEastAsia" w:hAnsi="Cambria Math"/>
                    <w:lang w:val="es-ES_tradnl"/>
                  </w:rPr>
                  <m:t>B</m:t>
                </m:r>
              </m:e>
              <m:sup>
                <m:r>
                  <w:rPr>
                    <w:rFonts w:ascii="Cambria Math" w:eastAsiaTheme="minorEastAsia" w:hAnsi="Cambria Math"/>
                    <w:lang w:val="es-ES_tradnl"/>
                  </w:rPr>
                  <m:t>2</m:t>
                </m:r>
              </m:sup>
            </m:sSup>
          </m:num>
          <m:den>
            <m:r>
              <w:rPr>
                <w:rFonts w:ascii="Cambria Math" w:eastAsiaTheme="minorEastAsia" w:hAnsi="Cambria Math"/>
                <w:lang w:val="es-ES_tradnl"/>
              </w:rPr>
              <m:t>4</m:t>
            </m:r>
          </m:den>
        </m:f>
      </m:oMath>
      <w:r w:rsidRPr="00FE6BB3">
        <w:rPr>
          <w:rFonts w:ascii="ITC Avant Garde" w:eastAsiaTheme="minorEastAsia" w:hAnsi="ITC Avant Garde"/>
          <w:lang w:val="es-ES_tradnl"/>
        </w:rPr>
        <w:t>, donde B es la cota del error de estimación</w:t>
      </w:r>
      <w:r>
        <w:rPr>
          <w:rFonts w:ascii="ITC Avant Garde" w:eastAsiaTheme="minorEastAsia" w:hAnsi="ITC Avant Garde"/>
          <w:lang w:val="es-ES_tradnl"/>
        </w:rPr>
        <w:t xml:space="preserve"> (menor o igual al porcentaje de la media de la población para cada estrato)</w:t>
      </w:r>
      <w:r w:rsidRPr="00FE6BB3">
        <w:rPr>
          <w:rFonts w:ascii="ITC Avant Garde" w:eastAsiaTheme="minorEastAsia" w:hAnsi="ITC Avant Garde"/>
          <w:lang w:val="es-ES_tradnl"/>
        </w:rPr>
        <w:t>.</w:t>
      </w:r>
    </w:p>
    <w:p w:rsidR="00496B50" w:rsidRDefault="00496B50" w:rsidP="00496B50">
      <w:pPr>
        <w:pStyle w:val="Textonotapie"/>
        <w:spacing w:before="240" w:after="240"/>
        <w:ind w:left="708"/>
        <w:jc w:val="both"/>
        <w:rPr>
          <w:rFonts w:ascii="ITC Avant Garde" w:eastAsiaTheme="minorEastAsia" w:hAnsi="ITC Avant Garde"/>
          <w:sz w:val="22"/>
          <w:szCs w:val="22"/>
          <w:lang w:val="es-ES_tradnl"/>
        </w:rPr>
      </w:pPr>
      <w:r w:rsidRPr="00FE6BB3">
        <w:rPr>
          <w:rFonts w:ascii="ITC Avant Garde" w:eastAsiaTheme="minorEastAsia" w:hAnsi="ITC Avant Garde"/>
          <w:sz w:val="22"/>
          <w:szCs w:val="22"/>
          <w:lang w:val="es-ES_tradnl"/>
        </w:rPr>
        <w:t xml:space="preserve">Para los efectos de la presente metodología, el valor de la desviación estándar </w:t>
      </w:r>
      <m:oMath>
        <m:sSub>
          <m:sSubPr>
            <m:ctrlPr>
              <w:rPr>
                <w:rFonts w:ascii="Cambria Math" w:eastAsiaTheme="minorHAnsi" w:hAnsi="Cambria Math"/>
                <w:i/>
                <w:lang w:val="es-ES_tradnl"/>
              </w:rPr>
            </m:ctrlPr>
          </m:sSubPr>
          <m:e>
            <m:r>
              <w:rPr>
                <w:rFonts w:ascii="Cambria Math" w:hAnsi="Cambria Math"/>
                <w:lang w:val="es-ES_tradnl"/>
              </w:rPr>
              <m:t>σ</m:t>
            </m:r>
          </m:e>
          <m:sub>
            <m:r>
              <w:rPr>
                <w:rFonts w:ascii="Cambria Math" w:hAnsi="Cambria Math"/>
                <w:lang w:val="es-ES_tradnl"/>
              </w:rPr>
              <m:t>i</m:t>
            </m:r>
          </m:sub>
        </m:sSub>
      </m:oMath>
      <w:r w:rsidRPr="00FE6BB3">
        <w:rPr>
          <w:rFonts w:ascii="ITC Avant Garde" w:eastAsiaTheme="minorEastAsia" w:hAnsi="ITC Avant Garde"/>
          <w:lang w:val="es-ES_tradnl"/>
        </w:rPr>
        <w:t xml:space="preserve"> </w:t>
      </w:r>
      <w:r w:rsidRPr="00FE6BB3">
        <w:rPr>
          <w:rFonts w:ascii="ITC Avant Garde" w:eastAsiaTheme="minorEastAsia" w:hAnsi="ITC Avant Garde"/>
          <w:sz w:val="22"/>
          <w:szCs w:val="22"/>
          <w:lang w:val="es-ES_tradnl"/>
        </w:rPr>
        <w:t>para cada estrato se tomará de resultados de Ejercicios de Medición previos, los cuales el Instituto podrá llevar a cabo bajo la presente metodología previamente a la evaluación del cumplimiento de los Parámetros de Cobertura.</w:t>
      </w:r>
    </w:p>
    <w:p w:rsidR="00496B50" w:rsidRDefault="00496B50" w:rsidP="00496B50">
      <w:pPr>
        <w:spacing w:before="240" w:after="240"/>
        <w:ind w:left="708"/>
        <w:jc w:val="both"/>
        <w:rPr>
          <w:rFonts w:ascii="ITC Avant Garde" w:eastAsiaTheme="minorEastAsia" w:hAnsi="ITC Avant Garde"/>
          <w:lang w:val="es-ES_tradnl"/>
        </w:rPr>
      </w:pPr>
      <w:r w:rsidRPr="00FE6BB3">
        <w:rPr>
          <w:rFonts w:ascii="ITC Avant Garde" w:eastAsiaTheme="minorEastAsia" w:hAnsi="ITC Avant Garde"/>
          <w:lang w:val="es-ES_tradnl"/>
        </w:rPr>
        <w:lastRenderedPageBreak/>
        <w:t xml:space="preserve">El número de municipios </w:t>
      </w:r>
      <m:oMath>
        <m:sSub>
          <m:sSubPr>
            <m:ctrlPr>
              <w:rPr>
                <w:rFonts w:ascii="Cambria Math" w:hAnsi="Cambria Math"/>
                <w:i/>
                <w:lang w:val="es-ES_tradnl"/>
              </w:rPr>
            </m:ctrlPr>
          </m:sSubPr>
          <m:e>
            <m:r>
              <w:rPr>
                <w:rFonts w:ascii="Cambria Math" w:hAnsi="Cambria Math"/>
                <w:lang w:val="es-ES_tradnl"/>
              </w:rPr>
              <m:t>n</m:t>
            </m:r>
          </m:e>
          <m:sub>
            <m:r>
              <w:rPr>
                <w:rFonts w:ascii="Cambria Math" w:hAnsi="Cambria Math"/>
                <w:lang w:val="es-ES_tradnl"/>
              </w:rPr>
              <m:t>i</m:t>
            </m:r>
          </m:sub>
        </m:sSub>
      </m:oMath>
      <w:r w:rsidRPr="00FE6BB3">
        <w:rPr>
          <w:rFonts w:ascii="ITC Avant Garde" w:eastAsiaTheme="minorEastAsia" w:hAnsi="ITC Avant Garde"/>
          <w:lang w:val="es-ES_tradnl"/>
        </w:rPr>
        <w:t xml:space="preserve"> para cada estrato se calculará con base en la asignación de </w:t>
      </w:r>
      <w:proofErr w:type="spellStart"/>
      <w:r w:rsidRPr="00FE6BB3">
        <w:rPr>
          <w:rFonts w:ascii="ITC Avant Garde" w:eastAsiaTheme="minorEastAsia" w:hAnsi="ITC Avant Garde"/>
          <w:lang w:val="es-ES_tradnl"/>
        </w:rPr>
        <w:t>Neyman</w:t>
      </w:r>
      <w:proofErr w:type="spellEnd"/>
      <w:r w:rsidRPr="00FE6BB3">
        <w:rPr>
          <w:rFonts w:ascii="ITC Avant Garde" w:eastAsiaTheme="minorEastAsia" w:hAnsi="ITC Avant Garde"/>
          <w:lang w:val="es-ES_tradnl"/>
        </w:rPr>
        <w:t xml:space="preserve">, expresada mediante la siguiente fórmula: </w:t>
      </w:r>
    </w:p>
    <w:p w:rsidR="00496B50" w:rsidRDefault="00496B50" w:rsidP="00496B50">
      <w:pPr>
        <w:spacing w:before="240" w:after="240"/>
        <w:jc w:val="both"/>
        <w:rPr>
          <w:rFonts w:ascii="ITC Avant Garde" w:eastAsiaTheme="minorEastAsia" w:hAnsi="ITC Avant Garde"/>
          <w:lang w:val="es-ES_tradnl"/>
        </w:rPr>
      </w:pPr>
      <m:oMathPara>
        <m:oMath>
          <m:sSub>
            <m:sSubPr>
              <m:ctrlPr>
                <w:rPr>
                  <w:rFonts w:ascii="Cambria Math" w:eastAsiaTheme="minorEastAsia" w:hAnsi="Cambria Math"/>
                  <w:i/>
                  <w:lang w:val="es-ES_tradnl"/>
                </w:rPr>
              </m:ctrlPr>
            </m:sSubPr>
            <m:e>
              <m:r>
                <w:rPr>
                  <w:rFonts w:ascii="Cambria Math" w:eastAsiaTheme="minorEastAsia" w:hAnsi="Cambria Math"/>
                  <w:lang w:val="es-ES_tradnl"/>
                </w:rPr>
                <m:t>n</m:t>
              </m:r>
            </m:e>
            <m:sub>
              <m:r>
                <w:rPr>
                  <w:rFonts w:ascii="Cambria Math" w:eastAsiaTheme="minorEastAsia" w:hAnsi="Cambria Math"/>
                  <w:lang w:val="es-ES_tradnl"/>
                </w:rPr>
                <m:t>i</m:t>
              </m:r>
            </m:sub>
          </m:sSub>
          <m:r>
            <w:rPr>
              <w:rFonts w:ascii="Cambria Math" w:eastAsiaTheme="minorEastAsia" w:hAnsi="Cambria Math"/>
              <w:lang w:val="es-ES_tradnl"/>
            </w:rPr>
            <m:t>=n</m:t>
          </m:r>
          <m:d>
            <m:dPr>
              <m:ctrlPr>
                <w:rPr>
                  <w:rFonts w:ascii="Cambria Math" w:eastAsiaTheme="minorEastAsia" w:hAnsi="Cambria Math"/>
                  <w:i/>
                  <w:lang w:val="es-ES_tradnl"/>
                </w:rPr>
              </m:ctrlPr>
            </m:dPr>
            <m:e>
              <m:f>
                <m:fPr>
                  <m:ctrlPr>
                    <w:rPr>
                      <w:rFonts w:ascii="Cambria Math" w:eastAsiaTheme="minorEastAsia" w:hAnsi="Cambria Math"/>
                      <w:i/>
                      <w:lang w:val="es-ES_tradnl"/>
                    </w:rPr>
                  </m:ctrlPr>
                </m:fPr>
                <m:num>
                  <m:sSub>
                    <m:sSubPr>
                      <m:ctrlPr>
                        <w:rPr>
                          <w:rFonts w:ascii="Cambria Math" w:eastAsiaTheme="minorEastAsia" w:hAnsi="Cambria Math"/>
                          <w:i/>
                          <w:lang w:val="es-ES_tradnl"/>
                        </w:rPr>
                      </m:ctrlPr>
                    </m:sSubPr>
                    <m:e>
                      <m:r>
                        <w:rPr>
                          <w:rFonts w:ascii="Cambria Math" w:eastAsiaTheme="minorEastAsia" w:hAnsi="Cambria Math"/>
                          <w:lang w:val="es-ES_tradnl"/>
                        </w:rPr>
                        <m:t>N</m:t>
                      </m:r>
                    </m:e>
                    <m:sub>
                      <m:r>
                        <w:rPr>
                          <w:rFonts w:ascii="Cambria Math" w:eastAsiaTheme="minorEastAsia" w:hAnsi="Cambria Math"/>
                          <w:lang w:val="es-ES_tradnl"/>
                        </w:rPr>
                        <m:t>i</m:t>
                      </m:r>
                    </m:sub>
                  </m:sSub>
                  <m:sSub>
                    <m:sSubPr>
                      <m:ctrlPr>
                        <w:rPr>
                          <w:rFonts w:ascii="Cambria Math" w:eastAsiaTheme="minorEastAsia" w:hAnsi="Cambria Math"/>
                          <w:i/>
                          <w:lang w:val="es-ES_tradnl"/>
                        </w:rPr>
                      </m:ctrlPr>
                    </m:sSubPr>
                    <m:e>
                      <m:r>
                        <w:rPr>
                          <w:rFonts w:ascii="Cambria Math" w:eastAsiaTheme="minorEastAsia" w:hAnsi="Cambria Math"/>
                          <w:lang w:val="es-ES_tradnl"/>
                        </w:rPr>
                        <m:t>σ</m:t>
                      </m:r>
                    </m:e>
                    <m:sub>
                      <m:r>
                        <w:rPr>
                          <w:rFonts w:ascii="Cambria Math" w:eastAsiaTheme="minorEastAsia" w:hAnsi="Cambria Math"/>
                          <w:lang w:val="es-ES_tradnl"/>
                        </w:rPr>
                        <m:t>i</m:t>
                      </m:r>
                    </m:sub>
                  </m:sSub>
                </m:num>
                <m:den>
                  <m:nary>
                    <m:naryPr>
                      <m:chr m:val="∑"/>
                      <m:limLoc m:val="undOvr"/>
                      <m:ctrlPr>
                        <w:rPr>
                          <w:rFonts w:ascii="Cambria Math" w:eastAsiaTheme="minorEastAsia" w:hAnsi="Cambria Math"/>
                          <w:i/>
                          <w:lang w:val="es-ES_tradnl"/>
                        </w:rPr>
                      </m:ctrlPr>
                    </m:naryPr>
                    <m:sub>
                      <m:r>
                        <w:rPr>
                          <w:rFonts w:ascii="Cambria Math" w:eastAsiaTheme="minorEastAsia" w:hAnsi="Cambria Math"/>
                          <w:lang w:val="es-ES_tradnl"/>
                        </w:rPr>
                        <m:t>i=1</m:t>
                      </m:r>
                    </m:sub>
                    <m:sup>
                      <m:r>
                        <w:rPr>
                          <w:rFonts w:ascii="Cambria Math" w:eastAsiaTheme="minorEastAsia" w:hAnsi="Cambria Math"/>
                          <w:lang w:val="es-ES_tradnl"/>
                        </w:rPr>
                        <m:t>L</m:t>
                      </m:r>
                    </m:sup>
                    <m:e>
                      <m:sSub>
                        <m:sSubPr>
                          <m:ctrlPr>
                            <w:rPr>
                              <w:rFonts w:ascii="Cambria Math" w:eastAsiaTheme="minorHAnsi" w:hAnsi="Cambria Math"/>
                              <w:i/>
                              <w:lang w:val="es-ES_tradnl"/>
                            </w:rPr>
                          </m:ctrlPr>
                        </m:sSubPr>
                        <m:e>
                          <m:r>
                            <w:rPr>
                              <w:rFonts w:ascii="Cambria Math" w:hAnsi="Cambria Math"/>
                              <w:lang w:val="es-ES_tradnl"/>
                            </w:rPr>
                            <m:t>N</m:t>
                          </m:r>
                        </m:e>
                        <m:sub>
                          <m:r>
                            <w:rPr>
                              <w:rFonts w:ascii="Cambria Math" w:hAnsi="Cambria Math"/>
                              <w:lang w:val="es-ES_tradnl"/>
                            </w:rPr>
                            <m:t>i</m:t>
                          </m:r>
                        </m:sub>
                      </m:sSub>
                      <m:sSub>
                        <m:sSubPr>
                          <m:ctrlPr>
                            <w:rPr>
                              <w:rFonts w:ascii="Cambria Math" w:eastAsiaTheme="minorHAnsi" w:hAnsi="Cambria Math"/>
                              <w:i/>
                              <w:lang w:val="es-ES_tradnl"/>
                            </w:rPr>
                          </m:ctrlPr>
                        </m:sSubPr>
                        <m:e>
                          <m:r>
                            <w:rPr>
                              <w:rFonts w:ascii="Cambria Math" w:hAnsi="Cambria Math"/>
                              <w:lang w:val="es-ES_tradnl"/>
                            </w:rPr>
                            <m:t>σ</m:t>
                          </m:r>
                        </m:e>
                        <m:sub>
                          <m:r>
                            <w:rPr>
                              <w:rFonts w:ascii="Cambria Math" w:hAnsi="Cambria Math"/>
                              <w:lang w:val="es-ES_tradnl"/>
                            </w:rPr>
                            <m:t>i</m:t>
                          </m:r>
                        </m:sub>
                      </m:sSub>
                    </m:e>
                  </m:nary>
                </m:den>
              </m:f>
            </m:e>
          </m:d>
          <m:r>
            <w:rPr>
              <w:rFonts w:ascii="Cambria Math" w:eastAsiaTheme="minorEastAsia" w:hAnsi="Cambria Math"/>
              <w:lang w:val="es-ES_tradnl"/>
            </w:rPr>
            <m:t xml:space="preserve">   i=1,2,3</m:t>
          </m:r>
        </m:oMath>
      </m:oMathPara>
    </w:p>
    <w:p w:rsidR="00496B50" w:rsidRDefault="00496B50" w:rsidP="00496B50">
      <w:pPr>
        <w:spacing w:before="240" w:after="240"/>
        <w:ind w:left="708"/>
        <w:jc w:val="both"/>
        <w:rPr>
          <w:rFonts w:ascii="ITC Avant Garde" w:eastAsiaTheme="minorEastAsia" w:hAnsi="ITC Avant Garde"/>
          <w:b/>
          <w:lang w:val="es-ES_tradnl"/>
        </w:rPr>
      </w:pPr>
      <w:r w:rsidRPr="00FE6BB3">
        <w:rPr>
          <w:rFonts w:ascii="ITC Avant Garde" w:eastAsiaTheme="minorEastAsia" w:hAnsi="ITC Avant Garde"/>
          <w:b/>
          <w:lang w:val="es-ES_tradnl"/>
        </w:rPr>
        <w:t xml:space="preserve">Donde: </w:t>
      </w:r>
    </w:p>
    <w:p w:rsidR="00496B50" w:rsidRPr="00FE6BB3" w:rsidRDefault="00496B50" w:rsidP="00496B50">
      <w:pPr>
        <w:spacing w:before="240" w:after="240"/>
        <w:ind w:firstLine="708"/>
        <w:jc w:val="both"/>
        <w:rPr>
          <w:rFonts w:ascii="ITC Avant Garde" w:eastAsia="MS Mincho" w:hAnsi="ITC Avant Garde"/>
          <w:lang w:val="es-ES_tradnl"/>
        </w:rPr>
      </w:pPr>
      <m:oMath>
        <m:sSub>
          <m:sSubPr>
            <m:ctrlPr>
              <w:rPr>
                <w:rFonts w:ascii="Cambria Math" w:hAnsi="Cambria Math"/>
                <w:i/>
                <w:lang w:val="es-ES_tradnl"/>
              </w:rPr>
            </m:ctrlPr>
          </m:sSubPr>
          <m:e>
            <m:r>
              <w:rPr>
                <w:rFonts w:ascii="Cambria Math" w:hAnsi="Cambria Math"/>
                <w:lang w:val="es-ES_tradnl"/>
              </w:rPr>
              <m:t>n</m:t>
            </m:r>
          </m:e>
          <m:sub>
            <m:r>
              <w:rPr>
                <w:rFonts w:ascii="Cambria Math" w:hAnsi="Cambria Math"/>
                <w:lang w:val="es-ES_tradnl"/>
              </w:rPr>
              <m:t>i</m:t>
            </m:r>
          </m:sub>
        </m:sSub>
      </m:oMath>
      <w:r w:rsidRPr="00FE6BB3">
        <w:rPr>
          <w:rFonts w:ascii="ITC Avant Garde" w:eastAsia="MS Mincho" w:hAnsi="ITC Avant Garde"/>
          <w:lang w:val="es-ES_tradnl"/>
        </w:rPr>
        <w:t xml:space="preserve">= número total de municipios del estrato </w:t>
      </w:r>
      <m:oMath>
        <m:r>
          <w:rPr>
            <w:rFonts w:ascii="Cambria Math" w:eastAsia="MS Mincho" w:hAnsi="Cambria Math"/>
            <w:lang w:val="es-ES_tradnl"/>
          </w:rPr>
          <m:t>i</m:t>
        </m:r>
      </m:oMath>
      <w:r w:rsidRPr="00FE6BB3">
        <w:rPr>
          <w:rFonts w:ascii="ITC Avant Garde" w:eastAsia="MS Mincho" w:hAnsi="ITC Avant Garde"/>
          <w:lang w:val="es-ES_tradnl"/>
        </w:rPr>
        <w:t>, y</w:t>
      </w:r>
    </w:p>
    <w:p w:rsidR="00496B50" w:rsidRDefault="00496B50" w:rsidP="00496B50">
      <w:pPr>
        <w:spacing w:before="240" w:after="240"/>
        <w:ind w:left="708"/>
        <w:jc w:val="both"/>
        <w:rPr>
          <w:rFonts w:ascii="ITC Avant Garde" w:eastAsia="MS Mincho" w:hAnsi="ITC Avant Garde"/>
          <w:lang w:val="es-ES_tradnl"/>
        </w:rPr>
      </w:pPr>
      <m:oMath>
        <m:r>
          <w:rPr>
            <w:rFonts w:ascii="Cambria Math" w:hAnsi="Cambria Math"/>
            <w:lang w:val="es-ES_tradnl"/>
          </w:rPr>
          <m:t>n</m:t>
        </m:r>
      </m:oMath>
      <w:r w:rsidRPr="00FE6BB3">
        <w:rPr>
          <w:rFonts w:ascii="ITC Avant Garde" w:eastAsia="MS Mincho" w:hAnsi="ITC Avant Garde"/>
          <w:lang w:val="es-ES_tradnl"/>
        </w:rPr>
        <w:t xml:space="preserve"> = número total de municipios a considerar en el Ejercicio de Medición. </w:t>
      </w:r>
    </w:p>
    <w:p w:rsidR="00496B50" w:rsidRDefault="00496B50" w:rsidP="00496B50">
      <w:pPr>
        <w:spacing w:before="240" w:after="240"/>
        <w:ind w:left="708"/>
        <w:jc w:val="both"/>
        <w:rPr>
          <w:rFonts w:ascii="ITC Avant Garde" w:hAnsi="ITC Avant Garde"/>
          <w:lang w:val="es-ES_tradnl"/>
        </w:rPr>
      </w:pPr>
      <w:r w:rsidRPr="00FE6BB3">
        <w:rPr>
          <w:rFonts w:ascii="ITC Avant Garde" w:eastAsia="MS Mincho" w:hAnsi="ITC Avant Garde"/>
          <w:b/>
          <w:lang w:val="es-ES_tradnl"/>
        </w:rPr>
        <w:t>Segunda etapa de muestreo.</w:t>
      </w:r>
      <w:r w:rsidRPr="00FE6BB3">
        <w:rPr>
          <w:rFonts w:ascii="ITC Avant Garde" w:eastAsia="MS Mincho" w:hAnsi="ITC Avant Garde"/>
          <w:lang w:val="es-ES_tradnl"/>
        </w:rPr>
        <w:t xml:space="preserve"> Durante la segunda etapa de muestreo, para calcular el número de Eventos (tamaño de muestra) a realizar en los municipios seleccionados por el muestreo aleatorio estratificado, se calcula el tamaño de muestra en cada estrato a partir de un muestreo aleatorio simple partiendo de la siguiente fórmula:</w:t>
      </w:r>
    </w:p>
    <w:p w:rsidR="00496B50" w:rsidRDefault="00496B50" w:rsidP="00496B50">
      <w:pPr>
        <w:pStyle w:val="Normal1"/>
        <w:widowControl w:val="0"/>
        <w:spacing w:before="240" w:after="240"/>
        <w:ind w:firstLine="708"/>
        <w:rPr>
          <w:rFonts w:ascii="ITC Avant Garde" w:hAnsi="ITC Avant Garde"/>
          <w:b/>
          <w:szCs w:val="22"/>
          <w:lang w:val="es-ES_tradnl"/>
        </w:rPr>
      </w:pPr>
      <m:oMathPara>
        <m:oMath>
          <m:sSub>
            <m:sSubPr>
              <m:ctrlPr>
                <w:rPr>
                  <w:rFonts w:ascii="Cambria Math" w:hAnsi="Cambria Math"/>
                  <w:i/>
                  <w:sz w:val="20"/>
                  <w:szCs w:val="20"/>
                  <w:lang w:val="es-ES_tradnl"/>
                </w:rPr>
              </m:ctrlPr>
            </m:sSubPr>
            <m:e>
              <m:r>
                <w:rPr>
                  <w:rFonts w:ascii="Cambria Math" w:hAnsi="Cambria Math"/>
                  <w:sz w:val="20"/>
                  <w:szCs w:val="20"/>
                  <w:lang w:val="es-ES_tradnl"/>
                </w:rPr>
                <m:t>m</m:t>
              </m:r>
            </m:e>
            <m:sub>
              <m:r>
                <w:rPr>
                  <w:rFonts w:ascii="Cambria Math" w:hAnsi="Cambria Math"/>
                  <w:sz w:val="20"/>
                  <w:szCs w:val="20"/>
                  <w:lang w:val="es-ES_tradnl"/>
                </w:rPr>
                <m:t>i</m:t>
              </m:r>
            </m:sub>
          </m:sSub>
          <m:r>
            <w:rPr>
              <w:rFonts w:ascii="Cambria Math" w:hAnsi="Cambria Math"/>
              <w:sz w:val="20"/>
              <w:szCs w:val="20"/>
              <w:lang w:val="es-ES_tradnl"/>
            </w:rPr>
            <m:t>=</m:t>
          </m:r>
          <m:f>
            <m:fPr>
              <m:ctrlPr>
                <w:rPr>
                  <w:rFonts w:ascii="Cambria Math" w:hAnsi="Cambria Math"/>
                  <w:i/>
                  <w:sz w:val="20"/>
                  <w:szCs w:val="20"/>
                  <w:lang w:val="es-ES_tradnl"/>
                </w:rPr>
              </m:ctrlPr>
            </m:fPr>
            <m:num>
              <m:sSubSup>
                <m:sSubSupPr>
                  <m:ctrlPr>
                    <w:rPr>
                      <w:rFonts w:ascii="Cambria Math" w:hAnsi="Cambria Math"/>
                      <w:i/>
                      <w:sz w:val="20"/>
                      <w:szCs w:val="20"/>
                      <w:lang w:val="es-ES_tradnl"/>
                    </w:rPr>
                  </m:ctrlPr>
                </m:sSubSupPr>
                <m:e>
                  <m:r>
                    <w:rPr>
                      <w:rFonts w:ascii="Cambria Math" w:hAnsi="Cambria Math"/>
                      <w:sz w:val="20"/>
                      <w:szCs w:val="20"/>
                      <w:lang w:val="es-ES_tradnl"/>
                    </w:rPr>
                    <m:t>z</m:t>
                  </m:r>
                </m:e>
                <m:sub>
                  <m:r>
                    <w:rPr>
                      <w:rFonts w:ascii="Cambria Math" w:hAnsi="Cambria Math"/>
                      <w:sz w:val="20"/>
                      <w:szCs w:val="20"/>
                      <w:lang w:val="es-ES_tradnl"/>
                    </w:rPr>
                    <m:t>1-</m:t>
                  </m:r>
                  <m:f>
                    <m:fPr>
                      <m:type m:val="skw"/>
                      <m:ctrlPr>
                        <w:rPr>
                          <w:rFonts w:ascii="Cambria Math" w:hAnsi="Cambria Math"/>
                          <w:i/>
                          <w:sz w:val="20"/>
                          <w:szCs w:val="20"/>
                          <w:lang w:val="es-ES_tradnl"/>
                        </w:rPr>
                      </m:ctrlPr>
                    </m:fPr>
                    <m:num>
                      <m:r>
                        <w:rPr>
                          <w:rFonts w:ascii="Cambria Math" w:hAnsi="Cambria Math"/>
                          <w:sz w:val="20"/>
                          <w:szCs w:val="20"/>
                          <w:lang w:val="es-ES_tradnl"/>
                        </w:rPr>
                        <m:t>α</m:t>
                      </m:r>
                    </m:num>
                    <m:den>
                      <m:r>
                        <w:rPr>
                          <w:rFonts w:ascii="Cambria Math" w:hAnsi="Cambria Math"/>
                          <w:sz w:val="20"/>
                          <w:szCs w:val="20"/>
                          <w:lang w:val="es-ES_tradnl"/>
                        </w:rPr>
                        <m:t>2</m:t>
                      </m:r>
                    </m:den>
                  </m:f>
                </m:sub>
                <m:sup>
                  <m:r>
                    <w:rPr>
                      <w:rFonts w:ascii="Cambria Math" w:hAnsi="Cambria Math"/>
                      <w:sz w:val="20"/>
                      <w:szCs w:val="20"/>
                      <w:lang w:val="es-ES_tradnl"/>
                    </w:rPr>
                    <m:t>2</m:t>
                  </m:r>
                </m:sup>
              </m:sSubSup>
            </m:num>
            <m:den>
              <m:sSup>
                <m:sSupPr>
                  <m:ctrlPr>
                    <w:rPr>
                      <w:rFonts w:ascii="Cambria Math" w:hAnsi="Cambria Math"/>
                      <w:i/>
                      <w:sz w:val="20"/>
                      <w:szCs w:val="20"/>
                      <w:lang w:val="es-ES_tradnl"/>
                    </w:rPr>
                  </m:ctrlPr>
                </m:sSupPr>
                <m:e>
                  <m:r>
                    <w:rPr>
                      <w:rFonts w:ascii="Cambria Math" w:hAnsi="Cambria Math"/>
                      <w:sz w:val="20"/>
                      <w:szCs w:val="20"/>
                      <w:lang w:val="es-ES_tradnl"/>
                    </w:rPr>
                    <m:t>a</m:t>
                  </m:r>
                </m:e>
                <m:sup>
                  <m:r>
                    <w:rPr>
                      <w:rFonts w:ascii="Cambria Math" w:hAnsi="Cambria Math"/>
                      <w:sz w:val="20"/>
                      <w:szCs w:val="20"/>
                      <w:lang w:val="es-ES_tradnl"/>
                    </w:rPr>
                    <m:t>2</m:t>
                  </m:r>
                </m:sup>
              </m:sSup>
            </m:den>
          </m:f>
          <m:r>
            <w:rPr>
              <w:rFonts w:ascii="Cambria Math" w:hAnsi="Cambria Math"/>
              <w:sz w:val="20"/>
              <w:szCs w:val="20"/>
              <w:lang w:val="es-ES_tradnl"/>
            </w:rPr>
            <m:t>∙</m:t>
          </m:r>
          <m:sSup>
            <m:sSupPr>
              <m:ctrlPr>
                <w:rPr>
                  <w:rFonts w:ascii="Cambria Math" w:hAnsi="Cambria Math"/>
                  <w:i/>
                  <w:sz w:val="20"/>
                  <w:szCs w:val="20"/>
                  <w:lang w:val="es-ES_tradnl"/>
                </w:rPr>
              </m:ctrlPr>
            </m:sSupPr>
            <m:e>
              <m:d>
                <m:dPr>
                  <m:ctrlPr>
                    <w:rPr>
                      <w:rFonts w:ascii="Cambria Math" w:hAnsi="Cambria Math"/>
                      <w:i/>
                      <w:sz w:val="20"/>
                      <w:szCs w:val="20"/>
                      <w:lang w:val="es-ES_tradnl"/>
                    </w:rPr>
                  </m:ctrlPr>
                </m:dPr>
                <m:e>
                  <m:f>
                    <m:fPr>
                      <m:ctrlPr>
                        <w:rPr>
                          <w:rFonts w:ascii="Cambria Math" w:hAnsi="Cambria Math"/>
                          <w:i/>
                          <w:sz w:val="20"/>
                          <w:szCs w:val="20"/>
                          <w:lang w:val="es-ES_tradnl"/>
                        </w:rPr>
                      </m:ctrlPr>
                    </m:fPr>
                    <m:num>
                      <m:sSub>
                        <m:sSubPr>
                          <m:ctrlPr>
                            <w:rPr>
                              <w:rFonts w:ascii="Cambria Math" w:eastAsiaTheme="minorHAnsi" w:hAnsi="Cambria Math"/>
                              <w:i/>
                              <w:color w:val="auto"/>
                              <w:szCs w:val="22"/>
                              <w:lang w:val="es-ES_tradnl" w:eastAsia="en-US"/>
                            </w:rPr>
                          </m:ctrlPr>
                        </m:sSubPr>
                        <m:e>
                          <m:r>
                            <w:rPr>
                              <w:rFonts w:ascii="Cambria Math" w:eastAsiaTheme="minorHAnsi" w:hAnsi="Cambria Math"/>
                              <w:color w:val="auto"/>
                              <w:szCs w:val="22"/>
                              <w:lang w:val="es-ES_tradnl" w:eastAsia="en-US"/>
                            </w:rPr>
                            <m:t>σ</m:t>
                          </m:r>
                        </m:e>
                        <m:sub>
                          <m:r>
                            <w:rPr>
                              <w:rFonts w:ascii="Cambria Math" w:eastAsiaTheme="minorHAnsi" w:hAnsi="Cambria Math"/>
                              <w:color w:val="auto"/>
                              <w:szCs w:val="22"/>
                              <w:lang w:val="es-ES_tradnl" w:eastAsia="en-US"/>
                            </w:rPr>
                            <m:t>i</m:t>
                          </m:r>
                        </m:sub>
                      </m:sSub>
                    </m:num>
                    <m:den>
                      <m:sSub>
                        <m:sSubPr>
                          <m:ctrlPr>
                            <w:rPr>
                              <w:rFonts w:ascii="Cambria Math" w:hAnsi="Cambria Math"/>
                              <w:i/>
                              <w:szCs w:val="22"/>
                              <w:lang w:val="es-ES_tradnl"/>
                            </w:rPr>
                          </m:ctrlPr>
                        </m:sSubPr>
                        <m:e>
                          <m:acc>
                            <m:accPr>
                              <m:chr m:val="̅"/>
                              <m:ctrlPr>
                                <w:rPr>
                                  <w:rFonts w:ascii="Cambria Math" w:hAnsi="Cambria Math"/>
                                  <w:i/>
                                  <w:szCs w:val="22"/>
                                  <w:lang w:val="es-ES_tradnl"/>
                                </w:rPr>
                              </m:ctrlPr>
                            </m:accPr>
                            <m:e>
                              <m:r>
                                <w:rPr>
                                  <w:rFonts w:ascii="Cambria Math" w:hAnsi="Cambria Math"/>
                                  <w:szCs w:val="22"/>
                                  <w:lang w:val="es-ES_tradnl"/>
                                </w:rPr>
                                <m:t>x</m:t>
                              </m:r>
                            </m:e>
                          </m:acc>
                        </m:e>
                        <m:sub>
                          <m:r>
                            <w:rPr>
                              <w:rFonts w:ascii="Cambria Math" w:hAnsi="Cambria Math"/>
                              <w:szCs w:val="22"/>
                              <w:lang w:val="es-ES_tradnl"/>
                            </w:rPr>
                            <m:t>i</m:t>
                          </m:r>
                        </m:sub>
                      </m:sSub>
                    </m:den>
                  </m:f>
                </m:e>
              </m:d>
            </m:e>
            <m:sup>
              <m:r>
                <w:rPr>
                  <w:rFonts w:ascii="Cambria Math" w:hAnsi="Cambria Math"/>
                  <w:sz w:val="20"/>
                  <w:szCs w:val="20"/>
                  <w:lang w:val="es-ES_tradnl"/>
                </w:rPr>
                <m:t>2</m:t>
              </m:r>
            </m:sup>
          </m:sSup>
        </m:oMath>
      </m:oMathPara>
    </w:p>
    <w:p w:rsidR="00496B50" w:rsidRDefault="00496B50" w:rsidP="00496B50">
      <w:pPr>
        <w:pStyle w:val="Normal1"/>
        <w:widowControl w:val="0"/>
        <w:spacing w:before="240" w:after="240"/>
        <w:ind w:firstLine="708"/>
        <w:rPr>
          <w:rFonts w:ascii="ITC Avant Garde" w:hAnsi="ITC Avant Garde"/>
          <w:b/>
          <w:szCs w:val="22"/>
          <w:lang w:val="es-ES_tradnl"/>
        </w:rPr>
      </w:pPr>
      <w:r w:rsidRPr="00FE6BB3">
        <w:rPr>
          <w:rFonts w:ascii="ITC Avant Garde" w:hAnsi="ITC Avant Garde"/>
          <w:b/>
          <w:szCs w:val="22"/>
          <w:lang w:val="es-ES_tradnl"/>
        </w:rPr>
        <w:t>Donde</w:t>
      </w:r>
    </w:p>
    <w:p w:rsidR="00496B50" w:rsidRPr="00FE6BB3" w:rsidRDefault="00496B50" w:rsidP="00496B50">
      <w:pPr>
        <w:pStyle w:val="Normal1"/>
        <w:widowControl w:val="0"/>
        <w:spacing w:before="240" w:after="240"/>
        <w:ind w:firstLine="708"/>
        <w:rPr>
          <w:rFonts w:ascii="ITC Avant Garde" w:hAnsi="ITC Avant Garde"/>
          <w:szCs w:val="22"/>
          <w:lang w:val="es-ES_tradnl"/>
        </w:rPr>
      </w:pPr>
      <w:r w:rsidRPr="00FE6BB3">
        <w:rPr>
          <w:rFonts w:ascii="ITC Avant Garde" w:hAnsi="ITC Avant Garde"/>
          <w:b/>
          <w:szCs w:val="22"/>
          <w:lang w:val="es-ES_tradnl"/>
        </w:rPr>
        <w:t xml:space="preserve"> </w:t>
      </w:r>
      <m:oMath>
        <m:sSub>
          <m:sSubPr>
            <m:ctrlPr>
              <w:rPr>
                <w:rFonts w:ascii="Cambria Math" w:hAnsi="Cambria Math"/>
                <w:i/>
                <w:sz w:val="20"/>
                <w:szCs w:val="20"/>
                <w:lang w:val="es-ES_tradnl"/>
              </w:rPr>
            </m:ctrlPr>
          </m:sSubPr>
          <m:e>
            <m:r>
              <w:rPr>
                <w:rFonts w:ascii="Cambria Math" w:hAnsi="Cambria Math"/>
                <w:sz w:val="20"/>
                <w:szCs w:val="20"/>
                <w:lang w:val="es-ES_tradnl"/>
              </w:rPr>
              <m:t>m</m:t>
            </m:r>
          </m:e>
          <m:sub>
            <m:r>
              <w:rPr>
                <w:rFonts w:ascii="Cambria Math" w:hAnsi="Cambria Math"/>
                <w:sz w:val="20"/>
                <w:szCs w:val="20"/>
                <w:lang w:val="es-ES_tradnl"/>
              </w:rPr>
              <m:t>i</m:t>
            </m:r>
          </m:sub>
        </m:sSub>
      </m:oMath>
      <w:r w:rsidRPr="00FE6BB3">
        <w:rPr>
          <w:rFonts w:ascii="ITC Avant Garde" w:hAnsi="ITC Avant Garde"/>
          <w:szCs w:val="22"/>
          <w:lang w:val="es-ES_tradnl"/>
        </w:rPr>
        <w:t xml:space="preserve"> = Tamaño de muestra para el estrato </w:t>
      </w:r>
      <m:oMath>
        <m:r>
          <w:rPr>
            <w:rFonts w:ascii="Cambria Math" w:eastAsia="MS Mincho" w:hAnsi="Cambria Math"/>
            <w:lang w:val="es-ES_tradnl"/>
          </w:rPr>
          <m:t>i</m:t>
        </m:r>
      </m:oMath>
      <w:r w:rsidRPr="00FE6BB3">
        <w:rPr>
          <w:rFonts w:ascii="ITC Avant Garde" w:hAnsi="ITC Avant Garde"/>
          <w:szCs w:val="22"/>
          <w:lang w:val="es-ES_tradnl"/>
        </w:rPr>
        <w:t>;</w:t>
      </w:r>
    </w:p>
    <w:p w:rsidR="00496B50" w:rsidRPr="00FE6BB3" w:rsidRDefault="00496B50" w:rsidP="00496B50">
      <w:pPr>
        <w:pStyle w:val="Normal1"/>
        <w:widowControl w:val="0"/>
        <w:spacing w:before="240" w:after="240"/>
        <w:ind w:firstLine="708"/>
        <w:rPr>
          <w:rFonts w:ascii="ITC Avant Garde" w:hAnsi="ITC Avant Garde"/>
          <w:szCs w:val="22"/>
          <w:lang w:val="es-ES_tradnl"/>
        </w:rPr>
      </w:pPr>
      <m:oMath>
        <m:sSub>
          <m:sSubPr>
            <m:ctrlPr>
              <w:rPr>
                <w:rFonts w:ascii="Cambria Math" w:hAnsi="Cambria Math"/>
                <w:i/>
                <w:sz w:val="20"/>
                <w:szCs w:val="20"/>
                <w:lang w:val="es-ES_tradnl"/>
              </w:rPr>
            </m:ctrlPr>
          </m:sSubPr>
          <m:e>
            <m:r>
              <w:rPr>
                <w:rFonts w:ascii="Cambria Math" w:hAnsi="Cambria Math"/>
                <w:sz w:val="20"/>
                <w:szCs w:val="20"/>
                <w:lang w:val="es-ES_tradnl"/>
              </w:rPr>
              <m:t>z</m:t>
            </m:r>
          </m:e>
          <m:sub>
            <m:r>
              <w:rPr>
                <w:rFonts w:ascii="Cambria Math" w:hAnsi="Cambria Math"/>
                <w:sz w:val="20"/>
                <w:szCs w:val="20"/>
                <w:lang w:val="es-ES_tradnl"/>
              </w:rPr>
              <m:t>1-</m:t>
            </m:r>
            <m:f>
              <m:fPr>
                <m:type m:val="skw"/>
                <m:ctrlPr>
                  <w:rPr>
                    <w:rFonts w:ascii="Cambria Math" w:hAnsi="Cambria Math"/>
                    <w:i/>
                    <w:sz w:val="20"/>
                    <w:szCs w:val="20"/>
                    <w:lang w:val="es-ES_tradnl"/>
                  </w:rPr>
                </m:ctrlPr>
              </m:fPr>
              <m:num>
                <m:r>
                  <w:rPr>
                    <w:rFonts w:ascii="Cambria Math" w:hAnsi="Cambria Math"/>
                    <w:sz w:val="20"/>
                    <w:szCs w:val="20"/>
                    <w:lang w:val="es-ES_tradnl"/>
                  </w:rPr>
                  <m:t>α</m:t>
                </m:r>
              </m:num>
              <m:den>
                <m:r>
                  <w:rPr>
                    <w:rFonts w:ascii="Cambria Math" w:hAnsi="Cambria Math"/>
                    <w:sz w:val="20"/>
                    <w:szCs w:val="20"/>
                    <w:lang w:val="es-ES_tradnl"/>
                  </w:rPr>
                  <m:t>2</m:t>
                </m:r>
              </m:den>
            </m:f>
          </m:sub>
        </m:sSub>
      </m:oMath>
      <w:r w:rsidRPr="00FE6BB3">
        <w:rPr>
          <w:rFonts w:ascii="ITC Avant Garde" w:hAnsi="ITC Avant Garde"/>
          <w:szCs w:val="22"/>
          <w:lang w:val="es-ES_tradnl"/>
        </w:rPr>
        <w:t xml:space="preserve">= percentil </w:t>
      </w:r>
      <m:oMath>
        <m:r>
          <w:rPr>
            <w:rFonts w:ascii="Cambria Math" w:hAnsi="Cambria Math"/>
            <w:sz w:val="20"/>
            <w:szCs w:val="20"/>
            <w:lang w:val="es-ES_tradnl"/>
          </w:rPr>
          <m:t>1-</m:t>
        </m:r>
        <m:f>
          <m:fPr>
            <m:type m:val="skw"/>
            <m:ctrlPr>
              <w:rPr>
                <w:rFonts w:ascii="Cambria Math" w:hAnsi="Cambria Math"/>
                <w:i/>
                <w:sz w:val="20"/>
                <w:szCs w:val="20"/>
                <w:lang w:val="es-ES_tradnl"/>
              </w:rPr>
            </m:ctrlPr>
          </m:fPr>
          <m:num>
            <m:r>
              <w:rPr>
                <w:rFonts w:ascii="Cambria Math" w:hAnsi="Cambria Math"/>
                <w:sz w:val="20"/>
                <w:szCs w:val="20"/>
                <w:lang w:val="es-ES_tradnl"/>
              </w:rPr>
              <m:t>α</m:t>
            </m:r>
          </m:num>
          <m:den>
            <m:r>
              <w:rPr>
                <w:rFonts w:ascii="Cambria Math" w:hAnsi="Cambria Math"/>
                <w:sz w:val="20"/>
                <w:szCs w:val="20"/>
                <w:lang w:val="es-ES_tradnl"/>
              </w:rPr>
              <m:t>2</m:t>
            </m:r>
          </m:den>
        </m:f>
      </m:oMath>
      <w:r w:rsidRPr="00FE6BB3">
        <w:rPr>
          <w:rFonts w:ascii="ITC Avant Garde" w:hAnsi="ITC Avant Garde"/>
          <w:sz w:val="20"/>
          <w:szCs w:val="20"/>
          <w:lang w:val="es-ES_tradnl"/>
        </w:rPr>
        <w:t xml:space="preserve"> </w:t>
      </w:r>
      <w:r w:rsidRPr="00FE6BB3">
        <w:rPr>
          <w:rFonts w:ascii="ITC Avant Garde" w:hAnsi="ITC Avant Garde"/>
          <w:szCs w:val="22"/>
          <w:lang w:val="es-ES_tradnl"/>
        </w:rPr>
        <w:t>de la distribuci</w:t>
      </w:r>
      <w:r w:rsidRPr="00FE6BB3">
        <w:rPr>
          <w:rFonts w:ascii="ITC Avant Garde" w:hAnsi="ITC Avant Garde" w:cs="ITC Avant Garde"/>
          <w:szCs w:val="22"/>
          <w:lang w:val="es-ES_tradnl"/>
        </w:rPr>
        <w:t>ó</w:t>
      </w:r>
      <w:r w:rsidRPr="00FE6BB3">
        <w:rPr>
          <w:rFonts w:ascii="ITC Avant Garde" w:hAnsi="ITC Avant Garde"/>
          <w:szCs w:val="22"/>
          <w:lang w:val="es-ES_tradnl"/>
        </w:rPr>
        <w:t>n normal est</w:t>
      </w:r>
      <w:r w:rsidRPr="00FE6BB3">
        <w:rPr>
          <w:rFonts w:ascii="ITC Avant Garde" w:hAnsi="ITC Avant Garde" w:cs="ITC Avant Garde"/>
          <w:szCs w:val="22"/>
          <w:lang w:val="es-ES_tradnl"/>
        </w:rPr>
        <w:t>á</w:t>
      </w:r>
      <w:r w:rsidRPr="00FE6BB3">
        <w:rPr>
          <w:rFonts w:ascii="ITC Avant Garde" w:hAnsi="ITC Avant Garde"/>
          <w:szCs w:val="22"/>
          <w:lang w:val="es-ES_tradnl"/>
        </w:rPr>
        <w:t>ndar;</w:t>
      </w:r>
    </w:p>
    <w:p w:rsidR="00496B50" w:rsidRPr="00FE6BB3" w:rsidRDefault="00496B50" w:rsidP="00496B50">
      <w:pPr>
        <w:pStyle w:val="Normal1"/>
        <w:widowControl w:val="0"/>
        <w:spacing w:before="240" w:after="240"/>
        <w:ind w:firstLine="708"/>
        <w:rPr>
          <w:rFonts w:ascii="ITC Avant Garde" w:hAnsi="ITC Avant Garde"/>
          <w:szCs w:val="22"/>
          <w:lang w:val="es-ES_tradnl"/>
        </w:rPr>
      </w:pPr>
      <m:oMath>
        <m:r>
          <w:rPr>
            <w:rFonts w:ascii="Cambria Math" w:hAnsi="Cambria Math"/>
            <w:sz w:val="20"/>
            <w:szCs w:val="20"/>
            <w:lang w:val="es-ES_tradnl"/>
          </w:rPr>
          <m:t>1-α</m:t>
        </m:r>
      </m:oMath>
      <w:r w:rsidRPr="00FE6BB3">
        <w:rPr>
          <w:rFonts w:ascii="ITC Avant Garde" w:hAnsi="ITC Avant Garde"/>
          <w:szCs w:val="22"/>
          <w:lang w:val="es-ES_tradnl"/>
        </w:rPr>
        <w:t>= nivel de confianza;</w:t>
      </w:r>
    </w:p>
    <w:p w:rsidR="00496B50" w:rsidRPr="00FE6BB3" w:rsidRDefault="00496B50" w:rsidP="00496B50">
      <w:pPr>
        <w:pStyle w:val="Normal1"/>
        <w:widowControl w:val="0"/>
        <w:spacing w:before="240" w:after="240"/>
        <w:ind w:firstLine="708"/>
        <w:rPr>
          <w:rFonts w:ascii="ITC Avant Garde" w:hAnsi="ITC Avant Garde"/>
          <w:szCs w:val="22"/>
          <w:lang w:val="es-ES_tradnl"/>
        </w:rPr>
      </w:pPr>
      <m:oMath>
        <m:r>
          <w:rPr>
            <w:rFonts w:ascii="Cambria Math" w:hAnsi="Cambria Math"/>
            <w:sz w:val="20"/>
            <w:szCs w:val="20"/>
            <w:lang w:val="es-ES_tradnl"/>
          </w:rPr>
          <m:t>a</m:t>
        </m:r>
      </m:oMath>
      <w:r w:rsidRPr="00FE6BB3">
        <w:rPr>
          <w:rFonts w:ascii="ITC Avant Garde" w:hAnsi="ITC Avant Garde"/>
          <w:szCs w:val="22"/>
          <w:lang w:val="es-ES_tradnl"/>
        </w:rPr>
        <w:t xml:space="preserve"> = error de estimación máximo aceptable;</w:t>
      </w:r>
    </w:p>
    <w:p w:rsidR="00496B50" w:rsidRPr="00FE6BB3" w:rsidRDefault="00496B50" w:rsidP="00496B50">
      <w:pPr>
        <w:pStyle w:val="Normal1"/>
        <w:widowControl w:val="0"/>
        <w:spacing w:before="240" w:after="240"/>
        <w:ind w:left="705" w:firstLine="3"/>
        <w:rPr>
          <w:rFonts w:ascii="ITC Avant Garde" w:hAnsi="ITC Avant Garde"/>
          <w:szCs w:val="22"/>
          <w:lang w:val="es-ES_tradnl"/>
        </w:rPr>
      </w:pPr>
      <m:oMath>
        <m:sSub>
          <m:sSubPr>
            <m:ctrlPr>
              <w:rPr>
                <w:rFonts w:ascii="Cambria Math" w:hAnsi="Cambria Math"/>
                <w:i/>
                <w:szCs w:val="22"/>
                <w:lang w:val="es-ES_tradnl"/>
              </w:rPr>
            </m:ctrlPr>
          </m:sSubPr>
          <m:e>
            <m:acc>
              <m:accPr>
                <m:chr m:val="̅"/>
                <m:ctrlPr>
                  <w:rPr>
                    <w:rFonts w:ascii="Cambria Math" w:hAnsi="Cambria Math"/>
                    <w:i/>
                    <w:szCs w:val="22"/>
                    <w:lang w:val="es-ES_tradnl"/>
                  </w:rPr>
                </m:ctrlPr>
              </m:accPr>
              <m:e>
                <m:r>
                  <w:rPr>
                    <w:rFonts w:ascii="Cambria Math" w:hAnsi="Cambria Math"/>
                    <w:szCs w:val="22"/>
                    <w:lang w:val="es-ES_tradnl"/>
                  </w:rPr>
                  <m:t>x</m:t>
                </m:r>
              </m:e>
            </m:acc>
          </m:e>
          <m:sub>
            <m:r>
              <w:rPr>
                <w:rFonts w:ascii="Cambria Math" w:hAnsi="Cambria Math"/>
                <w:szCs w:val="22"/>
                <w:lang w:val="es-ES_tradnl"/>
              </w:rPr>
              <m:t>i</m:t>
            </m:r>
          </m:sub>
        </m:sSub>
      </m:oMath>
      <w:r w:rsidRPr="00FE6BB3">
        <w:rPr>
          <w:rFonts w:ascii="ITC Avant Garde" w:hAnsi="ITC Avant Garde"/>
          <w:szCs w:val="22"/>
          <w:lang w:val="es-ES_tradnl"/>
        </w:rPr>
        <w:t xml:space="preserve">= media obtenida para el Parámetro de Cobertura correspondiente del estrato </w:t>
      </w:r>
      <m:oMath>
        <m:r>
          <w:rPr>
            <w:rFonts w:ascii="Cambria Math" w:eastAsiaTheme="minorHAnsi" w:hAnsi="Cambria Math"/>
            <w:szCs w:val="22"/>
            <w:lang w:val="es-ES_tradnl"/>
          </w:rPr>
          <m:t>i</m:t>
        </m:r>
      </m:oMath>
      <w:r w:rsidRPr="00FE6BB3">
        <w:rPr>
          <w:rFonts w:ascii="ITC Avant Garde" w:hAnsi="ITC Avant Garde"/>
          <w:szCs w:val="22"/>
          <w:lang w:val="es-ES_tradnl"/>
        </w:rPr>
        <w:t>, y</w:t>
      </w:r>
    </w:p>
    <w:p w:rsidR="00496B50" w:rsidRPr="00FE6BB3" w:rsidRDefault="00496B50" w:rsidP="00496B50">
      <w:pPr>
        <w:pStyle w:val="Normal1"/>
        <w:widowControl w:val="0"/>
        <w:spacing w:before="240" w:after="240"/>
        <w:ind w:firstLine="705"/>
        <w:rPr>
          <w:rFonts w:ascii="ITC Avant Garde" w:hAnsi="ITC Avant Garde"/>
          <w:lang w:val="es-ES_tradnl"/>
        </w:rPr>
      </w:pPr>
      <m:oMath>
        <m:sSub>
          <m:sSubPr>
            <m:ctrlPr>
              <w:rPr>
                <w:rFonts w:ascii="Cambria Math" w:eastAsiaTheme="minorHAnsi" w:hAnsi="Cambria Math"/>
                <w:i/>
                <w:color w:val="auto"/>
                <w:szCs w:val="22"/>
                <w:lang w:val="es-ES_tradnl" w:eastAsia="en-US"/>
              </w:rPr>
            </m:ctrlPr>
          </m:sSubPr>
          <m:e>
            <m:r>
              <w:rPr>
                <w:rFonts w:ascii="Cambria Math" w:eastAsiaTheme="minorHAnsi" w:hAnsi="Cambria Math"/>
                <w:color w:val="auto"/>
                <w:szCs w:val="22"/>
                <w:lang w:val="es-ES_tradnl" w:eastAsia="en-US"/>
              </w:rPr>
              <m:t>σ</m:t>
            </m:r>
          </m:e>
          <m:sub>
            <m:r>
              <w:rPr>
                <w:rFonts w:ascii="Cambria Math" w:eastAsiaTheme="minorHAnsi" w:hAnsi="Cambria Math"/>
                <w:color w:val="auto"/>
                <w:szCs w:val="22"/>
                <w:lang w:val="es-ES_tradnl" w:eastAsia="en-US"/>
              </w:rPr>
              <m:t>i</m:t>
            </m:r>
          </m:sub>
        </m:sSub>
        <m:r>
          <w:rPr>
            <w:rFonts w:ascii="Cambria Math" w:eastAsiaTheme="minorHAnsi" w:hAnsi="Cambria Math"/>
            <w:color w:val="auto"/>
            <w:szCs w:val="22"/>
            <w:lang w:val="es-ES_tradnl" w:eastAsia="en-US"/>
          </w:rPr>
          <m:t xml:space="preserve"> </m:t>
        </m:r>
      </m:oMath>
      <w:proofErr w:type="gramStart"/>
      <w:r w:rsidRPr="00FE6BB3">
        <w:rPr>
          <w:rFonts w:ascii="ITC Avant Garde" w:hAnsi="ITC Avant Garde"/>
          <w:color w:val="auto"/>
          <w:szCs w:val="22"/>
          <w:lang w:val="es-ES_tradnl" w:eastAsia="en-US"/>
        </w:rPr>
        <w:t>y</w:t>
      </w:r>
      <w:proofErr w:type="gramEnd"/>
      <w:r w:rsidRPr="00FE6BB3">
        <w:rPr>
          <w:rFonts w:ascii="ITC Avant Garde" w:hAnsi="ITC Avant Garde"/>
          <w:color w:val="auto"/>
          <w:szCs w:val="22"/>
          <w:lang w:val="es-ES_tradnl" w:eastAsia="en-US"/>
        </w:rPr>
        <w:t xml:space="preserve"> </w:t>
      </w:r>
      <m:oMath>
        <m:sSub>
          <m:sSubPr>
            <m:ctrlPr>
              <w:rPr>
                <w:rFonts w:ascii="Cambria Math" w:hAnsi="Cambria Math"/>
                <w:i/>
                <w:szCs w:val="22"/>
                <w:lang w:val="es-ES_tradnl"/>
              </w:rPr>
            </m:ctrlPr>
          </m:sSubPr>
          <m:e>
            <m:acc>
              <m:accPr>
                <m:chr m:val="̅"/>
                <m:ctrlPr>
                  <w:rPr>
                    <w:rFonts w:ascii="Cambria Math" w:hAnsi="Cambria Math"/>
                    <w:i/>
                    <w:szCs w:val="22"/>
                    <w:lang w:val="es-ES_tradnl"/>
                  </w:rPr>
                </m:ctrlPr>
              </m:accPr>
              <m:e>
                <m:r>
                  <w:rPr>
                    <w:rFonts w:ascii="Cambria Math" w:hAnsi="Cambria Math"/>
                    <w:szCs w:val="22"/>
                    <w:lang w:val="es-ES_tradnl"/>
                  </w:rPr>
                  <m:t>x</m:t>
                </m:r>
              </m:e>
            </m:acc>
          </m:e>
          <m:sub>
            <m:r>
              <w:rPr>
                <w:rFonts w:ascii="Cambria Math" w:hAnsi="Cambria Math"/>
                <w:szCs w:val="22"/>
                <w:lang w:val="es-ES_tradnl"/>
              </w:rPr>
              <m:t>i</m:t>
            </m:r>
          </m:sub>
        </m:sSub>
      </m:oMath>
      <w:r w:rsidRPr="00FE6BB3">
        <w:rPr>
          <w:rFonts w:ascii="ITC Avant Garde" w:hAnsi="ITC Avant Garde"/>
          <w:szCs w:val="22"/>
          <w:lang w:val="es-ES_tradnl"/>
        </w:rPr>
        <w:t xml:space="preserve"> son </w:t>
      </w:r>
      <w:r w:rsidRPr="00FE6BB3">
        <w:rPr>
          <w:rFonts w:ascii="ITC Avant Garde" w:hAnsi="ITC Avant Garde"/>
          <w:lang w:val="es-ES_tradnl"/>
        </w:rPr>
        <w:t>calculados de Ejercicios de Medición previos</w:t>
      </w:r>
      <w:r w:rsidRPr="00FE6BB3">
        <w:rPr>
          <w:rStyle w:val="Refdenotaalpie"/>
          <w:rFonts w:ascii="ITC Avant Garde" w:hAnsi="ITC Avant Garde"/>
          <w:lang w:val="es-ES_tradnl"/>
        </w:rPr>
        <w:footnoteReference w:id="3"/>
      </w:r>
      <w:r w:rsidRPr="00FE6BB3">
        <w:rPr>
          <w:rFonts w:ascii="ITC Avant Garde" w:hAnsi="ITC Avant Garde"/>
          <w:lang w:val="es-ES_tradnl"/>
        </w:rPr>
        <w:t>.</w:t>
      </w:r>
    </w:p>
    <w:p w:rsidR="00496B50" w:rsidRDefault="00496B50" w:rsidP="00496B50">
      <w:pPr>
        <w:pStyle w:val="Normal1"/>
        <w:widowControl w:val="0"/>
        <w:spacing w:before="240" w:after="240"/>
        <w:ind w:left="705"/>
        <w:jc w:val="both"/>
        <w:rPr>
          <w:rFonts w:ascii="ITC Avant Garde" w:hAnsi="ITC Avant Garde"/>
          <w:lang w:val="es-ES_tradnl"/>
        </w:rPr>
      </w:pPr>
      <w:r w:rsidRPr="00FE6BB3">
        <w:rPr>
          <w:rFonts w:ascii="ITC Avant Garde" w:hAnsi="ITC Avant Garde"/>
          <w:lang w:val="es-ES_tradnl"/>
        </w:rPr>
        <w:t xml:space="preserve">Para el cálculo de lo anterior, se considerará un nivel de confianza del 95% así como un error de estimación menor o igual al 2%. El tamaño de muestra se seleccionará conforme a dicho error de estimación, considerando que podrían </w:t>
      </w:r>
      <w:r w:rsidRPr="00FE6BB3">
        <w:rPr>
          <w:rFonts w:ascii="ITC Avant Garde" w:hAnsi="ITC Avant Garde"/>
          <w:lang w:val="es-ES_tradnl"/>
        </w:rPr>
        <w:lastRenderedPageBreak/>
        <w:t>ocurrir Eventos a ser descartados durante el Ejercicio de Medición.</w:t>
      </w:r>
    </w:p>
    <w:p w:rsidR="00496B50" w:rsidRDefault="00496B50" w:rsidP="00496B50">
      <w:pPr>
        <w:pStyle w:val="Normal1"/>
        <w:widowControl w:val="0"/>
        <w:spacing w:before="240" w:after="240"/>
        <w:ind w:left="705"/>
        <w:jc w:val="both"/>
        <w:rPr>
          <w:rFonts w:ascii="ITC Avant Garde" w:hAnsi="ITC Avant Garde"/>
          <w:lang w:val="es-ES_tradnl"/>
        </w:rPr>
      </w:pPr>
      <w:r w:rsidRPr="00FE6BB3">
        <w:rPr>
          <w:rFonts w:ascii="ITC Avant Garde" w:hAnsi="ITC Avant Garde"/>
          <w:lang w:val="es-ES_tradnl"/>
        </w:rPr>
        <w:t xml:space="preserve">Para cada estrato, se determina la desviación estándar </w:t>
      </w:r>
      <m:oMath>
        <m:sSub>
          <m:sSubPr>
            <m:ctrlPr>
              <w:rPr>
                <w:rFonts w:ascii="Cambria Math" w:eastAsiaTheme="minorHAnsi" w:hAnsi="Cambria Math"/>
                <w:i/>
                <w:color w:val="auto"/>
                <w:szCs w:val="22"/>
                <w:lang w:val="es-ES_tradnl" w:eastAsia="en-US"/>
              </w:rPr>
            </m:ctrlPr>
          </m:sSubPr>
          <m:e>
            <m:r>
              <w:rPr>
                <w:rFonts w:ascii="Cambria Math" w:eastAsiaTheme="minorHAnsi" w:hAnsi="Cambria Math"/>
                <w:color w:val="auto"/>
                <w:szCs w:val="22"/>
                <w:lang w:val="es-ES_tradnl" w:eastAsia="en-US"/>
              </w:rPr>
              <m:t>σ</m:t>
            </m:r>
          </m:e>
          <m:sub>
            <m:r>
              <w:rPr>
                <w:rFonts w:ascii="Cambria Math" w:eastAsiaTheme="minorHAnsi" w:hAnsi="Cambria Math"/>
                <w:color w:val="auto"/>
                <w:szCs w:val="22"/>
                <w:lang w:val="es-ES_tradnl" w:eastAsia="en-US"/>
              </w:rPr>
              <m:t>i</m:t>
            </m:r>
          </m:sub>
        </m:sSub>
      </m:oMath>
      <w:r w:rsidRPr="00FE6BB3">
        <w:rPr>
          <w:rFonts w:ascii="ITC Avant Garde" w:hAnsi="ITC Avant Garde"/>
          <w:lang w:val="es-ES_tradnl"/>
        </w:rPr>
        <w:t xml:space="preserve"> y la media </w:t>
      </w:r>
      <m:oMath>
        <m:sSub>
          <m:sSubPr>
            <m:ctrlPr>
              <w:rPr>
                <w:rFonts w:ascii="Cambria Math" w:hAnsi="Cambria Math"/>
                <w:i/>
                <w:szCs w:val="22"/>
                <w:lang w:val="es-ES_tradnl"/>
              </w:rPr>
            </m:ctrlPr>
          </m:sSubPr>
          <m:e>
            <m:acc>
              <m:accPr>
                <m:chr m:val="̅"/>
                <m:ctrlPr>
                  <w:rPr>
                    <w:rFonts w:ascii="Cambria Math" w:hAnsi="Cambria Math"/>
                    <w:i/>
                    <w:szCs w:val="22"/>
                    <w:lang w:val="es-ES_tradnl"/>
                  </w:rPr>
                </m:ctrlPr>
              </m:accPr>
              <m:e>
                <m:r>
                  <w:rPr>
                    <w:rFonts w:ascii="Cambria Math" w:hAnsi="Cambria Math"/>
                    <w:szCs w:val="22"/>
                    <w:lang w:val="es-ES_tradnl"/>
                  </w:rPr>
                  <m:t>x</m:t>
                </m:r>
              </m:e>
            </m:acc>
          </m:e>
          <m:sub>
            <m:r>
              <w:rPr>
                <w:rFonts w:ascii="Cambria Math" w:hAnsi="Cambria Math"/>
                <w:szCs w:val="22"/>
                <w:lang w:val="es-ES_tradnl"/>
              </w:rPr>
              <m:t>i</m:t>
            </m:r>
          </m:sub>
        </m:sSub>
        <m:r>
          <w:rPr>
            <w:rFonts w:ascii="Cambria Math" w:hAnsi="Cambria Math"/>
            <w:szCs w:val="22"/>
            <w:lang w:val="es-ES_tradnl"/>
          </w:rPr>
          <m:t xml:space="preserve"> </m:t>
        </m:r>
      </m:oMath>
      <w:r w:rsidRPr="00FE6BB3">
        <w:rPr>
          <w:rFonts w:ascii="ITC Avant Garde" w:hAnsi="ITC Avant Garde"/>
          <w:szCs w:val="22"/>
          <w:lang w:val="es-ES_tradnl"/>
        </w:rPr>
        <w:t xml:space="preserve">para el Parámetro de Cobertura correspondiente del estrato </w:t>
      </w:r>
      <m:oMath>
        <m:r>
          <w:rPr>
            <w:rFonts w:ascii="Cambria Math" w:eastAsiaTheme="minorHAnsi" w:hAnsi="Cambria Math"/>
            <w:szCs w:val="22"/>
            <w:lang w:val="es-ES_tradnl"/>
          </w:rPr>
          <m:t>i</m:t>
        </m:r>
      </m:oMath>
      <w:r w:rsidRPr="00FE6BB3">
        <w:rPr>
          <w:rFonts w:ascii="ITC Avant Garde" w:hAnsi="ITC Avant Garde"/>
          <w:szCs w:val="22"/>
          <w:lang w:val="es-ES_tradnl"/>
        </w:rPr>
        <w:t xml:space="preserve"> obtenido en el Ejercicio de Medición,</w:t>
      </w:r>
      <w:r w:rsidRPr="00FE6BB3">
        <w:rPr>
          <w:rFonts w:ascii="ITC Avant Garde" w:hAnsi="ITC Avant Garde"/>
          <w:lang w:val="es-ES_tradnl"/>
        </w:rPr>
        <w:t xml:space="preserve"> a partir de las siguientes fórmulas:</w:t>
      </w:r>
    </w:p>
    <w:p w:rsidR="00496B50" w:rsidRDefault="00496B50" w:rsidP="00496B50">
      <w:pPr>
        <w:pStyle w:val="Normal1"/>
        <w:widowControl w:val="0"/>
        <w:spacing w:before="240" w:after="240"/>
        <w:ind w:left="708"/>
        <w:jc w:val="both"/>
        <w:rPr>
          <w:rFonts w:ascii="ITC Avant Garde" w:hAnsi="ITC Avant Garde"/>
          <w:szCs w:val="22"/>
          <w:lang w:val="es-ES_tradnl"/>
        </w:rPr>
      </w:pPr>
      <m:oMathPara>
        <m:oMath>
          <m:sSub>
            <m:sSubPr>
              <m:ctrlPr>
                <w:rPr>
                  <w:rFonts w:ascii="Cambria Math" w:hAnsi="Cambria Math"/>
                  <w:i/>
                  <w:szCs w:val="22"/>
                  <w:lang w:val="es-ES_tradnl"/>
                </w:rPr>
              </m:ctrlPr>
            </m:sSubPr>
            <m:e>
              <m:sSubSup>
                <m:sSubSupPr>
                  <m:ctrlPr>
                    <w:rPr>
                      <w:rFonts w:ascii="Cambria Math" w:hAnsi="Cambria Math"/>
                      <w:i/>
                      <w:szCs w:val="22"/>
                      <w:lang w:val="es-ES_tradnl"/>
                    </w:rPr>
                  </m:ctrlPr>
                </m:sSubSupPr>
                <m:e>
                  <m:r>
                    <w:rPr>
                      <w:rFonts w:ascii="Cambria Math" w:hAnsi="Cambria Math"/>
                      <w:szCs w:val="22"/>
                      <w:lang w:val="es-ES_tradnl"/>
                    </w:rPr>
                    <m:t>σ</m:t>
                  </m:r>
                </m:e>
                <m:sub>
                  <m:r>
                    <w:rPr>
                      <w:rFonts w:ascii="Cambria Math" w:hAnsi="Cambria Math"/>
                      <w:szCs w:val="22"/>
                      <w:lang w:val="es-ES_tradnl"/>
                    </w:rPr>
                    <m:t>i</m:t>
                  </m:r>
                </m:sub>
                <m:sup>
                  <m:r>
                    <w:rPr>
                      <w:rFonts w:ascii="Cambria Math" w:hAnsi="Cambria Math"/>
                      <w:szCs w:val="22"/>
                      <w:lang w:val="es-ES_tradnl"/>
                    </w:rPr>
                    <m:t>2</m:t>
                  </m:r>
                </m:sup>
              </m:sSubSup>
            </m:e>
            <m:sub>
              <m:r>
                <w:rPr>
                  <w:rFonts w:ascii="Cambria Math" w:hAnsi="Cambria Math"/>
                  <w:szCs w:val="22"/>
                  <w:lang w:val="es-ES_tradnl"/>
                </w:rPr>
                <m:t>=</m:t>
              </m:r>
            </m:sub>
          </m:sSub>
          <m:f>
            <m:fPr>
              <m:ctrlPr>
                <w:rPr>
                  <w:rFonts w:ascii="Cambria Math" w:eastAsiaTheme="minorHAnsi" w:hAnsi="Cambria Math"/>
                  <w:i/>
                  <w:szCs w:val="22"/>
                  <w:lang w:val="es-ES_tradnl"/>
                </w:rPr>
              </m:ctrlPr>
            </m:fPr>
            <m:num>
              <m:nary>
                <m:naryPr>
                  <m:chr m:val="∑"/>
                  <m:limLoc m:val="undOvr"/>
                  <m:ctrlPr>
                    <w:rPr>
                      <w:rFonts w:ascii="Cambria Math" w:eastAsiaTheme="minorHAnsi" w:hAnsi="Cambria Math"/>
                      <w:i/>
                      <w:szCs w:val="22"/>
                      <w:lang w:val="es-ES_tradnl"/>
                    </w:rPr>
                  </m:ctrlPr>
                </m:naryPr>
                <m:sub>
                  <m:r>
                    <w:rPr>
                      <w:rFonts w:ascii="Cambria Math" w:eastAsiaTheme="minorHAnsi" w:hAnsi="Cambria Math"/>
                      <w:szCs w:val="22"/>
                      <w:lang w:val="es-ES_tradnl"/>
                    </w:rPr>
                    <m:t>k=1</m:t>
                  </m:r>
                </m:sub>
                <m:sup>
                  <m:sSub>
                    <m:sSubPr>
                      <m:ctrlPr>
                        <w:rPr>
                          <w:rFonts w:ascii="Cambria Math" w:eastAsiaTheme="minorHAnsi" w:hAnsi="Cambria Math"/>
                          <w:i/>
                          <w:szCs w:val="22"/>
                          <w:lang w:val="es-ES_tradnl"/>
                        </w:rPr>
                      </m:ctrlPr>
                    </m:sSubPr>
                    <m:e>
                      <m:r>
                        <w:rPr>
                          <w:rFonts w:ascii="Cambria Math" w:eastAsiaTheme="minorHAnsi" w:hAnsi="Cambria Math"/>
                          <w:szCs w:val="22"/>
                          <w:lang w:val="es-ES_tradnl"/>
                        </w:rPr>
                        <m:t>n</m:t>
                      </m:r>
                    </m:e>
                    <m:sub>
                      <m:r>
                        <w:rPr>
                          <w:rFonts w:ascii="Cambria Math" w:eastAsiaTheme="minorHAnsi" w:hAnsi="Cambria Math"/>
                          <w:szCs w:val="22"/>
                          <w:lang w:val="es-ES_tradnl"/>
                        </w:rPr>
                        <m:t>i</m:t>
                      </m:r>
                    </m:sub>
                  </m:sSub>
                </m:sup>
                <m:e>
                  <m:sSup>
                    <m:sSupPr>
                      <m:ctrlPr>
                        <w:rPr>
                          <w:rFonts w:ascii="Cambria Math" w:eastAsiaTheme="minorHAnsi" w:hAnsi="Cambria Math"/>
                          <w:i/>
                          <w:szCs w:val="22"/>
                          <w:lang w:val="es-ES_tradnl"/>
                        </w:rPr>
                      </m:ctrlPr>
                    </m:sSupPr>
                    <m:e>
                      <m:d>
                        <m:dPr>
                          <m:ctrlPr>
                            <w:rPr>
                              <w:rFonts w:ascii="Cambria Math" w:eastAsiaTheme="minorHAnsi" w:hAnsi="Cambria Math"/>
                              <w:i/>
                              <w:szCs w:val="22"/>
                              <w:lang w:val="es-ES_tradnl"/>
                            </w:rPr>
                          </m:ctrlPr>
                        </m:dPr>
                        <m:e>
                          <m:sSub>
                            <m:sSubPr>
                              <m:ctrlPr>
                                <w:rPr>
                                  <w:rFonts w:ascii="Cambria Math" w:eastAsiaTheme="minorHAnsi" w:hAnsi="Cambria Math"/>
                                  <w:i/>
                                  <w:szCs w:val="22"/>
                                  <w:lang w:val="es-ES_tradnl"/>
                                </w:rPr>
                              </m:ctrlPr>
                            </m:sSubPr>
                            <m:e>
                              <m:r>
                                <w:rPr>
                                  <w:rFonts w:ascii="Cambria Math" w:eastAsiaTheme="minorHAnsi" w:hAnsi="Cambria Math"/>
                                  <w:szCs w:val="22"/>
                                  <w:lang w:val="es-ES_tradnl"/>
                                </w:rPr>
                                <m:t>x</m:t>
                              </m:r>
                            </m:e>
                            <m:sub>
                              <m:r>
                                <w:rPr>
                                  <w:rFonts w:ascii="Cambria Math" w:eastAsiaTheme="minorHAnsi" w:hAnsi="Cambria Math"/>
                                  <w:szCs w:val="22"/>
                                  <w:lang w:val="es-ES_tradnl"/>
                                </w:rPr>
                                <m:t>k</m:t>
                              </m:r>
                            </m:sub>
                          </m:sSub>
                          <m:r>
                            <w:rPr>
                              <w:rFonts w:ascii="Cambria Math" w:eastAsiaTheme="minorHAnsi" w:hAnsi="Cambria Math"/>
                              <w:szCs w:val="22"/>
                              <w:lang w:val="es-ES_tradnl"/>
                            </w:rPr>
                            <m:t>-</m:t>
                          </m:r>
                          <m:acc>
                            <m:accPr>
                              <m:chr m:val="̅"/>
                              <m:ctrlPr>
                                <w:rPr>
                                  <w:rFonts w:ascii="Cambria Math" w:eastAsiaTheme="minorHAnsi" w:hAnsi="Cambria Math"/>
                                  <w:i/>
                                  <w:szCs w:val="22"/>
                                  <w:lang w:val="es-ES_tradnl"/>
                                </w:rPr>
                              </m:ctrlPr>
                            </m:accPr>
                            <m:e>
                              <m:sSub>
                                <m:sSubPr>
                                  <m:ctrlPr>
                                    <w:rPr>
                                      <w:rFonts w:ascii="Cambria Math" w:eastAsiaTheme="minorHAnsi" w:hAnsi="Cambria Math"/>
                                      <w:i/>
                                      <w:szCs w:val="22"/>
                                      <w:lang w:val="es-ES_tradnl"/>
                                    </w:rPr>
                                  </m:ctrlPr>
                                </m:sSubPr>
                                <m:e>
                                  <m:r>
                                    <w:rPr>
                                      <w:rFonts w:ascii="Cambria Math" w:eastAsiaTheme="minorHAnsi" w:hAnsi="Cambria Math"/>
                                      <w:szCs w:val="22"/>
                                      <w:lang w:val="es-ES_tradnl"/>
                                    </w:rPr>
                                    <m:t>x</m:t>
                                  </m:r>
                                </m:e>
                                <m:sub>
                                  <m:r>
                                    <w:rPr>
                                      <w:rFonts w:ascii="Cambria Math" w:eastAsiaTheme="minorHAnsi" w:hAnsi="Cambria Math"/>
                                      <w:szCs w:val="22"/>
                                      <w:lang w:val="es-ES_tradnl"/>
                                    </w:rPr>
                                    <m:t>i</m:t>
                                  </m:r>
                                </m:sub>
                              </m:sSub>
                            </m:e>
                          </m:acc>
                        </m:e>
                      </m:d>
                    </m:e>
                    <m:sup>
                      <m:r>
                        <w:rPr>
                          <w:rFonts w:ascii="Cambria Math" w:eastAsiaTheme="minorHAnsi" w:hAnsi="Cambria Math"/>
                          <w:szCs w:val="22"/>
                          <w:lang w:val="es-ES_tradnl"/>
                        </w:rPr>
                        <m:t>2</m:t>
                      </m:r>
                    </m:sup>
                  </m:sSup>
                </m:e>
              </m:nary>
            </m:num>
            <m:den>
              <m:sSub>
                <m:sSubPr>
                  <m:ctrlPr>
                    <w:rPr>
                      <w:rFonts w:ascii="Cambria Math" w:eastAsiaTheme="minorHAnsi" w:hAnsi="Cambria Math"/>
                      <w:i/>
                      <w:szCs w:val="22"/>
                      <w:lang w:val="es-ES_tradnl"/>
                    </w:rPr>
                  </m:ctrlPr>
                </m:sSubPr>
                <m:e>
                  <m:r>
                    <w:rPr>
                      <w:rFonts w:ascii="Cambria Math" w:eastAsiaTheme="minorHAnsi" w:hAnsi="Cambria Math"/>
                      <w:szCs w:val="22"/>
                      <w:lang w:val="es-ES_tradnl"/>
                    </w:rPr>
                    <m:t>n</m:t>
                  </m:r>
                </m:e>
                <m:sub>
                  <m:r>
                    <w:rPr>
                      <w:rFonts w:ascii="Cambria Math" w:eastAsiaTheme="minorHAnsi" w:hAnsi="Cambria Math"/>
                      <w:szCs w:val="22"/>
                      <w:lang w:val="es-ES_tradnl"/>
                    </w:rPr>
                    <m:t>i</m:t>
                  </m:r>
                </m:sub>
              </m:sSub>
              <m:r>
                <w:rPr>
                  <w:rFonts w:ascii="Cambria Math" w:eastAsiaTheme="minorHAnsi" w:hAnsi="Cambria Math"/>
                  <w:szCs w:val="22"/>
                  <w:lang w:val="es-ES_tradnl"/>
                </w:rPr>
                <m:t>-1</m:t>
              </m:r>
            </m:den>
          </m:f>
        </m:oMath>
      </m:oMathPara>
    </w:p>
    <w:p w:rsidR="00496B50" w:rsidRDefault="00496B50" w:rsidP="00496B50">
      <w:pPr>
        <w:spacing w:before="240" w:after="240"/>
        <w:ind w:left="708"/>
        <w:jc w:val="both"/>
        <w:rPr>
          <w:rFonts w:ascii="ITC Avant Garde" w:eastAsiaTheme="minorEastAsia" w:hAnsi="ITC Avant Garde"/>
          <w:lang w:val="es-ES_tradnl"/>
        </w:rPr>
      </w:pPr>
      <m:oMathPara>
        <m:oMath>
          <m:acc>
            <m:accPr>
              <m:chr m:val="̅"/>
              <m:ctrlPr>
                <w:rPr>
                  <w:rFonts w:ascii="Cambria Math" w:eastAsiaTheme="minorHAnsi" w:hAnsi="Cambria Math"/>
                  <w:i/>
                  <w:lang w:val="es-ES_tradnl" w:eastAsia="es-ES"/>
                </w:rPr>
              </m:ctrlPr>
            </m:accPr>
            <m:e>
              <m:sSub>
                <m:sSubPr>
                  <m:ctrlPr>
                    <w:rPr>
                      <w:rFonts w:ascii="Cambria Math" w:eastAsiaTheme="minorHAnsi" w:hAnsi="Cambria Math"/>
                      <w:i/>
                      <w:lang w:val="es-ES_tradnl"/>
                    </w:rPr>
                  </m:ctrlPr>
                </m:sSubPr>
                <m:e>
                  <m:r>
                    <w:rPr>
                      <w:rFonts w:ascii="Cambria Math" w:eastAsiaTheme="minorHAnsi" w:hAnsi="Cambria Math"/>
                      <w:lang w:val="es-ES_tradnl"/>
                    </w:rPr>
                    <m:t>x</m:t>
                  </m:r>
                </m:e>
                <m:sub>
                  <m:r>
                    <w:rPr>
                      <w:rFonts w:ascii="Cambria Math" w:eastAsiaTheme="minorHAnsi" w:hAnsi="Cambria Math"/>
                      <w:lang w:val="es-ES_tradnl"/>
                    </w:rPr>
                    <m:t>i</m:t>
                  </m:r>
                </m:sub>
              </m:sSub>
            </m:e>
          </m:acc>
          <m:r>
            <w:rPr>
              <w:rFonts w:ascii="Cambria Math" w:eastAsiaTheme="minorHAnsi" w:hAnsi="Cambria Math"/>
              <w:lang w:val="es-ES_tradnl" w:eastAsia="es-ES"/>
            </w:rPr>
            <m:t>=</m:t>
          </m:r>
          <m:f>
            <m:fPr>
              <m:ctrlPr>
                <w:rPr>
                  <w:rFonts w:ascii="Cambria Math" w:eastAsiaTheme="minorHAnsi" w:hAnsi="Cambria Math"/>
                  <w:i/>
                  <w:lang w:val="es-ES_tradnl"/>
                </w:rPr>
              </m:ctrlPr>
            </m:fPr>
            <m:num>
              <m:nary>
                <m:naryPr>
                  <m:chr m:val="∑"/>
                  <m:limLoc m:val="undOvr"/>
                  <m:ctrlPr>
                    <w:rPr>
                      <w:rFonts w:ascii="Cambria Math" w:eastAsiaTheme="minorHAnsi" w:hAnsi="Cambria Math"/>
                      <w:i/>
                      <w:lang w:val="es-ES_tradnl"/>
                    </w:rPr>
                  </m:ctrlPr>
                </m:naryPr>
                <m:sub>
                  <m:r>
                    <w:rPr>
                      <w:rFonts w:ascii="Cambria Math" w:eastAsiaTheme="minorHAnsi" w:hAnsi="Cambria Math"/>
                      <w:lang w:val="es-ES_tradnl"/>
                    </w:rPr>
                    <m:t>k=1</m:t>
                  </m:r>
                </m:sub>
                <m:sup>
                  <m:sSub>
                    <m:sSubPr>
                      <m:ctrlPr>
                        <w:rPr>
                          <w:rFonts w:ascii="Cambria Math" w:eastAsiaTheme="minorHAnsi" w:hAnsi="Cambria Math"/>
                          <w:i/>
                          <w:lang w:val="es-ES_tradnl" w:eastAsia="es-ES"/>
                        </w:rPr>
                      </m:ctrlPr>
                    </m:sSubPr>
                    <m:e>
                      <m:r>
                        <w:rPr>
                          <w:rFonts w:ascii="Cambria Math" w:eastAsiaTheme="minorHAnsi" w:hAnsi="Cambria Math"/>
                          <w:lang w:val="es-ES_tradnl"/>
                        </w:rPr>
                        <m:t>n</m:t>
                      </m:r>
                    </m:e>
                    <m:sub>
                      <m:r>
                        <w:rPr>
                          <w:rFonts w:ascii="Cambria Math" w:eastAsiaTheme="minorHAnsi" w:hAnsi="Cambria Math"/>
                          <w:lang w:val="es-ES_tradnl"/>
                        </w:rPr>
                        <m:t>i</m:t>
                      </m:r>
                    </m:sub>
                  </m:sSub>
                </m:sup>
                <m:e>
                  <m:sSub>
                    <m:sSubPr>
                      <m:ctrlPr>
                        <w:rPr>
                          <w:rFonts w:ascii="Cambria Math" w:eastAsiaTheme="minorHAnsi" w:hAnsi="Cambria Math"/>
                          <w:i/>
                          <w:lang w:val="es-ES_tradnl"/>
                        </w:rPr>
                      </m:ctrlPr>
                    </m:sSubPr>
                    <m:e>
                      <m:r>
                        <w:rPr>
                          <w:rFonts w:ascii="Cambria Math" w:eastAsiaTheme="minorHAnsi" w:hAnsi="Cambria Math"/>
                          <w:lang w:val="es-ES_tradnl"/>
                        </w:rPr>
                        <m:t>x</m:t>
                      </m:r>
                    </m:e>
                    <m:sub>
                      <m:r>
                        <w:rPr>
                          <w:rFonts w:ascii="Cambria Math" w:eastAsiaTheme="minorHAnsi" w:hAnsi="Cambria Math"/>
                          <w:lang w:val="es-ES_tradnl"/>
                        </w:rPr>
                        <m:t>k</m:t>
                      </m:r>
                    </m:sub>
                  </m:sSub>
                </m:e>
              </m:nary>
            </m:num>
            <m:den>
              <m:sSub>
                <m:sSubPr>
                  <m:ctrlPr>
                    <w:rPr>
                      <w:rFonts w:ascii="Cambria Math" w:eastAsiaTheme="minorHAnsi" w:hAnsi="Cambria Math"/>
                      <w:i/>
                      <w:lang w:val="es-ES_tradnl" w:eastAsia="es-ES"/>
                    </w:rPr>
                  </m:ctrlPr>
                </m:sSubPr>
                <m:e>
                  <m:r>
                    <w:rPr>
                      <w:rFonts w:ascii="Cambria Math" w:eastAsiaTheme="minorHAnsi" w:hAnsi="Cambria Math"/>
                      <w:lang w:val="es-ES_tradnl"/>
                    </w:rPr>
                    <m:t>n</m:t>
                  </m:r>
                </m:e>
                <m:sub>
                  <m:r>
                    <w:rPr>
                      <w:rFonts w:ascii="Cambria Math" w:eastAsiaTheme="minorHAnsi" w:hAnsi="Cambria Math"/>
                      <w:lang w:val="es-ES_tradnl"/>
                    </w:rPr>
                    <m:t>i</m:t>
                  </m:r>
                </m:sub>
              </m:sSub>
            </m:den>
          </m:f>
        </m:oMath>
      </m:oMathPara>
    </w:p>
    <w:p w:rsidR="00496B50" w:rsidRDefault="00496B50" w:rsidP="00496B50">
      <w:pPr>
        <w:spacing w:before="240" w:after="240"/>
        <w:ind w:left="708"/>
        <w:jc w:val="both"/>
        <w:rPr>
          <w:rFonts w:ascii="ITC Avant Garde" w:eastAsiaTheme="minorEastAsia" w:hAnsi="ITC Avant Garde"/>
          <w:lang w:val="es-ES_tradnl"/>
        </w:rPr>
      </w:pPr>
      <m:oMathPara>
        <m:oMath>
          <m:sSub>
            <m:sSubPr>
              <m:ctrlPr>
                <w:rPr>
                  <w:rFonts w:ascii="Cambria Math" w:eastAsiaTheme="minorHAnsi" w:hAnsi="Cambria Math"/>
                  <w:i/>
                  <w:lang w:val="es-ES_tradnl"/>
                </w:rPr>
              </m:ctrlPr>
            </m:sSubPr>
            <m:e>
              <m:r>
                <w:rPr>
                  <w:rFonts w:ascii="Cambria Math" w:eastAsiaTheme="minorHAnsi" w:hAnsi="Cambria Math"/>
                  <w:lang w:val="es-ES_tradnl"/>
                </w:rPr>
                <m:t>x</m:t>
              </m:r>
            </m:e>
            <m:sub>
              <m:r>
                <w:rPr>
                  <w:rFonts w:ascii="Cambria Math" w:eastAsiaTheme="minorHAnsi" w:hAnsi="Cambria Math"/>
                  <w:lang w:val="es-ES_tradnl"/>
                </w:rPr>
                <m:t>k</m:t>
              </m:r>
            </m:sub>
          </m:sSub>
          <m:r>
            <w:rPr>
              <w:rFonts w:ascii="Cambria Math" w:eastAsiaTheme="minorHAnsi" w:hAnsi="Cambria Math"/>
              <w:lang w:val="es-ES_tradnl"/>
            </w:rPr>
            <m:t xml:space="preserve">= </m:t>
          </m:r>
          <m:f>
            <m:fPr>
              <m:ctrlPr>
                <w:rPr>
                  <w:rFonts w:ascii="Cambria Math" w:eastAsiaTheme="minorHAnsi" w:hAnsi="Cambria Math"/>
                  <w:i/>
                  <w:lang w:val="es-ES_tradnl"/>
                </w:rPr>
              </m:ctrlPr>
            </m:fPr>
            <m:num>
              <m:nary>
                <m:naryPr>
                  <m:chr m:val="∑"/>
                  <m:limLoc m:val="subSup"/>
                  <m:ctrlPr>
                    <w:rPr>
                      <w:rFonts w:ascii="Cambria Math" w:eastAsiaTheme="minorHAnsi" w:hAnsi="Cambria Math"/>
                      <w:i/>
                      <w:lang w:val="es-ES_tradnl"/>
                    </w:rPr>
                  </m:ctrlPr>
                </m:naryPr>
                <m:sub>
                  <m:r>
                    <w:rPr>
                      <w:rFonts w:ascii="Cambria Math" w:eastAsiaTheme="minorHAnsi" w:hAnsi="Cambria Math"/>
                      <w:lang w:val="es-ES_tradnl"/>
                    </w:rPr>
                    <m:t>j=1</m:t>
                  </m:r>
                </m:sub>
                <m:sup>
                  <m:sSub>
                    <m:sSubPr>
                      <m:ctrlPr>
                        <w:rPr>
                          <w:rFonts w:ascii="Cambria Math" w:eastAsiaTheme="minorHAnsi" w:hAnsi="Cambria Math"/>
                          <w:i/>
                          <w:lang w:val="es-ES_tradnl"/>
                        </w:rPr>
                      </m:ctrlPr>
                    </m:sSubPr>
                    <m:e>
                      <m:r>
                        <w:rPr>
                          <w:rFonts w:ascii="Cambria Math" w:eastAsiaTheme="minorHAnsi" w:hAnsi="Cambria Math"/>
                          <w:lang w:val="es-ES_tradnl"/>
                        </w:rPr>
                        <m:t>m</m:t>
                      </m:r>
                    </m:e>
                    <m:sub>
                      <m:r>
                        <w:rPr>
                          <w:rFonts w:ascii="Cambria Math" w:eastAsiaTheme="minorHAnsi" w:hAnsi="Cambria Math"/>
                          <w:lang w:val="es-ES_tradnl"/>
                        </w:rPr>
                        <m:t>i</m:t>
                      </m:r>
                    </m:sub>
                  </m:sSub>
                </m:sup>
                <m:e>
                  <m:sSub>
                    <m:sSubPr>
                      <m:ctrlPr>
                        <w:rPr>
                          <w:rFonts w:ascii="Cambria Math" w:eastAsiaTheme="minorHAnsi" w:hAnsi="Cambria Math"/>
                          <w:i/>
                          <w:lang w:val="es-ES_tradnl"/>
                        </w:rPr>
                      </m:ctrlPr>
                    </m:sSubPr>
                    <m:e>
                      <m:r>
                        <w:rPr>
                          <w:rFonts w:ascii="Cambria Math" w:eastAsiaTheme="minorHAnsi" w:hAnsi="Cambria Math"/>
                          <w:lang w:val="es-ES_tradnl"/>
                        </w:rPr>
                        <m:t>p</m:t>
                      </m:r>
                    </m:e>
                    <m:sub>
                      <m:r>
                        <w:rPr>
                          <w:rFonts w:ascii="Cambria Math" w:eastAsiaTheme="minorHAnsi" w:hAnsi="Cambria Math"/>
                          <w:lang w:val="es-ES_tradnl"/>
                        </w:rPr>
                        <m:t>j</m:t>
                      </m:r>
                    </m:sub>
                  </m:sSub>
                </m:e>
              </m:nary>
            </m:num>
            <m:den>
              <m:sSub>
                <m:sSubPr>
                  <m:ctrlPr>
                    <w:rPr>
                      <w:rFonts w:ascii="Cambria Math" w:eastAsiaTheme="minorHAnsi" w:hAnsi="Cambria Math"/>
                      <w:i/>
                      <w:lang w:val="es-ES_tradnl"/>
                    </w:rPr>
                  </m:ctrlPr>
                </m:sSubPr>
                <m:e>
                  <m:r>
                    <w:rPr>
                      <w:rFonts w:ascii="Cambria Math" w:eastAsiaTheme="minorHAnsi" w:hAnsi="Cambria Math"/>
                      <w:lang w:val="es-ES_tradnl"/>
                    </w:rPr>
                    <m:t>m</m:t>
                  </m:r>
                </m:e>
                <m:sub>
                  <m:r>
                    <w:rPr>
                      <w:rFonts w:ascii="Cambria Math" w:eastAsiaTheme="minorHAnsi" w:hAnsi="Cambria Math"/>
                      <w:lang w:val="es-ES_tradnl"/>
                    </w:rPr>
                    <m:t>i</m:t>
                  </m:r>
                </m:sub>
              </m:sSub>
            </m:den>
          </m:f>
        </m:oMath>
      </m:oMathPara>
    </w:p>
    <w:p w:rsidR="00496B50" w:rsidRDefault="00496B50" w:rsidP="00496B50">
      <w:pPr>
        <w:pStyle w:val="Normal1"/>
        <w:widowControl w:val="0"/>
        <w:spacing w:before="240" w:after="240"/>
        <w:ind w:firstLine="708"/>
        <w:rPr>
          <w:rFonts w:ascii="ITC Avant Garde" w:hAnsi="ITC Avant Garde"/>
          <w:b/>
          <w:szCs w:val="22"/>
          <w:lang w:val="es-ES_tradnl"/>
        </w:rPr>
      </w:pPr>
      <w:r w:rsidRPr="00FE6BB3">
        <w:rPr>
          <w:rFonts w:ascii="ITC Avant Garde" w:hAnsi="ITC Avant Garde"/>
          <w:b/>
          <w:szCs w:val="22"/>
          <w:lang w:val="es-ES_tradnl"/>
        </w:rPr>
        <w:t>Donde</w:t>
      </w:r>
    </w:p>
    <w:p w:rsidR="00496B50" w:rsidRPr="00FE6BB3" w:rsidRDefault="00496B50" w:rsidP="00496B50">
      <w:pPr>
        <w:spacing w:before="240" w:after="240"/>
        <w:ind w:left="708"/>
        <w:jc w:val="both"/>
        <w:rPr>
          <w:rFonts w:ascii="ITC Avant Garde" w:hAnsi="ITC Avant Garde"/>
          <w:lang w:val="es-ES_tradnl"/>
        </w:rPr>
      </w:pPr>
      <m:oMath>
        <m:sSubSup>
          <m:sSubSupPr>
            <m:ctrlPr>
              <w:rPr>
                <w:rFonts w:ascii="Cambria Math" w:hAnsi="Cambria Math"/>
                <w:i/>
                <w:lang w:val="es-ES_tradnl" w:eastAsia="es-ES"/>
              </w:rPr>
            </m:ctrlPr>
          </m:sSubSupPr>
          <m:e>
            <m:r>
              <w:rPr>
                <w:rFonts w:ascii="Cambria Math" w:hAnsi="Cambria Math"/>
                <w:lang w:val="es-ES_tradnl"/>
              </w:rPr>
              <m:t>σ</m:t>
            </m:r>
          </m:e>
          <m:sub>
            <m:r>
              <w:rPr>
                <w:rFonts w:ascii="Cambria Math" w:hAnsi="Cambria Math"/>
                <w:lang w:val="es-ES_tradnl"/>
              </w:rPr>
              <m:t>i</m:t>
            </m:r>
          </m:sub>
          <m:sup>
            <m:r>
              <w:rPr>
                <w:rFonts w:ascii="Cambria Math" w:hAnsi="Cambria Math"/>
                <w:lang w:val="es-ES_tradnl"/>
              </w:rPr>
              <m:t>2</m:t>
            </m:r>
          </m:sup>
        </m:sSubSup>
      </m:oMath>
      <w:r w:rsidRPr="00FE6BB3">
        <w:rPr>
          <w:rFonts w:ascii="ITC Avant Garde" w:eastAsiaTheme="minorEastAsia" w:hAnsi="ITC Avant Garde"/>
          <w:lang w:val="es-ES_tradnl" w:eastAsia="es-ES"/>
        </w:rPr>
        <w:t>= varianza</w:t>
      </w:r>
      <w:r w:rsidRPr="00FE6BB3">
        <w:rPr>
          <w:rFonts w:ascii="ITC Avant Garde" w:hAnsi="ITC Avant Garde"/>
          <w:lang w:val="es-ES_tradnl"/>
        </w:rPr>
        <w:t xml:space="preserve"> obtenida para el Parámetro de Cobertura correspondiente del estrato </w:t>
      </w:r>
      <m:oMath>
        <m:r>
          <w:rPr>
            <w:rFonts w:ascii="Cambria Math" w:eastAsiaTheme="minorHAnsi" w:hAnsi="Cambria Math"/>
            <w:lang w:val="es-ES_tradnl"/>
          </w:rPr>
          <m:t>i</m:t>
        </m:r>
      </m:oMath>
      <w:r>
        <w:rPr>
          <w:rFonts w:ascii="ITC Avant Garde" w:hAnsi="ITC Avant Garde"/>
          <w:lang w:val="es-ES_tradnl"/>
        </w:rPr>
        <w:t>;</w:t>
      </w:r>
    </w:p>
    <w:p w:rsidR="00496B50" w:rsidRDefault="00496B50" w:rsidP="00496B50">
      <w:pPr>
        <w:spacing w:before="240" w:after="240"/>
        <w:ind w:left="708"/>
        <w:jc w:val="both"/>
        <w:rPr>
          <w:rFonts w:ascii="ITC Avant Garde" w:hAnsi="ITC Avant Garde"/>
          <w:lang w:val="es-ES_tradnl"/>
        </w:rPr>
      </w:pPr>
      <m:oMath>
        <m:sSub>
          <m:sSubPr>
            <m:ctrlPr>
              <w:rPr>
                <w:rFonts w:ascii="Cambria Math" w:eastAsiaTheme="minorHAnsi" w:hAnsi="Cambria Math"/>
                <w:i/>
                <w:lang w:val="es-ES_tradnl"/>
              </w:rPr>
            </m:ctrlPr>
          </m:sSubPr>
          <m:e>
            <m:r>
              <w:rPr>
                <w:rFonts w:ascii="Cambria Math" w:eastAsiaTheme="minorHAnsi" w:hAnsi="Cambria Math"/>
                <w:lang w:val="es-ES_tradnl"/>
              </w:rPr>
              <m:t>x</m:t>
            </m:r>
          </m:e>
          <m:sub>
            <m:r>
              <w:rPr>
                <w:rFonts w:ascii="Cambria Math" w:eastAsiaTheme="minorHAnsi" w:hAnsi="Cambria Math"/>
                <w:lang w:val="es-ES_tradnl"/>
              </w:rPr>
              <m:t>k</m:t>
            </m:r>
          </m:sub>
        </m:sSub>
      </m:oMath>
      <w:r w:rsidRPr="00FE6BB3">
        <w:rPr>
          <w:rFonts w:ascii="ITC Avant Garde" w:hAnsi="ITC Avant Garde"/>
          <w:lang w:val="es-ES_tradnl"/>
        </w:rPr>
        <w:t xml:space="preserve">= valor </w:t>
      </w:r>
      <w:r>
        <w:rPr>
          <w:rFonts w:ascii="ITC Avant Garde" w:hAnsi="ITC Avant Garde"/>
          <w:lang w:val="es-ES_tradnl"/>
        </w:rPr>
        <w:t xml:space="preserve">promedio </w:t>
      </w:r>
      <w:r w:rsidRPr="00FE6BB3">
        <w:rPr>
          <w:rFonts w:ascii="ITC Avant Garde" w:hAnsi="ITC Avant Garde"/>
          <w:lang w:val="es-ES_tradnl"/>
        </w:rPr>
        <w:t xml:space="preserve">del Parámetro de Cobertura </w:t>
      </w:r>
      <w:r>
        <w:rPr>
          <w:rFonts w:ascii="ITC Avant Garde" w:hAnsi="ITC Avant Garde"/>
          <w:lang w:val="es-ES_tradnl"/>
        </w:rPr>
        <w:t xml:space="preserve">para </w:t>
      </w:r>
      <w:r w:rsidRPr="00FE6BB3">
        <w:rPr>
          <w:rFonts w:ascii="ITC Avant Garde" w:hAnsi="ITC Avant Garde"/>
          <w:lang w:val="es-ES_tradnl"/>
        </w:rPr>
        <w:t xml:space="preserve">cada </w:t>
      </w:r>
      <w:r>
        <w:rPr>
          <w:rFonts w:ascii="ITC Avant Garde" w:hAnsi="ITC Avant Garde"/>
          <w:lang w:val="es-ES_tradnl"/>
        </w:rPr>
        <w:t>municipio</w:t>
      </w:r>
      <w:r w:rsidRPr="00FE6BB3">
        <w:rPr>
          <w:rFonts w:ascii="ITC Avant Garde" w:hAnsi="ITC Avant Garde"/>
          <w:lang w:val="es-ES_tradnl"/>
        </w:rPr>
        <w:t xml:space="preserve"> de la muestra de tamaño </w:t>
      </w:r>
      <m:oMath>
        <m:sSub>
          <m:sSubPr>
            <m:ctrlPr>
              <w:rPr>
                <w:rFonts w:ascii="Cambria Math" w:eastAsiaTheme="minorHAnsi" w:hAnsi="Cambria Math"/>
                <w:i/>
                <w:lang w:val="es-ES_tradnl"/>
              </w:rPr>
            </m:ctrlPr>
          </m:sSubPr>
          <m:e>
            <m:r>
              <w:rPr>
                <w:rFonts w:ascii="Cambria Math" w:eastAsiaTheme="minorHAnsi" w:hAnsi="Cambria Math"/>
                <w:lang w:val="es-ES_tradnl"/>
              </w:rPr>
              <m:t>n</m:t>
            </m:r>
          </m:e>
          <m:sub>
            <m:r>
              <w:rPr>
                <w:rFonts w:ascii="Cambria Math" w:eastAsiaTheme="minorHAnsi" w:hAnsi="Cambria Math"/>
                <w:lang w:val="es-ES_tradnl"/>
              </w:rPr>
              <m:t>i</m:t>
            </m:r>
          </m:sub>
        </m:sSub>
      </m:oMath>
      <w:r>
        <w:rPr>
          <w:rFonts w:ascii="ITC Avant Garde" w:hAnsi="ITC Avant Garde"/>
          <w:lang w:val="es-ES_tradnl"/>
        </w:rPr>
        <w:t xml:space="preserve"> correspondiente del estrato </w:t>
      </w:r>
      <m:oMath>
        <m:r>
          <w:rPr>
            <w:rFonts w:ascii="Cambria Math" w:eastAsiaTheme="minorHAnsi" w:hAnsi="Cambria Math"/>
            <w:lang w:val="es-ES_tradnl"/>
          </w:rPr>
          <m:t>i</m:t>
        </m:r>
      </m:oMath>
      <w:r>
        <w:rPr>
          <w:rFonts w:ascii="ITC Avant Garde" w:hAnsi="ITC Avant Garde"/>
          <w:lang w:val="es-ES_tradnl"/>
        </w:rPr>
        <w:t>, y</w:t>
      </w:r>
      <w:r w:rsidRPr="00FE6BB3">
        <w:rPr>
          <w:rFonts w:ascii="ITC Avant Garde" w:hAnsi="ITC Avant Garde"/>
          <w:lang w:val="es-ES_tradnl"/>
        </w:rPr>
        <w:t xml:space="preserve"> </w:t>
      </w:r>
    </w:p>
    <w:p w:rsidR="00496B50" w:rsidRDefault="00496B50" w:rsidP="00496B50">
      <w:pPr>
        <w:spacing w:before="240" w:after="240"/>
        <w:ind w:left="708"/>
        <w:jc w:val="both"/>
        <w:rPr>
          <w:rFonts w:ascii="ITC Avant Garde" w:hAnsi="ITC Avant Garde"/>
          <w:lang w:val="es-ES_tradnl"/>
        </w:rPr>
      </w:pPr>
      <m:oMath>
        <m:sSub>
          <m:sSubPr>
            <m:ctrlPr>
              <w:rPr>
                <w:rFonts w:ascii="Cambria Math" w:eastAsiaTheme="minorHAnsi" w:hAnsi="Cambria Math"/>
                <w:i/>
                <w:lang w:val="es-ES_tradnl"/>
              </w:rPr>
            </m:ctrlPr>
          </m:sSubPr>
          <m:e>
            <m:r>
              <w:rPr>
                <w:rFonts w:ascii="Cambria Math" w:eastAsiaTheme="minorHAnsi" w:hAnsi="Cambria Math"/>
                <w:lang w:val="es-ES_tradnl"/>
              </w:rPr>
              <m:t>P</m:t>
            </m:r>
          </m:e>
          <m:sub>
            <m:r>
              <w:rPr>
                <w:rFonts w:ascii="Cambria Math" w:eastAsiaTheme="minorHAnsi" w:hAnsi="Cambria Math"/>
                <w:lang w:val="es-ES_tradnl"/>
              </w:rPr>
              <m:t>j</m:t>
            </m:r>
          </m:sub>
        </m:sSub>
      </m:oMath>
      <w:r>
        <w:rPr>
          <w:rFonts w:ascii="ITC Avant Garde" w:hAnsi="ITC Avant Garde"/>
          <w:lang w:val="es-ES_tradnl"/>
        </w:rPr>
        <w:t>= valor del Parámetro de Cobertura para</w:t>
      </w:r>
      <w:r w:rsidRPr="00EC07DB">
        <w:rPr>
          <w:rFonts w:ascii="ITC Avant Garde" w:hAnsi="ITC Avant Garde"/>
          <w:lang w:val="es-ES_tradnl"/>
        </w:rPr>
        <w:t xml:space="preserve"> </w:t>
      </w:r>
      <w:r>
        <w:rPr>
          <w:rFonts w:ascii="ITC Avant Garde" w:hAnsi="ITC Avant Garde"/>
          <w:lang w:val="es-ES_tradnl"/>
        </w:rPr>
        <w:t>el municipio</w:t>
      </w:r>
      <w:r>
        <w:rPr>
          <w:rFonts w:ascii="ITC Avant Garde" w:eastAsia="MS Mincho" w:hAnsi="ITC Avant Garde"/>
          <w:lang w:val="es-ES_tradnl"/>
        </w:rPr>
        <w:t xml:space="preserve"> </w:t>
      </w:r>
      <m:oMath>
        <m:r>
          <w:rPr>
            <w:rFonts w:ascii="Cambria Math" w:eastAsiaTheme="minorHAnsi" w:hAnsi="Cambria Math"/>
            <w:lang w:val="es-ES_tradnl"/>
          </w:rPr>
          <m:t>i</m:t>
        </m:r>
      </m:oMath>
      <w:r w:rsidRPr="00E05AA6">
        <w:rPr>
          <w:rFonts w:ascii="ITC Avant Garde" w:eastAsia="MS Mincho" w:hAnsi="ITC Avant Garde"/>
          <w:lang w:val="es-ES_tradnl"/>
        </w:rPr>
        <w:t xml:space="preserve"> </w:t>
      </w:r>
      <w:r>
        <w:rPr>
          <w:rFonts w:ascii="ITC Avant Garde" w:eastAsia="MS Mincho" w:hAnsi="ITC Avant Garde"/>
          <w:lang w:val="es-ES_tradnl"/>
        </w:rPr>
        <w:t xml:space="preserve">dentro </w:t>
      </w:r>
      <w:r w:rsidRPr="00EC07DB">
        <w:rPr>
          <w:rFonts w:ascii="ITC Avant Garde" w:hAnsi="ITC Avant Garde"/>
          <w:lang w:val="es-ES_tradnl"/>
        </w:rPr>
        <w:t xml:space="preserve">de la muestra de tamaño </w:t>
      </w:r>
      <m:oMath>
        <m:sSub>
          <m:sSubPr>
            <m:ctrlPr>
              <w:rPr>
                <w:rFonts w:ascii="Cambria Math" w:eastAsiaTheme="minorHAnsi" w:hAnsi="Cambria Math"/>
                <w:i/>
                <w:lang w:val="es-ES_tradnl"/>
              </w:rPr>
            </m:ctrlPr>
          </m:sSubPr>
          <m:e>
            <m:r>
              <w:rPr>
                <w:rFonts w:ascii="Cambria Math" w:eastAsiaTheme="minorHAnsi" w:hAnsi="Cambria Math"/>
                <w:lang w:val="es-ES_tradnl"/>
              </w:rPr>
              <m:t>m</m:t>
            </m:r>
          </m:e>
          <m:sub>
            <m:r>
              <w:rPr>
                <w:rFonts w:ascii="Cambria Math" w:eastAsiaTheme="minorHAnsi" w:hAnsi="Cambria Math"/>
                <w:lang w:val="es-ES_tradnl"/>
              </w:rPr>
              <m:t>i</m:t>
            </m:r>
          </m:sub>
        </m:sSub>
      </m:oMath>
      <w:r>
        <w:rPr>
          <w:rFonts w:ascii="ITC Avant Garde" w:hAnsi="ITC Avant Garde"/>
          <w:lang w:val="es-ES_tradnl"/>
        </w:rPr>
        <w:t>.</w:t>
      </w:r>
    </w:p>
    <w:p w:rsidR="00496B50" w:rsidRDefault="00496B50" w:rsidP="00496B50">
      <w:pPr>
        <w:pStyle w:val="Normal1"/>
        <w:widowControl w:val="0"/>
        <w:spacing w:before="240" w:after="240"/>
        <w:ind w:left="708"/>
        <w:jc w:val="both"/>
        <w:rPr>
          <w:rFonts w:ascii="ITC Avant Garde" w:hAnsi="ITC Avant Garde"/>
          <w:szCs w:val="22"/>
          <w:lang w:val="es-ES_tradnl"/>
        </w:rPr>
      </w:pPr>
      <w:r w:rsidRPr="00FE6BB3">
        <w:rPr>
          <w:rFonts w:ascii="ITC Avant Garde" w:hAnsi="ITC Avant Garde"/>
          <w:szCs w:val="22"/>
          <w:lang w:val="es-ES_tradnl"/>
        </w:rPr>
        <w:t>Asimismo, al considerar 3 estratos diferentes, cada uno debe tener asociado un peso o valor que los pondere con relación al porcentaje de población cubierta de cada uno de ellos. El coeficiente de ponderación para el i-</w:t>
      </w:r>
      <w:proofErr w:type="spellStart"/>
      <w:r w:rsidRPr="00FE6BB3">
        <w:rPr>
          <w:rFonts w:ascii="ITC Avant Garde" w:hAnsi="ITC Avant Garde"/>
          <w:szCs w:val="22"/>
          <w:lang w:val="es-ES_tradnl"/>
        </w:rPr>
        <w:t>ésimo</w:t>
      </w:r>
      <w:proofErr w:type="spellEnd"/>
      <w:r w:rsidRPr="00FE6BB3">
        <w:rPr>
          <w:rFonts w:ascii="ITC Avant Garde" w:hAnsi="ITC Avant Garde"/>
          <w:szCs w:val="22"/>
          <w:lang w:val="es-ES_tradnl"/>
        </w:rPr>
        <w:t xml:space="preserve"> estrato se obtiene de la siguiente manera:</w:t>
      </w:r>
    </w:p>
    <w:p w:rsidR="00496B50" w:rsidRPr="00FE6BB3" w:rsidRDefault="00496B50" w:rsidP="00496B50">
      <w:pPr>
        <w:pStyle w:val="Normal1"/>
        <w:widowControl w:val="0"/>
        <w:spacing w:before="240" w:after="240"/>
        <w:jc w:val="center"/>
        <w:rPr>
          <w:lang w:val="es-ES_tradnl"/>
        </w:rPr>
      </w:pPr>
      <m:oMathPara>
        <m:oMath>
          <m:sSub>
            <m:sSubPr>
              <m:ctrlPr>
                <w:rPr>
                  <w:rFonts w:ascii="Cambria Math" w:hAnsi="Cambria Math"/>
                  <w:i/>
                  <w:lang w:val="es-ES_tradnl"/>
                </w:rPr>
              </m:ctrlPr>
            </m:sSubPr>
            <m:e>
              <m:r>
                <w:rPr>
                  <w:rFonts w:ascii="Cambria Math" w:hAnsi="Cambria Math"/>
                  <w:lang w:val="es-ES_tradnl"/>
                </w:rPr>
                <m:t>w</m:t>
              </m:r>
            </m:e>
            <m:sub>
              <m:r>
                <w:rPr>
                  <w:rFonts w:ascii="Cambria Math" w:hAnsi="Cambria Math"/>
                  <w:lang w:val="es-ES_tradnl"/>
                </w:rPr>
                <m:t>i</m:t>
              </m:r>
            </m:sub>
          </m:sSub>
          <m:r>
            <w:rPr>
              <w:rFonts w:ascii="Cambria Math" w:hAnsi="Cambria Math"/>
              <w:lang w:val="es-ES_tradnl"/>
            </w:rPr>
            <m:t>=</m:t>
          </m:r>
          <m:f>
            <m:fPr>
              <m:type m:val="skw"/>
              <m:ctrlPr>
                <w:rPr>
                  <w:rFonts w:ascii="Cambria Math" w:hAnsi="Cambria Math"/>
                  <w:i/>
                  <w:lang w:val="es-ES_tradnl"/>
                </w:rPr>
              </m:ctrlPr>
            </m:fPr>
            <m:num>
              <m:sSub>
                <m:sSubPr>
                  <m:ctrlPr>
                    <w:rPr>
                      <w:rFonts w:ascii="Cambria Math" w:hAnsi="Cambria Math"/>
                      <w:i/>
                      <w:lang w:val="es-ES_tradnl"/>
                    </w:rPr>
                  </m:ctrlPr>
                </m:sSubPr>
                <m:e>
                  <m:r>
                    <w:rPr>
                      <w:rFonts w:ascii="Cambria Math" w:hAnsi="Cambria Math"/>
                      <w:lang w:val="es-ES_tradnl"/>
                    </w:rPr>
                    <m:t>N</m:t>
                  </m:r>
                </m:e>
                <m:sub>
                  <m:r>
                    <w:rPr>
                      <w:rFonts w:ascii="Cambria Math" w:hAnsi="Cambria Math"/>
                      <w:lang w:val="es-ES_tradnl"/>
                    </w:rPr>
                    <m:t>i</m:t>
                  </m:r>
                </m:sub>
              </m:sSub>
            </m:num>
            <m:den>
              <m:r>
                <w:rPr>
                  <w:rFonts w:ascii="Cambria Math" w:hAnsi="Cambria Math"/>
                  <w:lang w:val="es-ES_tradnl"/>
                </w:rPr>
                <m:t>N</m:t>
              </m:r>
            </m:den>
          </m:f>
        </m:oMath>
      </m:oMathPara>
    </w:p>
    <w:p w:rsidR="00496B50" w:rsidRDefault="00496B50" w:rsidP="00496B50">
      <w:pPr>
        <w:pStyle w:val="Normal1"/>
        <w:widowControl w:val="0"/>
        <w:spacing w:before="240" w:after="240"/>
        <w:ind w:firstLine="708"/>
        <w:jc w:val="both"/>
        <w:rPr>
          <w:rFonts w:ascii="ITC Avant Garde" w:hAnsi="ITC Avant Garde"/>
          <w:b/>
          <w:szCs w:val="22"/>
          <w:lang w:val="es-ES_tradnl"/>
        </w:rPr>
      </w:pPr>
      <w:r w:rsidRPr="00FE6BB3">
        <w:rPr>
          <w:rFonts w:ascii="ITC Avant Garde" w:hAnsi="ITC Avant Garde"/>
          <w:b/>
          <w:szCs w:val="22"/>
          <w:lang w:val="es-ES_tradnl"/>
        </w:rPr>
        <w:t>Donde:</w:t>
      </w:r>
    </w:p>
    <w:p w:rsidR="00496B50" w:rsidRPr="00FE6BB3" w:rsidRDefault="00496B50" w:rsidP="00496B50">
      <w:pPr>
        <w:pStyle w:val="Normal1"/>
        <w:widowControl w:val="0"/>
        <w:spacing w:before="240" w:after="240"/>
        <w:ind w:firstLine="708"/>
        <w:jc w:val="both"/>
        <w:rPr>
          <w:rFonts w:ascii="ITC Avant Garde" w:hAnsi="ITC Avant Garde"/>
          <w:szCs w:val="22"/>
          <w:lang w:val="es-ES_tradnl"/>
        </w:rPr>
      </w:pPr>
      <m:oMath>
        <m:sSub>
          <m:sSubPr>
            <m:ctrlPr>
              <w:rPr>
                <w:rFonts w:ascii="Cambria Math" w:hAnsi="Cambria Math"/>
                <w:szCs w:val="22"/>
                <w:lang w:val="es-ES_tradnl"/>
              </w:rPr>
            </m:ctrlPr>
          </m:sSubPr>
          <m:e>
            <m:r>
              <w:rPr>
                <w:rFonts w:ascii="Cambria Math" w:hAnsi="Cambria Math"/>
                <w:szCs w:val="22"/>
                <w:lang w:val="es-ES_tradnl"/>
              </w:rPr>
              <m:t>N</m:t>
            </m:r>
          </m:e>
          <m:sub>
            <m:r>
              <w:rPr>
                <w:rFonts w:ascii="Cambria Math" w:hAnsi="Cambria Math"/>
                <w:szCs w:val="22"/>
                <w:lang w:val="es-ES_tradnl"/>
              </w:rPr>
              <m:t>i</m:t>
            </m:r>
          </m:sub>
        </m:sSub>
      </m:oMath>
      <w:r w:rsidRPr="00FE6BB3">
        <w:rPr>
          <w:rFonts w:ascii="ITC Avant Garde" w:hAnsi="ITC Avant Garde"/>
          <w:szCs w:val="22"/>
          <w:lang w:val="es-ES_tradnl"/>
        </w:rPr>
        <w:t xml:space="preserve"> = población cubierta del estrato i, y </w:t>
      </w:r>
    </w:p>
    <w:p w:rsidR="00496B50" w:rsidRDefault="00496B50" w:rsidP="00496B50">
      <w:pPr>
        <w:pStyle w:val="Normal1"/>
        <w:widowControl w:val="0"/>
        <w:spacing w:before="240" w:after="240"/>
        <w:ind w:firstLine="708"/>
        <w:jc w:val="both"/>
        <w:rPr>
          <w:rFonts w:ascii="ITC Avant Garde" w:hAnsi="ITC Avant Garde"/>
          <w:szCs w:val="22"/>
          <w:lang w:val="es-ES_tradnl"/>
        </w:rPr>
      </w:pPr>
      <m:oMath>
        <m:r>
          <w:rPr>
            <w:rFonts w:ascii="Cambria Math" w:hAnsi="Cambria Math"/>
            <w:lang w:val="es-ES_tradnl"/>
          </w:rPr>
          <m:t>N</m:t>
        </m:r>
      </m:oMath>
      <w:r w:rsidRPr="00FE6BB3">
        <w:rPr>
          <w:rFonts w:ascii="ITC Avant Garde" w:hAnsi="ITC Avant Garde"/>
          <w:lang w:val="es-ES_tradnl"/>
        </w:rPr>
        <w:t xml:space="preserve"> =</w:t>
      </w:r>
      <w:r w:rsidRPr="00FE6BB3">
        <w:rPr>
          <w:rFonts w:ascii="ITC Avant Garde" w:hAnsi="ITC Avant Garde"/>
          <w:szCs w:val="22"/>
          <w:lang w:val="es-ES_tradnl"/>
        </w:rPr>
        <w:t xml:space="preserve"> la población cubierta del total de los municipios.</w:t>
      </w:r>
    </w:p>
    <w:p w:rsidR="00496B50" w:rsidRDefault="00496B50" w:rsidP="00496B50">
      <w:pPr>
        <w:pStyle w:val="Normal1"/>
        <w:widowControl w:val="0"/>
        <w:spacing w:before="240" w:after="240"/>
        <w:ind w:left="708"/>
        <w:jc w:val="both"/>
        <w:rPr>
          <w:rFonts w:ascii="ITC Avant Garde" w:hAnsi="ITC Avant Garde"/>
          <w:szCs w:val="22"/>
          <w:lang w:val="es-ES_tradnl"/>
        </w:rPr>
      </w:pPr>
      <w:r w:rsidRPr="00FE6BB3">
        <w:rPr>
          <w:rFonts w:ascii="ITC Avant Garde" w:hAnsi="ITC Avant Garde"/>
          <w:szCs w:val="22"/>
          <w:lang w:val="es-ES_tradnl"/>
        </w:rPr>
        <w:t xml:space="preserve">Una vez obtenido el coeficiente de ponderación de cada estrato, se calcula la media anual </w:t>
      </w:r>
      <m:oMath>
        <m:acc>
          <m:accPr>
            <m:chr m:val="̅"/>
            <m:ctrlPr>
              <w:rPr>
                <w:rFonts w:ascii="Cambria Math" w:hAnsi="Cambria Math"/>
                <w:i/>
                <w:szCs w:val="22"/>
                <w:lang w:val="es-ES_tradnl"/>
              </w:rPr>
            </m:ctrlPr>
          </m:accPr>
          <m:e>
            <m:r>
              <w:rPr>
                <w:rFonts w:ascii="Cambria Math" w:hAnsi="Cambria Math"/>
                <w:szCs w:val="22"/>
                <w:lang w:val="es-ES_tradnl"/>
              </w:rPr>
              <m:t>x</m:t>
            </m:r>
          </m:e>
        </m:acc>
      </m:oMath>
      <w:r w:rsidRPr="00FE6BB3">
        <w:rPr>
          <w:rFonts w:ascii="ITC Avant Garde" w:hAnsi="ITC Avant Garde"/>
          <w:szCs w:val="22"/>
          <w:lang w:val="es-ES_tradnl"/>
        </w:rPr>
        <w:t xml:space="preserve">, realizando un promedio ponderado de las medias obtenidas en cada estrato </w:t>
      </w:r>
      <m:oMath>
        <m:acc>
          <m:accPr>
            <m:chr m:val="̅"/>
            <m:ctrlPr>
              <w:rPr>
                <w:rFonts w:ascii="Cambria Math" w:eastAsiaTheme="minorHAnsi" w:hAnsi="Cambria Math"/>
                <w:i/>
                <w:szCs w:val="22"/>
                <w:lang w:val="es-ES_tradnl"/>
              </w:rPr>
            </m:ctrlPr>
          </m:accPr>
          <m:e>
            <m:sSub>
              <m:sSubPr>
                <m:ctrlPr>
                  <w:rPr>
                    <w:rFonts w:ascii="Cambria Math" w:eastAsiaTheme="minorHAnsi" w:hAnsi="Cambria Math"/>
                    <w:i/>
                    <w:szCs w:val="22"/>
                    <w:lang w:val="es-ES_tradnl"/>
                  </w:rPr>
                </m:ctrlPr>
              </m:sSubPr>
              <m:e>
                <m:r>
                  <w:rPr>
                    <w:rFonts w:ascii="Cambria Math" w:eastAsiaTheme="minorHAnsi" w:hAnsi="Cambria Math"/>
                    <w:szCs w:val="22"/>
                    <w:lang w:val="es-ES_tradnl"/>
                  </w:rPr>
                  <m:t>x</m:t>
                </m:r>
              </m:e>
              <m:sub>
                <m:r>
                  <w:rPr>
                    <w:rFonts w:ascii="Cambria Math" w:eastAsiaTheme="minorHAnsi" w:hAnsi="Cambria Math"/>
                    <w:szCs w:val="22"/>
                    <w:lang w:val="es-ES_tradnl"/>
                  </w:rPr>
                  <m:t>i</m:t>
                </m:r>
              </m:sub>
            </m:sSub>
          </m:e>
        </m:acc>
      </m:oMath>
      <w:r w:rsidRPr="00FE6BB3">
        <w:rPr>
          <w:rFonts w:ascii="ITC Avant Garde" w:hAnsi="ITC Avant Garde"/>
          <w:szCs w:val="22"/>
          <w:lang w:val="es-ES_tradnl"/>
        </w:rPr>
        <w:t xml:space="preserve"> para el Parámetro de Cobertura correspondiente, como lo indica </w:t>
      </w:r>
      <w:r w:rsidRPr="00FE6BB3">
        <w:rPr>
          <w:rFonts w:ascii="ITC Avant Garde" w:hAnsi="ITC Avant Garde"/>
          <w:szCs w:val="22"/>
          <w:lang w:val="es-ES_tradnl"/>
        </w:rPr>
        <w:lastRenderedPageBreak/>
        <w:t>la siguiente fórmula:</w:t>
      </w:r>
    </w:p>
    <w:p w:rsidR="00496B50" w:rsidRDefault="00496B50" w:rsidP="00496B50">
      <w:pPr>
        <w:pStyle w:val="Normal1"/>
        <w:widowControl w:val="0"/>
        <w:spacing w:before="240" w:after="240"/>
        <w:jc w:val="both"/>
        <w:rPr>
          <w:rFonts w:ascii="ITC Avant Garde" w:hAnsi="ITC Avant Garde"/>
          <w:szCs w:val="22"/>
          <w:lang w:val="es-ES_tradnl"/>
        </w:rPr>
      </w:pPr>
      <m:oMathPara>
        <m:oMath>
          <m:sSub>
            <m:sSubPr>
              <m:ctrlPr>
                <w:rPr>
                  <w:rFonts w:ascii="Cambria Math" w:hAnsi="Cambria Math"/>
                  <w:i/>
                  <w:szCs w:val="22"/>
                  <w:lang w:val="es-ES_tradnl"/>
                </w:rPr>
              </m:ctrlPr>
            </m:sSubPr>
            <m:e>
              <m:acc>
                <m:accPr>
                  <m:chr m:val="̅"/>
                  <m:ctrlPr>
                    <w:rPr>
                      <w:rFonts w:ascii="Cambria Math" w:hAnsi="Cambria Math"/>
                      <w:i/>
                      <w:szCs w:val="22"/>
                      <w:lang w:val="es-ES_tradnl"/>
                    </w:rPr>
                  </m:ctrlPr>
                </m:accPr>
                <m:e>
                  <m:r>
                    <w:rPr>
                      <w:rFonts w:ascii="Cambria Math" w:hAnsi="Cambria Math"/>
                      <w:szCs w:val="22"/>
                      <w:lang w:val="es-ES_tradnl"/>
                    </w:rPr>
                    <m:t>x</m:t>
                  </m:r>
                </m:e>
              </m:acc>
            </m:e>
            <m:sub>
              <m:r>
                <w:rPr>
                  <w:rFonts w:ascii="Cambria Math" w:hAnsi="Cambria Math"/>
                  <w:szCs w:val="22"/>
                  <w:lang w:val="es-ES_tradnl"/>
                </w:rPr>
                <m:t>=</m:t>
              </m:r>
            </m:sub>
          </m:sSub>
          <m:nary>
            <m:naryPr>
              <m:chr m:val="∑"/>
              <m:limLoc m:val="undOvr"/>
              <m:ctrlPr>
                <w:rPr>
                  <w:rFonts w:ascii="Cambria Math" w:eastAsiaTheme="minorHAnsi" w:hAnsi="Cambria Math"/>
                  <w:i/>
                  <w:szCs w:val="22"/>
                  <w:lang w:val="es-ES_tradnl"/>
                </w:rPr>
              </m:ctrlPr>
            </m:naryPr>
            <m:sub>
              <m:r>
                <w:rPr>
                  <w:rFonts w:ascii="Cambria Math" w:eastAsiaTheme="minorHAnsi" w:hAnsi="Cambria Math"/>
                  <w:szCs w:val="22"/>
                  <w:lang w:val="es-ES_tradnl"/>
                </w:rPr>
                <m:t>i=1</m:t>
              </m:r>
            </m:sub>
            <m:sup>
              <m:r>
                <w:rPr>
                  <w:rFonts w:ascii="Cambria Math" w:eastAsiaTheme="minorHAnsi" w:hAnsi="Cambria Math"/>
                  <w:szCs w:val="22"/>
                  <w:lang w:val="es-ES_tradnl"/>
                </w:rPr>
                <m:t>L</m:t>
              </m:r>
            </m:sup>
            <m:e>
              <m:sSub>
                <m:sSubPr>
                  <m:ctrlPr>
                    <w:rPr>
                      <w:rFonts w:ascii="Cambria Math" w:eastAsiaTheme="minorHAnsi" w:hAnsi="Cambria Math"/>
                      <w:i/>
                      <w:szCs w:val="22"/>
                      <w:lang w:val="es-ES_tradnl"/>
                    </w:rPr>
                  </m:ctrlPr>
                </m:sSubPr>
                <m:e>
                  <m:r>
                    <w:rPr>
                      <w:rFonts w:ascii="Cambria Math" w:eastAsiaTheme="minorHAnsi" w:hAnsi="Cambria Math"/>
                      <w:szCs w:val="22"/>
                      <w:lang w:val="es-ES_tradnl"/>
                    </w:rPr>
                    <m:t>w</m:t>
                  </m:r>
                </m:e>
                <m:sub>
                  <m:r>
                    <w:rPr>
                      <w:rFonts w:ascii="Cambria Math" w:eastAsiaTheme="minorHAnsi" w:hAnsi="Cambria Math"/>
                      <w:szCs w:val="22"/>
                      <w:lang w:val="es-ES_tradnl"/>
                    </w:rPr>
                    <m:t>i</m:t>
                  </m:r>
                </m:sub>
              </m:sSub>
              <m:acc>
                <m:accPr>
                  <m:chr m:val="̅"/>
                  <m:ctrlPr>
                    <w:rPr>
                      <w:rFonts w:ascii="Cambria Math" w:eastAsiaTheme="minorHAnsi" w:hAnsi="Cambria Math"/>
                      <w:i/>
                      <w:szCs w:val="22"/>
                      <w:lang w:val="es-ES_tradnl"/>
                    </w:rPr>
                  </m:ctrlPr>
                </m:accPr>
                <m:e>
                  <m:sSub>
                    <m:sSubPr>
                      <m:ctrlPr>
                        <w:rPr>
                          <w:rFonts w:ascii="Cambria Math" w:eastAsiaTheme="minorHAnsi" w:hAnsi="Cambria Math"/>
                          <w:i/>
                          <w:szCs w:val="22"/>
                          <w:lang w:val="es-ES_tradnl"/>
                        </w:rPr>
                      </m:ctrlPr>
                    </m:sSubPr>
                    <m:e>
                      <m:r>
                        <w:rPr>
                          <w:rFonts w:ascii="Cambria Math" w:eastAsiaTheme="minorHAnsi" w:hAnsi="Cambria Math"/>
                          <w:szCs w:val="22"/>
                          <w:lang w:val="es-ES_tradnl"/>
                        </w:rPr>
                        <m:t>x</m:t>
                      </m:r>
                    </m:e>
                    <m:sub>
                      <m:r>
                        <w:rPr>
                          <w:rFonts w:ascii="Cambria Math" w:eastAsiaTheme="minorHAnsi" w:hAnsi="Cambria Math"/>
                          <w:szCs w:val="22"/>
                          <w:lang w:val="es-ES_tradnl"/>
                        </w:rPr>
                        <m:t>i</m:t>
                      </m:r>
                    </m:sub>
                  </m:sSub>
                </m:e>
              </m:acc>
            </m:e>
          </m:nary>
        </m:oMath>
      </m:oMathPara>
    </w:p>
    <w:p w:rsidR="00496B50" w:rsidRDefault="00496B50" w:rsidP="00496B50">
      <w:pPr>
        <w:pStyle w:val="Normal1"/>
        <w:widowControl w:val="0"/>
        <w:spacing w:before="240" w:after="240"/>
        <w:ind w:left="705"/>
        <w:jc w:val="both"/>
        <w:rPr>
          <w:rFonts w:ascii="ITC Avant Garde" w:hAnsi="ITC Avant Garde"/>
          <w:szCs w:val="22"/>
          <w:lang w:val="es-ES_tradnl"/>
        </w:rPr>
      </w:pPr>
      <w:r w:rsidRPr="00FE6BB3">
        <w:rPr>
          <w:rFonts w:ascii="ITC Avant Garde" w:hAnsi="ITC Avant Garde"/>
          <w:szCs w:val="22"/>
          <w:lang w:val="es-ES_tradnl"/>
        </w:rPr>
        <w:t xml:space="preserve">Bajo el mismo esquema, se calcula la desviación anual ponderada para una varianza de la media de cada estrato </w:t>
      </w:r>
      <m:oMath>
        <m:sSubSup>
          <m:sSubSupPr>
            <m:ctrlPr>
              <w:rPr>
                <w:rFonts w:ascii="Cambria Math" w:eastAsiaTheme="minorHAnsi" w:hAnsi="Cambria Math"/>
                <w:i/>
                <w:szCs w:val="22"/>
                <w:lang w:val="es-ES_tradnl"/>
              </w:rPr>
            </m:ctrlPr>
          </m:sSubSupPr>
          <m:e>
            <m:r>
              <w:rPr>
                <w:rFonts w:ascii="Cambria Math" w:eastAsiaTheme="minorHAnsi" w:hAnsi="Cambria Math"/>
                <w:szCs w:val="22"/>
                <w:lang w:val="es-ES_tradnl"/>
              </w:rPr>
              <m:t>(σ</m:t>
            </m:r>
          </m:e>
          <m:sub>
            <m:acc>
              <m:accPr>
                <m:chr m:val="̅"/>
                <m:ctrlPr>
                  <w:rPr>
                    <w:rFonts w:ascii="Cambria Math" w:eastAsiaTheme="minorHAnsi" w:hAnsi="Cambria Math"/>
                    <w:i/>
                    <w:szCs w:val="22"/>
                    <w:lang w:val="es-ES_tradnl"/>
                  </w:rPr>
                </m:ctrlPr>
              </m:accPr>
              <m:e>
                <m:sSub>
                  <m:sSubPr>
                    <m:ctrlPr>
                      <w:rPr>
                        <w:rFonts w:ascii="Cambria Math" w:eastAsiaTheme="minorHAnsi" w:hAnsi="Cambria Math"/>
                        <w:i/>
                        <w:szCs w:val="22"/>
                        <w:lang w:val="es-ES_tradnl"/>
                      </w:rPr>
                    </m:ctrlPr>
                  </m:sSubPr>
                  <m:e>
                    <m:r>
                      <w:rPr>
                        <w:rFonts w:ascii="Cambria Math" w:eastAsiaTheme="minorHAnsi" w:hAnsi="Cambria Math"/>
                        <w:szCs w:val="22"/>
                        <w:lang w:val="es-ES_tradnl"/>
                      </w:rPr>
                      <m:t>x</m:t>
                    </m:r>
                  </m:e>
                  <m:sub>
                    <m:r>
                      <w:rPr>
                        <w:rFonts w:ascii="Cambria Math" w:eastAsiaTheme="minorHAnsi" w:hAnsi="Cambria Math"/>
                        <w:szCs w:val="22"/>
                        <w:lang w:val="es-ES_tradnl"/>
                      </w:rPr>
                      <m:t>i</m:t>
                    </m:r>
                  </m:sub>
                </m:sSub>
              </m:e>
            </m:acc>
          </m:sub>
          <m:sup>
            <m:r>
              <w:rPr>
                <w:rFonts w:ascii="Cambria Math" w:eastAsiaTheme="minorHAnsi" w:hAnsi="Cambria Math"/>
                <w:szCs w:val="22"/>
                <w:lang w:val="es-ES_tradnl"/>
              </w:rPr>
              <m:t>2</m:t>
            </m:r>
          </m:sup>
        </m:sSubSup>
        <m:r>
          <w:rPr>
            <w:rFonts w:ascii="Cambria Math" w:eastAsiaTheme="minorHAnsi" w:hAnsi="Cambria Math"/>
            <w:szCs w:val="22"/>
            <w:lang w:val="es-ES_tradnl"/>
          </w:rPr>
          <m:t>)</m:t>
        </m:r>
      </m:oMath>
      <w:r w:rsidRPr="00FE6BB3">
        <w:rPr>
          <w:rFonts w:ascii="ITC Avant Garde" w:hAnsi="ITC Avant Garde"/>
          <w:szCs w:val="22"/>
          <w:lang w:val="es-ES_tradnl"/>
        </w:rPr>
        <w:t>, de acuerdo a la siguiente fórmula</w:t>
      </w:r>
    </w:p>
    <w:p w:rsidR="00496B50" w:rsidRDefault="00496B50" w:rsidP="00496B50">
      <w:pPr>
        <w:pStyle w:val="Normal1"/>
        <w:widowControl w:val="0"/>
        <w:spacing w:before="240" w:after="240"/>
        <w:jc w:val="both"/>
        <w:rPr>
          <w:rFonts w:ascii="ITC Avant Garde" w:hAnsi="ITC Avant Garde"/>
          <w:szCs w:val="22"/>
          <w:lang w:val="es-ES_tradnl"/>
        </w:rPr>
      </w:pPr>
      <m:oMathPara>
        <m:oMath>
          <m:sSub>
            <m:sSubPr>
              <m:ctrlPr>
                <w:rPr>
                  <w:rFonts w:ascii="Cambria Math" w:hAnsi="Cambria Math"/>
                  <w:i/>
                  <w:szCs w:val="22"/>
                  <w:lang w:val="es-ES_tradnl"/>
                </w:rPr>
              </m:ctrlPr>
            </m:sSubPr>
            <m:e>
              <m:sSup>
                <m:sSupPr>
                  <m:ctrlPr>
                    <w:rPr>
                      <w:rFonts w:ascii="Cambria Math" w:hAnsi="Cambria Math"/>
                      <w:i/>
                      <w:szCs w:val="22"/>
                      <w:lang w:val="es-ES_tradnl"/>
                    </w:rPr>
                  </m:ctrlPr>
                </m:sSupPr>
                <m:e>
                  <m:r>
                    <w:rPr>
                      <w:rFonts w:ascii="Cambria Math" w:hAnsi="Cambria Math"/>
                      <w:szCs w:val="22"/>
                      <w:lang w:val="es-ES_tradnl"/>
                    </w:rPr>
                    <m:t>σ</m:t>
                  </m:r>
                </m:e>
                <m:sup>
                  <m:r>
                    <w:rPr>
                      <w:rFonts w:ascii="Cambria Math" w:hAnsi="Cambria Math"/>
                      <w:szCs w:val="22"/>
                      <w:lang w:val="es-ES_tradnl"/>
                    </w:rPr>
                    <m:t>2</m:t>
                  </m:r>
                </m:sup>
              </m:sSup>
            </m:e>
            <m:sub>
              <m:r>
                <w:rPr>
                  <w:rFonts w:ascii="Cambria Math" w:hAnsi="Cambria Math"/>
                  <w:szCs w:val="22"/>
                  <w:lang w:val="es-ES_tradnl"/>
                </w:rPr>
                <m:t>=</m:t>
              </m:r>
            </m:sub>
          </m:sSub>
          <m:nary>
            <m:naryPr>
              <m:chr m:val="∑"/>
              <m:limLoc m:val="subSup"/>
              <m:ctrlPr>
                <w:rPr>
                  <w:rFonts w:ascii="Cambria Math" w:eastAsiaTheme="minorHAnsi" w:hAnsi="Cambria Math"/>
                  <w:i/>
                  <w:szCs w:val="22"/>
                  <w:lang w:val="es-ES_tradnl"/>
                </w:rPr>
              </m:ctrlPr>
            </m:naryPr>
            <m:sub>
              <m:r>
                <w:rPr>
                  <w:rFonts w:ascii="Cambria Math" w:eastAsiaTheme="minorHAnsi" w:hAnsi="Cambria Math"/>
                  <w:szCs w:val="22"/>
                  <w:lang w:val="es-ES_tradnl"/>
                </w:rPr>
                <m:t>i=1</m:t>
              </m:r>
            </m:sub>
            <m:sup>
              <m:r>
                <w:rPr>
                  <w:rFonts w:ascii="Cambria Math" w:eastAsiaTheme="minorHAnsi" w:hAnsi="Cambria Math"/>
                  <w:szCs w:val="22"/>
                  <w:lang w:val="es-ES_tradnl"/>
                </w:rPr>
                <m:t>L</m:t>
              </m:r>
            </m:sup>
            <m:e>
              <m:sSubSup>
                <m:sSubSupPr>
                  <m:ctrlPr>
                    <w:rPr>
                      <w:rFonts w:ascii="Cambria Math" w:eastAsiaTheme="minorHAnsi" w:hAnsi="Cambria Math"/>
                      <w:i/>
                      <w:szCs w:val="22"/>
                      <w:lang w:val="es-ES_tradnl"/>
                    </w:rPr>
                  </m:ctrlPr>
                </m:sSubSupPr>
                <m:e>
                  <m:r>
                    <w:rPr>
                      <w:rFonts w:ascii="Cambria Math" w:eastAsiaTheme="minorHAnsi" w:hAnsi="Cambria Math"/>
                      <w:szCs w:val="22"/>
                      <w:lang w:val="es-ES_tradnl"/>
                    </w:rPr>
                    <m:t>w</m:t>
                  </m:r>
                </m:e>
                <m:sub>
                  <m:r>
                    <w:rPr>
                      <w:rFonts w:ascii="Cambria Math" w:eastAsiaTheme="minorHAnsi" w:hAnsi="Cambria Math"/>
                      <w:szCs w:val="22"/>
                      <w:lang w:val="es-ES_tradnl"/>
                    </w:rPr>
                    <m:t>i</m:t>
                  </m:r>
                </m:sub>
                <m:sup>
                  <m:r>
                    <w:rPr>
                      <w:rFonts w:ascii="Cambria Math" w:eastAsiaTheme="minorHAnsi" w:hAnsi="Cambria Math"/>
                      <w:szCs w:val="22"/>
                      <w:lang w:val="es-ES_tradnl"/>
                    </w:rPr>
                    <m:t>2</m:t>
                  </m:r>
                </m:sup>
              </m:sSubSup>
            </m:e>
          </m:nary>
          <m:sSubSup>
            <m:sSubSupPr>
              <m:ctrlPr>
                <w:rPr>
                  <w:rFonts w:ascii="Cambria Math" w:eastAsiaTheme="minorHAnsi" w:hAnsi="Cambria Math"/>
                  <w:i/>
                  <w:szCs w:val="22"/>
                  <w:lang w:val="es-ES_tradnl"/>
                </w:rPr>
              </m:ctrlPr>
            </m:sSubSupPr>
            <m:e>
              <m:r>
                <w:rPr>
                  <w:rFonts w:ascii="Cambria Math" w:eastAsiaTheme="minorHAnsi" w:hAnsi="Cambria Math"/>
                  <w:szCs w:val="22"/>
                  <w:lang w:val="es-ES_tradnl"/>
                </w:rPr>
                <m:t>σ</m:t>
              </m:r>
            </m:e>
            <m:sub>
              <m:acc>
                <m:accPr>
                  <m:chr m:val="̅"/>
                  <m:ctrlPr>
                    <w:rPr>
                      <w:rFonts w:ascii="Cambria Math" w:eastAsiaTheme="minorHAnsi" w:hAnsi="Cambria Math"/>
                      <w:i/>
                      <w:szCs w:val="22"/>
                      <w:lang w:val="es-ES_tradnl"/>
                    </w:rPr>
                  </m:ctrlPr>
                </m:accPr>
                <m:e>
                  <m:sSub>
                    <m:sSubPr>
                      <m:ctrlPr>
                        <w:rPr>
                          <w:rFonts w:ascii="Cambria Math" w:eastAsiaTheme="minorHAnsi" w:hAnsi="Cambria Math"/>
                          <w:i/>
                          <w:szCs w:val="22"/>
                          <w:lang w:val="es-ES_tradnl"/>
                        </w:rPr>
                      </m:ctrlPr>
                    </m:sSubPr>
                    <m:e>
                      <m:r>
                        <w:rPr>
                          <w:rFonts w:ascii="Cambria Math" w:eastAsiaTheme="minorHAnsi" w:hAnsi="Cambria Math"/>
                          <w:szCs w:val="22"/>
                          <w:lang w:val="es-ES_tradnl"/>
                        </w:rPr>
                        <m:t>x</m:t>
                      </m:r>
                    </m:e>
                    <m:sub>
                      <m:r>
                        <w:rPr>
                          <w:rFonts w:ascii="Cambria Math" w:eastAsiaTheme="minorHAnsi" w:hAnsi="Cambria Math"/>
                          <w:szCs w:val="22"/>
                          <w:lang w:val="es-ES_tradnl"/>
                        </w:rPr>
                        <m:t>i</m:t>
                      </m:r>
                    </m:sub>
                  </m:sSub>
                </m:e>
              </m:acc>
            </m:sub>
            <m:sup>
              <m:r>
                <w:rPr>
                  <w:rFonts w:ascii="Cambria Math" w:eastAsiaTheme="minorHAnsi" w:hAnsi="Cambria Math"/>
                  <w:szCs w:val="22"/>
                  <w:lang w:val="es-ES_tradnl"/>
                </w:rPr>
                <m:t>2</m:t>
              </m:r>
            </m:sup>
          </m:sSubSup>
        </m:oMath>
      </m:oMathPara>
    </w:p>
    <w:p w:rsidR="00496B50" w:rsidRPr="00FE6BB3" w:rsidRDefault="00496B50" w:rsidP="00496B50">
      <w:pPr>
        <w:pStyle w:val="Normal1"/>
        <w:widowControl w:val="0"/>
        <w:spacing w:before="240" w:after="240"/>
        <w:ind w:firstLine="708"/>
        <w:jc w:val="both"/>
        <w:rPr>
          <w:rFonts w:ascii="ITC Avant Garde" w:hAnsi="ITC Avant Garde"/>
          <w:b/>
          <w:szCs w:val="22"/>
          <w:lang w:val="es-ES_tradnl"/>
        </w:rPr>
      </w:pPr>
      <w:r w:rsidRPr="00FE6BB3">
        <w:rPr>
          <w:rFonts w:ascii="ITC Avant Garde" w:hAnsi="ITC Avant Garde"/>
          <w:b/>
          <w:szCs w:val="22"/>
          <w:lang w:val="es-ES_tradnl"/>
        </w:rPr>
        <w:t>Donde:</w:t>
      </w:r>
    </w:p>
    <w:p w:rsidR="00496B50" w:rsidRDefault="00496B50" w:rsidP="00496B50">
      <w:pPr>
        <w:pStyle w:val="Normal1"/>
        <w:widowControl w:val="0"/>
        <w:spacing w:before="240" w:after="240"/>
        <w:jc w:val="both"/>
        <w:rPr>
          <w:rFonts w:ascii="ITC Avant Garde" w:hAnsi="ITC Avant Garde"/>
          <w:szCs w:val="22"/>
          <w:lang w:val="es-ES_tradnl"/>
        </w:rPr>
      </w:pPr>
      <m:oMathPara>
        <m:oMath>
          <m:sSubSup>
            <m:sSubSupPr>
              <m:ctrlPr>
                <w:rPr>
                  <w:rFonts w:ascii="Cambria Math" w:eastAsiaTheme="minorHAnsi" w:hAnsi="Cambria Math"/>
                  <w:i/>
                  <w:szCs w:val="22"/>
                  <w:lang w:val="es-ES_tradnl"/>
                </w:rPr>
              </m:ctrlPr>
            </m:sSubSupPr>
            <m:e>
              <m:r>
                <w:rPr>
                  <w:rFonts w:ascii="Cambria Math" w:eastAsiaTheme="minorHAnsi" w:hAnsi="Cambria Math"/>
                  <w:szCs w:val="22"/>
                  <w:lang w:val="es-ES_tradnl"/>
                </w:rPr>
                <m:t>σ</m:t>
              </m:r>
            </m:e>
            <m:sub>
              <m:acc>
                <m:accPr>
                  <m:chr m:val="̅"/>
                  <m:ctrlPr>
                    <w:rPr>
                      <w:rFonts w:ascii="Cambria Math" w:eastAsiaTheme="minorHAnsi" w:hAnsi="Cambria Math"/>
                      <w:i/>
                      <w:szCs w:val="22"/>
                      <w:lang w:val="es-ES_tradnl"/>
                    </w:rPr>
                  </m:ctrlPr>
                </m:accPr>
                <m:e>
                  <m:sSub>
                    <m:sSubPr>
                      <m:ctrlPr>
                        <w:rPr>
                          <w:rFonts w:ascii="Cambria Math" w:eastAsiaTheme="minorHAnsi" w:hAnsi="Cambria Math"/>
                          <w:i/>
                          <w:szCs w:val="22"/>
                          <w:lang w:val="es-ES_tradnl"/>
                        </w:rPr>
                      </m:ctrlPr>
                    </m:sSubPr>
                    <m:e>
                      <m:r>
                        <w:rPr>
                          <w:rFonts w:ascii="Cambria Math" w:eastAsiaTheme="minorHAnsi" w:hAnsi="Cambria Math"/>
                          <w:szCs w:val="22"/>
                          <w:lang w:val="es-ES_tradnl"/>
                        </w:rPr>
                        <m:t>x</m:t>
                      </m:r>
                    </m:e>
                    <m:sub>
                      <m:r>
                        <w:rPr>
                          <w:rFonts w:ascii="Cambria Math" w:eastAsiaTheme="minorHAnsi" w:hAnsi="Cambria Math"/>
                          <w:szCs w:val="22"/>
                          <w:lang w:val="es-ES_tradnl"/>
                        </w:rPr>
                        <m:t>i</m:t>
                      </m:r>
                    </m:sub>
                  </m:sSub>
                </m:e>
              </m:acc>
            </m:sub>
            <m:sup>
              <m:r>
                <w:rPr>
                  <w:rFonts w:ascii="Cambria Math" w:eastAsiaTheme="minorHAnsi" w:hAnsi="Cambria Math"/>
                  <w:szCs w:val="22"/>
                  <w:lang w:val="es-ES_tradnl"/>
                </w:rPr>
                <m:t>2</m:t>
              </m:r>
            </m:sup>
          </m:sSubSup>
          <m:r>
            <w:rPr>
              <w:rFonts w:ascii="Cambria Math" w:eastAsiaTheme="minorHAnsi" w:hAnsi="Cambria Math"/>
              <w:szCs w:val="22"/>
              <w:lang w:val="es-ES_tradnl"/>
            </w:rPr>
            <m:t>=</m:t>
          </m:r>
          <m:f>
            <m:fPr>
              <m:ctrlPr>
                <w:rPr>
                  <w:rFonts w:ascii="Cambria Math" w:eastAsiaTheme="minorHAnsi" w:hAnsi="Cambria Math"/>
                  <w:i/>
                  <w:szCs w:val="22"/>
                  <w:lang w:val="es-ES_tradnl"/>
                </w:rPr>
              </m:ctrlPr>
            </m:fPr>
            <m:num>
              <m:sSubSup>
                <m:sSubSupPr>
                  <m:ctrlPr>
                    <w:rPr>
                      <w:rFonts w:ascii="Cambria Math" w:hAnsi="Cambria Math"/>
                      <w:i/>
                      <w:szCs w:val="22"/>
                      <w:lang w:val="es-ES_tradnl"/>
                    </w:rPr>
                  </m:ctrlPr>
                </m:sSubSupPr>
                <m:e>
                  <m:r>
                    <w:rPr>
                      <w:rFonts w:ascii="Cambria Math" w:hAnsi="Cambria Math"/>
                      <w:szCs w:val="22"/>
                      <w:lang w:val="es-ES_tradnl"/>
                    </w:rPr>
                    <m:t>σ</m:t>
                  </m:r>
                </m:e>
                <m:sub>
                  <m:r>
                    <w:rPr>
                      <w:rFonts w:ascii="Cambria Math" w:hAnsi="Cambria Math"/>
                      <w:szCs w:val="22"/>
                      <w:lang w:val="es-ES_tradnl"/>
                    </w:rPr>
                    <m:t>i</m:t>
                  </m:r>
                </m:sub>
                <m:sup>
                  <m:r>
                    <w:rPr>
                      <w:rFonts w:ascii="Cambria Math" w:hAnsi="Cambria Math"/>
                      <w:szCs w:val="22"/>
                      <w:lang w:val="es-ES_tradnl"/>
                    </w:rPr>
                    <m:t>2</m:t>
                  </m:r>
                </m:sup>
              </m:sSubSup>
            </m:num>
            <m:den>
              <m:sSub>
                <m:sSubPr>
                  <m:ctrlPr>
                    <w:rPr>
                      <w:rFonts w:ascii="Cambria Math" w:eastAsiaTheme="minorHAnsi" w:hAnsi="Cambria Math"/>
                      <w:i/>
                      <w:szCs w:val="22"/>
                      <w:lang w:val="es-ES_tradnl"/>
                    </w:rPr>
                  </m:ctrlPr>
                </m:sSubPr>
                <m:e>
                  <m:r>
                    <w:rPr>
                      <w:rFonts w:ascii="Cambria Math" w:eastAsiaTheme="minorHAnsi" w:hAnsi="Cambria Math"/>
                      <w:szCs w:val="22"/>
                      <w:lang w:val="es-ES_tradnl"/>
                    </w:rPr>
                    <m:t>m</m:t>
                  </m:r>
                </m:e>
                <m:sub>
                  <m:r>
                    <w:rPr>
                      <w:rFonts w:ascii="Cambria Math" w:eastAsiaTheme="minorHAnsi" w:hAnsi="Cambria Math"/>
                      <w:szCs w:val="22"/>
                      <w:lang w:val="es-ES_tradnl"/>
                    </w:rPr>
                    <m:t>i</m:t>
                  </m:r>
                </m:sub>
              </m:sSub>
            </m:den>
          </m:f>
        </m:oMath>
      </m:oMathPara>
    </w:p>
    <w:p w:rsidR="00496B50" w:rsidRDefault="00496B50" w:rsidP="00496B50">
      <w:pPr>
        <w:pStyle w:val="Normal1"/>
        <w:widowControl w:val="0"/>
        <w:spacing w:before="240" w:after="240"/>
        <w:ind w:left="708"/>
        <w:jc w:val="both"/>
        <w:rPr>
          <w:rFonts w:ascii="ITC Avant Garde" w:hAnsi="ITC Avant Garde"/>
          <w:szCs w:val="22"/>
          <w:lang w:val="es-ES_tradnl"/>
        </w:rPr>
      </w:pPr>
      <w:r w:rsidRPr="00FE6BB3">
        <w:rPr>
          <w:rFonts w:ascii="ITC Avant Garde" w:hAnsi="ITC Avant Garde"/>
          <w:szCs w:val="22"/>
          <w:lang w:val="es-ES_tradnl"/>
        </w:rPr>
        <w:t>Finalmente, para determinar el cumplimiento o incumplimiento de los Parámetros de Cobertura se realizarán dos pruebas de hipótesis (evaluación de la Tasa de Transmisión de Datos del Enlace Descendente y evaluación de la Tasa de Transmisión de Datos del Enlace Ascendente) con base en los resultados del Ejercicio de Medición realizado para los tres estratos. A partir de cada una de estas pruebas se determinará si existe suficiente evidencia en la muestra seleccionada para inferir que se está cumpliendo con los Parámetros de Cobertura establecidos.</w:t>
      </w:r>
    </w:p>
    <w:p w:rsidR="00496B50" w:rsidRDefault="00496B50" w:rsidP="00496B50">
      <w:pPr>
        <w:spacing w:before="240" w:after="240"/>
        <w:ind w:left="708"/>
        <w:jc w:val="both"/>
        <w:rPr>
          <w:rFonts w:ascii="ITC Avant Garde" w:eastAsiaTheme="minorEastAsia" w:hAnsi="ITC Avant Garde"/>
          <w:lang w:val="es-ES_tradnl"/>
        </w:rPr>
      </w:pPr>
      <w:r w:rsidRPr="00FE6BB3">
        <w:rPr>
          <w:rFonts w:ascii="ITC Avant Garde" w:eastAsiaTheme="minorEastAsia" w:hAnsi="ITC Avant Garde"/>
          <w:lang w:val="es-ES_tradnl"/>
        </w:rPr>
        <w:t xml:space="preserve">La prueba de hipótesis, se realizará a partir de la media anual ponderada </w:t>
      </w:r>
      <m:oMath>
        <m:acc>
          <m:accPr>
            <m:chr m:val="̅"/>
            <m:ctrlPr>
              <w:rPr>
                <w:rFonts w:ascii="Cambria Math" w:eastAsiaTheme="minorEastAsia" w:hAnsi="Cambria Math"/>
                <w:lang w:val="es-ES_tradnl"/>
              </w:rPr>
            </m:ctrlPr>
          </m:accPr>
          <m:e>
            <m:r>
              <w:rPr>
                <w:rFonts w:ascii="Cambria Math" w:eastAsiaTheme="minorEastAsia" w:hAnsi="Cambria Math"/>
                <w:lang w:val="es-ES_tradnl"/>
              </w:rPr>
              <m:t>x</m:t>
            </m:r>
          </m:e>
        </m:acc>
        <m:r>
          <m:rPr>
            <m:sty m:val="p"/>
          </m:rPr>
          <w:rPr>
            <w:rFonts w:ascii="Cambria Math" w:eastAsiaTheme="minorEastAsia" w:hAnsi="Cambria Math"/>
            <w:lang w:val="es-ES_tradnl"/>
          </w:rPr>
          <m:t xml:space="preserve"> </m:t>
        </m:r>
      </m:oMath>
      <w:r w:rsidRPr="00FE6BB3">
        <w:rPr>
          <w:rFonts w:ascii="ITC Avant Garde" w:eastAsiaTheme="minorEastAsia" w:hAnsi="ITC Avant Garde"/>
          <w:lang w:val="es-ES_tradnl"/>
        </w:rPr>
        <w:t xml:space="preserve"> para cada Parámetro de Cobertura la cual considera como hipótesis nula (</w:t>
      </w:r>
      <m:oMath>
        <m:sSub>
          <m:sSubPr>
            <m:ctrlPr>
              <w:rPr>
                <w:rFonts w:ascii="Cambria Math" w:eastAsiaTheme="minorEastAsia" w:hAnsi="Cambria Math"/>
                <w:lang w:val="es-ES_tradnl"/>
              </w:rPr>
            </m:ctrlPr>
          </m:sSubPr>
          <m:e>
            <m:r>
              <w:rPr>
                <w:rFonts w:ascii="Cambria Math" w:eastAsiaTheme="minorEastAsia" w:hAnsi="Cambria Math"/>
                <w:lang w:val="es-ES_tradnl"/>
              </w:rPr>
              <m:t>H</m:t>
            </m:r>
          </m:e>
          <m:sub>
            <m:r>
              <m:rPr>
                <m:sty m:val="p"/>
              </m:rPr>
              <w:rPr>
                <w:rFonts w:ascii="Cambria Math" w:eastAsiaTheme="minorEastAsia" w:hAnsi="Cambria Math"/>
                <w:lang w:val="es-ES_tradnl"/>
              </w:rPr>
              <m:t>0</m:t>
            </m:r>
          </m:sub>
        </m:sSub>
      </m:oMath>
      <w:r w:rsidRPr="00FE6BB3">
        <w:rPr>
          <w:rFonts w:ascii="ITC Avant Garde" w:eastAsiaTheme="minorEastAsia" w:hAnsi="ITC Avant Garde"/>
          <w:lang w:val="es-ES_tradnl"/>
        </w:rPr>
        <w:t>) que el Concesionario Mayorista se encuentra en cumplimiento con el Parámetro de Cobertura correspondiente (</w:t>
      </w:r>
      <m:oMath>
        <m:r>
          <w:rPr>
            <w:rFonts w:ascii="Cambria Math" w:eastAsiaTheme="minorEastAsia" w:hAnsi="Cambria Math"/>
            <w:lang w:val="es-ES_tradnl"/>
          </w:rPr>
          <m:t>μ</m:t>
        </m:r>
      </m:oMath>
      <w:r w:rsidRPr="00FE6BB3">
        <w:rPr>
          <w:rFonts w:ascii="ITC Avant Garde" w:eastAsiaTheme="minorEastAsia" w:hAnsi="ITC Avant Garde"/>
          <w:lang w:val="es-ES_tradnl"/>
        </w:rPr>
        <w:t xml:space="preserve">), mientras que la hipótesis </w:t>
      </w:r>
      <w:r w:rsidRPr="00B25816">
        <w:rPr>
          <w:rFonts w:ascii="ITC Avant Garde" w:eastAsiaTheme="minorEastAsia" w:hAnsi="ITC Avant Garde"/>
          <w:lang w:val="es-ES_tradnl"/>
        </w:rPr>
        <w:t>alternativa (</w:t>
      </w:r>
      <m:oMath>
        <m:sSub>
          <m:sSubPr>
            <m:ctrlPr>
              <w:rPr>
                <w:rFonts w:ascii="Cambria Math" w:eastAsiaTheme="minorEastAsia" w:hAnsi="Cambria Math"/>
                <w:lang w:val="es-ES_tradnl"/>
              </w:rPr>
            </m:ctrlPr>
          </m:sSubPr>
          <m:e>
            <m:r>
              <w:rPr>
                <w:rFonts w:ascii="Cambria Math" w:eastAsiaTheme="minorEastAsia" w:hAnsi="Cambria Math"/>
                <w:lang w:val="es-ES_tradnl"/>
              </w:rPr>
              <m:t>H</m:t>
            </m:r>
          </m:e>
          <m:sub>
            <m:r>
              <w:rPr>
                <w:rFonts w:ascii="Cambria Math" w:eastAsiaTheme="minorEastAsia" w:hAnsi="Cambria Math"/>
                <w:lang w:val="es-ES_tradnl"/>
              </w:rPr>
              <m:t>a</m:t>
            </m:r>
          </m:sub>
        </m:sSub>
      </m:oMath>
      <w:r w:rsidRPr="00B25816">
        <w:rPr>
          <w:rFonts w:ascii="ITC Avant Garde" w:eastAsiaTheme="minorEastAsia" w:hAnsi="ITC Avant Garde"/>
          <w:lang w:val="es-ES_tradnl"/>
        </w:rPr>
        <w:t>) considera que el Concesionario</w:t>
      </w:r>
      <w:r w:rsidRPr="00FE6BB3">
        <w:rPr>
          <w:rFonts w:ascii="ITC Avant Garde" w:eastAsiaTheme="minorEastAsia" w:hAnsi="ITC Avant Garde"/>
          <w:lang w:val="es-ES_tradnl"/>
        </w:rPr>
        <w:t xml:space="preserve"> Mayorista no se encuentra en cumplimiento con dicho parámetro.  Asimismo, la prueba se realizará con un nivel de significancia </w:t>
      </w:r>
      <m:oMath>
        <m:r>
          <w:rPr>
            <w:rFonts w:ascii="Cambria Math" w:eastAsiaTheme="minorEastAsia" w:hAnsi="Cambria Math"/>
            <w:lang w:val="es-ES_tradnl"/>
          </w:rPr>
          <m:t>α</m:t>
        </m:r>
        <m:r>
          <m:rPr>
            <m:sty m:val="p"/>
          </m:rPr>
          <w:rPr>
            <w:rFonts w:ascii="Cambria Math" w:eastAsiaTheme="minorEastAsia" w:hAnsi="Cambria Math"/>
            <w:lang w:val="es-ES_tradnl"/>
          </w:rPr>
          <m:t>=5%</m:t>
        </m:r>
      </m:oMath>
      <w:r w:rsidRPr="00FE6BB3">
        <w:rPr>
          <w:rFonts w:ascii="ITC Avant Garde" w:eastAsiaTheme="minorEastAsia" w:hAnsi="ITC Avant Garde"/>
          <w:lang w:val="es-ES_tradnl"/>
        </w:rPr>
        <w:t>.</w:t>
      </w:r>
    </w:p>
    <w:p w:rsidR="00496B50" w:rsidRDefault="00496B50" w:rsidP="00496B50">
      <w:pPr>
        <w:pStyle w:val="Normal1"/>
        <w:widowControl w:val="0"/>
        <w:spacing w:before="240" w:after="240"/>
        <w:ind w:firstLine="708"/>
        <w:jc w:val="both"/>
        <w:rPr>
          <w:rFonts w:ascii="ITC Avant Garde" w:hAnsi="ITC Avant Garde"/>
          <w:szCs w:val="22"/>
          <w:lang w:val="es-ES_tradnl"/>
        </w:rPr>
      </w:pPr>
      <w:r w:rsidRPr="00FE6BB3">
        <w:rPr>
          <w:rFonts w:ascii="ITC Avant Garde" w:hAnsi="ITC Avant Garde"/>
          <w:szCs w:val="22"/>
          <w:lang w:val="es-ES_tradnl"/>
        </w:rPr>
        <w:t xml:space="preserve">De este modo, las hipótesis planteadas se expresan como: </w:t>
      </w:r>
    </w:p>
    <w:p w:rsidR="00496B50" w:rsidRPr="00FE6BB3" w:rsidRDefault="00496B50" w:rsidP="00496B50">
      <w:pPr>
        <w:pStyle w:val="Normal1"/>
        <w:widowControl w:val="0"/>
        <w:spacing w:before="240" w:after="240"/>
        <w:jc w:val="both"/>
        <w:rPr>
          <w:rFonts w:ascii="ITC Avant Garde" w:hAnsi="ITC Avant Garde"/>
          <w:szCs w:val="22"/>
          <w:lang w:val="es-ES_tradnl"/>
        </w:rPr>
      </w:pPr>
      <m:oMathPara>
        <m:oMath>
          <m:sSub>
            <m:sSubPr>
              <m:ctrlPr>
                <w:rPr>
                  <w:rFonts w:ascii="Cambria Math" w:hAnsi="Cambria Math"/>
                  <w:i/>
                  <w:szCs w:val="22"/>
                  <w:lang w:val="es-ES_tradnl"/>
                </w:rPr>
              </m:ctrlPr>
            </m:sSubPr>
            <m:e>
              <m:r>
                <w:rPr>
                  <w:rFonts w:ascii="Cambria Math" w:hAnsi="Cambria Math"/>
                  <w:szCs w:val="22"/>
                  <w:lang w:val="es-ES_tradnl"/>
                </w:rPr>
                <m:t>H</m:t>
              </m:r>
            </m:e>
            <m:sub>
              <m:r>
                <w:rPr>
                  <w:rFonts w:ascii="Cambria Math" w:hAnsi="Cambria Math"/>
                  <w:szCs w:val="22"/>
                  <w:lang w:val="es-ES_tradnl"/>
                </w:rPr>
                <m:t>0</m:t>
              </m:r>
            </m:sub>
          </m:sSub>
          <m:r>
            <w:rPr>
              <w:rFonts w:ascii="Cambria Math" w:hAnsi="Cambria Math"/>
              <w:szCs w:val="22"/>
              <w:lang w:val="es-ES_tradnl"/>
            </w:rPr>
            <m:t>:</m:t>
          </m:r>
          <m:sSub>
            <m:sSubPr>
              <m:ctrlPr>
                <w:rPr>
                  <w:rFonts w:ascii="Cambria Math" w:hAnsi="Cambria Math"/>
                  <w:i/>
                  <w:szCs w:val="22"/>
                  <w:lang w:val="es-ES_tradnl"/>
                </w:rPr>
              </m:ctrlPr>
            </m:sSubPr>
            <m:e>
              <m:r>
                <w:rPr>
                  <w:rFonts w:ascii="Cambria Math" w:hAnsi="Cambria Math"/>
                  <w:szCs w:val="22"/>
                  <w:lang w:val="es-ES_tradnl"/>
                </w:rPr>
                <m:t>x</m:t>
              </m:r>
            </m:e>
            <m:sub>
              <m:r>
                <w:rPr>
                  <w:rFonts w:ascii="Cambria Math" w:hAnsi="Cambria Math"/>
                  <w:szCs w:val="22"/>
                  <w:lang w:val="es-ES_tradnl"/>
                </w:rPr>
                <m:t>st</m:t>
              </m:r>
            </m:sub>
          </m:sSub>
          <m:r>
            <w:rPr>
              <w:rFonts w:ascii="Cambria Math" w:hAnsi="Cambria Math"/>
              <w:szCs w:val="22"/>
              <w:lang w:val="es-ES_tradnl"/>
            </w:rPr>
            <m:t xml:space="preserve"> </m:t>
          </m:r>
          <m:r>
            <w:rPr>
              <w:rFonts w:ascii="Cambria Math" w:hAnsi="Cambria Math"/>
              <w:lang w:val="es-ES_tradnl"/>
            </w:rPr>
            <m:t>≥</m:t>
          </m:r>
          <m:r>
            <w:rPr>
              <w:rFonts w:ascii="Cambria Math" w:hAnsi="Cambria Math"/>
              <w:szCs w:val="22"/>
              <w:lang w:val="es-ES_tradnl"/>
            </w:rPr>
            <m:t>μ</m:t>
          </m:r>
        </m:oMath>
      </m:oMathPara>
    </w:p>
    <w:p w:rsidR="00496B50" w:rsidRDefault="00496B50" w:rsidP="00496B50">
      <w:pPr>
        <w:pStyle w:val="Normal1"/>
        <w:widowControl w:val="0"/>
        <w:spacing w:before="240" w:after="240"/>
        <w:jc w:val="both"/>
        <w:rPr>
          <w:rFonts w:ascii="ITC Avant Garde" w:hAnsi="ITC Avant Garde"/>
          <w:szCs w:val="22"/>
          <w:lang w:val="es-ES_tradnl"/>
        </w:rPr>
      </w:pPr>
      <m:oMathPara>
        <m:oMath>
          <m:sSub>
            <m:sSubPr>
              <m:ctrlPr>
                <w:rPr>
                  <w:rFonts w:ascii="Cambria Math" w:hAnsi="Cambria Math"/>
                  <w:i/>
                  <w:szCs w:val="22"/>
                  <w:lang w:val="es-ES_tradnl"/>
                </w:rPr>
              </m:ctrlPr>
            </m:sSubPr>
            <m:e>
              <m:r>
                <w:rPr>
                  <w:rFonts w:ascii="Cambria Math" w:hAnsi="Cambria Math"/>
                  <w:szCs w:val="22"/>
                  <w:lang w:val="es-ES_tradnl"/>
                </w:rPr>
                <m:t>H</m:t>
              </m:r>
            </m:e>
            <m:sub>
              <m:r>
                <w:rPr>
                  <w:rFonts w:ascii="Cambria Math" w:hAnsi="Cambria Math"/>
                  <w:szCs w:val="22"/>
                  <w:lang w:val="es-ES_tradnl"/>
                </w:rPr>
                <m:t>a</m:t>
              </m:r>
            </m:sub>
          </m:sSub>
          <m:r>
            <w:rPr>
              <w:rFonts w:ascii="Cambria Math" w:hAnsi="Cambria Math"/>
              <w:szCs w:val="22"/>
              <w:lang w:val="es-ES_tradnl"/>
            </w:rPr>
            <m:t>:</m:t>
          </m:r>
          <m:sSub>
            <m:sSubPr>
              <m:ctrlPr>
                <w:rPr>
                  <w:rFonts w:ascii="Cambria Math" w:hAnsi="Cambria Math"/>
                  <w:i/>
                  <w:szCs w:val="22"/>
                  <w:lang w:val="es-ES_tradnl"/>
                </w:rPr>
              </m:ctrlPr>
            </m:sSubPr>
            <m:e>
              <m:r>
                <w:rPr>
                  <w:rFonts w:ascii="Cambria Math" w:hAnsi="Cambria Math"/>
                  <w:szCs w:val="22"/>
                  <w:lang w:val="es-ES_tradnl"/>
                </w:rPr>
                <m:t>x</m:t>
              </m:r>
            </m:e>
            <m:sub>
              <m:r>
                <w:rPr>
                  <w:rFonts w:ascii="Cambria Math" w:hAnsi="Cambria Math"/>
                  <w:szCs w:val="22"/>
                  <w:lang w:val="es-ES_tradnl"/>
                </w:rPr>
                <m:t>st</m:t>
              </m:r>
            </m:sub>
          </m:sSub>
          <m:r>
            <w:rPr>
              <w:rFonts w:ascii="Cambria Math" w:hAnsi="Cambria Math"/>
              <w:szCs w:val="22"/>
              <w:lang w:val="es-ES_tradnl"/>
            </w:rPr>
            <m:t xml:space="preserve"> </m:t>
          </m:r>
          <m:r>
            <w:rPr>
              <w:rFonts w:ascii="Cambria Math" w:hAnsi="Cambria Math"/>
              <w:lang w:val="es-ES_tradnl"/>
            </w:rPr>
            <m:t>&lt;</m:t>
          </m:r>
          <m:r>
            <w:rPr>
              <w:rFonts w:ascii="Cambria Math" w:hAnsi="Cambria Math"/>
              <w:szCs w:val="22"/>
              <w:lang w:val="es-ES_tradnl"/>
            </w:rPr>
            <m:t>μ</m:t>
          </m:r>
        </m:oMath>
      </m:oMathPara>
    </w:p>
    <w:p w:rsidR="00496B50" w:rsidRDefault="00496B50" w:rsidP="00496B50">
      <w:pPr>
        <w:pStyle w:val="Normal1"/>
        <w:widowControl w:val="0"/>
        <w:spacing w:before="240" w:after="240"/>
        <w:ind w:left="708"/>
        <w:jc w:val="both"/>
        <w:rPr>
          <w:rFonts w:ascii="ITC Avant Garde" w:hAnsi="ITC Avant Garde"/>
          <w:szCs w:val="22"/>
          <w:lang w:val="es-ES_tradnl"/>
        </w:rPr>
      </w:pPr>
      <w:r w:rsidRPr="00FE6BB3">
        <w:rPr>
          <w:rFonts w:ascii="ITC Avant Garde" w:hAnsi="ITC Avant Garde"/>
          <w:szCs w:val="22"/>
          <w:lang w:val="es-ES_tradnl"/>
        </w:rPr>
        <w:t>Con base en los datos de la muestra de Eventos realizados en el Ejercicio de Medición, la prueba de hipótesis determina si se debe aceptar o rechazar la hipótesis nula. Para tomar la decisión se compara el estadístico de prueba (</w:t>
      </w:r>
      <m:oMath>
        <m:sSub>
          <m:sSubPr>
            <m:ctrlPr>
              <w:rPr>
                <w:rFonts w:ascii="Cambria Math" w:hAnsi="Cambria Math"/>
                <w:i/>
                <w:szCs w:val="22"/>
                <w:lang w:val="es-ES_tradnl"/>
              </w:rPr>
            </m:ctrlPr>
          </m:sSubPr>
          <m:e>
            <m:r>
              <w:rPr>
                <w:rFonts w:ascii="Cambria Math" w:hAnsi="Cambria Math"/>
                <w:szCs w:val="22"/>
                <w:lang w:val="es-ES_tradnl"/>
              </w:rPr>
              <m:t>x</m:t>
            </m:r>
          </m:e>
          <m:sub>
            <m:r>
              <w:rPr>
                <w:rFonts w:ascii="Cambria Math" w:hAnsi="Cambria Math"/>
                <w:szCs w:val="22"/>
                <w:lang w:val="es-ES_tradnl"/>
              </w:rPr>
              <m:t>st</m:t>
            </m:r>
          </m:sub>
        </m:sSub>
      </m:oMath>
      <w:r w:rsidRPr="00FE6BB3">
        <w:rPr>
          <w:rFonts w:ascii="ITC Avant Garde" w:hAnsi="ITC Avant Garde"/>
          <w:szCs w:val="22"/>
          <w:lang w:val="es-ES_tradnl"/>
        </w:rPr>
        <w:t xml:space="preserve">), </w:t>
      </w:r>
      <w:r w:rsidRPr="00FE6BB3">
        <w:rPr>
          <w:rFonts w:ascii="ITC Avant Garde" w:hAnsi="ITC Avant Garde"/>
          <w:szCs w:val="22"/>
          <w:lang w:val="es-ES_tradnl"/>
        </w:rPr>
        <w:lastRenderedPageBreak/>
        <w:t xml:space="preserve">calculado con la siguiente fórmula, con el </w:t>
      </w:r>
      <w:r w:rsidRPr="00FE6BB3">
        <w:rPr>
          <w:rFonts w:ascii="ITC Avant Garde" w:hAnsi="ITC Avant Garde"/>
          <w:i/>
          <w:szCs w:val="22"/>
          <w:lang w:val="es-ES_tradnl"/>
        </w:rPr>
        <w:t xml:space="preserve">valor crítico </w:t>
      </w:r>
      <m:oMath>
        <m:sSub>
          <m:sSubPr>
            <m:ctrlPr>
              <w:rPr>
                <w:rFonts w:ascii="Cambria Math" w:eastAsiaTheme="minorHAnsi" w:hAnsi="Cambria Math"/>
                <w:i/>
                <w:color w:val="auto"/>
                <w:szCs w:val="22"/>
                <w:lang w:val="es-ES_tradnl" w:eastAsia="en-US"/>
              </w:rPr>
            </m:ctrlPr>
          </m:sSubPr>
          <m:e>
            <m:r>
              <w:rPr>
                <w:rFonts w:ascii="Cambria Math" w:eastAsiaTheme="minorHAnsi" w:hAnsi="Cambria Math"/>
                <w:color w:val="auto"/>
                <w:szCs w:val="22"/>
                <w:lang w:val="es-ES_tradnl" w:eastAsia="en-US"/>
              </w:rPr>
              <m:t>z</m:t>
            </m:r>
          </m:e>
          <m:sub>
            <m:r>
              <w:rPr>
                <w:rFonts w:ascii="Cambria Math" w:eastAsiaTheme="minorHAnsi" w:hAnsi="Cambria Math"/>
                <w:color w:val="auto"/>
                <w:szCs w:val="22"/>
                <w:lang w:val="es-ES_tradnl" w:eastAsia="en-US"/>
              </w:rPr>
              <m:t>1-α</m:t>
            </m:r>
          </m:sub>
        </m:sSub>
      </m:oMath>
      <w:r w:rsidRPr="00FE6BB3">
        <w:rPr>
          <w:rFonts w:ascii="ITC Avant Garde" w:hAnsi="ITC Avant Garde"/>
          <w:szCs w:val="22"/>
          <w:lang w:val="es-ES_tradnl"/>
        </w:rPr>
        <w:t>:</w:t>
      </w:r>
    </w:p>
    <w:bookmarkStart w:id="0" w:name="OLE_LINK2"/>
    <w:p w:rsidR="00496B50" w:rsidRDefault="00496B50" w:rsidP="00496B50">
      <w:pPr>
        <w:pStyle w:val="Normal1"/>
        <w:widowControl w:val="0"/>
        <w:spacing w:before="240" w:after="240"/>
        <w:jc w:val="both"/>
        <w:rPr>
          <w:rFonts w:ascii="ITC Avant Garde" w:hAnsi="ITC Avant Garde"/>
          <w:b/>
          <w:szCs w:val="22"/>
          <w:lang w:val="es-ES_tradnl"/>
        </w:rPr>
      </w:pPr>
      <m:oMathPara>
        <m:oMath>
          <m:sSub>
            <m:sSubPr>
              <m:ctrlPr>
                <w:rPr>
                  <w:rFonts w:ascii="Cambria Math" w:hAnsi="Cambria Math"/>
                  <w:i/>
                  <w:szCs w:val="22"/>
                  <w:lang w:val="es-ES_tradnl"/>
                </w:rPr>
              </m:ctrlPr>
            </m:sSubPr>
            <m:e>
              <m:r>
                <w:rPr>
                  <w:rFonts w:ascii="Cambria Math" w:hAnsi="Cambria Math"/>
                  <w:szCs w:val="22"/>
                  <w:lang w:val="es-ES_tradnl"/>
                </w:rPr>
                <m:t>x</m:t>
              </m:r>
            </m:e>
            <m:sub>
              <m:r>
                <w:rPr>
                  <w:rFonts w:ascii="Cambria Math" w:hAnsi="Cambria Math"/>
                  <w:szCs w:val="22"/>
                  <w:lang w:val="es-ES_tradnl"/>
                </w:rPr>
                <m:t>st</m:t>
              </m:r>
            </m:sub>
          </m:sSub>
          <m:r>
            <w:rPr>
              <w:rFonts w:ascii="Cambria Math" w:hAnsi="Cambria Math"/>
              <w:szCs w:val="22"/>
              <w:lang w:val="es-ES_tradnl"/>
            </w:rPr>
            <m:t>=</m:t>
          </m:r>
          <m:f>
            <m:fPr>
              <m:ctrlPr>
                <w:rPr>
                  <w:rFonts w:ascii="Cambria Math" w:hAnsi="Cambria Math"/>
                  <w:i/>
                  <w:szCs w:val="22"/>
                  <w:lang w:val="es-ES_tradnl"/>
                </w:rPr>
              </m:ctrlPr>
            </m:fPr>
            <m:num>
              <m:acc>
                <m:accPr>
                  <m:chr m:val="̅"/>
                  <m:ctrlPr>
                    <w:rPr>
                      <w:rFonts w:ascii="Cambria Math" w:hAnsi="Cambria Math"/>
                      <w:i/>
                      <w:szCs w:val="22"/>
                      <w:lang w:val="es-ES_tradnl"/>
                    </w:rPr>
                  </m:ctrlPr>
                </m:accPr>
                <m:e>
                  <m:r>
                    <w:rPr>
                      <w:rFonts w:ascii="Cambria Math" w:hAnsi="Cambria Math"/>
                      <w:szCs w:val="22"/>
                      <w:lang w:val="es-ES_tradnl"/>
                    </w:rPr>
                    <m:t>x</m:t>
                  </m:r>
                </m:e>
              </m:acc>
              <m:r>
                <w:rPr>
                  <w:rFonts w:ascii="Cambria Math" w:hAnsi="Cambria Math"/>
                  <w:szCs w:val="22"/>
                  <w:lang w:val="es-ES_tradnl"/>
                </w:rPr>
                <m:t>-μ</m:t>
              </m:r>
            </m:num>
            <m:den>
              <m:r>
                <w:rPr>
                  <w:rFonts w:ascii="Cambria Math" w:eastAsiaTheme="minorHAnsi" w:hAnsi="Cambria Math"/>
                  <w:color w:val="auto"/>
                  <w:szCs w:val="22"/>
                  <w:lang w:val="es-ES_tradnl" w:eastAsia="en-US"/>
                </w:rPr>
                <m:t>σ</m:t>
              </m:r>
            </m:den>
          </m:f>
        </m:oMath>
      </m:oMathPara>
      <w:bookmarkEnd w:id="0"/>
    </w:p>
    <w:p w:rsidR="00496B50" w:rsidRDefault="00496B50" w:rsidP="00496B50">
      <w:pPr>
        <w:pStyle w:val="Normal1"/>
        <w:widowControl w:val="0"/>
        <w:spacing w:before="240" w:after="240"/>
        <w:ind w:firstLine="708"/>
        <w:jc w:val="both"/>
        <w:rPr>
          <w:rFonts w:ascii="ITC Avant Garde" w:hAnsi="ITC Avant Garde"/>
          <w:b/>
          <w:szCs w:val="22"/>
          <w:lang w:val="es-ES_tradnl"/>
        </w:rPr>
      </w:pPr>
      <w:r w:rsidRPr="00FE6BB3">
        <w:rPr>
          <w:rFonts w:ascii="ITC Avant Garde" w:hAnsi="ITC Avant Garde"/>
          <w:b/>
          <w:szCs w:val="22"/>
          <w:lang w:val="es-ES_tradnl"/>
        </w:rPr>
        <w:t>Donde:</w:t>
      </w:r>
    </w:p>
    <w:p w:rsidR="00496B50" w:rsidRDefault="00496B50" w:rsidP="00496B50">
      <w:pPr>
        <w:pStyle w:val="Normal1"/>
        <w:widowControl w:val="0"/>
        <w:spacing w:before="240" w:after="240"/>
        <w:ind w:left="708"/>
        <w:jc w:val="both"/>
        <w:rPr>
          <w:rFonts w:ascii="ITC Avant Garde" w:hAnsi="ITC Avant Garde"/>
          <w:szCs w:val="22"/>
          <w:lang w:val="es-ES_tradnl"/>
        </w:rPr>
      </w:pPr>
      <m:oMath>
        <m:r>
          <w:rPr>
            <w:rFonts w:ascii="Cambria Math" w:eastAsiaTheme="minorHAnsi" w:hAnsi="Cambria Math"/>
            <w:color w:val="auto"/>
            <w:szCs w:val="22"/>
            <w:lang w:val="es-ES_tradnl" w:eastAsia="en-US"/>
          </w:rPr>
          <m:t>μ</m:t>
        </m:r>
      </m:oMath>
      <w:r w:rsidRPr="00FE6BB3">
        <w:rPr>
          <w:rFonts w:ascii="ITC Avant Garde" w:hAnsi="ITC Avant Garde"/>
          <w:szCs w:val="22"/>
          <w:lang w:val="es-ES_tradnl"/>
        </w:rPr>
        <w:t xml:space="preserve"> = mínima Tasa de Transmisión de Datos del Parámetro de Cobertura correspondiente: para el Enlace Ascendente será </w:t>
      </w:r>
      <w:r w:rsidRPr="00FE6BB3">
        <w:rPr>
          <w:rFonts w:ascii="ITC Avant Garde" w:hAnsi="ITC Avant Garde"/>
          <w:bCs/>
          <w:lang w:val="es-ES_tradnl"/>
        </w:rPr>
        <w:t>1 Megabit por segundo</w:t>
      </w:r>
      <w:r w:rsidRPr="00FE6BB3">
        <w:rPr>
          <w:rFonts w:ascii="ITC Avant Garde" w:hAnsi="ITC Avant Garde"/>
          <w:szCs w:val="22"/>
          <w:lang w:val="es-ES_tradnl"/>
        </w:rPr>
        <w:t xml:space="preserve"> y para el Enlace Descendente </w:t>
      </w:r>
      <w:r w:rsidRPr="00FE6BB3">
        <w:rPr>
          <w:rFonts w:ascii="ITC Avant Garde" w:hAnsi="ITC Avant Garde"/>
          <w:bCs/>
          <w:lang w:val="es-ES_tradnl"/>
        </w:rPr>
        <w:t>4 Megabits por segundo</w:t>
      </w:r>
      <w:r w:rsidRPr="00FE6BB3">
        <w:rPr>
          <w:rFonts w:ascii="ITC Avant Garde" w:hAnsi="ITC Avant Garde"/>
          <w:szCs w:val="22"/>
          <w:lang w:val="es-ES_tradnl"/>
        </w:rPr>
        <w:t>;</w:t>
      </w:r>
    </w:p>
    <w:p w:rsidR="00496B50" w:rsidRDefault="00496B50" w:rsidP="00496B50">
      <w:pPr>
        <w:pStyle w:val="Normal1"/>
        <w:widowControl w:val="0"/>
        <w:spacing w:before="240" w:after="240"/>
        <w:ind w:left="708" w:firstLine="12"/>
        <w:jc w:val="both"/>
        <w:rPr>
          <w:rFonts w:ascii="ITC Avant Garde" w:hAnsi="ITC Avant Garde"/>
          <w:szCs w:val="22"/>
          <w:lang w:val="es-ES_tradnl"/>
        </w:rPr>
      </w:pPr>
      <w:r w:rsidRPr="00FE6BB3">
        <w:rPr>
          <w:rFonts w:ascii="ITC Avant Garde" w:hAnsi="ITC Avant Garde"/>
          <w:szCs w:val="22"/>
          <w:lang w:val="es-ES_tradnl"/>
        </w:rPr>
        <w:t>Si el estadístico de la prueba (</w:t>
      </w:r>
      <m:oMath>
        <m:sSub>
          <m:sSubPr>
            <m:ctrlPr>
              <w:rPr>
                <w:rFonts w:ascii="Cambria Math" w:hAnsi="Cambria Math"/>
                <w:i/>
                <w:szCs w:val="22"/>
                <w:lang w:val="es-ES_tradnl"/>
              </w:rPr>
            </m:ctrlPr>
          </m:sSubPr>
          <m:e>
            <m:r>
              <w:rPr>
                <w:rFonts w:ascii="Cambria Math" w:hAnsi="Cambria Math"/>
                <w:szCs w:val="22"/>
                <w:lang w:val="es-ES_tradnl"/>
              </w:rPr>
              <m:t>x</m:t>
            </m:r>
          </m:e>
          <m:sub>
            <m:r>
              <w:rPr>
                <w:rFonts w:ascii="Cambria Math" w:hAnsi="Cambria Math"/>
                <w:szCs w:val="22"/>
                <w:lang w:val="es-ES_tradnl"/>
              </w:rPr>
              <m:t>st</m:t>
            </m:r>
          </m:sub>
        </m:sSub>
      </m:oMath>
      <w:r w:rsidRPr="00FE6BB3">
        <w:rPr>
          <w:rFonts w:ascii="ITC Avant Garde" w:hAnsi="ITC Avant Garde"/>
          <w:szCs w:val="22"/>
          <w:lang w:val="es-ES_tradnl"/>
        </w:rPr>
        <w:t xml:space="preserve">) es mayor o igual al </w:t>
      </w:r>
      <w:r w:rsidRPr="00FE6BB3">
        <w:rPr>
          <w:rFonts w:ascii="ITC Avant Garde" w:hAnsi="ITC Avant Garde"/>
          <w:i/>
          <w:szCs w:val="22"/>
          <w:lang w:val="es-ES_tradnl"/>
        </w:rPr>
        <w:t>valor crítico</w:t>
      </w:r>
      <w:r w:rsidRPr="00FE6BB3">
        <w:rPr>
          <w:rStyle w:val="Refdenotaalpie"/>
          <w:rFonts w:ascii="ITC Avant Garde" w:hAnsi="ITC Avant Garde"/>
          <w:i/>
          <w:color w:val="auto"/>
          <w:szCs w:val="22"/>
          <w:lang w:val="es-ES_tradnl" w:eastAsia="en-US"/>
        </w:rPr>
        <w:footnoteReference w:id="4"/>
      </w:r>
      <w:r w:rsidRPr="00FE6BB3">
        <w:rPr>
          <w:rFonts w:ascii="ITC Avant Garde" w:hAnsi="ITC Avant Garde"/>
          <w:i/>
          <w:szCs w:val="22"/>
          <w:lang w:val="es-ES_tradnl"/>
        </w:rPr>
        <w:t xml:space="preserve"> </w:t>
      </w:r>
      <m:oMath>
        <m:sSub>
          <m:sSubPr>
            <m:ctrlPr>
              <w:rPr>
                <w:rFonts w:ascii="Cambria Math" w:eastAsiaTheme="minorHAnsi" w:hAnsi="Cambria Math"/>
                <w:i/>
                <w:color w:val="auto"/>
                <w:szCs w:val="22"/>
                <w:lang w:val="es-ES_tradnl" w:eastAsia="en-US"/>
              </w:rPr>
            </m:ctrlPr>
          </m:sSubPr>
          <m:e>
            <m:r>
              <w:rPr>
                <w:rFonts w:ascii="Cambria Math" w:eastAsiaTheme="minorHAnsi" w:hAnsi="Cambria Math"/>
                <w:color w:val="auto"/>
                <w:szCs w:val="22"/>
                <w:lang w:val="es-ES_tradnl" w:eastAsia="en-US"/>
              </w:rPr>
              <m:t>z</m:t>
            </m:r>
          </m:e>
          <m:sub>
            <m:r>
              <w:rPr>
                <w:rFonts w:ascii="Cambria Math" w:eastAsiaTheme="minorHAnsi" w:hAnsi="Cambria Math"/>
                <w:color w:val="auto"/>
                <w:szCs w:val="22"/>
                <w:lang w:val="es-ES_tradnl" w:eastAsia="en-US"/>
              </w:rPr>
              <m:t>1-α</m:t>
            </m:r>
          </m:sub>
        </m:sSub>
      </m:oMath>
      <w:r w:rsidRPr="00FE6BB3">
        <w:rPr>
          <w:rFonts w:ascii="ITC Avant Garde" w:hAnsi="ITC Avant Garde"/>
          <w:i/>
          <w:color w:val="auto"/>
          <w:szCs w:val="22"/>
          <w:lang w:val="es-ES_tradnl" w:eastAsia="en-US"/>
        </w:rPr>
        <w:t xml:space="preserve">, </w:t>
      </w:r>
      <w:r w:rsidRPr="00FE6BB3">
        <w:rPr>
          <w:rFonts w:ascii="ITC Avant Garde" w:hAnsi="ITC Avant Garde"/>
          <w:color w:val="auto"/>
          <w:szCs w:val="22"/>
          <w:lang w:val="es-ES_tradnl" w:eastAsia="en-US"/>
        </w:rPr>
        <w:t xml:space="preserve">entonces no hay información estadísticamente suficiente para rechazar la hipótesis nula a un nivel de significancia </w:t>
      </w:r>
      <m:oMath>
        <m:r>
          <w:rPr>
            <w:rFonts w:ascii="Cambria Math" w:eastAsiaTheme="minorHAnsi" w:hAnsi="Cambria Math"/>
            <w:color w:val="auto"/>
            <w:szCs w:val="22"/>
            <w:lang w:val="es-ES_tradnl" w:eastAsia="en-US"/>
          </w:rPr>
          <m:t>α</m:t>
        </m:r>
      </m:oMath>
      <w:r w:rsidRPr="00FE6BB3">
        <w:rPr>
          <w:rFonts w:ascii="ITC Avant Garde" w:hAnsi="ITC Avant Garde"/>
          <w:color w:val="auto"/>
          <w:szCs w:val="22"/>
          <w:lang w:val="es-ES_tradnl" w:eastAsia="en-US"/>
        </w:rPr>
        <w:t xml:space="preserve">; mientras que si el </w:t>
      </w:r>
      <w:r w:rsidRPr="00FE6BB3">
        <w:rPr>
          <w:rFonts w:ascii="ITC Avant Garde" w:hAnsi="ITC Avant Garde"/>
          <w:szCs w:val="22"/>
          <w:lang w:val="es-ES_tradnl"/>
        </w:rPr>
        <w:t>estadístico de la prueba (</w:t>
      </w:r>
      <m:oMath>
        <m:sSub>
          <m:sSubPr>
            <m:ctrlPr>
              <w:rPr>
                <w:rFonts w:ascii="Cambria Math" w:hAnsi="Cambria Math"/>
                <w:i/>
                <w:szCs w:val="22"/>
                <w:lang w:val="es-ES_tradnl"/>
              </w:rPr>
            </m:ctrlPr>
          </m:sSubPr>
          <m:e>
            <m:r>
              <w:rPr>
                <w:rFonts w:ascii="Cambria Math" w:hAnsi="Cambria Math"/>
                <w:szCs w:val="22"/>
                <w:lang w:val="es-ES_tradnl"/>
              </w:rPr>
              <m:t>x</m:t>
            </m:r>
          </m:e>
          <m:sub>
            <m:r>
              <w:rPr>
                <w:rFonts w:ascii="Cambria Math" w:hAnsi="Cambria Math"/>
                <w:szCs w:val="22"/>
                <w:lang w:val="es-ES_tradnl"/>
              </w:rPr>
              <m:t>st</m:t>
            </m:r>
          </m:sub>
        </m:sSub>
      </m:oMath>
      <w:r w:rsidRPr="00FE6BB3">
        <w:rPr>
          <w:rFonts w:ascii="ITC Avant Garde" w:hAnsi="ITC Avant Garde"/>
          <w:szCs w:val="22"/>
          <w:lang w:val="es-ES_tradnl"/>
        </w:rPr>
        <w:t xml:space="preserve">) es menor o igual al </w:t>
      </w:r>
      <w:r w:rsidRPr="00FE6BB3">
        <w:rPr>
          <w:rFonts w:ascii="ITC Avant Garde" w:hAnsi="ITC Avant Garde"/>
          <w:i/>
          <w:szCs w:val="22"/>
          <w:lang w:val="es-ES_tradnl"/>
        </w:rPr>
        <w:t xml:space="preserve">valor crítico </w:t>
      </w:r>
      <m:oMath>
        <m:sSub>
          <m:sSubPr>
            <m:ctrlPr>
              <w:rPr>
                <w:rFonts w:ascii="Cambria Math" w:eastAsiaTheme="minorHAnsi" w:hAnsi="Cambria Math"/>
                <w:i/>
                <w:color w:val="auto"/>
                <w:szCs w:val="22"/>
                <w:lang w:val="es-ES_tradnl" w:eastAsia="en-US"/>
              </w:rPr>
            </m:ctrlPr>
          </m:sSubPr>
          <m:e>
            <m:r>
              <w:rPr>
                <w:rFonts w:ascii="Cambria Math" w:eastAsiaTheme="minorHAnsi" w:hAnsi="Cambria Math"/>
                <w:color w:val="auto"/>
                <w:szCs w:val="22"/>
                <w:lang w:val="es-ES_tradnl" w:eastAsia="en-US"/>
              </w:rPr>
              <m:t>z</m:t>
            </m:r>
          </m:e>
          <m:sub>
            <m:r>
              <w:rPr>
                <w:rFonts w:ascii="Cambria Math" w:eastAsiaTheme="minorHAnsi" w:hAnsi="Cambria Math"/>
                <w:color w:val="auto"/>
                <w:szCs w:val="22"/>
                <w:lang w:val="es-ES_tradnl" w:eastAsia="en-US"/>
              </w:rPr>
              <m:t>1-α</m:t>
            </m:r>
          </m:sub>
        </m:sSub>
      </m:oMath>
      <w:r w:rsidRPr="00FE6BB3">
        <w:rPr>
          <w:rFonts w:ascii="ITC Avant Garde" w:hAnsi="ITC Avant Garde"/>
          <w:i/>
          <w:color w:val="auto"/>
          <w:szCs w:val="22"/>
          <w:lang w:val="es-ES_tradnl" w:eastAsia="en-US"/>
        </w:rPr>
        <w:t xml:space="preserve"> </w:t>
      </w:r>
      <w:r w:rsidRPr="00FE6BB3">
        <w:rPr>
          <w:rFonts w:ascii="ITC Avant Garde" w:hAnsi="ITC Avant Garde"/>
          <w:color w:val="auto"/>
          <w:szCs w:val="22"/>
          <w:lang w:val="es-ES_tradnl" w:eastAsia="en-US"/>
        </w:rPr>
        <w:t xml:space="preserve">entonces hay información estadísticamente suficiente para rechazar la hipótesis nula y se acepta la hipótesis alternativa. </w:t>
      </w:r>
    </w:p>
    <w:p w:rsidR="00496B50" w:rsidRDefault="00496B50" w:rsidP="00496B50">
      <w:pPr>
        <w:pStyle w:val="Normal1"/>
        <w:widowControl w:val="0"/>
        <w:numPr>
          <w:ilvl w:val="0"/>
          <w:numId w:val="16"/>
        </w:numPr>
        <w:spacing w:before="240" w:after="240"/>
        <w:jc w:val="both"/>
        <w:rPr>
          <w:rFonts w:ascii="ITC Avant Garde" w:hAnsi="ITC Avant Garde"/>
          <w:szCs w:val="22"/>
          <w:lang w:val="es-ES_tradnl"/>
        </w:rPr>
      </w:pPr>
      <w:r w:rsidRPr="00FE6BB3">
        <w:rPr>
          <w:rFonts w:ascii="ITC Avant Garde" w:hAnsi="ITC Avant Garde"/>
          <w:b/>
          <w:szCs w:val="22"/>
          <w:lang w:val="es-ES_tradnl"/>
        </w:rPr>
        <w:t xml:space="preserve">Determinación de la selección aleatoria. </w:t>
      </w:r>
      <w:r w:rsidRPr="00FE6BB3">
        <w:rPr>
          <w:rFonts w:ascii="ITC Avant Garde" w:hAnsi="ITC Avant Garde"/>
          <w:szCs w:val="22"/>
          <w:lang w:val="es-ES_tradnl"/>
        </w:rPr>
        <w:t>Los municipios y localidades</w:t>
      </w:r>
      <w:r w:rsidRPr="00FE6BB3">
        <w:rPr>
          <w:rFonts w:ascii="ITC Avant Garde" w:hAnsi="ITC Avant Garde"/>
          <w:b/>
          <w:szCs w:val="22"/>
          <w:lang w:val="es-ES_tradnl"/>
        </w:rPr>
        <w:t xml:space="preserve"> </w:t>
      </w:r>
      <w:r w:rsidRPr="00FE6BB3">
        <w:rPr>
          <w:rFonts w:ascii="ITC Avant Garde" w:hAnsi="ITC Avant Garde"/>
          <w:szCs w:val="22"/>
          <w:lang w:val="es-ES_tradnl"/>
        </w:rPr>
        <w:t xml:space="preserve">donde se llevarán a cabo las Mediciones deberán seleccionarse de acuerdo al siguiente procedimiento: </w:t>
      </w:r>
    </w:p>
    <w:p w:rsidR="00496B50" w:rsidRDefault="00496B50" w:rsidP="00496B50">
      <w:pPr>
        <w:pStyle w:val="Normal1"/>
        <w:widowControl w:val="0"/>
        <w:numPr>
          <w:ilvl w:val="0"/>
          <w:numId w:val="24"/>
        </w:numPr>
        <w:spacing w:before="240" w:after="240"/>
        <w:jc w:val="both"/>
        <w:rPr>
          <w:rFonts w:ascii="ITC Avant Garde" w:hAnsi="ITC Avant Garde"/>
          <w:szCs w:val="22"/>
          <w:lang w:val="es-ES_tradnl"/>
        </w:rPr>
      </w:pPr>
      <w:r w:rsidRPr="00FE6BB3">
        <w:rPr>
          <w:rFonts w:ascii="ITC Avant Garde" w:hAnsi="ITC Avant Garde"/>
          <w:lang w:val="es-ES_tradnl"/>
        </w:rPr>
        <w:t xml:space="preserve">Para determinar los municipios y localidades donde se lleve a cabo el Ejercicio de Medición, se utilizará </w:t>
      </w:r>
      <w:r w:rsidRPr="00FE6BB3">
        <w:rPr>
          <w:rFonts w:ascii="ITC Avant Garde" w:hAnsi="ITC Avant Garde"/>
          <w:szCs w:val="22"/>
          <w:lang w:val="es-ES_tradnl"/>
        </w:rPr>
        <w:t xml:space="preserve">un generador computacional de números aleatorios a partir de pares de latitud y longitud aleatorios. </w:t>
      </w:r>
    </w:p>
    <w:p w:rsidR="00496B50" w:rsidRDefault="00496B50" w:rsidP="00496B50">
      <w:pPr>
        <w:pStyle w:val="Normal1"/>
        <w:widowControl w:val="0"/>
        <w:numPr>
          <w:ilvl w:val="0"/>
          <w:numId w:val="24"/>
        </w:numPr>
        <w:spacing w:before="240" w:after="240"/>
        <w:jc w:val="both"/>
        <w:rPr>
          <w:rFonts w:ascii="ITC Avant Garde" w:hAnsi="ITC Avant Garde"/>
          <w:szCs w:val="22"/>
          <w:lang w:val="es-ES_tradnl"/>
        </w:rPr>
      </w:pPr>
      <w:r w:rsidRPr="00FE6BB3">
        <w:rPr>
          <w:rFonts w:ascii="ITC Avant Garde" w:hAnsi="ITC Avant Garde"/>
          <w:szCs w:val="22"/>
          <w:lang w:val="es-ES_tradnl"/>
        </w:rPr>
        <w:t>El número de municipios elegidos para cada estrato deberá corresponder al número obtenido a partir de la fórmula del muestreo por estratos.</w:t>
      </w:r>
    </w:p>
    <w:p w:rsidR="00496B50" w:rsidRDefault="00496B50" w:rsidP="00496B50">
      <w:pPr>
        <w:pStyle w:val="Normal1"/>
        <w:widowControl w:val="0"/>
        <w:numPr>
          <w:ilvl w:val="0"/>
          <w:numId w:val="24"/>
        </w:numPr>
        <w:spacing w:before="240" w:after="240"/>
        <w:jc w:val="both"/>
        <w:rPr>
          <w:rFonts w:ascii="ITC Avant Garde" w:hAnsi="ITC Avant Garde"/>
          <w:szCs w:val="22"/>
          <w:lang w:val="es-ES_tradnl"/>
        </w:rPr>
      </w:pPr>
      <w:r w:rsidRPr="00FE6BB3">
        <w:rPr>
          <w:rFonts w:ascii="ITC Avant Garde" w:hAnsi="ITC Avant Garde"/>
          <w:szCs w:val="22"/>
          <w:lang w:val="es-ES_tradnl"/>
        </w:rPr>
        <w:t>Para el caso de los municipios, los pares de latitud y longitud generados deben estar distribuidos uniformemente dentro del área correspondiente a los Mapas de Cobertura del Concesionario Mayorista;</w:t>
      </w:r>
    </w:p>
    <w:p w:rsidR="00496B50" w:rsidRDefault="00496B50" w:rsidP="00496B50">
      <w:pPr>
        <w:pStyle w:val="Normal1"/>
        <w:widowControl w:val="0"/>
        <w:numPr>
          <w:ilvl w:val="0"/>
          <w:numId w:val="24"/>
        </w:numPr>
        <w:spacing w:before="240" w:after="240"/>
        <w:jc w:val="both"/>
        <w:rPr>
          <w:rFonts w:ascii="ITC Avant Garde" w:hAnsi="ITC Avant Garde"/>
          <w:szCs w:val="22"/>
          <w:lang w:val="es-ES_tradnl"/>
        </w:rPr>
      </w:pPr>
      <w:r w:rsidRPr="00FE6BB3">
        <w:rPr>
          <w:rFonts w:ascii="ITC Avant Garde" w:hAnsi="ITC Avant Garde"/>
          <w:szCs w:val="22"/>
          <w:lang w:val="es-ES_tradnl"/>
        </w:rPr>
        <w:t>Para el caso de las localidades dentro de cada municipio, éstas se seleccionan si el par de latitud y longitud está contenido dentro del polígono definido por el INEGI de acuerdo al Censo</w:t>
      </w:r>
      <w:r w:rsidRPr="00FE6BB3">
        <w:rPr>
          <w:rFonts w:ascii="ITC Avant Garde" w:hAnsi="ITC Avant Garde"/>
          <w:lang w:val="es-ES_tradnl"/>
        </w:rPr>
        <w:t xml:space="preserve"> Nacional de Población y Vivienda 2010</w:t>
      </w:r>
      <w:r w:rsidRPr="00FE6BB3">
        <w:rPr>
          <w:rFonts w:ascii="ITC Avant Garde" w:hAnsi="ITC Avant Garde"/>
          <w:szCs w:val="22"/>
          <w:lang w:val="es-ES_tradnl"/>
        </w:rPr>
        <w:t xml:space="preserve">. Así mismo, en la generación de los pares de latitud y longitud aleatorios deberá considerarse un factor de ponderación que le asigne un mayor peso a las localidades con mayor población de tal forma que la probabilidad de ser elegida sea proporcional a la población de esa </w:t>
      </w:r>
      <w:r w:rsidRPr="00FE6BB3">
        <w:rPr>
          <w:rFonts w:ascii="ITC Avant Garde" w:hAnsi="ITC Avant Garde"/>
          <w:szCs w:val="22"/>
          <w:lang w:val="es-ES_tradnl"/>
        </w:rPr>
        <w:lastRenderedPageBreak/>
        <w:t>localidad con respecto al total de población de las localidades dentro del municipio correspondiente;</w:t>
      </w:r>
    </w:p>
    <w:p w:rsidR="00433F40" w:rsidRPr="00496B50" w:rsidRDefault="00496B50" w:rsidP="00496B50">
      <w:pPr>
        <w:pStyle w:val="Normal1"/>
        <w:widowControl w:val="0"/>
        <w:numPr>
          <w:ilvl w:val="0"/>
          <w:numId w:val="16"/>
        </w:numPr>
        <w:spacing w:before="240" w:after="240"/>
        <w:jc w:val="both"/>
        <w:rPr>
          <w:rFonts w:ascii="ITC Avant Garde" w:hAnsi="ITC Avant Garde"/>
          <w:szCs w:val="22"/>
          <w:lang w:val="es-ES_tradnl"/>
        </w:rPr>
      </w:pPr>
      <w:r w:rsidRPr="00FE6BB3">
        <w:rPr>
          <w:rFonts w:ascii="ITC Avant Garde" w:hAnsi="ITC Avant Garde"/>
          <w:b/>
          <w:szCs w:val="22"/>
          <w:lang w:val="es-ES_tradnl"/>
        </w:rPr>
        <w:t xml:space="preserve">Tratamiento de la información. </w:t>
      </w:r>
      <w:r w:rsidRPr="00FE6BB3">
        <w:rPr>
          <w:rFonts w:ascii="ITC Avant Garde" w:hAnsi="ITC Avant Garde"/>
          <w:szCs w:val="22"/>
          <w:lang w:val="es-ES_tradnl"/>
        </w:rPr>
        <w:t>La información entregada por el Concesionario Mayorista será tratada conforme a las disposiciones aplicables.</w:t>
      </w:r>
      <w:bookmarkStart w:id="1" w:name="_GoBack"/>
      <w:bookmarkEnd w:id="1"/>
    </w:p>
    <w:sectPr w:rsidR="00433F40" w:rsidRPr="00496B50" w:rsidSect="00E8651A">
      <w:footerReference w:type="default" r:id="rId12"/>
      <w:pgSz w:w="12240" w:h="15840"/>
      <w:pgMar w:top="1985"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35FD" w:rsidRDefault="009235FD">
      <w:pPr>
        <w:spacing w:after="0" w:line="240" w:lineRule="auto"/>
      </w:pPr>
      <w:r>
        <w:separator/>
      </w:r>
    </w:p>
  </w:endnote>
  <w:endnote w:type="continuationSeparator" w:id="0">
    <w:p w:rsidR="009235FD" w:rsidRDefault="009235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ITC Avant Garde">
    <w:altName w:val="Verdana"/>
    <w:panose1 w:val="020B0402020203020304"/>
    <w:charset w:val="00"/>
    <w:family w:val="swiss"/>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3350" w:rsidRDefault="00B03350" w:rsidP="00C4357A">
    <w:pPr>
      <w:pStyle w:val="Piedepgina"/>
      <w:spacing w:before="100" w:beforeAutospacing="1" w:after="600"/>
      <w:jc w:val="right"/>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6C2" w:rsidRPr="00E16EB2" w:rsidRDefault="009235FD" w:rsidP="00836B62">
    <w:pPr>
      <w:pStyle w:val="Piedepgina"/>
      <w:jc w:val="right"/>
      <w:rPr>
        <w:rFonts w:ascii="ITC Avant Garde" w:hAnsi="ITC Avant Garde"/>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35FD" w:rsidRDefault="009235FD">
      <w:pPr>
        <w:spacing w:after="0" w:line="240" w:lineRule="auto"/>
      </w:pPr>
      <w:r>
        <w:separator/>
      </w:r>
    </w:p>
  </w:footnote>
  <w:footnote w:type="continuationSeparator" w:id="0">
    <w:p w:rsidR="009235FD" w:rsidRDefault="009235FD">
      <w:pPr>
        <w:spacing w:after="0" w:line="240" w:lineRule="auto"/>
      </w:pPr>
      <w:r>
        <w:continuationSeparator/>
      </w:r>
    </w:p>
  </w:footnote>
  <w:footnote w:id="1">
    <w:p w:rsidR="00B03350" w:rsidRPr="002E534B" w:rsidRDefault="00B03350">
      <w:pPr>
        <w:pStyle w:val="Textonotapie"/>
        <w:rPr>
          <w:rFonts w:ascii="ITC Avant Garde" w:hAnsi="ITC Avant Garde"/>
          <w:lang w:val="es-ES"/>
        </w:rPr>
      </w:pPr>
      <w:r w:rsidRPr="002E534B">
        <w:rPr>
          <w:rStyle w:val="Refdenotaalpie"/>
          <w:rFonts w:ascii="ITC Avant Garde" w:hAnsi="ITC Avant Garde"/>
          <w:sz w:val="18"/>
        </w:rPr>
        <w:footnoteRef/>
      </w:r>
      <w:r w:rsidRPr="002E534B">
        <w:rPr>
          <w:rFonts w:ascii="ITC Avant Garde" w:hAnsi="ITC Avant Garde"/>
          <w:sz w:val="18"/>
        </w:rPr>
        <w:t xml:space="preserve"> </w:t>
      </w:r>
      <w:r w:rsidRPr="002E534B">
        <w:rPr>
          <w:rFonts w:ascii="ITC Avant Garde" w:hAnsi="ITC Avant Garde"/>
          <w:sz w:val="18"/>
          <w:lang w:val="es-ES"/>
        </w:rPr>
        <w:t>http://www.beta.inegi.org.mx/app/biblioteca/ficha.html?upc=889463142683</w:t>
      </w:r>
    </w:p>
  </w:footnote>
  <w:footnote w:id="2">
    <w:p w:rsidR="00B03350" w:rsidRPr="000B08CA" w:rsidRDefault="00B03350" w:rsidP="000B08CA">
      <w:pPr>
        <w:pStyle w:val="Textonotapie"/>
        <w:jc w:val="both"/>
        <w:rPr>
          <w:rFonts w:ascii="ITC Avant Garde" w:hAnsi="ITC Avant Garde"/>
          <w:lang w:val="en-US"/>
        </w:rPr>
      </w:pPr>
      <w:r w:rsidRPr="000B08CA">
        <w:rPr>
          <w:rStyle w:val="Refdenotaalpie"/>
          <w:rFonts w:ascii="ITC Avant Garde" w:hAnsi="ITC Avant Garde"/>
          <w:sz w:val="20"/>
        </w:rPr>
        <w:footnoteRef/>
      </w:r>
      <w:r w:rsidRPr="000B08CA">
        <w:rPr>
          <w:rFonts w:ascii="ITC Avant Garde" w:hAnsi="ITC Avant Garde"/>
          <w:sz w:val="18"/>
          <w:lang w:val="en-US"/>
        </w:rPr>
        <w:t>ETSI EG 202 057-4 V1.</w:t>
      </w:r>
      <w:r>
        <w:rPr>
          <w:rFonts w:ascii="ITC Avant Garde" w:hAnsi="ITC Avant Garde"/>
          <w:sz w:val="18"/>
          <w:lang w:val="en-US"/>
        </w:rPr>
        <w:t>2</w:t>
      </w:r>
      <w:r w:rsidRPr="000B08CA">
        <w:rPr>
          <w:rFonts w:ascii="ITC Avant Garde" w:hAnsi="ITC Avant Garde"/>
          <w:sz w:val="18"/>
          <w:lang w:val="en-US"/>
        </w:rPr>
        <w:t>.1</w:t>
      </w:r>
      <w:r>
        <w:rPr>
          <w:rFonts w:ascii="ITC Avant Garde" w:hAnsi="ITC Avant Garde"/>
          <w:sz w:val="18"/>
          <w:lang w:val="en-US"/>
        </w:rPr>
        <w:t xml:space="preserve"> (2008-07)</w:t>
      </w:r>
      <w:r w:rsidRPr="000B08CA">
        <w:rPr>
          <w:rFonts w:ascii="ITC Avant Garde" w:hAnsi="ITC Avant Garde"/>
          <w:sz w:val="18"/>
          <w:lang w:val="en-US"/>
        </w:rPr>
        <w:t>, “Speech Processing, Transmission and Quality Aspects (STQ);</w:t>
      </w:r>
      <w:r>
        <w:rPr>
          <w:rFonts w:ascii="ITC Avant Garde" w:hAnsi="ITC Avant Garde"/>
          <w:sz w:val="18"/>
          <w:lang w:val="en-US"/>
        </w:rPr>
        <w:t xml:space="preserve"> </w:t>
      </w:r>
      <w:r w:rsidRPr="000B08CA">
        <w:rPr>
          <w:rFonts w:ascii="ITC Avant Garde" w:hAnsi="ITC Avant Garde"/>
          <w:sz w:val="18"/>
          <w:lang w:val="en-US"/>
        </w:rPr>
        <w:t xml:space="preserve">User related </w:t>
      </w:r>
      <w:proofErr w:type="spellStart"/>
      <w:r w:rsidRPr="000B08CA">
        <w:rPr>
          <w:rFonts w:ascii="ITC Avant Garde" w:hAnsi="ITC Avant Garde"/>
          <w:sz w:val="18"/>
          <w:lang w:val="en-US"/>
        </w:rPr>
        <w:t>QoS</w:t>
      </w:r>
      <w:proofErr w:type="spellEnd"/>
      <w:r w:rsidRPr="000B08CA">
        <w:rPr>
          <w:rFonts w:ascii="ITC Avant Garde" w:hAnsi="ITC Avant Garde"/>
          <w:sz w:val="18"/>
          <w:lang w:val="en-US"/>
        </w:rPr>
        <w:t xml:space="preserve"> parameter definitions and measurements;</w:t>
      </w:r>
      <w:r>
        <w:rPr>
          <w:rFonts w:ascii="ITC Avant Garde" w:hAnsi="ITC Avant Garde"/>
          <w:sz w:val="18"/>
          <w:lang w:val="en-US"/>
        </w:rPr>
        <w:t xml:space="preserve"> </w:t>
      </w:r>
      <w:r w:rsidRPr="000B08CA">
        <w:rPr>
          <w:rFonts w:ascii="ITC Avant Garde" w:hAnsi="ITC Avant Garde"/>
          <w:sz w:val="18"/>
          <w:lang w:val="en-US"/>
        </w:rPr>
        <w:t>Part 4: Internet access</w:t>
      </w:r>
      <w:r>
        <w:rPr>
          <w:rFonts w:ascii="ITC Avant Garde" w:hAnsi="ITC Avant Garde"/>
          <w:sz w:val="18"/>
          <w:lang w:val="en-US"/>
        </w:rPr>
        <w:t>.</w:t>
      </w:r>
      <w:r w:rsidRPr="000B08CA">
        <w:rPr>
          <w:lang w:val="en-US"/>
        </w:rPr>
        <w:t xml:space="preserve"> </w:t>
      </w:r>
    </w:p>
  </w:footnote>
  <w:footnote w:id="3">
    <w:p w:rsidR="00496B50" w:rsidRPr="003354FA" w:rsidRDefault="00496B50" w:rsidP="00496B50">
      <w:pPr>
        <w:pStyle w:val="Textonotapie"/>
        <w:jc w:val="both"/>
        <w:rPr>
          <w:sz w:val="16"/>
          <w:szCs w:val="16"/>
        </w:rPr>
      </w:pPr>
      <w:r w:rsidRPr="003354FA">
        <w:rPr>
          <w:rStyle w:val="Refdenotaalpie"/>
          <w:sz w:val="16"/>
          <w:szCs w:val="16"/>
        </w:rPr>
        <w:footnoteRef/>
      </w:r>
      <w:r w:rsidRPr="003354FA">
        <w:rPr>
          <w:sz w:val="16"/>
          <w:szCs w:val="16"/>
        </w:rPr>
        <w:t xml:space="preserve"> </w:t>
      </w:r>
      <w:r w:rsidRPr="003354FA">
        <w:rPr>
          <w:rFonts w:ascii="ITC Avant Garde" w:eastAsiaTheme="minorEastAsia" w:hAnsi="ITC Avant Garde"/>
          <w:sz w:val="16"/>
          <w:szCs w:val="16"/>
          <w:lang w:val="es-ES_tradnl"/>
        </w:rPr>
        <w:t xml:space="preserve">Para los efectos de la presente metodología, el valor de la desviación estándar </w:t>
      </w:r>
      <m:oMath>
        <m:sSub>
          <m:sSubPr>
            <m:ctrlPr>
              <w:rPr>
                <w:rFonts w:ascii="Cambria Math" w:eastAsiaTheme="minorHAnsi" w:hAnsi="Cambria Math"/>
                <w:i/>
                <w:sz w:val="16"/>
                <w:szCs w:val="16"/>
                <w:lang w:val="es-ES_tradnl"/>
              </w:rPr>
            </m:ctrlPr>
          </m:sSubPr>
          <m:e>
            <m:r>
              <w:rPr>
                <w:rFonts w:ascii="Cambria Math" w:hAnsi="Cambria Math"/>
                <w:sz w:val="16"/>
                <w:szCs w:val="16"/>
                <w:lang w:val="es-ES_tradnl"/>
              </w:rPr>
              <m:t>s</m:t>
            </m:r>
          </m:e>
          <m:sub>
            <m:r>
              <w:rPr>
                <w:rFonts w:ascii="Cambria Math" w:hAnsi="Cambria Math"/>
                <w:sz w:val="16"/>
                <w:szCs w:val="16"/>
                <w:lang w:val="es-ES_tradnl"/>
              </w:rPr>
              <m:t>i</m:t>
            </m:r>
          </m:sub>
        </m:sSub>
      </m:oMath>
      <w:r w:rsidRPr="003354FA">
        <w:rPr>
          <w:rFonts w:ascii="ITC Avant Garde" w:eastAsiaTheme="minorEastAsia" w:hAnsi="ITC Avant Garde"/>
          <w:sz w:val="16"/>
          <w:szCs w:val="16"/>
          <w:lang w:val="es-ES_tradnl"/>
        </w:rPr>
        <w:t xml:space="preserve"> para cada estrato se tomará de resultados de Ejercicios de Medición </w:t>
      </w:r>
      <w:r>
        <w:rPr>
          <w:rFonts w:ascii="ITC Avant Garde" w:eastAsiaTheme="minorEastAsia" w:hAnsi="ITC Avant Garde"/>
          <w:sz w:val="16"/>
          <w:szCs w:val="16"/>
          <w:lang w:val="es-ES_tradnl"/>
        </w:rPr>
        <w:t>previos</w:t>
      </w:r>
      <w:r w:rsidRPr="003354FA">
        <w:rPr>
          <w:rFonts w:ascii="ITC Avant Garde" w:eastAsiaTheme="minorEastAsia" w:hAnsi="ITC Avant Garde"/>
          <w:sz w:val="16"/>
          <w:szCs w:val="16"/>
          <w:lang w:val="es-ES_tradnl"/>
        </w:rPr>
        <w:t>, los cuales el Instituto podrá llevar a cabo bajo la presente metodología previamente a la evaluación del cumplimiento de los Parámetros de Cobertura</w:t>
      </w:r>
      <w:r>
        <w:rPr>
          <w:rFonts w:ascii="ITC Avant Garde" w:eastAsiaTheme="minorEastAsia" w:hAnsi="ITC Avant Garde"/>
          <w:sz w:val="16"/>
          <w:szCs w:val="16"/>
          <w:lang w:val="es-ES_tradnl"/>
        </w:rPr>
        <w:t>.</w:t>
      </w:r>
    </w:p>
  </w:footnote>
  <w:footnote w:id="4">
    <w:p w:rsidR="00496B50" w:rsidRDefault="00496B50" w:rsidP="00496B50">
      <w:pPr>
        <w:pStyle w:val="Normal1"/>
        <w:widowControl w:val="0"/>
        <w:jc w:val="both"/>
        <w:rPr>
          <w:rFonts w:ascii="ITC Avant Garde" w:hAnsi="ITC Avant Garde"/>
          <w:sz w:val="16"/>
          <w:szCs w:val="16"/>
          <w:lang w:val="es-ES_tradnl"/>
        </w:rPr>
      </w:pPr>
      <w:r w:rsidRPr="003354FA">
        <w:rPr>
          <w:rStyle w:val="Refdenotaalpie"/>
          <w:sz w:val="16"/>
          <w:szCs w:val="16"/>
        </w:rPr>
        <w:footnoteRef/>
      </w:r>
      <w:r w:rsidRPr="003354FA">
        <w:rPr>
          <w:sz w:val="16"/>
          <w:szCs w:val="16"/>
        </w:rPr>
        <w:t xml:space="preserve"> </w:t>
      </w:r>
      <m:oMath>
        <m:sSub>
          <m:sSubPr>
            <m:ctrlPr>
              <w:rPr>
                <w:rFonts w:ascii="Cambria Math" w:eastAsiaTheme="minorHAnsi" w:hAnsi="Cambria Math"/>
                <w:i/>
                <w:color w:val="auto"/>
                <w:sz w:val="16"/>
                <w:szCs w:val="16"/>
                <w:lang w:eastAsia="en-US"/>
              </w:rPr>
            </m:ctrlPr>
          </m:sSubPr>
          <m:e>
            <m:r>
              <w:rPr>
                <w:rFonts w:ascii="Cambria Math" w:eastAsiaTheme="minorHAnsi" w:hAnsi="Cambria Math"/>
                <w:color w:val="auto"/>
                <w:sz w:val="16"/>
                <w:szCs w:val="16"/>
                <w:lang w:eastAsia="en-US"/>
              </w:rPr>
              <m:t>Z</m:t>
            </m:r>
          </m:e>
          <m:sub>
            <m:r>
              <w:rPr>
                <w:rFonts w:ascii="Cambria Math" w:eastAsiaTheme="minorHAnsi" w:hAnsi="Cambria Math"/>
                <w:color w:val="auto"/>
                <w:sz w:val="16"/>
                <w:szCs w:val="16"/>
                <w:lang w:eastAsia="en-US"/>
              </w:rPr>
              <m:t>1-α</m:t>
            </m:r>
          </m:sub>
        </m:sSub>
      </m:oMath>
      <w:r w:rsidRPr="003354FA">
        <w:rPr>
          <w:rFonts w:ascii="ITC Avant Garde" w:hAnsi="ITC Avant Garde"/>
          <w:sz w:val="16"/>
          <w:szCs w:val="16"/>
          <w:lang w:val="es-ES_tradnl"/>
        </w:rPr>
        <w:t xml:space="preserve"> = valor de z igual a 1.64 que corresponde a una distribución normal estándar con un nivel de significancia del 5%;</w:t>
      </w:r>
    </w:p>
    <w:p w:rsidR="00496B50" w:rsidRPr="003354FA" w:rsidRDefault="00496B50" w:rsidP="00496B50">
      <w:pPr>
        <w:pStyle w:val="Textonotapie"/>
        <w:rPr>
          <w:sz w:val="16"/>
          <w:szCs w:val="16"/>
          <w:lang w:val="es-ES_tradnl"/>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3350" w:rsidRDefault="009235FD">
    <w:pPr>
      <w:pStyle w:val="Encabezado"/>
    </w:pPr>
    <w:r>
      <w:rPr>
        <w:noProof/>
        <w:lang w:eastAsia="es-MX"/>
      </w:rPr>
      <w:pict w14:anchorId="663F15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7695" o:spid="_x0000_s2049" type="#_x0000_t75" style="position:absolute;margin-left:0;margin-top:0;width:612pt;height:11in;z-index:-251657216;mso-position-horizontal:center;mso-position-horizontal-relative:margin;mso-position-vertical:center;mso-position-vertical-relative:margin" o:allowincell="f">
          <v:imagedata r:id="rId1" o:title="hojamenbretada-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3350" w:rsidRDefault="009235FD">
    <w:pPr>
      <w:pStyle w:val="Encabezado"/>
    </w:pPr>
    <w:r>
      <w:rPr>
        <w:noProof/>
        <w:lang w:eastAsia="es-MX"/>
      </w:rPr>
      <w:pict w14:anchorId="1E8418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7694" o:spid="_x0000_s2051" type="#_x0000_t75" style="position:absolute;margin-left:0;margin-top:0;width:612pt;height:11in;z-index:-251655168;mso-position-horizontal:center;mso-position-horizontal-relative:margin;mso-position-vertical:center;mso-position-vertical-relative:margin" o:allowincell="f">
          <v:imagedata r:id="rId1" o:title="hojamenbretada-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4759A"/>
    <w:multiLevelType w:val="hybridMultilevel"/>
    <w:tmpl w:val="6C962782"/>
    <w:lvl w:ilvl="0" w:tplc="080A0015">
      <w:start w:val="1"/>
      <w:numFmt w:val="upperLetter"/>
      <w:lvlText w:val="%1."/>
      <w:lvlJc w:val="left"/>
      <w:pPr>
        <w:ind w:left="1560" w:hanging="720"/>
      </w:pPr>
      <w:rPr>
        <w:rFonts w:hint="default"/>
      </w:rPr>
    </w:lvl>
    <w:lvl w:ilvl="1" w:tplc="080A0019" w:tentative="1">
      <w:start w:val="1"/>
      <w:numFmt w:val="lowerLetter"/>
      <w:lvlText w:val="%2."/>
      <w:lvlJc w:val="left"/>
      <w:pPr>
        <w:ind w:left="1920" w:hanging="360"/>
      </w:pPr>
    </w:lvl>
    <w:lvl w:ilvl="2" w:tplc="080A001B" w:tentative="1">
      <w:start w:val="1"/>
      <w:numFmt w:val="lowerRoman"/>
      <w:lvlText w:val="%3."/>
      <w:lvlJc w:val="right"/>
      <w:pPr>
        <w:ind w:left="2640" w:hanging="180"/>
      </w:pPr>
    </w:lvl>
    <w:lvl w:ilvl="3" w:tplc="080A000F" w:tentative="1">
      <w:start w:val="1"/>
      <w:numFmt w:val="decimal"/>
      <w:lvlText w:val="%4."/>
      <w:lvlJc w:val="left"/>
      <w:pPr>
        <w:ind w:left="3360" w:hanging="360"/>
      </w:pPr>
    </w:lvl>
    <w:lvl w:ilvl="4" w:tplc="080A0019" w:tentative="1">
      <w:start w:val="1"/>
      <w:numFmt w:val="lowerLetter"/>
      <w:lvlText w:val="%5."/>
      <w:lvlJc w:val="left"/>
      <w:pPr>
        <w:ind w:left="4080" w:hanging="360"/>
      </w:pPr>
    </w:lvl>
    <w:lvl w:ilvl="5" w:tplc="080A001B" w:tentative="1">
      <w:start w:val="1"/>
      <w:numFmt w:val="lowerRoman"/>
      <w:lvlText w:val="%6."/>
      <w:lvlJc w:val="right"/>
      <w:pPr>
        <w:ind w:left="4800" w:hanging="180"/>
      </w:pPr>
    </w:lvl>
    <w:lvl w:ilvl="6" w:tplc="080A000F" w:tentative="1">
      <w:start w:val="1"/>
      <w:numFmt w:val="decimal"/>
      <w:lvlText w:val="%7."/>
      <w:lvlJc w:val="left"/>
      <w:pPr>
        <w:ind w:left="5520" w:hanging="360"/>
      </w:pPr>
    </w:lvl>
    <w:lvl w:ilvl="7" w:tplc="080A0019" w:tentative="1">
      <w:start w:val="1"/>
      <w:numFmt w:val="lowerLetter"/>
      <w:lvlText w:val="%8."/>
      <w:lvlJc w:val="left"/>
      <w:pPr>
        <w:ind w:left="6240" w:hanging="360"/>
      </w:pPr>
    </w:lvl>
    <w:lvl w:ilvl="8" w:tplc="080A001B" w:tentative="1">
      <w:start w:val="1"/>
      <w:numFmt w:val="lowerRoman"/>
      <w:lvlText w:val="%9."/>
      <w:lvlJc w:val="right"/>
      <w:pPr>
        <w:ind w:left="6960" w:hanging="180"/>
      </w:pPr>
    </w:lvl>
  </w:abstractNum>
  <w:abstractNum w:abstractNumId="1" w15:restartNumberingAfterBreak="0">
    <w:nsid w:val="05ED7601"/>
    <w:multiLevelType w:val="multilevel"/>
    <w:tmpl w:val="8C8424B6"/>
    <w:lvl w:ilvl="0">
      <w:start w:val="1"/>
      <w:numFmt w:val="upperRoman"/>
      <w:lvlText w:val="%1."/>
      <w:lvlJc w:val="right"/>
      <w:pPr>
        <w:ind w:left="720" w:firstLine="360"/>
      </w:pPr>
      <w:rPr>
        <w:b/>
        <w:sz w:val="18"/>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15:restartNumberingAfterBreak="0">
    <w:nsid w:val="07690A6C"/>
    <w:multiLevelType w:val="hybridMultilevel"/>
    <w:tmpl w:val="0992A5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5751C5"/>
    <w:multiLevelType w:val="hybridMultilevel"/>
    <w:tmpl w:val="73B8C26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E6452E7"/>
    <w:multiLevelType w:val="multilevel"/>
    <w:tmpl w:val="59BCF60C"/>
    <w:lvl w:ilvl="0">
      <w:start w:val="1"/>
      <w:numFmt w:val="decimal"/>
      <w:lvlText w:val="%1."/>
      <w:lvlJc w:val="left"/>
      <w:pPr>
        <w:ind w:left="405" w:hanging="405"/>
      </w:pPr>
      <w:rPr>
        <w:rFonts w:hint="default"/>
        <w:b/>
      </w:rPr>
    </w:lvl>
    <w:lvl w:ilvl="1">
      <w:start w:val="1"/>
      <w:numFmt w:val="decimal"/>
      <w:lvlText w:val="%1.%2."/>
      <w:lvlJc w:val="left"/>
      <w:pPr>
        <w:ind w:left="1854" w:hanging="720"/>
      </w:pPr>
      <w:rPr>
        <w:rFonts w:hint="default"/>
        <w:b/>
      </w:rPr>
    </w:lvl>
    <w:lvl w:ilvl="2">
      <w:start w:val="1"/>
      <w:numFmt w:val="decimal"/>
      <w:lvlText w:val="%1.%2.%3."/>
      <w:lvlJc w:val="left"/>
      <w:pPr>
        <w:ind w:left="2988" w:hanging="720"/>
      </w:pPr>
      <w:rPr>
        <w:rFonts w:hint="default"/>
        <w:b/>
      </w:rPr>
    </w:lvl>
    <w:lvl w:ilvl="3">
      <w:start w:val="1"/>
      <w:numFmt w:val="decimal"/>
      <w:lvlText w:val="%1.%2.%3.%4."/>
      <w:lvlJc w:val="left"/>
      <w:pPr>
        <w:ind w:left="4482" w:hanging="1080"/>
      </w:pPr>
      <w:rPr>
        <w:rFonts w:hint="default"/>
        <w:b/>
      </w:rPr>
    </w:lvl>
    <w:lvl w:ilvl="4">
      <w:start w:val="1"/>
      <w:numFmt w:val="decimal"/>
      <w:lvlText w:val="%1.%2.%3.%4.%5."/>
      <w:lvlJc w:val="left"/>
      <w:pPr>
        <w:ind w:left="5616" w:hanging="1080"/>
      </w:pPr>
      <w:rPr>
        <w:rFonts w:hint="default"/>
        <w:b/>
      </w:rPr>
    </w:lvl>
    <w:lvl w:ilvl="5">
      <w:start w:val="1"/>
      <w:numFmt w:val="decimal"/>
      <w:lvlText w:val="%1.%2.%3.%4.%5.%6."/>
      <w:lvlJc w:val="left"/>
      <w:pPr>
        <w:ind w:left="7110" w:hanging="1440"/>
      </w:pPr>
      <w:rPr>
        <w:rFonts w:hint="default"/>
        <w:b/>
      </w:rPr>
    </w:lvl>
    <w:lvl w:ilvl="6">
      <w:start w:val="1"/>
      <w:numFmt w:val="decimal"/>
      <w:lvlText w:val="%1.%2.%3.%4.%5.%6.%7."/>
      <w:lvlJc w:val="left"/>
      <w:pPr>
        <w:ind w:left="8244" w:hanging="1440"/>
      </w:pPr>
      <w:rPr>
        <w:rFonts w:hint="default"/>
        <w:b/>
      </w:rPr>
    </w:lvl>
    <w:lvl w:ilvl="7">
      <w:start w:val="1"/>
      <w:numFmt w:val="decimal"/>
      <w:lvlText w:val="%1.%2.%3.%4.%5.%6.%7.%8."/>
      <w:lvlJc w:val="left"/>
      <w:pPr>
        <w:ind w:left="9738" w:hanging="1800"/>
      </w:pPr>
      <w:rPr>
        <w:rFonts w:hint="default"/>
        <w:b/>
      </w:rPr>
    </w:lvl>
    <w:lvl w:ilvl="8">
      <w:start w:val="1"/>
      <w:numFmt w:val="decimal"/>
      <w:lvlText w:val="%1.%2.%3.%4.%5.%6.%7.%8.%9."/>
      <w:lvlJc w:val="left"/>
      <w:pPr>
        <w:ind w:left="10872" w:hanging="1800"/>
      </w:pPr>
      <w:rPr>
        <w:rFonts w:hint="default"/>
        <w:b/>
      </w:rPr>
    </w:lvl>
  </w:abstractNum>
  <w:abstractNum w:abstractNumId="5" w15:restartNumberingAfterBreak="0">
    <w:nsid w:val="11BE6064"/>
    <w:multiLevelType w:val="multilevel"/>
    <w:tmpl w:val="080A001F"/>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32F32B7"/>
    <w:multiLevelType w:val="hybridMultilevel"/>
    <w:tmpl w:val="3AD8F77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4B64D57"/>
    <w:multiLevelType w:val="hybridMultilevel"/>
    <w:tmpl w:val="703AF9DE"/>
    <w:lvl w:ilvl="0" w:tplc="75CCA37A">
      <w:start w:val="1"/>
      <w:numFmt w:val="upperRoman"/>
      <w:lvlText w:val="%1."/>
      <w:lvlJc w:val="right"/>
      <w:pPr>
        <w:ind w:left="1440" w:hanging="360"/>
      </w:pPr>
      <w:rPr>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B280977"/>
    <w:multiLevelType w:val="hybridMultilevel"/>
    <w:tmpl w:val="9CE68FFC"/>
    <w:lvl w:ilvl="0" w:tplc="080A0001">
      <w:start w:val="1"/>
      <w:numFmt w:val="bullet"/>
      <w:lvlText w:val=""/>
      <w:lvlJc w:val="left"/>
      <w:pPr>
        <w:ind w:left="720" w:hanging="360"/>
      </w:pPr>
      <w:rPr>
        <w:rFonts w:ascii="Symbol" w:hAnsi="Symbol" w:hint="default"/>
      </w:rPr>
    </w:lvl>
    <w:lvl w:ilvl="1" w:tplc="9F0ADEDC">
      <w:start w:val="1"/>
      <w:numFmt w:val="bullet"/>
      <w:lvlText w:val="‒"/>
      <w:lvlJc w:val="left"/>
      <w:pPr>
        <w:ind w:left="1440" w:hanging="360"/>
      </w:pPr>
      <w:rPr>
        <w:rFonts w:ascii="Calibri" w:hAnsi="Calibr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C3002D6"/>
    <w:multiLevelType w:val="hybridMultilevel"/>
    <w:tmpl w:val="8B584F88"/>
    <w:lvl w:ilvl="0" w:tplc="D786A91E">
      <w:start w:val="1"/>
      <w:numFmt w:val="decimal"/>
      <w:lvlText w:val="%1."/>
      <w:lvlJc w:val="left"/>
      <w:pPr>
        <w:ind w:left="720" w:hanging="360"/>
      </w:pPr>
      <w:rPr>
        <w:rFonts w:hint="default"/>
        <w:b/>
      </w:rPr>
    </w:lvl>
    <w:lvl w:ilvl="1" w:tplc="75CCA37A">
      <w:start w:val="1"/>
      <w:numFmt w:val="upperRoman"/>
      <w:lvlText w:val="%2."/>
      <w:lvlJc w:val="right"/>
      <w:pPr>
        <w:ind w:left="1440" w:hanging="360"/>
      </w:pPr>
      <w:rPr>
        <w:b w:val="0"/>
        <w:color w:val="000000" w:themeColor="text1"/>
      </w:rPr>
    </w:lvl>
    <w:lvl w:ilvl="2" w:tplc="080A0001">
      <w:start w:val="1"/>
      <w:numFmt w:val="bullet"/>
      <w:lvlText w:val=""/>
      <w:lvlJc w:val="left"/>
      <w:pPr>
        <w:ind w:left="2160" w:hanging="180"/>
      </w:pPr>
      <w:rPr>
        <w:rFonts w:ascii="Symbol" w:hAnsi="Symbol" w:hint="default"/>
      </w:rPr>
    </w:lvl>
    <w:lvl w:ilvl="3" w:tplc="F85C961A">
      <w:start w:val="1"/>
      <w:numFmt w:val="upp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E195B54"/>
    <w:multiLevelType w:val="hybridMultilevel"/>
    <w:tmpl w:val="011C06D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02D054C"/>
    <w:multiLevelType w:val="hybridMultilevel"/>
    <w:tmpl w:val="C35A005C"/>
    <w:lvl w:ilvl="0" w:tplc="080A0013">
      <w:start w:val="1"/>
      <w:numFmt w:val="upperRoman"/>
      <w:lvlText w:val="%1."/>
      <w:lvlJc w:val="righ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15:restartNumberingAfterBreak="0">
    <w:nsid w:val="204D6AB8"/>
    <w:multiLevelType w:val="hybridMultilevel"/>
    <w:tmpl w:val="1CECDEDA"/>
    <w:lvl w:ilvl="0" w:tplc="080A0013">
      <w:start w:val="1"/>
      <w:numFmt w:val="upperRoman"/>
      <w:lvlText w:val="%1."/>
      <w:lvlJc w:val="right"/>
      <w:pPr>
        <w:ind w:left="1428" w:hanging="360"/>
      </w:pPr>
      <w:rPr>
        <w:rFont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3" w15:restartNumberingAfterBreak="0">
    <w:nsid w:val="253B7E5A"/>
    <w:multiLevelType w:val="hybridMultilevel"/>
    <w:tmpl w:val="4EEE5546"/>
    <w:lvl w:ilvl="0" w:tplc="080A0013">
      <w:start w:val="1"/>
      <w:numFmt w:val="upperRoman"/>
      <w:lvlText w:val="%1."/>
      <w:lvlJc w:val="right"/>
      <w:pPr>
        <w:ind w:left="1440" w:hanging="360"/>
      </w:pPr>
      <w:rPr>
        <w:rFonts w:hint="default"/>
        <w:b/>
        <w:color w:val="000000" w:themeColor="text1"/>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4" w15:restartNumberingAfterBreak="0">
    <w:nsid w:val="31386B80"/>
    <w:multiLevelType w:val="hybridMultilevel"/>
    <w:tmpl w:val="AA50723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5F54134"/>
    <w:multiLevelType w:val="hybridMultilevel"/>
    <w:tmpl w:val="9E7225AE"/>
    <w:lvl w:ilvl="0" w:tplc="23B2D76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AB61F87"/>
    <w:multiLevelType w:val="hybridMultilevel"/>
    <w:tmpl w:val="55E47DE8"/>
    <w:lvl w:ilvl="0" w:tplc="080A0001">
      <w:start w:val="1"/>
      <w:numFmt w:val="bullet"/>
      <w:lvlText w:val=""/>
      <w:lvlJc w:val="left"/>
      <w:pPr>
        <w:ind w:left="720" w:hanging="360"/>
      </w:pPr>
      <w:rPr>
        <w:rFonts w:ascii="Symbol" w:hAnsi="Symbol" w:hint="default"/>
      </w:rPr>
    </w:lvl>
    <w:lvl w:ilvl="1" w:tplc="080A0017">
      <w:start w:val="1"/>
      <w:numFmt w:val="lowerLetter"/>
      <w:lvlText w:val="%2)"/>
      <w:lvlJc w:val="left"/>
      <w:pPr>
        <w:ind w:left="1440" w:hanging="360"/>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5521D3A"/>
    <w:multiLevelType w:val="hybridMultilevel"/>
    <w:tmpl w:val="D5B87A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6BF5C17"/>
    <w:multiLevelType w:val="hybridMultilevel"/>
    <w:tmpl w:val="FC4EC8CE"/>
    <w:lvl w:ilvl="0" w:tplc="363E4572">
      <w:start w:val="1"/>
      <w:numFmt w:val="lowerRoman"/>
      <w:lvlText w:val="(%1)"/>
      <w:lvlJc w:val="left"/>
      <w:pPr>
        <w:ind w:left="720" w:hanging="360"/>
      </w:pPr>
      <w:rPr>
        <w:rFonts w:ascii="ITC Avant Garde" w:eastAsiaTheme="minorHAnsi" w:hAnsi="ITC Avant Garde" w:cstheme="minorBid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85071BE"/>
    <w:multiLevelType w:val="hybridMultilevel"/>
    <w:tmpl w:val="1340CD4A"/>
    <w:lvl w:ilvl="0" w:tplc="080A0013">
      <w:start w:val="1"/>
      <w:numFmt w:val="upperRoman"/>
      <w:lvlText w:val="%1."/>
      <w:lvlJc w:val="right"/>
      <w:pPr>
        <w:ind w:left="1440" w:hanging="360"/>
      </w:pPr>
      <w:rPr>
        <w:rFonts w:hint="default"/>
      </w:rPr>
    </w:lvl>
    <w:lvl w:ilvl="1" w:tplc="080A0015">
      <w:start w:val="1"/>
      <w:numFmt w:val="upperLetter"/>
      <w:lvlText w:val="%2."/>
      <w:lvlJc w:val="left"/>
      <w:pPr>
        <w:ind w:left="2160" w:hanging="360"/>
      </w:pPr>
      <w:rPr>
        <w:rFonts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0" w15:restartNumberingAfterBreak="0">
    <w:nsid w:val="53261AEC"/>
    <w:multiLevelType w:val="hybridMultilevel"/>
    <w:tmpl w:val="DB423320"/>
    <w:lvl w:ilvl="0" w:tplc="15606396">
      <w:start w:val="1"/>
      <w:numFmt w:val="decimal"/>
      <w:lvlText w:val="%1."/>
      <w:lvlJc w:val="left"/>
      <w:pPr>
        <w:ind w:left="720" w:hanging="360"/>
      </w:pPr>
      <w:rPr>
        <w:rFonts w:hint="default"/>
        <w:sz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7E37332"/>
    <w:multiLevelType w:val="hybridMultilevel"/>
    <w:tmpl w:val="3AD8F772"/>
    <w:lvl w:ilvl="0" w:tplc="080A0013">
      <w:start w:val="1"/>
      <w:numFmt w:val="upperRoman"/>
      <w:lvlText w:val="%1."/>
      <w:lvlJc w:val="right"/>
      <w:pPr>
        <w:ind w:left="1776" w:hanging="360"/>
      </w:pPr>
    </w:lvl>
    <w:lvl w:ilvl="1" w:tplc="080A0019">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2" w15:restartNumberingAfterBreak="0">
    <w:nsid w:val="59EF7380"/>
    <w:multiLevelType w:val="hybridMultilevel"/>
    <w:tmpl w:val="1CECDEDA"/>
    <w:lvl w:ilvl="0" w:tplc="080A0013">
      <w:start w:val="1"/>
      <w:numFmt w:val="upperRoman"/>
      <w:lvlText w:val="%1."/>
      <w:lvlJc w:val="right"/>
      <w:pPr>
        <w:ind w:left="1428" w:hanging="360"/>
      </w:pPr>
      <w:rPr>
        <w:rFont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3" w15:restartNumberingAfterBreak="0">
    <w:nsid w:val="5A443CD4"/>
    <w:multiLevelType w:val="multilevel"/>
    <w:tmpl w:val="20CEC78A"/>
    <w:lvl w:ilvl="0">
      <w:start w:val="5"/>
      <w:numFmt w:val="decimal"/>
      <w:lvlText w:val="%1."/>
      <w:lvlJc w:val="left"/>
      <w:pPr>
        <w:ind w:left="720" w:hanging="360"/>
      </w:pPr>
      <w:rPr>
        <w:rFonts w:hint="default"/>
        <w:b/>
      </w:rPr>
    </w:lvl>
    <w:lvl w:ilvl="1">
      <w:start w:val="1"/>
      <w:numFmt w:val="decimal"/>
      <w:isLgl/>
      <w:lvlText w:val="%1.%2"/>
      <w:lvlJc w:val="left"/>
      <w:pPr>
        <w:ind w:left="1155" w:hanging="435"/>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24" w15:restartNumberingAfterBreak="0">
    <w:nsid w:val="5DD321AC"/>
    <w:multiLevelType w:val="hybridMultilevel"/>
    <w:tmpl w:val="AF5CCBD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14E34E7"/>
    <w:multiLevelType w:val="hybridMultilevel"/>
    <w:tmpl w:val="655E28D8"/>
    <w:lvl w:ilvl="0" w:tplc="080A0019">
      <w:start w:val="1"/>
      <w:numFmt w:val="lowerLetter"/>
      <w:lvlText w:val="%1."/>
      <w:lvlJc w:val="left"/>
      <w:pPr>
        <w:ind w:left="2136" w:hanging="360"/>
      </w:p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26" w15:restartNumberingAfterBreak="0">
    <w:nsid w:val="636F726F"/>
    <w:multiLevelType w:val="hybridMultilevel"/>
    <w:tmpl w:val="7D2C9FA6"/>
    <w:lvl w:ilvl="0" w:tplc="080A0013">
      <w:start w:val="1"/>
      <w:numFmt w:val="upperRoman"/>
      <w:lvlText w:val="%1."/>
      <w:lvlJc w:val="right"/>
      <w:pPr>
        <w:ind w:left="720" w:hanging="360"/>
      </w:pPr>
      <w:rPr>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7" w15:restartNumberingAfterBreak="0">
    <w:nsid w:val="66ED5816"/>
    <w:multiLevelType w:val="hybridMultilevel"/>
    <w:tmpl w:val="1D3627FC"/>
    <w:lvl w:ilvl="0" w:tplc="080A0013">
      <w:start w:val="1"/>
      <w:numFmt w:val="upperRoman"/>
      <w:lvlText w:val="%1."/>
      <w:lvlJc w:val="right"/>
      <w:pPr>
        <w:ind w:left="1428" w:hanging="360"/>
      </w:pPr>
      <w:rPr>
        <w:rFont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8" w15:restartNumberingAfterBreak="0">
    <w:nsid w:val="67A27989"/>
    <w:multiLevelType w:val="hybridMultilevel"/>
    <w:tmpl w:val="4830C974"/>
    <w:lvl w:ilvl="0" w:tplc="DA1E5F10">
      <w:start w:val="1"/>
      <w:numFmt w:val="upperRoman"/>
      <w:lvlText w:val="%1."/>
      <w:lvlJc w:val="right"/>
      <w:pPr>
        <w:ind w:left="1428" w:hanging="360"/>
      </w:pPr>
      <w:rPr>
        <w:rFonts w:hint="default"/>
        <w:b w:val="0"/>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9" w15:restartNumberingAfterBreak="0">
    <w:nsid w:val="68EB5F9B"/>
    <w:multiLevelType w:val="hybridMultilevel"/>
    <w:tmpl w:val="2614397A"/>
    <w:lvl w:ilvl="0" w:tplc="EA2644C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A0A5817"/>
    <w:multiLevelType w:val="hybridMultilevel"/>
    <w:tmpl w:val="E272AD00"/>
    <w:lvl w:ilvl="0" w:tplc="428E9A82">
      <w:start w:val="3"/>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AF8707A"/>
    <w:multiLevelType w:val="hybridMultilevel"/>
    <w:tmpl w:val="3AD8F77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2BE3F30"/>
    <w:multiLevelType w:val="hybridMultilevel"/>
    <w:tmpl w:val="1F9E67B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69C0D79"/>
    <w:multiLevelType w:val="hybridMultilevel"/>
    <w:tmpl w:val="CAFCDEFC"/>
    <w:lvl w:ilvl="0" w:tplc="080A0015">
      <w:start w:val="4"/>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91332C7"/>
    <w:multiLevelType w:val="hybridMultilevel"/>
    <w:tmpl w:val="44BEBE70"/>
    <w:lvl w:ilvl="0" w:tplc="C778D8F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A6718AE"/>
    <w:multiLevelType w:val="hybridMultilevel"/>
    <w:tmpl w:val="40F0CAD6"/>
    <w:lvl w:ilvl="0" w:tplc="C9322484">
      <w:start w:val="2"/>
      <w:numFmt w:val="decimal"/>
      <w:lvlText w:val="%1."/>
      <w:lvlJc w:val="left"/>
      <w:pPr>
        <w:ind w:left="720" w:hanging="360"/>
      </w:pPr>
      <w:rPr>
        <w:rFonts w:hint="default"/>
        <w:sz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AEA3AB3"/>
    <w:multiLevelType w:val="hybridMultilevel"/>
    <w:tmpl w:val="A2F4000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7" w15:restartNumberingAfterBreak="0">
    <w:nsid w:val="7D5D2770"/>
    <w:multiLevelType w:val="hybridMultilevel"/>
    <w:tmpl w:val="96FA7E62"/>
    <w:lvl w:ilvl="0" w:tplc="080A0013">
      <w:start w:val="1"/>
      <w:numFmt w:val="upperRoman"/>
      <w:lvlText w:val="%1."/>
      <w:lvlJc w:val="right"/>
      <w:pPr>
        <w:ind w:left="1440" w:hanging="360"/>
      </w:p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8" w15:restartNumberingAfterBreak="0">
    <w:nsid w:val="7D753610"/>
    <w:multiLevelType w:val="hybridMultilevel"/>
    <w:tmpl w:val="9E2ECED6"/>
    <w:lvl w:ilvl="0" w:tplc="75CCA37A">
      <w:start w:val="1"/>
      <w:numFmt w:val="upperRoman"/>
      <w:lvlText w:val="%1."/>
      <w:lvlJc w:val="right"/>
      <w:pPr>
        <w:ind w:left="1440" w:hanging="360"/>
      </w:pPr>
      <w:rPr>
        <w:b w:val="0"/>
        <w:color w:val="000000" w:themeColor="text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8"/>
  </w:num>
  <w:num w:numId="2">
    <w:abstractNumId w:val="15"/>
  </w:num>
  <w:num w:numId="3">
    <w:abstractNumId w:val="5"/>
  </w:num>
  <w:num w:numId="4">
    <w:abstractNumId w:val="23"/>
  </w:num>
  <w:num w:numId="5">
    <w:abstractNumId w:val="29"/>
  </w:num>
  <w:num w:numId="6">
    <w:abstractNumId w:val="26"/>
  </w:num>
  <w:num w:numId="7">
    <w:abstractNumId w:val="36"/>
  </w:num>
  <w:num w:numId="8">
    <w:abstractNumId w:val="2"/>
  </w:num>
  <w:num w:numId="9">
    <w:abstractNumId w:val="17"/>
  </w:num>
  <w:num w:numId="10">
    <w:abstractNumId w:val="3"/>
  </w:num>
  <w:num w:numId="11">
    <w:abstractNumId w:val="16"/>
  </w:num>
  <w:num w:numId="12">
    <w:abstractNumId w:val="8"/>
  </w:num>
  <w:num w:numId="13">
    <w:abstractNumId w:val="34"/>
  </w:num>
  <w:num w:numId="14">
    <w:abstractNumId w:val="14"/>
  </w:num>
  <w:num w:numId="15">
    <w:abstractNumId w:val="10"/>
  </w:num>
  <w:num w:numId="16">
    <w:abstractNumId w:val="9"/>
  </w:num>
  <w:num w:numId="17">
    <w:abstractNumId w:val="0"/>
  </w:num>
  <w:num w:numId="18">
    <w:abstractNumId w:val="37"/>
  </w:num>
  <w:num w:numId="19">
    <w:abstractNumId w:val="11"/>
  </w:num>
  <w:num w:numId="20">
    <w:abstractNumId w:val="27"/>
  </w:num>
  <w:num w:numId="21">
    <w:abstractNumId w:val="28"/>
  </w:num>
  <w:num w:numId="22">
    <w:abstractNumId w:val="19"/>
  </w:num>
  <w:num w:numId="23">
    <w:abstractNumId w:val="22"/>
  </w:num>
  <w:num w:numId="24">
    <w:abstractNumId w:val="13"/>
  </w:num>
  <w:num w:numId="25">
    <w:abstractNumId w:val="21"/>
  </w:num>
  <w:num w:numId="26">
    <w:abstractNumId w:val="12"/>
  </w:num>
  <w:num w:numId="27">
    <w:abstractNumId w:val="25"/>
  </w:num>
  <w:num w:numId="28">
    <w:abstractNumId w:val="1"/>
  </w:num>
  <w:num w:numId="29">
    <w:abstractNumId w:val="31"/>
  </w:num>
  <w:num w:numId="30">
    <w:abstractNumId w:val="6"/>
  </w:num>
  <w:num w:numId="31">
    <w:abstractNumId w:val="9"/>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2"/>
  </w:num>
  <w:num w:numId="33">
    <w:abstractNumId w:val="24"/>
  </w:num>
  <w:num w:numId="34">
    <w:abstractNumId w:val="20"/>
  </w:num>
  <w:num w:numId="35">
    <w:abstractNumId w:val="35"/>
  </w:num>
  <w:num w:numId="36">
    <w:abstractNumId w:val="33"/>
  </w:num>
  <w:num w:numId="37">
    <w:abstractNumId w:val="30"/>
  </w:num>
  <w:num w:numId="38">
    <w:abstractNumId w:val="38"/>
  </w:num>
  <w:num w:numId="39">
    <w:abstractNumId w:val="4"/>
  </w:num>
  <w:num w:numId="4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473D"/>
    <w:rsid w:val="00003334"/>
    <w:rsid w:val="00004AB0"/>
    <w:rsid w:val="00017F75"/>
    <w:rsid w:val="00032D8E"/>
    <w:rsid w:val="0003607B"/>
    <w:rsid w:val="000369A0"/>
    <w:rsid w:val="0003743C"/>
    <w:rsid w:val="000506D5"/>
    <w:rsid w:val="0005211F"/>
    <w:rsid w:val="000547BF"/>
    <w:rsid w:val="00070770"/>
    <w:rsid w:val="000738AF"/>
    <w:rsid w:val="00085531"/>
    <w:rsid w:val="000859DA"/>
    <w:rsid w:val="000A137E"/>
    <w:rsid w:val="000A3D0E"/>
    <w:rsid w:val="000B08CA"/>
    <w:rsid w:val="000B0DB1"/>
    <w:rsid w:val="000B5180"/>
    <w:rsid w:val="000C078E"/>
    <w:rsid w:val="000D09FF"/>
    <w:rsid w:val="000D2D11"/>
    <w:rsid w:val="000F3094"/>
    <w:rsid w:val="000F5EC7"/>
    <w:rsid w:val="000F7170"/>
    <w:rsid w:val="0010473D"/>
    <w:rsid w:val="0013272E"/>
    <w:rsid w:val="00132A49"/>
    <w:rsid w:val="00145B54"/>
    <w:rsid w:val="00145CC4"/>
    <w:rsid w:val="0015020D"/>
    <w:rsid w:val="00152C71"/>
    <w:rsid w:val="001639DE"/>
    <w:rsid w:val="00164B95"/>
    <w:rsid w:val="00180633"/>
    <w:rsid w:val="0018104C"/>
    <w:rsid w:val="0018158D"/>
    <w:rsid w:val="001A0223"/>
    <w:rsid w:val="001A09B9"/>
    <w:rsid w:val="001A2AEA"/>
    <w:rsid w:val="001A3D0E"/>
    <w:rsid w:val="001A4686"/>
    <w:rsid w:val="001A5A93"/>
    <w:rsid w:val="001A7DC5"/>
    <w:rsid w:val="001B7982"/>
    <w:rsid w:val="001C0770"/>
    <w:rsid w:val="001C6764"/>
    <w:rsid w:val="001D0877"/>
    <w:rsid w:val="001D1F9A"/>
    <w:rsid w:val="001D46E6"/>
    <w:rsid w:val="001D485A"/>
    <w:rsid w:val="001E1FDE"/>
    <w:rsid w:val="001E33A4"/>
    <w:rsid w:val="001E5BA7"/>
    <w:rsid w:val="001E5F53"/>
    <w:rsid w:val="001E601D"/>
    <w:rsid w:val="001F385A"/>
    <w:rsid w:val="00200F0D"/>
    <w:rsid w:val="0020244F"/>
    <w:rsid w:val="00226E46"/>
    <w:rsid w:val="00234F6A"/>
    <w:rsid w:val="0026114F"/>
    <w:rsid w:val="0026557D"/>
    <w:rsid w:val="00266D31"/>
    <w:rsid w:val="00273BA8"/>
    <w:rsid w:val="00292440"/>
    <w:rsid w:val="00292C96"/>
    <w:rsid w:val="00294B3F"/>
    <w:rsid w:val="002A383D"/>
    <w:rsid w:val="002C2511"/>
    <w:rsid w:val="002C3492"/>
    <w:rsid w:val="002D6471"/>
    <w:rsid w:val="002D73A1"/>
    <w:rsid w:val="002E46D4"/>
    <w:rsid w:val="002E534B"/>
    <w:rsid w:val="002F5919"/>
    <w:rsid w:val="00300D3D"/>
    <w:rsid w:val="00302F5F"/>
    <w:rsid w:val="0030557C"/>
    <w:rsid w:val="00317C25"/>
    <w:rsid w:val="00324945"/>
    <w:rsid w:val="00331F37"/>
    <w:rsid w:val="00333578"/>
    <w:rsid w:val="00340E94"/>
    <w:rsid w:val="0034164E"/>
    <w:rsid w:val="00343CC8"/>
    <w:rsid w:val="00354850"/>
    <w:rsid w:val="00355A55"/>
    <w:rsid w:val="00357853"/>
    <w:rsid w:val="00361C7B"/>
    <w:rsid w:val="003730AA"/>
    <w:rsid w:val="003731EC"/>
    <w:rsid w:val="00374611"/>
    <w:rsid w:val="003806DB"/>
    <w:rsid w:val="0038160B"/>
    <w:rsid w:val="003B23C2"/>
    <w:rsid w:val="003B432E"/>
    <w:rsid w:val="003C49F6"/>
    <w:rsid w:val="003C739A"/>
    <w:rsid w:val="003D12F9"/>
    <w:rsid w:val="003D2BC8"/>
    <w:rsid w:val="003E26E6"/>
    <w:rsid w:val="003F3D55"/>
    <w:rsid w:val="003F5845"/>
    <w:rsid w:val="003F6DD6"/>
    <w:rsid w:val="00423CB8"/>
    <w:rsid w:val="00431533"/>
    <w:rsid w:val="00433F40"/>
    <w:rsid w:val="00442BC2"/>
    <w:rsid w:val="004450B0"/>
    <w:rsid w:val="0046337A"/>
    <w:rsid w:val="00481850"/>
    <w:rsid w:val="00486DAF"/>
    <w:rsid w:val="0048705D"/>
    <w:rsid w:val="00496B50"/>
    <w:rsid w:val="004A2AC7"/>
    <w:rsid w:val="004A5012"/>
    <w:rsid w:val="004A5EF4"/>
    <w:rsid w:val="004A744E"/>
    <w:rsid w:val="004B746D"/>
    <w:rsid w:val="004C0BD3"/>
    <w:rsid w:val="004C2F6E"/>
    <w:rsid w:val="004C4B38"/>
    <w:rsid w:val="004C6872"/>
    <w:rsid w:val="004D1105"/>
    <w:rsid w:val="004D17EE"/>
    <w:rsid w:val="004D1B42"/>
    <w:rsid w:val="004E258A"/>
    <w:rsid w:val="004E6D72"/>
    <w:rsid w:val="004F3D0C"/>
    <w:rsid w:val="0050186A"/>
    <w:rsid w:val="00512663"/>
    <w:rsid w:val="00514EF0"/>
    <w:rsid w:val="00520001"/>
    <w:rsid w:val="00520CBA"/>
    <w:rsid w:val="00522981"/>
    <w:rsid w:val="00524E40"/>
    <w:rsid w:val="005307ED"/>
    <w:rsid w:val="005308F4"/>
    <w:rsid w:val="00530E76"/>
    <w:rsid w:val="005323F3"/>
    <w:rsid w:val="00537D18"/>
    <w:rsid w:val="0056176D"/>
    <w:rsid w:val="00565B9A"/>
    <w:rsid w:val="00567234"/>
    <w:rsid w:val="00570BA7"/>
    <w:rsid w:val="0057100C"/>
    <w:rsid w:val="00575640"/>
    <w:rsid w:val="00575911"/>
    <w:rsid w:val="0057598E"/>
    <w:rsid w:val="00587CA3"/>
    <w:rsid w:val="0059036B"/>
    <w:rsid w:val="00593C81"/>
    <w:rsid w:val="0059495E"/>
    <w:rsid w:val="0059716A"/>
    <w:rsid w:val="005B728A"/>
    <w:rsid w:val="005C259A"/>
    <w:rsid w:val="005C671C"/>
    <w:rsid w:val="005D3094"/>
    <w:rsid w:val="005D7783"/>
    <w:rsid w:val="005E163B"/>
    <w:rsid w:val="005F125C"/>
    <w:rsid w:val="005F5ECC"/>
    <w:rsid w:val="006044F5"/>
    <w:rsid w:val="00631579"/>
    <w:rsid w:val="00631AA2"/>
    <w:rsid w:val="00633019"/>
    <w:rsid w:val="00644CDA"/>
    <w:rsid w:val="00656271"/>
    <w:rsid w:val="00662296"/>
    <w:rsid w:val="006627E4"/>
    <w:rsid w:val="00670270"/>
    <w:rsid w:val="00671DC3"/>
    <w:rsid w:val="00674216"/>
    <w:rsid w:val="00680406"/>
    <w:rsid w:val="0069081C"/>
    <w:rsid w:val="0069610E"/>
    <w:rsid w:val="00696AEA"/>
    <w:rsid w:val="006973AD"/>
    <w:rsid w:val="006A24FC"/>
    <w:rsid w:val="006A44AC"/>
    <w:rsid w:val="006A6200"/>
    <w:rsid w:val="006B4C22"/>
    <w:rsid w:val="006B58B0"/>
    <w:rsid w:val="006B642A"/>
    <w:rsid w:val="006B6C39"/>
    <w:rsid w:val="006C2671"/>
    <w:rsid w:val="006D0450"/>
    <w:rsid w:val="006E1D27"/>
    <w:rsid w:val="006E5D5E"/>
    <w:rsid w:val="006E74C2"/>
    <w:rsid w:val="006E7A8E"/>
    <w:rsid w:val="006F202D"/>
    <w:rsid w:val="006F5928"/>
    <w:rsid w:val="006F5B06"/>
    <w:rsid w:val="006F7F69"/>
    <w:rsid w:val="00716144"/>
    <w:rsid w:val="0072032C"/>
    <w:rsid w:val="00737CBF"/>
    <w:rsid w:val="007416B0"/>
    <w:rsid w:val="00742A12"/>
    <w:rsid w:val="007649F1"/>
    <w:rsid w:val="007734F1"/>
    <w:rsid w:val="00781676"/>
    <w:rsid w:val="007918DE"/>
    <w:rsid w:val="0079200B"/>
    <w:rsid w:val="00792B51"/>
    <w:rsid w:val="007A3BC6"/>
    <w:rsid w:val="007B242C"/>
    <w:rsid w:val="007B3B04"/>
    <w:rsid w:val="007B4C12"/>
    <w:rsid w:val="007B5CC0"/>
    <w:rsid w:val="007C1DB2"/>
    <w:rsid w:val="007C79A7"/>
    <w:rsid w:val="00800BF8"/>
    <w:rsid w:val="00803E3E"/>
    <w:rsid w:val="008306F3"/>
    <w:rsid w:val="0084061A"/>
    <w:rsid w:val="00842F77"/>
    <w:rsid w:val="0084710C"/>
    <w:rsid w:val="008476E5"/>
    <w:rsid w:val="00856305"/>
    <w:rsid w:val="00860DFA"/>
    <w:rsid w:val="008712A5"/>
    <w:rsid w:val="00872D05"/>
    <w:rsid w:val="008769C2"/>
    <w:rsid w:val="0089589C"/>
    <w:rsid w:val="008A069C"/>
    <w:rsid w:val="008B7C79"/>
    <w:rsid w:val="008D3390"/>
    <w:rsid w:val="008E2AD7"/>
    <w:rsid w:val="008F1EB7"/>
    <w:rsid w:val="0090212D"/>
    <w:rsid w:val="00903E0D"/>
    <w:rsid w:val="00913542"/>
    <w:rsid w:val="009163E3"/>
    <w:rsid w:val="009235FD"/>
    <w:rsid w:val="00926D19"/>
    <w:rsid w:val="00930490"/>
    <w:rsid w:val="009360EE"/>
    <w:rsid w:val="00936BDF"/>
    <w:rsid w:val="00943906"/>
    <w:rsid w:val="00954A0C"/>
    <w:rsid w:val="00965D76"/>
    <w:rsid w:val="00971D20"/>
    <w:rsid w:val="009722AF"/>
    <w:rsid w:val="00976B92"/>
    <w:rsid w:val="00981502"/>
    <w:rsid w:val="00983FC8"/>
    <w:rsid w:val="00995C87"/>
    <w:rsid w:val="00995EDC"/>
    <w:rsid w:val="009A081D"/>
    <w:rsid w:val="009A4A01"/>
    <w:rsid w:val="009B56BB"/>
    <w:rsid w:val="009C3C13"/>
    <w:rsid w:val="009C5FD9"/>
    <w:rsid w:val="009D398C"/>
    <w:rsid w:val="009E2657"/>
    <w:rsid w:val="009F043F"/>
    <w:rsid w:val="00A04A29"/>
    <w:rsid w:val="00A04A67"/>
    <w:rsid w:val="00A06101"/>
    <w:rsid w:val="00A165CC"/>
    <w:rsid w:val="00A16CD5"/>
    <w:rsid w:val="00A30979"/>
    <w:rsid w:val="00A46AE5"/>
    <w:rsid w:val="00A54EDB"/>
    <w:rsid w:val="00A64D87"/>
    <w:rsid w:val="00A67440"/>
    <w:rsid w:val="00A77F6C"/>
    <w:rsid w:val="00A82E09"/>
    <w:rsid w:val="00A82F49"/>
    <w:rsid w:val="00AA055E"/>
    <w:rsid w:val="00AA0665"/>
    <w:rsid w:val="00AA6635"/>
    <w:rsid w:val="00AB06C7"/>
    <w:rsid w:val="00AB18BA"/>
    <w:rsid w:val="00AB5718"/>
    <w:rsid w:val="00AC0B9E"/>
    <w:rsid w:val="00AC26DB"/>
    <w:rsid w:val="00AD4A62"/>
    <w:rsid w:val="00AD6DBA"/>
    <w:rsid w:val="00AE3556"/>
    <w:rsid w:val="00AF1E29"/>
    <w:rsid w:val="00AF4F8E"/>
    <w:rsid w:val="00AF575D"/>
    <w:rsid w:val="00B03350"/>
    <w:rsid w:val="00B038DA"/>
    <w:rsid w:val="00B05E42"/>
    <w:rsid w:val="00B060C8"/>
    <w:rsid w:val="00B101D0"/>
    <w:rsid w:val="00B1146A"/>
    <w:rsid w:val="00B13E89"/>
    <w:rsid w:val="00B15723"/>
    <w:rsid w:val="00B17B12"/>
    <w:rsid w:val="00B3385E"/>
    <w:rsid w:val="00B3573B"/>
    <w:rsid w:val="00B420B2"/>
    <w:rsid w:val="00B4292E"/>
    <w:rsid w:val="00B4684B"/>
    <w:rsid w:val="00B5242B"/>
    <w:rsid w:val="00B61ACE"/>
    <w:rsid w:val="00B80135"/>
    <w:rsid w:val="00BA09C4"/>
    <w:rsid w:val="00BA7D79"/>
    <w:rsid w:val="00BB3B24"/>
    <w:rsid w:val="00BB68EE"/>
    <w:rsid w:val="00BC1308"/>
    <w:rsid w:val="00BC6D60"/>
    <w:rsid w:val="00BD6F03"/>
    <w:rsid w:val="00BE1F3E"/>
    <w:rsid w:val="00BE61BE"/>
    <w:rsid w:val="00BF0C97"/>
    <w:rsid w:val="00C04F49"/>
    <w:rsid w:val="00C103EE"/>
    <w:rsid w:val="00C14629"/>
    <w:rsid w:val="00C155EF"/>
    <w:rsid w:val="00C21F89"/>
    <w:rsid w:val="00C4357A"/>
    <w:rsid w:val="00C440FB"/>
    <w:rsid w:val="00C50527"/>
    <w:rsid w:val="00C5637A"/>
    <w:rsid w:val="00C57175"/>
    <w:rsid w:val="00C57499"/>
    <w:rsid w:val="00C61316"/>
    <w:rsid w:val="00C62047"/>
    <w:rsid w:val="00C6310F"/>
    <w:rsid w:val="00C72438"/>
    <w:rsid w:val="00C72BB9"/>
    <w:rsid w:val="00C7658A"/>
    <w:rsid w:val="00C82E3C"/>
    <w:rsid w:val="00C85BF1"/>
    <w:rsid w:val="00C90BEA"/>
    <w:rsid w:val="00C93FBA"/>
    <w:rsid w:val="00CA4743"/>
    <w:rsid w:val="00CA7B76"/>
    <w:rsid w:val="00CB4372"/>
    <w:rsid w:val="00CB63BF"/>
    <w:rsid w:val="00CB6C6A"/>
    <w:rsid w:val="00CC2128"/>
    <w:rsid w:val="00CC2367"/>
    <w:rsid w:val="00CC5454"/>
    <w:rsid w:val="00CC7FAD"/>
    <w:rsid w:val="00CD2129"/>
    <w:rsid w:val="00CD6D13"/>
    <w:rsid w:val="00CE2C2C"/>
    <w:rsid w:val="00D033F3"/>
    <w:rsid w:val="00D06733"/>
    <w:rsid w:val="00D07A60"/>
    <w:rsid w:val="00D20CBB"/>
    <w:rsid w:val="00D20E22"/>
    <w:rsid w:val="00D22398"/>
    <w:rsid w:val="00D35B28"/>
    <w:rsid w:val="00D43A9C"/>
    <w:rsid w:val="00D46F67"/>
    <w:rsid w:val="00D524D0"/>
    <w:rsid w:val="00D56DAB"/>
    <w:rsid w:val="00D571A5"/>
    <w:rsid w:val="00D62267"/>
    <w:rsid w:val="00D7019B"/>
    <w:rsid w:val="00D87BBA"/>
    <w:rsid w:val="00DA01AB"/>
    <w:rsid w:val="00DA227F"/>
    <w:rsid w:val="00DB220E"/>
    <w:rsid w:val="00DB4F01"/>
    <w:rsid w:val="00DB7059"/>
    <w:rsid w:val="00DC20E5"/>
    <w:rsid w:val="00DC2B3D"/>
    <w:rsid w:val="00DC3B0E"/>
    <w:rsid w:val="00DD0B51"/>
    <w:rsid w:val="00DD1C5A"/>
    <w:rsid w:val="00DD5D47"/>
    <w:rsid w:val="00DD7D7B"/>
    <w:rsid w:val="00DE3E12"/>
    <w:rsid w:val="00DF5A84"/>
    <w:rsid w:val="00E10C73"/>
    <w:rsid w:val="00E14F80"/>
    <w:rsid w:val="00E2566F"/>
    <w:rsid w:val="00E25C10"/>
    <w:rsid w:val="00E30B36"/>
    <w:rsid w:val="00E3739C"/>
    <w:rsid w:val="00E37E7D"/>
    <w:rsid w:val="00E536C5"/>
    <w:rsid w:val="00E60B2D"/>
    <w:rsid w:val="00E66E23"/>
    <w:rsid w:val="00E81ADE"/>
    <w:rsid w:val="00E82BDF"/>
    <w:rsid w:val="00E95BB7"/>
    <w:rsid w:val="00E96796"/>
    <w:rsid w:val="00E97122"/>
    <w:rsid w:val="00E972B1"/>
    <w:rsid w:val="00EA22F7"/>
    <w:rsid w:val="00EB0CDD"/>
    <w:rsid w:val="00ED3807"/>
    <w:rsid w:val="00EE3229"/>
    <w:rsid w:val="00EE349C"/>
    <w:rsid w:val="00EE5007"/>
    <w:rsid w:val="00EF14A2"/>
    <w:rsid w:val="00EF54AE"/>
    <w:rsid w:val="00F006A8"/>
    <w:rsid w:val="00F06BE3"/>
    <w:rsid w:val="00F123BA"/>
    <w:rsid w:val="00F15C5C"/>
    <w:rsid w:val="00F15C8C"/>
    <w:rsid w:val="00F227AE"/>
    <w:rsid w:val="00F264E1"/>
    <w:rsid w:val="00F3285B"/>
    <w:rsid w:val="00F508D8"/>
    <w:rsid w:val="00F50FF1"/>
    <w:rsid w:val="00F572D5"/>
    <w:rsid w:val="00F70FC2"/>
    <w:rsid w:val="00F81B4D"/>
    <w:rsid w:val="00FA19AD"/>
    <w:rsid w:val="00FA58FD"/>
    <w:rsid w:val="00FB1AA6"/>
    <w:rsid w:val="00FB6FB0"/>
    <w:rsid w:val="00FD5B74"/>
    <w:rsid w:val="00FD6244"/>
    <w:rsid w:val="00FD7593"/>
    <w:rsid w:val="00FE3A8E"/>
    <w:rsid w:val="00FF70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CA192226-6231-4AD5-BA7D-B87EBA363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473D"/>
    <w:pPr>
      <w:spacing w:after="200" w:line="276" w:lineRule="auto"/>
    </w:pPr>
    <w:rPr>
      <w:rFonts w:ascii="Calibri" w:eastAsia="Calibri" w:hAnsi="Calibri" w:cs="Times New Roman"/>
    </w:rPr>
  </w:style>
  <w:style w:type="paragraph" w:styleId="Ttulo1">
    <w:name w:val="heading 1"/>
    <w:basedOn w:val="Normal"/>
    <w:next w:val="Normal"/>
    <w:link w:val="Ttulo1Car"/>
    <w:uiPriority w:val="9"/>
    <w:qFormat/>
    <w:rsid w:val="00C4357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qFormat/>
    <w:rsid w:val="00423CB8"/>
    <w:pPr>
      <w:keepNext/>
      <w:spacing w:after="0" w:line="240" w:lineRule="auto"/>
      <w:ind w:firstLine="2835"/>
      <w:jc w:val="both"/>
      <w:outlineLvl w:val="1"/>
    </w:pPr>
    <w:rPr>
      <w:rFonts w:ascii="Arial" w:eastAsia="Times New Roman" w:hAnsi="Arial"/>
      <w:b/>
      <w:sz w:val="24"/>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0473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0473D"/>
    <w:rPr>
      <w:rFonts w:ascii="Calibri" w:eastAsia="Calibri" w:hAnsi="Calibri" w:cs="Times New Roman"/>
    </w:rPr>
  </w:style>
  <w:style w:type="paragraph" w:styleId="Piedepgina">
    <w:name w:val="footer"/>
    <w:basedOn w:val="Normal"/>
    <w:link w:val="PiedepginaCar"/>
    <w:uiPriority w:val="99"/>
    <w:unhideWhenUsed/>
    <w:rsid w:val="0010473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0473D"/>
    <w:rPr>
      <w:rFonts w:ascii="Calibri" w:eastAsia="Calibri" w:hAnsi="Calibri" w:cs="Times New Roman"/>
    </w:rPr>
  </w:style>
  <w:style w:type="paragraph" w:customStyle="1" w:styleId="estilo30">
    <w:name w:val="estilo30"/>
    <w:basedOn w:val="Normal"/>
    <w:uiPriority w:val="99"/>
    <w:rsid w:val="0010473D"/>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Default">
    <w:name w:val="Default"/>
    <w:rsid w:val="0010473D"/>
    <w:pPr>
      <w:autoSpaceDE w:val="0"/>
      <w:autoSpaceDN w:val="0"/>
      <w:adjustRightInd w:val="0"/>
      <w:spacing w:after="0" w:line="240" w:lineRule="auto"/>
    </w:pPr>
    <w:rPr>
      <w:rFonts w:ascii="Tahoma" w:eastAsia="Calibri" w:hAnsi="Tahoma" w:cs="Tahoma"/>
      <w:color w:val="000000"/>
      <w:sz w:val="24"/>
      <w:szCs w:val="24"/>
      <w:lang w:eastAsia="es-MX"/>
    </w:rPr>
  </w:style>
  <w:style w:type="paragraph" w:styleId="Textodeglobo">
    <w:name w:val="Balloon Text"/>
    <w:basedOn w:val="Normal"/>
    <w:link w:val="TextodegloboCar"/>
    <w:uiPriority w:val="99"/>
    <w:semiHidden/>
    <w:unhideWhenUsed/>
    <w:rsid w:val="00A16CD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16CD5"/>
    <w:rPr>
      <w:rFonts w:ascii="Segoe UI" w:eastAsia="Calibri" w:hAnsi="Segoe UI" w:cs="Segoe UI"/>
      <w:sz w:val="18"/>
      <w:szCs w:val="18"/>
    </w:rPr>
  </w:style>
  <w:style w:type="paragraph" w:styleId="Prrafodelista">
    <w:name w:val="List Paragraph"/>
    <w:aliases w:val="4 Viñ 1nivel,Numeración 1,Cuadrícula media 1 - Énfasis 21,Bullet List,FooterText,numbered,List Paragraph1,Paragraphe de liste1,Bulletr List Paragraph,列出段落,列出段落1,Cuadros,Lista general"/>
    <w:basedOn w:val="Normal"/>
    <w:link w:val="PrrafodelistaCar"/>
    <w:uiPriority w:val="34"/>
    <w:qFormat/>
    <w:rsid w:val="00355A55"/>
    <w:pPr>
      <w:spacing w:after="160" w:line="259" w:lineRule="auto"/>
      <w:ind w:left="720"/>
      <w:contextualSpacing/>
    </w:pPr>
    <w:rPr>
      <w:rFonts w:asciiTheme="minorHAnsi" w:eastAsiaTheme="minorHAnsi" w:hAnsiTheme="minorHAnsi" w:cstheme="minorBidi"/>
    </w:rPr>
  </w:style>
  <w:style w:type="table" w:styleId="Tablaconcuadrcula">
    <w:name w:val="Table Grid"/>
    <w:basedOn w:val="Tablanormal"/>
    <w:uiPriority w:val="39"/>
    <w:rsid w:val="00C57499"/>
    <w:pPr>
      <w:spacing w:after="0" w:line="240" w:lineRule="auto"/>
    </w:pPr>
    <w:rPr>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4 Viñ 1nivel Car,Numeración 1 Car,Cuadrícula media 1 - Énfasis 21 Car,Bullet List Car,FooterText Car,numbered Car,List Paragraph1 Car,Paragraphe de liste1 Car,Bulletr List Paragraph Car,列出段落 Car,列出段落1 Car,Cuadros Car"/>
    <w:link w:val="Prrafodelista"/>
    <w:uiPriority w:val="34"/>
    <w:rsid w:val="00A82F49"/>
  </w:style>
  <w:style w:type="paragraph" w:styleId="Revisin">
    <w:name w:val="Revision"/>
    <w:hidden/>
    <w:uiPriority w:val="99"/>
    <w:semiHidden/>
    <w:rsid w:val="007416B0"/>
    <w:pPr>
      <w:spacing w:after="0" w:line="240" w:lineRule="auto"/>
    </w:pPr>
    <w:rPr>
      <w:rFonts w:ascii="Calibri" w:eastAsia="Calibri" w:hAnsi="Calibri" w:cs="Times New Roman"/>
    </w:rPr>
  </w:style>
  <w:style w:type="character" w:customStyle="1" w:styleId="Ttulo2Car">
    <w:name w:val="Título 2 Car"/>
    <w:basedOn w:val="Fuentedeprrafopredeter"/>
    <w:link w:val="Ttulo2"/>
    <w:uiPriority w:val="9"/>
    <w:rsid w:val="00423CB8"/>
    <w:rPr>
      <w:rFonts w:ascii="Arial" w:eastAsia="Times New Roman" w:hAnsi="Arial" w:cs="Times New Roman"/>
      <w:b/>
      <w:sz w:val="24"/>
      <w:szCs w:val="20"/>
      <w:lang w:eastAsia="es-ES"/>
    </w:rPr>
  </w:style>
  <w:style w:type="character" w:styleId="Refdecomentario">
    <w:name w:val="annotation reference"/>
    <w:basedOn w:val="Fuentedeprrafopredeter"/>
    <w:uiPriority w:val="99"/>
    <w:unhideWhenUsed/>
    <w:rsid w:val="001A7DC5"/>
    <w:rPr>
      <w:sz w:val="16"/>
      <w:szCs w:val="16"/>
    </w:rPr>
  </w:style>
  <w:style w:type="paragraph" w:styleId="Textocomentario">
    <w:name w:val="annotation text"/>
    <w:basedOn w:val="Normal"/>
    <w:link w:val="TextocomentarioCar"/>
    <w:uiPriority w:val="99"/>
    <w:unhideWhenUsed/>
    <w:rsid w:val="001A7DC5"/>
    <w:pPr>
      <w:spacing w:after="160" w:line="240" w:lineRule="auto"/>
    </w:pPr>
    <w:rPr>
      <w:rFonts w:asciiTheme="minorHAnsi" w:eastAsiaTheme="minorHAnsi" w:hAnsiTheme="minorHAnsi" w:cstheme="minorBidi"/>
      <w:sz w:val="20"/>
      <w:szCs w:val="20"/>
    </w:rPr>
  </w:style>
  <w:style w:type="character" w:customStyle="1" w:styleId="TextocomentarioCar">
    <w:name w:val="Texto comentario Car"/>
    <w:basedOn w:val="Fuentedeprrafopredeter"/>
    <w:link w:val="Textocomentario"/>
    <w:uiPriority w:val="99"/>
    <w:rsid w:val="001A7DC5"/>
    <w:rPr>
      <w:sz w:val="20"/>
      <w:szCs w:val="20"/>
    </w:rPr>
  </w:style>
  <w:style w:type="paragraph" w:customStyle="1" w:styleId="ANOTACION">
    <w:name w:val="ANOTACION"/>
    <w:basedOn w:val="Normal"/>
    <w:link w:val="ANOTACIONCar"/>
    <w:rsid w:val="001A7DC5"/>
    <w:pPr>
      <w:spacing w:before="101" w:after="101" w:line="216" w:lineRule="atLeast"/>
      <w:jc w:val="center"/>
    </w:pPr>
    <w:rPr>
      <w:rFonts w:ascii="Times New Roman" w:eastAsia="Times New Roman" w:hAnsi="Times New Roman"/>
      <w:b/>
      <w:sz w:val="18"/>
      <w:szCs w:val="20"/>
      <w:lang w:val="es-ES_tradnl" w:eastAsia="es-ES"/>
    </w:rPr>
  </w:style>
  <w:style w:type="character" w:customStyle="1" w:styleId="ANOTACIONCar">
    <w:name w:val="ANOTACION Car"/>
    <w:link w:val="ANOTACION"/>
    <w:locked/>
    <w:rsid w:val="001A7DC5"/>
    <w:rPr>
      <w:rFonts w:ascii="Times New Roman" w:eastAsia="Times New Roman" w:hAnsi="Times New Roman" w:cs="Times New Roman"/>
      <w:b/>
      <w:sz w:val="18"/>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1A7DC5"/>
    <w:pPr>
      <w:spacing w:after="200"/>
    </w:pPr>
    <w:rPr>
      <w:rFonts w:ascii="Calibri" w:eastAsia="Calibri" w:hAnsi="Calibri" w:cs="Times New Roman"/>
      <w:b/>
      <w:bCs/>
    </w:rPr>
  </w:style>
  <w:style w:type="character" w:customStyle="1" w:styleId="AsuntodelcomentarioCar">
    <w:name w:val="Asunto del comentario Car"/>
    <w:basedOn w:val="TextocomentarioCar"/>
    <w:link w:val="Asuntodelcomentario"/>
    <w:uiPriority w:val="99"/>
    <w:semiHidden/>
    <w:rsid w:val="001A7DC5"/>
    <w:rPr>
      <w:rFonts w:ascii="Calibri" w:eastAsia="Calibri" w:hAnsi="Calibri" w:cs="Times New Roman"/>
      <w:b/>
      <w:bCs/>
      <w:sz w:val="20"/>
      <w:szCs w:val="20"/>
    </w:rPr>
  </w:style>
  <w:style w:type="paragraph" w:styleId="Textonotapie">
    <w:name w:val="footnote text"/>
    <w:basedOn w:val="Normal"/>
    <w:link w:val="TextonotapieCar"/>
    <w:uiPriority w:val="99"/>
    <w:unhideWhenUsed/>
    <w:rsid w:val="00A30979"/>
    <w:pPr>
      <w:spacing w:after="0" w:line="240" w:lineRule="auto"/>
    </w:pPr>
    <w:rPr>
      <w:sz w:val="24"/>
      <w:szCs w:val="24"/>
    </w:rPr>
  </w:style>
  <w:style w:type="character" w:customStyle="1" w:styleId="TextonotapieCar">
    <w:name w:val="Texto nota pie Car"/>
    <w:basedOn w:val="Fuentedeprrafopredeter"/>
    <w:link w:val="Textonotapie"/>
    <w:uiPriority w:val="99"/>
    <w:rsid w:val="00A30979"/>
    <w:rPr>
      <w:rFonts w:ascii="Calibri" w:eastAsia="Calibri" w:hAnsi="Calibri" w:cs="Times New Roman"/>
      <w:sz w:val="24"/>
      <w:szCs w:val="24"/>
    </w:rPr>
  </w:style>
  <w:style w:type="character" w:styleId="Refdenotaalpie">
    <w:name w:val="footnote reference"/>
    <w:basedOn w:val="Fuentedeprrafopredeter"/>
    <w:uiPriority w:val="99"/>
    <w:unhideWhenUsed/>
    <w:rsid w:val="00A30979"/>
    <w:rPr>
      <w:vertAlign w:val="superscript"/>
    </w:rPr>
  </w:style>
  <w:style w:type="character" w:customStyle="1" w:styleId="Ttulo1Car">
    <w:name w:val="Título 1 Car"/>
    <w:basedOn w:val="Fuentedeprrafopredeter"/>
    <w:link w:val="Ttulo1"/>
    <w:uiPriority w:val="9"/>
    <w:rsid w:val="00C4357A"/>
    <w:rPr>
      <w:rFonts w:asciiTheme="majorHAnsi" w:eastAsiaTheme="majorEastAsia" w:hAnsiTheme="majorHAnsi" w:cstheme="majorBidi"/>
      <w:color w:val="2E74B5" w:themeColor="accent1" w:themeShade="BF"/>
      <w:sz w:val="32"/>
      <w:szCs w:val="32"/>
    </w:rPr>
  </w:style>
  <w:style w:type="paragraph" w:customStyle="1" w:styleId="Normal1">
    <w:name w:val="Normal1"/>
    <w:rsid w:val="00496B50"/>
    <w:pPr>
      <w:spacing w:after="0" w:line="276" w:lineRule="auto"/>
    </w:pPr>
    <w:rPr>
      <w:rFonts w:ascii="Arial" w:eastAsia="Arial" w:hAnsi="Arial" w:cs="Arial"/>
      <w:color w:val="000000"/>
      <w:szCs w:val="24"/>
      <w:lang w:eastAsia="es-ES"/>
    </w:rPr>
  </w:style>
  <w:style w:type="table" w:customStyle="1" w:styleId="Tabladecuadrcula4-nfasis51">
    <w:name w:val="Tabla de cuadrícula 4 - Énfasis 51"/>
    <w:basedOn w:val="Tablanormal"/>
    <w:uiPriority w:val="49"/>
    <w:rsid w:val="00496B50"/>
    <w:pPr>
      <w:spacing w:after="0" w:line="240" w:lineRule="auto"/>
    </w:pPr>
    <w:rPr>
      <w:rFonts w:ascii="Arial" w:eastAsia="Arial" w:hAnsi="Arial" w:cs="Arial"/>
      <w:color w:val="000000"/>
      <w:lang w:eastAsia="es-MX"/>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normal31">
    <w:name w:val="Tabla normal 31"/>
    <w:basedOn w:val="Tablanormal"/>
    <w:uiPriority w:val="43"/>
    <w:rsid w:val="00496B5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decuadrcula7concolores-nfasis31">
    <w:name w:val="Tabla de cuadrícula 7 con colores - Énfasis 31"/>
    <w:basedOn w:val="Tablanormal"/>
    <w:uiPriority w:val="52"/>
    <w:rsid w:val="00496B50"/>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paragraph" w:styleId="NormalWeb">
    <w:name w:val="Normal (Web)"/>
    <w:basedOn w:val="Normal"/>
    <w:uiPriority w:val="99"/>
    <w:semiHidden/>
    <w:unhideWhenUsed/>
    <w:rsid w:val="00496B50"/>
    <w:pPr>
      <w:spacing w:before="100" w:beforeAutospacing="1" w:after="100" w:afterAutospacing="1" w:line="240" w:lineRule="auto"/>
    </w:pPr>
    <w:rPr>
      <w:rFonts w:ascii="Times New Roman" w:eastAsiaTheme="minorEastAsia" w:hAnsi="Times New Roman"/>
      <w:sz w:val="24"/>
      <w:szCs w:val="24"/>
      <w:lang w:eastAsia="es-MX"/>
    </w:rPr>
  </w:style>
  <w:style w:type="character" w:styleId="Textodelmarcadordeposicin">
    <w:name w:val="Placeholder Text"/>
    <w:basedOn w:val="Fuentedeprrafopredeter"/>
    <w:uiPriority w:val="99"/>
    <w:semiHidden/>
    <w:rsid w:val="00496B50"/>
    <w:rPr>
      <w:color w:val="808080"/>
    </w:rPr>
  </w:style>
  <w:style w:type="table" w:customStyle="1" w:styleId="Tabladecuadrcula4-nfasis31">
    <w:name w:val="Tabla de cuadrícula 4 - Énfasis 31"/>
    <w:basedOn w:val="Tablanormal"/>
    <w:uiPriority w:val="49"/>
    <w:rsid w:val="00496B50"/>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2628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ED0B22-A969-4CEA-8505-5AEEF2FC8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9305</Words>
  <Characters>51182</Characters>
  <Application>Microsoft Office Word</Application>
  <DocSecurity>0</DocSecurity>
  <Lines>426</Lines>
  <Paragraphs>120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Tania Villa Trapala</dc:creator>
  <cp:lastModifiedBy>Maria del Consuelo Gonzalez Moreno</cp:lastModifiedBy>
  <cp:revision>8</cp:revision>
  <cp:lastPrinted>2017-11-21T18:21:00Z</cp:lastPrinted>
  <dcterms:created xsi:type="dcterms:W3CDTF">2017-11-10T16:53:00Z</dcterms:created>
  <dcterms:modified xsi:type="dcterms:W3CDTF">2018-01-12T17:42:00Z</dcterms:modified>
</cp:coreProperties>
</file>