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FDC83" w14:textId="77777777" w:rsidR="00661CFB" w:rsidRPr="00661CFB" w:rsidRDefault="00394255" w:rsidP="00661CFB">
      <w:pPr>
        <w:pStyle w:val="Ttulo1"/>
        <w:keepLines/>
        <w:spacing w:before="240" w:after="240"/>
        <w:jc w:val="both"/>
        <w:rPr>
          <w:rFonts w:ascii="ITC Avant Garde" w:hAnsi="ITC Avant Garde"/>
          <w:b w:val="0"/>
          <w:bCs/>
          <w:iCs/>
          <w:lang w:eastAsia="es-ES"/>
        </w:rPr>
      </w:pPr>
      <w:r w:rsidRPr="00661CFB">
        <w:rPr>
          <w:rFonts w:ascii="ITC Avant Garde" w:eastAsiaTheme="majorEastAsia" w:hAnsi="ITC Avant Garde" w:cstheme="majorBidi"/>
          <w:color w:val="000000" w:themeColor="text1"/>
          <w:lang w:eastAsia="es-MX"/>
        </w:rPr>
        <w:t xml:space="preserve">RESOLUCIÓN MEDIANTE LA CUAL EL PLENO DEL INSTITUTO FEDERAL DE TELECOMUNICACIONES DETERMINA LAS CONDICIONES DE INTERCONEXIÓN NO CONVENIDAS </w:t>
      </w:r>
      <w:r w:rsidR="00140622" w:rsidRPr="00661CFB">
        <w:rPr>
          <w:rFonts w:ascii="ITC Avant Garde" w:eastAsiaTheme="majorEastAsia" w:hAnsi="ITC Avant Garde" w:cstheme="majorBidi"/>
          <w:color w:val="000000" w:themeColor="text1"/>
          <w:lang w:eastAsia="es-MX"/>
        </w:rPr>
        <w:t>ENTRE</w:t>
      </w:r>
      <w:r w:rsidR="00494DD0" w:rsidRPr="00661CFB">
        <w:rPr>
          <w:rFonts w:ascii="ITC Avant Garde" w:eastAsiaTheme="majorEastAsia" w:hAnsi="ITC Avant Garde" w:cstheme="majorBidi"/>
          <w:color w:val="000000" w:themeColor="text1"/>
          <w:lang w:eastAsia="es-MX"/>
        </w:rPr>
        <w:t xml:space="preserve"> </w:t>
      </w:r>
      <w:r w:rsidR="009F1DC5" w:rsidRPr="00661CFB">
        <w:rPr>
          <w:rFonts w:ascii="ITC Avant Garde" w:eastAsiaTheme="majorEastAsia" w:hAnsi="ITC Avant Garde" w:cstheme="majorBidi"/>
          <w:color w:val="000000" w:themeColor="text1"/>
          <w:lang w:eastAsia="es-MX"/>
        </w:rPr>
        <w:t>RADIOMÓVIL DIPSA</w:t>
      </w:r>
      <w:r w:rsidR="00494DD0" w:rsidRPr="00661CFB">
        <w:rPr>
          <w:rFonts w:ascii="ITC Avant Garde" w:eastAsiaTheme="majorEastAsia" w:hAnsi="ITC Avant Garde" w:cstheme="majorBidi"/>
          <w:color w:val="000000" w:themeColor="text1"/>
          <w:lang w:eastAsia="es-MX"/>
        </w:rPr>
        <w:t xml:space="preserve">, S.A. DE C.V. Y </w:t>
      </w:r>
      <w:r w:rsidR="00831586" w:rsidRPr="00661CFB">
        <w:rPr>
          <w:rFonts w:ascii="ITC Avant Garde" w:eastAsiaTheme="majorEastAsia" w:hAnsi="ITC Avant Garde" w:cstheme="majorBidi"/>
          <w:color w:val="000000" w:themeColor="text1"/>
          <w:lang w:eastAsia="es-MX"/>
        </w:rPr>
        <w:t>TV REY DE OCCIDENTE</w:t>
      </w:r>
      <w:r w:rsidR="00513E8C" w:rsidRPr="00661CFB">
        <w:rPr>
          <w:rFonts w:ascii="ITC Avant Garde" w:hAnsi="ITC Avant Garde"/>
          <w:bCs/>
          <w:lang w:val="es-ES" w:eastAsia="es-ES"/>
        </w:rPr>
        <w:t>, S.A.</w:t>
      </w:r>
      <w:r w:rsidR="009F5BED" w:rsidRPr="00661CFB">
        <w:rPr>
          <w:rFonts w:ascii="ITC Avant Garde" w:hAnsi="ITC Avant Garde"/>
          <w:bCs/>
          <w:iCs/>
          <w:lang w:eastAsia="es-ES"/>
        </w:rPr>
        <w:t xml:space="preserve"> DE C.V., </w:t>
      </w:r>
      <w:r w:rsidR="000A1F1F" w:rsidRPr="00661CFB">
        <w:rPr>
          <w:rFonts w:ascii="ITC Avant Garde" w:hAnsi="ITC Avant Garde"/>
          <w:bCs/>
          <w:iCs/>
          <w:lang w:eastAsia="es-ES"/>
        </w:rPr>
        <w:t xml:space="preserve">APLICABLES DEL </w:t>
      </w:r>
      <w:r w:rsidR="009F1DC5" w:rsidRPr="00661CFB">
        <w:rPr>
          <w:rFonts w:ascii="ITC Avant Garde" w:hAnsi="ITC Avant Garde"/>
          <w:bCs/>
          <w:iCs/>
          <w:lang w:eastAsia="es-ES"/>
        </w:rPr>
        <w:t>1 DE ENERO AL 31 DE DICIEMBRE DE 2018</w:t>
      </w:r>
    </w:p>
    <w:p w14:paraId="78468745" w14:textId="3A4F2D0B" w:rsidR="00661CFB" w:rsidRPr="00661CFB" w:rsidRDefault="00C25F00" w:rsidP="00661CFB">
      <w:pPr>
        <w:pStyle w:val="Ttulo2"/>
        <w:keepLines/>
        <w:spacing w:before="40" w:after="240" w:line="276" w:lineRule="auto"/>
        <w:jc w:val="center"/>
        <w:rPr>
          <w:rFonts w:ascii="ITC Avant Garde" w:eastAsiaTheme="majorEastAsia" w:hAnsi="ITC Avant Garde" w:cstheme="majorBidi"/>
          <w:color w:val="000000" w:themeColor="text1"/>
          <w:szCs w:val="22"/>
        </w:rPr>
      </w:pPr>
      <w:r w:rsidRPr="00661CFB">
        <w:rPr>
          <w:rFonts w:ascii="ITC Avant Garde" w:eastAsiaTheme="majorEastAsia" w:hAnsi="ITC Avant Garde" w:cstheme="majorBidi"/>
          <w:color w:val="000000" w:themeColor="text1"/>
          <w:szCs w:val="22"/>
        </w:rPr>
        <w:t>ANTECEDENTES</w:t>
      </w:r>
    </w:p>
    <w:p w14:paraId="251EF073" w14:textId="77777777" w:rsidR="00661CFB" w:rsidRPr="00661CFB" w:rsidRDefault="009F1DC5" w:rsidP="00661CFB">
      <w:pPr>
        <w:numPr>
          <w:ilvl w:val="0"/>
          <w:numId w:val="1"/>
        </w:numPr>
        <w:tabs>
          <w:tab w:val="clear" w:pos="680"/>
          <w:tab w:val="left" w:pos="142"/>
        </w:tabs>
        <w:spacing w:before="240"/>
        <w:ind w:left="567" w:right="23" w:hanging="567"/>
        <w:jc w:val="both"/>
        <w:rPr>
          <w:rFonts w:ascii="ITC Avant Garde" w:hAnsi="ITC Avant Garde"/>
          <w:bCs/>
          <w:lang w:val="es-ES" w:eastAsia="es-ES"/>
        </w:rPr>
      </w:pPr>
      <w:proofErr w:type="spellStart"/>
      <w:r w:rsidRPr="00661CFB">
        <w:rPr>
          <w:rFonts w:ascii="ITC Avant Garde" w:hAnsi="ITC Avant Garde"/>
          <w:b/>
          <w:bCs/>
          <w:lang w:val="es-ES" w:eastAsia="es-ES"/>
        </w:rPr>
        <w:t>Radiomóvil</w:t>
      </w:r>
      <w:proofErr w:type="spellEnd"/>
      <w:r w:rsidRPr="00661CFB">
        <w:rPr>
          <w:rFonts w:ascii="ITC Avant Garde" w:hAnsi="ITC Avant Garde"/>
          <w:b/>
          <w:bCs/>
          <w:lang w:val="es-ES" w:eastAsia="es-ES"/>
        </w:rPr>
        <w:t xml:space="preserve"> </w:t>
      </w:r>
      <w:proofErr w:type="spellStart"/>
      <w:r w:rsidRPr="00661CFB">
        <w:rPr>
          <w:rFonts w:ascii="ITC Avant Garde" w:hAnsi="ITC Avant Garde"/>
          <w:b/>
          <w:bCs/>
          <w:lang w:val="es-ES" w:eastAsia="es-ES"/>
        </w:rPr>
        <w:t>Dipsa</w:t>
      </w:r>
      <w:proofErr w:type="spellEnd"/>
      <w:r w:rsidR="000F0357" w:rsidRPr="00661CFB">
        <w:rPr>
          <w:rFonts w:ascii="ITC Avant Garde" w:hAnsi="ITC Avant Garde"/>
          <w:b/>
          <w:bCs/>
          <w:lang w:val="es-ES" w:eastAsia="es-ES"/>
        </w:rPr>
        <w:t>, S.A. de C.V. (en lo sucesivo, “</w:t>
      </w:r>
      <w:r w:rsidRPr="00661CFB">
        <w:rPr>
          <w:rFonts w:ascii="ITC Avant Garde" w:hAnsi="ITC Avant Garde"/>
          <w:b/>
          <w:bCs/>
          <w:lang w:val="es-ES" w:eastAsia="es-ES"/>
        </w:rPr>
        <w:t>Telcel</w:t>
      </w:r>
      <w:r w:rsidR="000F0357" w:rsidRPr="00661CFB">
        <w:rPr>
          <w:rFonts w:ascii="ITC Avant Garde" w:hAnsi="ITC Avant Garde"/>
          <w:b/>
          <w:bCs/>
          <w:lang w:val="es-ES" w:eastAsia="es-ES"/>
        </w:rPr>
        <w:t>”),</w:t>
      </w:r>
      <w:r w:rsidR="000F0357" w:rsidRPr="00661CFB">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44D77B7" w14:textId="2D9543D0" w:rsidR="00661CFB" w:rsidRPr="00661CFB" w:rsidRDefault="00991841" w:rsidP="00661CFB">
      <w:pPr>
        <w:pStyle w:val="Prrafodelista"/>
        <w:numPr>
          <w:ilvl w:val="0"/>
          <w:numId w:val="1"/>
        </w:numPr>
        <w:tabs>
          <w:tab w:val="clear" w:pos="680"/>
          <w:tab w:val="num" w:pos="567"/>
        </w:tabs>
        <w:spacing w:before="240" w:after="200" w:line="276" w:lineRule="auto"/>
        <w:ind w:left="567" w:hanging="567"/>
        <w:rPr>
          <w:rFonts w:ascii="ITC Avant Garde" w:hAnsi="ITC Avant Garde" w:cs="Arial"/>
          <w:bCs/>
        </w:rPr>
      </w:pPr>
      <w:r w:rsidRPr="00661CFB">
        <w:rPr>
          <w:rFonts w:ascii="ITC Avant Garde" w:hAnsi="ITC Avant Garde"/>
          <w:b/>
          <w:bCs/>
          <w:lang w:val="es-ES"/>
        </w:rPr>
        <w:t>TV Rey de Occidente</w:t>
      </w:r>
      <w:r w:rsidR="005E61AE" w:rsidRPr="00661CFB">
        <w:rPr>
          <w:rFonts w:ascii="ITC Avant Garde" w:hAnsi="ITC Avant Garde"/>
          <w:b/>
          <w:bCs/>
          <w:lang w:val="es-ES"/>
        </w:rPr>
        <w:t>, S.A. de C.V.</w:t>
      </w:r>
      <w:r w:rsidR="009F5BED" w:rsidRPr="00661CFB">
        <w:rPr>
          <w:rFonts w:ascii="ITC Avant Garde" w:hAnsi="ITC Avant Garde"/>
          <w:b/>
          <w:bCs/>
          <w:lang w:val="es-ES"/>
        </w:rPr>
        <w:t xml:space="preserve">, </w:t>
      </w:r>
      <w:r w:rsidR="006B3B99" w:rsidRPr="00661CFB">
        <w:rPr>
          <w:rFonts w:ascii="ITC Avant Garde" w:hAnsi="ITC Avant Garde"/>
          <w:b/>
          <w:bCs/>
          <w:lang w:val="es-ES"/>
        </w:rPr>
        <w:t>(en lo</w:t>
      </w:r>
      <w:r w:rsidR="00187FB2" w:rsidRPr="00661CFB">
        <w:rPr>
          <w:rFonts w:ascii="ITC Avant Garde" w:hAnsi="ITC Avant Garde"/>
          <w:b/>
          <w:bCs/>
          <w:lang w:val="es-ES"/>
        </w:rPr>
        <w:t xml:space="preserve"> sucesivo, “</w:t>
      </w:r>
      <w:r w:rsidRPr="00661CFB">
        <w:rPr>
          <w:rFonts w:ascii="ITC Avant Garde" w:hAnsi="ITC Avant Garde"/>
          <w:b/>
          <w:bCs/>
          <w:lang w:val="es-ES"/>
        </w:rPr>
        <w:t>TV Rey</w:t>
      </w:r>
      <w:r w:rsidR="003E3993" w:rsidRPr="00661CFB">
        <w:rPr>
          <w:rFonts w:ascii="ITC Avant Garde" w:hAnsi="ITC Avant Garde"/>
          <w:b/>
          <w:bCs/>
          <w:lang w:val="es-ES"/>
        </w:rPr>
        <w:t>”</w:t>
      </w:r>
      <w:r w:rsidR="000A1F1F" w:rsidRPr="00661CFB">
        <w:rPr>
          <w:rFonts w:ascii="ITC Avant Garde" w:hAnsi="ITC Avant Garde"/>
          <w:b/>
          <w:bCs/>
          <w:lang w:val="es-ES"/>
        </w:rPr>
        <w:t>)</w:t>
      </w:r>
      <w:r w:rsidR="00187FB2" w:rsidRPr="00661CFB">
        <w:rPr>
          <w:rFonts w:ascii="ITC Avant Garde" w:hAnsi="ITC Avant Garde"/>
          <w:b/>
          <w:bCs/>
          <w:lang w:val="es-ES"/>
        </w:rPr>
        <w:t>,</w:t>
      </w:r>
      <w:r w:rsidR="000A1F1F" w:rsidRPr="00661CFB">
        <w:rPr>
          <w:rFonts w:ascii="ITC Avant Garde" w:hAnsi="ITC Avant Garde"/>
          <w:bCs/>
          <w:lang w:val="es-ES"/>
        </w:rPr>
        <w:t xml:space="preserve"> </w:t>
      </w:r>
      <w:r w:rsidRPr="00661CFB">
        <w:rPr>
          <w:rFonts w:ascii="ITC Avant Garde" w:hAnsi="ITC Avant Garde" w:cs="Arial"/>
          <w:bCs/>
        </w:rPr>
        <w:t>es un concesionario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14:paraId="4AE18F1E" w14:textId="1DF3FD69" w:rsidR="00661CFB" w:rsidRPr="00661CFB" w:rsidRDefault="00DB61E1" w:rsidP="00661CFB">
      <w:pPr>
        <w:pStyle w:val="Prrafodelista"/>
        <w:numPr>
          <w:ilvl w:val="0"/>
          <w:numId w:val="1"/>
        </w:numPr>
        <w:tabs>
          <w:tab w:val="clear" w:pos="680"/>
          <w:tab w:val="num" w:pos="567"/>
        </w:tabs>
        <w:spacing w:before="240" w:after="200" w:line="276" w:lineRule="auto"/>
        <w:ind w:left="567" w:hanging="567"/>
        <w:rPr>
          <w:rFonts w:ascii="ITC Avant Garde" w:hAnsi="ITC Avant Garde"/>
          <w:bCs/>
          <w:lang w:val="es-ES"/>
        </w:rPr>
      </w:pPr>
      <w:r w:rsidRPr="00661CFB">
        <w:rPr>
          <w:rFonts w:ascii="ITC Avant Garde" w:hAnsi="ITC Avant Garde"/>
          <w:b/>
          <w:bCs/>
          <w:lang w:val="es-ES"/>
        </w:rPr>
        <w:t xml:space="preserve">Determinación </w:t>
      </w:r>
      <w:bookmarkStart w:id="0" w:name="_GoBack"/>
      <w:bookmarkEnd w:id="0"/>
      <w:r w:rsidRPr="00661CFB">
        <w:rPr>
          <w:rFonts w:ascii="ITC Avant Garde" w:hAnsi="ITC Avant Garde"/>
          <w:b/>
          <w:bCs/>
          <w:lang w:val="es-ES"/>
        </w:rPr>
        <w:t xml:space="preserve">del Agente Económico Preponderante. </w:t>
      </w:r>
      <w:r w:rsidRPr="00661CFB">
        <w:rPr>
          <w:rFonts w:ascii="ITC Avant Garde" w:hAnsi="ITC Avant Garde"/>
          <w:bCs/>
          <w:lang w:val="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67E17CF5" w14:textId="3C9212A1" w:rsidR="00DC4719" w:rsidRPr="00661CFB" w:rsidRDefault="00DC4719" w:rsidP="00661CFB">
      <w:pPr>
        <w:numPr>
          <w:ilvl w:val="0"/>
          <w:numId w:val="1"/>
        </w:numPr>
        <w:tabs>
          <w:tab w:val="clear" w:pos="680"/>
          <w:tab w:val="left" w:pos="142"/>
          <w:tab w:val="num" w:pos="567"/>
        </w:tabs>
        <w:spacing w:before="240"/>
        <w:ind w:left="567" w:right="23" w:hanging="567"/>
        <w:jc w:val="both"/>
        <w:rPr>
          <w:rFonts w:ascii="ITC Avant Garde" w:hAnsi="ITC Avant Garde"/>
          <w:bCs/>
          <w:lang w:val="es-ES" w:eastAsia="es-ES"/>
        </w:rPr>
      </w:pPr>
      <w:r w:rsidRPr="00661CFB">
        <w:rPr>
          <w:rFonts w:ascii="ITC Avant Garde" w:hAnsi="ITC Avant Garde"/>
          <w:b/>
          <w:bCs/>
          <w:lang w:val="es-ES" w:eastAsia="es-ES"/>
        </w:rPr>
        <w:t>Metodología para el cálculo de costos de interconexión</w:t>
      </w:r>
      <w:r w:rsidRPr="00661CFB">
        <w:rPr>
          <w:rFonts w:ascii="ITC Avant Garde" w:hAnsi="ITC Avant Garde"/>
          <w:bCs/>
          <w:lang w:val="es-ES" w:eastAsia="es-ES"/>
        </w:rPr>
        <w:t xml:space="preserve">. El 18 de diciembre de 2014, </w:t>
      </w:r>
      <w:r w:rsidR="0039725E" w:rsidRPr="00661CFB">
        <w:rPr>
          <w:rFonts w:ascii="ITC Avant Garde" w:hAnsi="ITC Avant Garde"/>
          <w:bCs/>
          <w:lang w:val="es-ES" w:eastAsia="es-ES"/>
        </w:rPr>
        <w:t xml:space="preserve">se </w:t>
      </w:r>
      <w:r w:rsidRPr="00661CFB">
        <w:rPr>
          <w:rFonts w:ascii="ITC Avant Garde" w:hAnsi="ITC Avant Garde"/>
          <w:bCs/>
          <w:lang w:val="es-ES" w:eastAsia="es-ES"/>
        </w:rPr>
        <w:t>publicó en el D</w:t>
      </w:r>
      <w:r w:rsidR="0039725E" w:rsidRPr="00661CFB">
        <w:rPr>
          <w:rFonts w:ascii="ITC Avant Garde" w:hAnsi="ITC Avant Garde"/>
          <w:bCs/>
          <w:lang w:val="es-ES" w:eastAsia="es-ES"/>
        </w:rPr>
        <w:t xml:space="preserve">iario </w:t>
      </w:r>
      <w:r w:rsidRPr="00661CFB">
        <w:rPr>
          <w:rFonts w:ascii="ITC Avant Garde" w:hAnsi="ITC Avant Garde"/>
          <w:bCs/>
          <w:lang w:val="es-ES" w:eastAsia="es-ES"/>
        </w:rPr>
        <w:t>O</w:t>
      </w:r>
      <w:r w:rsidR="0039725E" w:rsidRPr="00661CFB">
        <w:rPr>
          <w:rFonts w:ascii="ITC Avant Garde" w:hAnsi="ITC Avant Garde"/>
          <w:bCs/>
          <w:lang w:val="es-ES" w:eastAsia="es-ES"/>
        </w:rPr>
        <w:t xml:space="preserve">ficial de la </w:t>
      </w:r>
      <w:r w:rsidRPr="00661CFB">
        <w:rPr>
          <w:rFonts w:ascii="ITC Avant Garde" w:hAnsi="ITC Avant Garde"/>
          <w:bCs/>
          <w:lang w:val="es-ES" w:eastAsia="es-ES"/>
        </w:rPr>
        <w:t>F</w:t>
      </w:r>
      <w:r w:rsidR="0039725E" w:rsidRPr="00661CFB">
        <w:rPr>
          <w:rFonts w:ascii="ITC Avant Garde" w:hAnsi="ITC Avant Garde"/>
          <w:bCs/>
          <w:lang w:val="es-ES" w:eastAsia="es-ES"/>
        </w:rPr>
        <w:t>ederaci</w:t>
      </w:r>
      <w:r w:rsidR="00D22C5B" w:rsidRPr="00661CFB">
        <w:rPr>
          <w:rFonts w:ascii="ITC Avant Garde" w:hAnsi="ITC Avant Garde"/>
          <w:bCs/>
          <w:lang w:val="es-ES" w:eastAsia="es-ES"/>
        </w:rPr>
        <w:t>ón</w:t>
      </w:r>
      <w:r w:rsidR="0039725E" w:rsidRPr="00661CFB">
        <w:rPr>
          <w:rFonts w:ascii="ITC Avant Garde" w:hAnsi="ITC Avant Garde"/>
          <w:bCs/>
          <w:lang w:val="es-ES" w:eastAsia="es-ES"/>
        </w:rPr>
        <w:t xml:space="preserve"> (en lo sucesivo, el “DOF”)</w:t>
      </w:r>
      <w:r w:rsidRPr="00661CFB">
        <w:rPr>
          <w:rFonts w:ascii="ITC Avant Garde" w:hAnsi="ITC Avant Garde"/>
          <w:bCs/>
          <w:lang w:val="es-ES" w:eastAsia="es-ES"/>
        </w:rPr>
        <w:t xml:space="preserve">, el “ACUERDO </w:t>
      </w:r>
      <w:r w:rsidR="00157BBE" w:rsidRPr="00661CFB">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661CFB">
        <w:rPr>
          <w:rFonts w:ascii="ITC Avant Garde" w:hAnsi="ITC Avant Garde"/>
          <w:bCs/>
          <w:lang w:val="es-ES" w:eastAsia="es-ES"/>
        </w:rPr>
        <w:t xml:space="preserve">”, </w:t>
      </w:r>
      <w:r w:rsidR="0069150E" w:rsidRPr="00661CFB">
        <w:rPr>
          <w:rFonts w:ascii="ITC Avant Garde" w:hAnsi="ITC Avant Garde"/>
          <w:bCs/>
          <w:lang w:val="es-ES" w:eastAsia="es-ES"/>
        </w:rPr>
        <w:t xml:space="preserve">aprobado </w:t>
      </w:r>
      <w:r w:rsidRPr="00661CFB">
        <w:rPr>
          <w:rFonts w:ascii="ITC Avant Garde" w:hAnsi="ITC Avant Garde"/>
          <w:bCs/>
          <w:lang w:val="es-ES" w:eastAsia="es-ES"/>
        </w:rPr>
        <w:t xml:space="preserve">mediante </w:t>
      </w:r>
      <w:r w:rsidR="0069150E" w:rsidRPr="00661CFB">
        <w:rPr>
          <w:rFonts w:ascii="ITC Avant Garde" w:hAnsi="ITC Avant Garde"/>
          <w:bCs/>
          <w:lang w:val="es-ES" w:eastAsia="es-ES"/>
        </w:rPr>
        <w:t>Acuerdo P/IFT/EXT</w:t>
      </w:r>
      <w:r w:rsidRPr="00661CFB">
        <w:rPr>
          <w:rFonts w:ascii="ITC Avant Garde" w:hAnsi="ITC Avant Garde"/>
          <w:bCs/>
          <w:lang w:val="es-ES" w:eastAsia="es-ES"/>
        </w:rPr>
        <w:t>/161214/277 (en lo sucesivo la “Metodología de Costos”).</w:t>
      </w:r>
    </w:p>
    <w:p w14:paraId="05DF0716" w14:textId="77777777" w:rsidR="00661CFB" w:rsidRPr="00661CFB" w:rsidRDefault="00A7512D" w:rsidP="00661CFB">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661CFB">
        <w:rPr>
          <w:rFonts w:ascii="ITC Avant Garde" w:hAnsi="ITC Avant Garde"/>
          <w:b/>
          <w:bCs/>
          <w:lang w:val="es-ES" w:eastAsia="es-ES"/>
        </w:rPr>
        <w:lastRenderedPageBreak/>
        <w:t>Sistema Electrónico de Solicitudes de Interconexión</w:t>
      </w:r>
      <w:r w:rsidRPr="00661CFB">
        <w:rPr>
          <w:rFonts w:ascii="ITC Avant Garde" w:hAnsi="ITC Avant Garde"/>
          <w:bCs/>
          <w:lang w:val="es-ES" w:eastAsia="es-ES"/>
        </w:rPr>
        <w:t>.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661CFB">
        <w:rPr>
          <w:rFonts w:ascii="ITC Avant Garde" w:hAnsi="ITC Avant Garde"/>
          <w:bCs/>
          <w:lang w:val="es-ES" w:eastAsia="es-ES"/>
        </w:rPr>
        <w:t xml:space="preserve"> el Sistema Electrónico de Solicitudes de Interconexión, (en lo sucesivo, el “SESI”).</w:t>
      </w:r>
    </w:p>
    <w:p w14:paraId="4DA84869" w14:textId="77777777" w:rsidR="00661CFB" w:rsidRPr="00661CFB" w:rsidRDefault="00DB61E1" w:rsidP="00661CFB">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661CFB">
        <w:rPr>
          <w:rFonts w:ascii="ITC Avant Garde" w:hAnsi="ITC Avant Garde"/>
          <w:b/>
          <w:bCs/>
          <w:lang w:val="es-ES" w:eastAsia="es-ES"/>
        </w:rPr>
        <w:t>Revisión bienal.</w:t>
      </w:r>
      <w:r w:rsidRPr="00661CFB">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22AD4AB1" w14:textId="77777777" w:rsidR="00661CFB" w:rsidRPr="00661CFB" w:rsidRDefault="00A21AFC" w:rsidP="00661CFB">
      <w:pPr>
        <w:numPr>
          <w:ilvl w:val="0"/>
          <w:numId w:val="1"/>
        </w:numPr>
        <w:tabs>
          <w:tab w:val="clear" w:pos="680"/>
          <w:tab w:val="left" w:pos="142"/>
        </w:tabs>
        <w:spacing w:before="240"/>
        <w:ind w:left="567" w:right="23" w:hanging="567"/>
        <w:jc w:val="both"/>
        <w:rPr>
          <w:rFonts w:ascii="ITC Avant Garde" w:hAnsi="ITC Avant Garde" w:cs="Arial"/>
          <w:bCs/>
        </w:rPr>
      </w:pPr>
      <w:r w:rsidRPr="00661CFB">
        <w:rPr>
          <w:rFonts w:ascii="ITC Avant Garde" w:hAnsi="ITC Avant Garde" w:cs="Arial"/>
          <w:b/>
          <w:bCs/>
        </w:rPr>
        <w:t xml:space="preserve">Procedimiento de resolución de condiciones de interconexión no convenidas. </w:t>
      </w:r>
      <w:r w:rsidR="007A2FA6" w:rsidRPr="00661CFB">
        <w:rPr>
          <w:rFonts w:ascii="ITC Avant Garde" w:hAnsi="ITC Avant Garde" w:cs="Arial"/>
          <w:bCs/>
        </w:rPr>
        <w:t xml:space="preserve">El </w:t>
      </w:r>
      <w:r w:rsidR="008C004D" w:rsidRPr="00661CFB">
        <w:rPr>
          <w:rFonts w:ascii="ITC Avant Garde" w:hAnsi="ITC Avant Garde" w:cs="Arial"/>
          <w:bCs/>
        </w:rPr>
        <w:t>1</w:t>
      </w:r>
      <w:r w:rsidR="001B3081" w:rsidRPr="00661CFB">
        <w:rPr>
          <w:rFonts w:ascii="ITC Avant Garde" w:hAnsi="ITC Avant Garde" w:cs="Arial"/>
          <w:bCs/>
        </w:rPr>
        <w:t>1</w:t>
      </w:r>
      <w:r w:rsidR="008C004D" w:rsidRPr="00661CFB">
        <w:rPr>
          <w:rFonts w:ascii="ITC Avant Garde" w:hAnsi="ITC Avant Garde" w:cs="Arial"/>
          <w:bCs/>
        </w:rPr>
        <w:t xml:space="preserve"> </w:t>
      </w:r>
      <w:r w:rsidR="00E9490B" w:rsidRPr="00661CFB">
        <w:rPr>
          <w:rFonts w:ascii="ITC Avant Garde" w:hAnsi="ITC Avant Garde" w:cs="Arial"/>
          <w:bCs/>
        </w:rPr>
        <w:t xml:space="preserve">de </w:t>
      </w:r>
      <w:r w:rsidR="008C004D" w:rsidRPr="00661CFB">
        <w:rPr>
          <w:rFonts w:ascii="ITC Avant Garde" w:hAnsi="ITC Avant Garde" w:cs="Arial"/>
          <w:bCs/>
        </w:rPr>
        <w:t>ju</w:t>
      </w:r>
      <w:r w:rsidR="001B3081" w:rsidRPr="00661CFB">
        <w:rPr>
          <w:rFonts w:ascii="ITC Avant Garde" w:hAnsi="ITC Avant Garde" w:cs="Arial"/>
          <w:bCs/>
        </w:rPr>
        <w:t>lio</w:t>
      </w:r>
      <w:r w:rsidR="008C004D" w:rsidRPr="00661CFB">
        <w:rPr>
          <w:rFonts w:ascii="ITC Avant Garde" w:hAnsi="ITC Avant Garde" w:cs="Arial"/>
          <w:bCs/>
        </w:rPr>
        <w:t xml:space="preserve"> </w:t>
      </w:r>
      <w:r w:rsidR="00E9490B" w:rsidRPr="00661CFB">
        <w:rPr>
          <w:rFonts w:ascii="ITC Avant Garde" w:hAnsi="ITC Avant Garde" w:cs="Arial"/>
          <w:bCs/>
        </w:rPr>
        <w:t>de 201</w:t>
      </w:r>
      <w:r w:rsidR="008C004D" w:rsidRPr="00661CFB">
        <w:rPr>
          <w:rFonts w:ascii="ITC Avant Garde" w:hAnsi="ITC Avant Garde" w:cs="Arial"/>
          <w:bCs/>
        </w:rPr>
        <w:t>7</w:t>
      </w:r>
      <w:r w:rsidR="007A2FA6" w:rsidRPr="00661CFB">
        <w:rPr>
          <w:rFonts w:ascii="ITC Avant Garde" w:hAnsi="ITC Avant Garde" w:cs="Arial"/>
          <w:bCs/>
        </w:rPr>
        <w:t xml:space="preserve">, el </w:t>
      </w:r>
      <w:r w:rsidR="008C004D" w:rsidRPr="00661CFB">
        <w:rPr>
          <w:rFonts w:ascii="ITC Avant Garde" w:hAnsi="ITC Avant Garde" w:cs="Arial"/>
          <w:bCs/>
        </w:rPr>
        <w:t xml:space="preserve">apoderado </w:t>
      </w:r>
      <w:r w:rsidR="007A2FA6" w:rsidRPr="00661CFB">
        <w:rPr>
          <w:rFonts w:ascii="ITC Avant Garde" w:hAnsi="ITC Avant Garde" w:cs="Arial"/>
          <w:bCs/>
        </w:rPr>
        <w:t xml:space="preserve">legal de </w:t>
      </w:r>
      <w:r w:rsidR="001B3081" w:rsidRPr="00661CFB">
        <w:rPr>
          <w:rFonts w:ascii="ITC Avant Garde" w:hAnsi="ITC Avant Garde" w:cs="Arial"/>
          <w:bCs/>
        </w:rPr>
        <w:t>Telcel</w:t>
      </w:r>
      <w:r w:rsidR="005935DB" w:rsidRPr="00661CFB">
        <w:rPr>
          <w:rFonts w:ascii="ITC Avant Garde" w:hAnsi="ITC Avant Garde" w:cs="Arial"/>
          <w:bCs/>
        </w:rPr>
        <w:t xml:space="preserve">, </w:t>
      </w:r>
      <w:r w:rsidR="007A2FA6" w:rsidRPr="00661CFB">
        <w:rPr>
          <w:rFonts w:ascii="ITC Avant Garde" w:hAnsi="ITC Avant Garde" w:cs="Arial"/>
          <w:bCs/>
        </w:rPr>
        <w:t xml:space="preserve">presentó ante el Instituto escrito mediante </w:t>
      </w:r>
      <w:r w:rsidR="00E9490B" w:rsidRPr="00661CFB">
        <w:rPr>
          <w:rFonts w:ascii="ITC Avant Garde" w:hAnsi="ITC Avant Garde" w:cs="Arial"/>
          <w:bCs/>
        </w:rPr>
        <w:t>el cual</w:t>
      </w:r>
      <w:r w:rsidR="007A2FA6" w:rsidRPr="00661CFB">
        <w:rPr>
          <w:rFonts w:ascii="ITC Avant Garde" w:hAnsi="ITC Avant Garde" w:cs="Arial"/>
          <w:bCs/>
        </w:rPr>
        <w:t xml:space="preserve"> </w:t>
      </w:r>
      <w:r w:rsidR="005935DB" w:rsidRPr="00661CFB">
        <w:rPr>
          <w:rFonts w:ascii="ITC Avant Garde" w:hAnsi="ITC Avant Garde" w:cs="Arial"/>
          <w:bCs/>
        </w:rPr>
        <w:t xml:space="preserve">solicitó </w:t>
      </w:r>
      <w:r w:rsidR="007A2FA6" w:rsidRPr="00661CFB">
        <w:rPr>
          <w:rFonts w:ascii="ITC Avant Garde" w:hAnsi="ITC Avant Garde" w:cs="Arial"/>
          <w:bCs/>
        </w:rPr>
        <w:t>su intervención para resolver los términos</w:t>
      </w:r>
      <w:r w:rsidR="00D22C5B" w:rsidRPr="00661CFB">
        <w:rPr>
          <w:rFonts w:ascii="ITC Avant Garde" w:hAnsi="ITC Avant Garde" w:cs="Arial"/>
          <w:bCs/>
        </w:rPr>
        <w:t xml:space="preserve">, </w:t>
      </w:r>
      <w:r w:rsidR="007A2FA6" w:rsidRPr="00661CFB">
        <w:rPr>
          <w:rFonts w:ascii="ITC Avant Garde" w:hAnsi="ITC Avant Garde" w:cs="Arial"/>
          <w:bCs/>
        </w:rPr>
        <w:t xml:space="preserve">condiciones </w:t>
      </w:r>
      <w:r w:rsidR="00D22C5B" w:rsidRPr="00661CFB">
        <w:rPr>
          <w:rFonts w:ascii="ITC Avant Garde" w:hAnsi="ITC Avant Garde" w:cs="Arial"/>
          <w:bCs/>
        </w:rPr>
        <w:t xml:space="preserve">y tarifas </w:t>
      </w:r>
      <w:r w:rsidR="007A2FA6" w:rsidRPr="00661CFB">
        <w:rPr>
          <w:rFonts w:ascii="ITC Avant Garde" w:hAnsi="ITC Avant Garde" w:cs="Arial"/>
          <w:bCs/>
        </w:rPr>
        <w:t xml:space="preserve">que no </w:t>
      </w:r>
      <w:r w:rsidR="005935DB" w:rsidRPr="00661CFB">
        <w:rPr>
          <w:rFonts w:ascii="ITC Avant Garde" w:hAnsi="ITC Avant Garde" w:cs="Arial"/>
          <w:bCs/>
        </w:rPr>
        <w:t xml:space="preserve">pudo </w:t>
      </w:r>
      <w:r w:rsidR="007A2FA6" w:rsidRPr="00661CFB">
        <w:rPr>
          <w:rFonts w:ascii="ITC Avant Garde" w:hAnsi="ITC Avant Garde" w:cs="Arial"/>
          <w:bCs/>
        </w:rPr>
        <w:t xml:space="preserve">convenir con </w:t>
      </w:r>
      <w:r w:rsidR="00831586" w:rsidRPr="00661CFB">
        <w:rPr>
          <w:rFonts w:ascii="ITC Avant Garde" w:hAnsi="ITC Avant Garde" w:cs="Arial"/>
          <w:bCs/>
        </w:rPr>
        <w:t>TV Rey</w:t>
      </w:r>
      <w:r w:rsidR="00187FB2" w:rsidRPr="00661CFB">
        <w:rPr>
          <w:rFonts w:ascii="ITC Avant Garde" w:hAnsi="ITC Avant Garde" w:cs="Arial"/>
          <w:bCs/>
        </w:rPr>
        <w:t xml:space="preserve"> </w:t>
      </w:r>
      <w:r w:rsidR="007A2FA6" w:rsidRPr="00661CFB">
        <w:rPr>
          <w:rFonts w:ascii="ITC Avant Garde" w:hAnsi="ITC Avant Garde" w:cs="Arial"/>
          <w:bCs/>
        </w:rPr>
        <w:t xml:space="preserve">para </w:t>
      </w:r>
      <w:r w:rsidRPr="00661CFB">
        <w:rPr>
          <w:rFonts w:ascii="ITC Avant Garde" w:hAnsi="ITC Avant Garde" w:cs="Arial"/>
          <w:bCs/>
        </w:rPr>
        <w:t>el periodo 201</w:t>
      </w:r>
      <w:r w:rsidR="001B3081" w:rsidRPr="00661CFB">
        <w:rPr>
          <w:rFonts w:ascii="ITC Avant Garde" w:hAnsi="ITC Avant Garde" w:cs="Arial"/>
          <w:bCs/>
        </w:rPr>
        <w:t>8</w:t>
      </w:r>
      <w:r w:rsidR="00E9490B" w:rsidRPr="00661CFB">
        <w:rPr>
          <w:rFonts w:ascii="ITC Avant Garde" w:hAnsi="ITC Avant Garde" w:cs="Arial"/>
          <w:bCs/>
        </w:rPr>
        <w:t xml:space="preserve"> (en lo sucesivo, la “Solicitud</w:t>
      </w:r>
      <w:r w:rsidR="007A2FA6" w:rsidRPr="00661CFB">
        <w:rPr>
          <w:rFonts w:ascii="ITC Avant Garde" w:hAnsi="ITC Avant Garde" w:cs="Arial"/>
          <w:bCs/>
        </w:rPr>
        <w:t xml:space="preserve"> de Resolución”).</w:t>
      </w:r>
    </w:p>
    <w:p w14:paraId="2EFB2024" w14:textId="77777777" w:rsidR="00661CFB" w:rsidRPr="00661CFB" w:rsidRDefault="00773B3C" w:rsidP="00661CFB">
      <w:pPr>
        <w:tabs>
          <w:tab w:val="left" w:pos="142"/>
        </w:tabs>
        <w:spacing w:before="240"/>
        <w:ind w:left="567" w:right="23" w:hanging="567"/>
        <w:jc w:val="both"/>
        <w:rPr>
          <w:rFonts w:ascii="ITC Avant Garde" w:hAnsi="ITC Avant Garde" w:cs="Arial"/>
          <w:bCs/>
        </w:rPr>
      </w:pPr>
      <w:r w:rsidRPr="00661CFB">
        <w:rPr>
          <w:rFonts w:ascii="ITC Avant Garde" w:hAnsi="ITC Avant Garde" w:cs="Arial"/>
          <w:bCs/>
        </w:rPr>
        <w:tab/>
      </w:r>
      <w:r w:rsidRPr="00661CFB">
        <w:rPr>
          <w:rFonts w:ascii="ITC Avant Garde" w:hAnsi="ITC Avant Garde" w:cs="Arial"/>
          <w:bCs/>
        </w:rPr>
        <w:tab/>
      </w:r>
      <w:r w:rsidR="00D22C5B" w:rsidRPr="00661CFB">
        <w:rPr>
          <w:rFonts w:ascii="ITC Avant Garde" w:hAnsi="ITC Avant Garde" w:cs="Arial"/>
          <w:bCs/>
        </w:rPr>
        <w:t>L</w:t>
      </w:r>
      <w:r w:rsidR="00E9490B" w:rsidRPr="00661CFB">
        <w:rPr>
          <w:rFonts w:ascii="ITC Avant Garde" w:hAnsi="ITC Avant Garde" w:cs="Arial"/>
          <w:bCs/>
        </w:rPr>
        <w:t>a</w:t>
      </w:r>
      <w:r w:rsidR="00A21AFC" w:rsidRPr="00661CFB">
        <w:rPr>
          <w:rFonts w:ascii="ITC Avant Garde" w:hAnsi="ITC Avant Garde" w:cs="Arial"/>
          <w:bCs/>
        </w:rPr>
        <w:t xml:space="preserve"> Solicitud</w:t>
      </w:r>
      <w:r w:rsidR="00E9490B" w:rsidRPr="00661CFB">
        <w:rPr>
          <w:rFonts w:ascii="ITC Avant Garde" w:hAnsi="ITC Avant Garde" w:cs="Arial"/>
          <w:bCs/>
        </w:rPr>
        <w:t xml:space="preserve"> </w:t>
      </w:r>
      <w:r w:rsidR="00A21AFC" w:rsidRPr="00661CFB">
        <w:rPr>
          <w:rFonts w:ascii="ITC Avant Garde" w:hAnsi="ITC Avant Garde" w:cs="Arial"/>
          <w:bCs/>
        </w:rPr>
        <w:t xml:space="preserve">de Resolución </w:t>
      </w:r>
      <w:r w:rsidR="00D22C5B" w:rsidRPr="00661CFB">
        <w:rPr>
          <w:rFonts w:ascii="ITC Avant Garde" w:hAnsi="ITC Avant Garde" w:cs="Arial"/>
          <w:bCs/>
        </w:rPr>
        <w:t>se adm</w:t>
      </w:r>
      <w:r w:rsidR="00E9490B" w:rsidRPr="00661CFB">
        <w:rPr>
          <w:rFonts w:ascii="ITC Avant Garde" w:hAnsi="ITC Avant Garde" w:cs="Arial"/>
          <w:bCs/>
        </w:rPr>
        <w:t>itió a trámite, asignándole</w:t>
      </w:r>
      <w:r w:rsidR="00D22C5B" w:rsidRPr="00661CFB">
        <w:rPr>
          <w:rFonts w:ascii="ITC Avant Garde" w:hAnsi="ITC Avant Garde" w:cs="Arial"/>
          <w:bCs/>
        </w:rPr>
        <w:t xml:space="preserve"> </w:t>
      </w:r>
      <w:r w:rsidR="00E9490B" w:rsidRPr="00661CFB">
        <w:rPr>
          <w:rFonts w:ascii="ITC Avant Garde" w:hAnsi="ITC Avant Garde" w:cs="Arial"/>
          <w:bCs/>
        </w:rPr>
        <w:t>el</w:t>
      </w:r>
      <w:r w:rsidR="00A21AFC" w:rsidRPr="00661CFB">
        <w:rPr>
          <w:rFonts w:ascii="ITC Avant Garde" w:hAnsi="ITC Avant Garde" w:cs="Arial"/>
          <w:bCs/>
        </w:rPr>
        <w:t xml:space="preserve"> número de expediente </w:t>
      </w:r>
      <w:r w:rsidR="00A21AFC" w:rsidRPr="00661CFB">
        <w:rPr>
          <w:rFonts w:ascii="ITC Avant Garde" w:hAnsi="ITC Avant Garde" w:cs="Arial"/>
          <w:b/>
          <w:bCs/>
        </w:rPr>
        <w:t>IFT/221/UPR/DG-RIRST/</w:t>
      </w:r>
      <w:r w:rsidR="00950D71" w:rsidRPr="00661CFB">
        <w:rPr>
          <w:rFonts w:ascii="ITC Avant Garde" w:hAnsi="ITC Avant Garde" w:cs="Arial"/>
          <w:b/>
          <w:bCs/>
        </w:rPr>
        <w:t>0</w:t>
      </w:r>
      <w:r w:rsidR="00392EF3" w:rsidRPr="00661CFB">
        <w:rPr>
          <w:rFonts w:ascii="ITC Avant Garde" w:hAnsi="ITC Avant Garde" w:cs="Arial"/>
          <w:b/>
          <w:bCs/>
        </w:rPr>
        <w:t>88</w:t>
      </w:r>
      <w:r w:rsidR="00A21AFC" w:rsidRPr="00661CFB">
        <w:rPr>
          <w:rFonts w:ascii="ITC Avant Garde" w:hAnsi="ITC Avant Garde" w:cs="Arial"/>
          <w:b/>
          <w:bCs/>
        </w:rPr>
        <w:t>.</w:t>
      </w:r>
      <w:r w:rsidR="001B3081" w:rsidRPr="00661CFB">
        <w:rPr>
          <w:rFonts w:ascii="ITC Avant Garde" w:hAnsi="ITC Avant Garde" w:cs="Arial"/>
          <w:b/>
          <w:bCs/>
        </w:rPr>
        <w:t>110717/ITX.</w:t>
      </w:r>
      <w:r w:rsidR="00E9490B" w:rsidRPr="00661CFB">
        <w:rPr>
          <w:rFonts w:ascii="ITC Avant Garde" w:hAnsi="ITC Avant Garde" w:cs="Arial"/>
          <w:bCs/>
        </w:rPr>
        <w:t xml:space="preserve"> El procedimiento</w:t>
      </w:r>
      <w:r w:rsidR="00A21AFC" w:rsidRPr="00661CFB">
        <w:rPr>
          <w:rFonts w:ascii="ITC Avant Garde" w:hAnsi="ITC Avant Garde" w:cs="Arial"/>
          <w:bCs/>
        </w:rPr>
        <w:t xml:space="preserve"> fue</w:t>
      </w:r>
      <w:r w:rsidR="00E9490B" w:rsidRPr="00661CFB">
        <w:rPr>
          <w:rFonts w:ascii="ITC Avant Garde" w:hAnsi="ITC Avant Garde" w:cs="Arial"/>
          <w:bCs/>
        </w:rPr>
        <w:t xml:space="preserve"> sustanciado</w:t>
      </w:r>
      <w:r w:rsidR="00A21AFC" w:rsidRPr="00661CFB">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661CFB">
        <w:rPr>
          <w:rFonts w:ascii="ITC Avant Garde" w:hAnsi="ITC Avant Garde" w:cs="Arial"/>
          <w:bCs/>
        </w:rPr>
        <w:t>LFTR</w:t>
      </w:r>
      <w:r w:rsidR="00A21AFC" w:rsidRPr="00661CFB">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4E833E0B" w14:textId="77777777" w:rsidR="00661CFB" w:rsidRPr="00661CFB" w:rsidRDefault="00773B3C" w:rsidP="00661CFB">
      <w:pPr>
        <w:spacing w:before="240"/>
        <w:ind w:left="567" w:right="23" w:hanging="567"/>
        <w:jc w:val="both"/>
        <w:rPr>
          <w:rFonts w:ascii="ITC Avant Garde" w:hAnsi="ITC Avant Garde" w:cs="Arial"/>
          <w:bCs/>
        </w:rPr>
      </w:pPr>
      <w:r w:rsidRPr="00661CFB">
        <w:rPr>
          <w:rFonts w:ascii="ITC Avant Garde" w:hAnsi="ITC Avant Garde" w:cs="Arial"/>
          <w:bCs/>
        </w:rPr>
        <w:tab/>
      </w:r>
      <w:r w:rsidR="00A21AFC" w:rsidRPr="00661CFB">
        <w:rPr>
          <w:rFonts w:ascii="ITC Avant Garde" w:hAnsi="ITC Avant Garde" w:cs="Arial"/>
          <w:bCs/>
        </w:rPr>
        <w:t xml:space="preserve">Es así que con fecha </w:t>
      </w:r>
      <w:r w:rsidR="00392EF3" w:rsidRPr="00661CFB">
        <w:rPr>
          <w:rFonts w:ascii="ITC Avant Garde" w:hAnsi="ITC Avant Garde" w:cs="Arial"/>
          <w:bCs/>
        </w:rPr>
        <w:t>9</w:t>
      </w:r>
      <w:r w:rsidR="00052BB6" w:rsidRPr="00661CFB">
        <w:rPr>
          <w:rFonts w:ascii="ITC Avant Garde" w:hAnsi="ITC Avant Garde" w:cs="Arial"/>
          <w:bCs/>
        </w:rPr>
        <w:t xml:space="preserve"> de noviembre</w:t>
      </w:r>
      <w:r w:rsidR="00B729A1" w:rsidRPr="00661CFB">
        <w:rPr>
          <w:rFonts w:ascii="ITC Avant Garde" w:hAnsi="ITC Avant Garde" w:cs="Arial"/>
          <w:bCs/>
        </w:rPr>
        <w:t xml:space="preserve"> de 201</w:t>
      </w:r>
      <w:r w:rsidR="00CE7981" w:rsidRPr="00661CFB">
        <w:rPr>
          <w:rFonts w:ascii="ITC Avant Garde" w:hAnsi="ITC Avant Garde" w:cs="Arial"/>
          <w:bCs/>
        </w:rPr>
        <w:t>7</w:t>
      </w:r>
      <w:r w:rsidR="00B729A1" w:rsidRPr="00661CFB">
        <w:rPr>
          <w:rFonts w:ascii="ITC Avant Garde" w:hAnsi="ITC Avant Garde" w:cs="Arial"/>
          <w:bCs/>
        </w:rPr>
        <w:t xml:space="preserve">, </w:t>
      </w:r>
      <w:r w:rsidR="00331CA1" w:rsidRPr="00661CFB">
        <w:rPr>
          <w:rFonts w:ascii="ITC Avant Garde" w:hAnsi="ITC Avant Garde" w:cs="Arial"/>
          <w:bCs/>
        </w:rPr>
        <w:t>el</w:t>
      </w:r>
      <w:r w:rsidR="003E14D5" w:rsidRPr="00661CFB">
        <w:rPr>
          <w:rFonts w:ascii="ITC Avant Garde" w:hAnsi="ITC Avant Garde" w:cs="Arial"/>
          <w:bCs/>
        </w:rPr>
        <w:t xml:space="preserve"> Instituto notificó</w:t>
      </w:r>
      <w:r w:rsidR="006C363A" w:rsidRPr="00661CFB">
        <w:rPr>
          <w:rFonts w:ascii="ITC Avant Garde" w:hAnsi="ITC Avant Garde" w:cs="Arial"/>
          <w:bCs/>
        </w:rPr>
        <w:t xml:space="preserve"> </w:t>
      </w:r>
      <w:r w:rsidR="00392EF3" w:rsidRPr="00661CFB">
        <w:rPr>
          <w:rFonts w:ascii="ITC Avant Garde" w:hAnsi="ITC Avant Garde" w:cs="Arial"/>
          <w:bCs/>
        </w:rPr>
        <w:t>a las partes</w:t>
      </w:r>
      <w:r w:rsidR="00C967EA" w:rsidRPr="00661CFB">
        <w:rPr>
          <w:rFonts w:ascii="ITC Avant Garde" w:hAnsi="ITC Avant Garde" w:cs="Arial"/>
          <w:bCs/>
        </w:rPr>
        <w:t xml:space="preserve"> </w:t>
      </w:r>
      <w:r w:rsidR="00A21AFC" w:rsidRPr="00661CFB">
        <w:rPr>
          <w:rFonts w:ascii="ITC Avant Garde" w:hAnsi="ITC Avant Garde" w:cs="Arial"/>
          <w:bCs/>
        </w:rPr>
        <w:t xml:space="preserve">que el procedimiento guardaba estado para que el Pleno del Instituto dictase la resolución </w:t>
      </w:r>
      <w:r w:rsidR="0092432A" w:rsidRPr="00661CFB">
        <w:rPr>
          <w:rFonts w:ascii="ITC Avant Garde" w:hAnsi="ITC Avant Garde" w:cs="Arial"/>
          <w:bCs/>
        </w:rPr>
        <w:t>correspondiente</w:t>
      </w:r>
      <w:r w:rsidR="00A21AFC" w:rsidRPr="00661CFB">
        <w:rPr>
          <w:rFonts w:ascii="ITC Avant Garde" w:hAnsi="ITC Avant Garde" w:cs="Arial"/>
          <w:bCs/>
        </w:rPr>
        <w:t>.</w:t>
      </w:r>
    </w:p>
    <w:p w14:paraId="64B79669" w14:textId="77777777" w:rsidR="00661CFB" w:rsidRPr="00661CFB" w:rsidRDefault="00DB61E1" w:rsidP="00661CFB">
      <w:pPr>
        <w:numPr>
          <w:ilvl w:val="0"/>
          <w:numId w:val="1"/>
        </w:numPr>
        <w:tabs>
          <w:tab w:val="clear" w:pos="680"/>
          <w:tab w:val="left" w:pos="142"/>
          <w:tab w:val="num" w:pos="8761"/>
        </w:tabs>
        <w:spacing w:before="240"/>
        <w:ind w:left="567" w:right="23" w:hanging="567"/>
        <w:jc w:val="both"/>
        <w:rPr>
          <w:rFonts w:ascii="ITC Avant Garde" w:hAnsi="ITC Avant Garde"/>
        </w:rPr>
      </w:pPr>
      <w:r w:rsidRPr="00661CFB">
        <w:rPr>
          <w:rFonts w:ascii="ITC Avant Garde" w:hAnsi="ITC Avant Garde"/>
          <w:b/>
          <w:bCs/>
          <w:lang w:val="es-ES"/>
        </w:rPr>
        <w:t xml:space="preserve">Ejecutoria del amparo en revisión A.R. 1100/2015. </w:t>
      </w:r>
      <w:r w:rsidRPr="00661CFB">
        <w:rPr>
          <w:rFonts w:ascii="ITC Avant Garde" w:hAnsi="ITC Avant Garde"/>
          <w:bCs/>
          <w:lang w:val="es-ES"/>
        </w:rPr>
        <w:t>Mediante ejecutoria de</w:t>
      </w:r>
      <w:r w:rsidRPr="00661CFB">
        <w:rPr>
          <w:rFonts w:ascii="ITC Avant Garde" w:hAnsi="ITC Avant Garde"/>
        </w:rPr>
        <w:t xml:space="preserv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w:t>
      </w:r>
      <w:r w:rsidRPr="00661CFB">
        <w:rPr>
          <w:rFonts w:ascii="ITC Avant Garde" w:hAnsi="ITC Avant Garde"/>
        </w:rPr>
        <w:lastRenderedPageBreak/>
        <w:t>en las porciones referidas en la propia ejecutoria, de la Ley Federal de Telecomunicaciones y Radiodifusión, para los efectos precisados en la sentencia.</w:t>
      </w:r>
    </w:p>
    <w:p w14:paraId="3AF737D3" w14:textId="77777777" w:rsidR="00661CFB" w:rsidRPr="00661CFB" w:rsidRDefault="007A3C1C" w:rsidP="00661CFB">
      <w:pPr>
        <w:numPr>
          <w:ilvl w:val="0"/>
          <w:numId w:val="1"/>
        </w:numPr>
        <w:tabs>
          <w:tab w:val="clear" w:pos="680"/>
          <w:tab w:val="left" w:pos="142"/>
          <w:tab w:val="num" w:pos="567"/>
        </w:tabs>
        <w:spacing w:before="240"/>
        <w:ind w:left="567" w:right="23" w:hanging="567"/>
        <w:jc w:val="both"/>
        <w:rPr>
          <w:rFonts w:ascii="ITC Avant Garde" w:hAnsi="ITC Avant Garde" w:cs="Arial"/>
          <w:bCs/>
        </w:rPr>
      </w:pPr>
      <w:r w:rsidRPr="00661CFB">
        <w:rPr>
          <w:rFonts w:ascii="ITC Avant Garde" w:hAnsi="ITC Avant Garde"/>
          <w:b/>
          <w:bCs/>
          <w:lang w:val="es-ES" w:eastAsia="es-ES"/>
        </w:rPr>
        <w:t>Publicación de las Condiciones Técnicas Mínimas y las Tarifas de Interconexión para el año 2018</w:t>
      </w:r>
      <w:r w:rsidRPr="00661CFB">
        <w:rPr>
          <w:rFonts w:ascii="ITC Avant Garde" w:hAnsi="ITC Avant Garde"/>
          <w:bCs/>
          <w:lang w:val="es-ES" w:eastAsia="es-E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08700F8B" w14:textId="77777777" w:rsidR="00661CFB" w:rsidRPr="00661CFB" w:rsidRDefault="00F11878" w:rsidP="00661CFB">
      <w:pPr>
        <w:widowControl w:val="0"/>
        <w:spacing w:before="240"/>
        <w:jc w:val="both"/>
        <w:rPr>
          <w:rFonts w:ascii="ITC Avant Garde" w:eastAsia="Times New Roman" w:hAnsi="ITC Avant Garde"/>
          <w:lang w:eastAsia="es-ES"/>
        </w:rPr>
      </w:pPr>
      <w:bookmarkStart w:id="1" w:name="HipótesisNormativa"/>
      <w:r w:rsidRPr="00661CFB">
        <w:rPr>
          <w:rFonts w:ascii="ITC Avant Garde" w:eastAsia="Times New Roman" w:hAnsi="ITC Avant Garde"/>
          <w:lang w:eastAsia="es-ES"/>
        </w:rPr>
        <w:t>En virtud de los referidos Antecedentes, y</w:t>
      </w:r>
    </w:p>
    <w:p w14:paraId="6DA2681E" w14:textId="663B3513" w:rsidR="00661CFB" w:rsidRPr="00661CFB" w:rsidRDefault="00F11878" w:rsidP="00661CFB">
      <w:pPr>
        <w:pStyle w:val="Ttulo2"/>
        <w:keepLines/>
        <w:spacing w:before="40" w:after="240" w:line="276" w:lineRule="auto"/>
        <w:jc w:val="center"/>
        <w:rPr>
          <w:rFonts w:ascii="ITC Avant Garde" w:eastAsiaTheme="majorEastAsia" w:hAnsi="ITC Avant Garde" w:cstheme="majorBidi"/>
          <w:color w:val="000000" w:themeColor="text1"/>
          <w:szCs w:val="22"/>
        </w:rPr>
      </w:pPr>
      <w:r w:rsidRPr="00661CFB">
        <w:rPr>
          <w:rFonts w:ascii="ITC Avant Garde" w:eastAsiaTheme="majorEastAsia" w:hAnsi="ITC Avant Garde" w:cstheme="majorBidi"/>
          <w:color w:val="000000" w:themeColor="text1"/>
          <w:szCs w:val="22"/>
        </w:rPr>
        <w:t>CONSIDERANDO</w:t>
      </w:r>
    </w:p>
    <w:p w14:paraId="1BAB8C8A" w14:textId="77777777" w:rsidR="00661CFB" w:rsidRPr="00661CFB" w:rsidRDefault="00850C72" w:rsidP="00661CFB">
      <w:pPr>
        <w:spacing w:before="240"/>
        <w:jc w:val="both"/>
        <w:rPr>
          <w:rFonts w:ascii="ITC Avant Garde" w:hAnsi="ITC Avant Garde"/>
          <w:bCs/>
          <w:lang w:val="es-ES" w:eastAsia="es-ES"/>
        </w:rPr>
      </w:pPr>
      <w:bookmarkStart w:id="2" w:name="primero"/>
      <w:proofErr w:type="gramStart"/>
      <w:r w:rsidRPr="00661CFB">
        <w:rPr>
          <w:rFonts w:ascii="ITC Avant Garde" w:hAnsi="ITC Avant Garde"/>
          <w:b/>
          <w:bCs/>
          <w:lang w:val="es-ES" w:eastAsia="es-ES"/>
        </w:rPr>
        <w:t>PRIMERO.-</w:t>
      </w:r>
      <w:proofErr w:type="gramEnd"/>
      <w:r w:rsidRPr="00661CFB">
        <w:rPr>
          <w:rFonts w:ascii="ITC Avant Garde" w:hAnsi="ITC Avant Garde"/>
          <w:b/>
          <w:bCs/>
          <w:lang w:val="es-ES" w:eastAsia="es-ES"/>
        </w:rPr>
        <w:t xml:space="preserve"> Competencia del Instituto.</w:t>
      </w:r>
      <w:r w:rsidRPr="00661CFB">
        <w:rPr>
          <w:rFonts w:ascii="ITC Avant Garde" w:hAnsi="ITC Avant Garde"/>
          <w:bCs/>
          <w:lang w:val="es-ES" w:eastAsia="es-ES"/>
        </w:rPr>
        <w:t xml:space="preserve"> De conformidad con los artículos 6, apartado B fracción II</w:t>
      </w:r>
      <w:r w:rsidR="00BB430C" w:rsidRPr="00661CFB">
        <w:rPr>
          <w:rFonts w:ascii="ITC Avant Garde" w:hAnsi="ITC Avant Garde"/>
          <w:bCs/>
          <w:lang w:val="es-ES" w:eastAsia="es-ES"/>
        </w:rPr>
        <w:t xml:space="preserve"> y</w:t>
      </w:r>
      <w:r w:rsidRPr="00661CFB">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661CFB">
        <w:rPr>
          <w:rFonts w:ascii="ITC Avant Garde" w:hAnsi="ITC Avant Garde"/>
          <w:bCs/>
          <w:lang w:val="es-ES" w:eastAsia="es-ES"/>
        </w:rPr>
        <w:t>LFTR</w:t>
      </w:r>
      <w:r w:rsidRPr="00661CFB">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661CFB">
        <w:rPr>
          <w:rFonts w:ascii="ITC Avant Garde" w:hAnsi="ITC Avant Garde"/>
          <w:bCs/>
          <w:lang w:val="es-ES" w:eastAsia="es-ES"/>
        </w:rPr>
        <w:t>LFTR</w:t>
      </w:r>
      <w:r w:rsidRPr="00661CFB">
        <w:rPr>
          <w:rFonts w:ascii="ITC Avant Garde" w:hAnsi="ITC Avant Garde"/>
          <w:bCs/>
          <w:lang w:val="es-ES" w:eastAsia="es-ES"/>
        </w:rPr>
        <w:t xml:space="preserve"> y demás disposiciones aplicables. </w:t>
      </w:r>
    </w:p>
    <w:p w14:paraId="431B48C7"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Con fundamento en los artículos 7, 15, fracción X, 17, fracción I, y 129 de la </w:t>
      </w:r>
      <w:r w:rsidR="00D70C98" w:rsidRPr="00661CFB">
        <w:rPr>
          <w:rFonts w:ascii="ITC Avant Garde" w:hAnsi="ITC Avant Garde"/>
          <w:bCs/>
          <w:lang w:val="es-ES" w:eastAsia="es-ES"/>
        </w:rPr>
        <w:t>LFTR</w:t>
      </w:r>
      <w:r w:rsidRPr="00661CFB">
        <w:rPr>
          <w:rFonts w:ascii="ITC Avant Garde" w:hAnsi="ITC Avant Garde"/>
          <w:bCs/>
          <w:lang w:val="es-ES" w:eastAsia="es-ES"/>
        </w:rPr>
        <w:t xml:space="preserve">, el Pleno del Instituto está facultado, de manera exclusiva e indelegable, para resolver y establecer </w:t>
      </w:r>
      <w:r w:rsidR="00BB430C" w:rsidRPr="00661CFB">
        <w:rPr>
          <w:rFonts w:ascii="ITC Avant Garde" w:hAnsi="ITC Avant Garde"/>
          <w:bCs/>
          <w:lang w:val="es-ES" w:eastAsia="es-ES"/>
        </w:rPr>
        <w:t>los términos, condiciones y tarifas</w:t>
      </w:r>
      <w:r w:rsidRPr="00661CFB">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5B99CEED"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661CFB">
        <w:rPr>
          <w:rFonts w:ascii="ITC Avant Garde" w:hAnsi="ITC Avant Garde"/>
          <w:bCs/>
          <w:lang w:val="es-ES" w:eastAsia="es-ES"/>
        </w:rPr>
        <w:t>los términos, condiciones y tarifas</w:t>
      </w:r>
      <w:r w:rsidRPr="00661CFB">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2"/>
    </w:p>
    <w:p w14:paraId="58AABED8" w14:textId="77777777" w:rsidR="00661CFB" w:rsidRPr="00661CFB" w:rsidRDefault="00850C72" w:rsidP="00661CFB">
      <w:pPr>
        <w:autoSpaceDE w:val="0"/>
        <w:autoSpaceDN w:val="0"/>
        <w:spacing w:before="240"/>
        <w:jc w:val="both"/>
        <w:rPr>
          <w:rFonts w:ascii="ITC Avant Garde" w:hAnsi="ITC Avant Garde"/>
          <w:bCs/>
          <w:lang w:val="es-ES" w:eastAsia="es-ES"/>
        </w:rPr>
      </w:pPr>
      <w:bookmarkStart w:id="3" w:name="segundo"/>
      <w:proofErr w:type="gramStart"/>
      <w:r w:rsidRPr="00661CFB">
        <w:rPr>
          <w:rFonts w:ascii="ITC Avant Garde" w:hAnsi="ITC Avant Garde"/>
          <w:b/>
          <w:bCs/>
          <w:lang w:val="es-ES" w:eastAsia="es-ES"/>
        </w:rPr>
        <w:t>SEGUNDO.-</w:t>
      </w:r>
      <w:proofErr w:type="gramEnd"/>
      <w:r w:rsidRPr="00661CFB">
        <w:rPr>
          <w:rFonts w:ascii="ITC Avant Garde" w:hAnsi="ITC Avant Garde"/>
          <w:b/>
          <w:bCs/>
          <w:lang w:val="es-ES" w:eastAsia="es-ES"/>
        </w:rPr>
        <w:t xml:space="preserve"> Importancia y obligatoriedad de la i</w:t>
      </w:r>
      <w:r w:rsidR="009F1DC5" w:rsidRPr="00661CFB">
        <w:rPr>
          <w:rFonts w:ascii="ITC Avant Garde" w:hAnsi="ITC Avant Garde"/>
          <w:b/>
          <w:bCs/>
          <w:lang w:val="es-ES" w:eastAsia="es-ES"/>
        </w:rPr>
        <w:t>nterconexión e Interés Público.</w:t>
      </w:r>
      <w:r w:rsidRPr="00661CFB">
        <w:rPr>
          <w:rFonts w:ascii="ITC Avant Garde" w:hAnsi="ITC Avant Garde"/>
          <w:bCs/>
          <w:lang w:val="es-ES" w:eastAsia="es-ES"/>
        </w:rPr>
        <w:t xml:space="preserve"> El artículo 6</w:t>
      </w:r>
      <w:r w:rsidR="00FD2BFA" w:rsidRPr="00661CFB">
        <w:rPr>
          <w:rFonts w:ascii="ITC Avant Garde" w:hAnsi="ITC Avant Garde"/>
          <w:bCs/>
          <w:lang w:val="es-ES" w:eastAsia="es-ES"/>
        </w:rPr>
        <w:t>, apartado B, fracción II</w:t>
      </w:r>
      <w:r w:rsidRPr="00661CFB">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w:t>
      </w:r>
      <w:r w:rsidRPr="00661CFB">
        <w:rPr>
          <w:rFonts w:ascii="ITC Avant Garde" w:hAnsi="ITC Avant Garde"/>
          <w:bCs/>
          <w:lang w:val="es-ES" w:eastAsia="es-ES"/>
        </w:rPr>
        <w:lastRenderedPageBreak/>
        <w:t>cobertura universal, interconexión, convergencia, continuidad, acceso libre y sin injerencias arbitrarias.</w:t>
      </w:r>
    </w:p>
    <w:p w14:paraId="20C07C23"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Por su parte el artículo 2 de la </w:t>
      </w:r>
      <w:r w:rsidR="00D70C98" w:rsidRPr="00661CFB">
        <w:rPr>
          <w:rFonts w:ascii="ITC Avant Garde" w:hAnsi="ITC Avant Garde"/>
          <w:bCs/>
          <w:lang w:val="es-ES" w:eastAsia="es-ES"/>
        </w:rPr>
        <w:t>LFTR</w:t>
      </w:r>
      <w:r w:rsidRPr="00661CFB">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661CFB">
        <w:rPr>
          <w:rFonts w:ascii="ITC Avant Garde" w:hAnsi="ITC Avant Garde"/>
          <w:bCs/>
          <w:lang w:val="es-ES" w:eastAsia="es-ES"/>
        </w:rPr>
        <w:t>. P</w:t>
      </w:r>
      <w:r w:rsidRPr="00661CFB">
        <w:rPr>
          <w:rFonts w:ascii="ITC Avant Garde" w:hAnsi="ITC Avant Garde"/>
          <w:bCs/>
          <w:lang w:val="es-ES" w:eastAsia="es-ES"/>
        </w:rPr>
        <w:t>ara tales efectos</w:t>
      </w:r>
      <w:r w:rsidR="00FD2BFA" w:rsidRPr="00661CFB">
        <w:rPr>
          <w:rFonts w:ascii="ITC Avant Garde" w:hAnsi="ITC Avant Garde"/>
          <w:bCs/>
          <w:lang w:val="es-ES" w:eastAsia="es-ES"/>
        </w:rPr>
        <w:t>, el Instituto</w:t>
      </w:r>
      <w:r w:rsidRPr="00661CFB">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661CFB">
        <w:rPr>
          <w:rFonts w:ascii="ITC Avant Garde" w:hAnsi="ITC Avant Garde"/>
          <w:bCs/>
          <w:lang w:val="es-ES" w:eastAsia="es-ES"/>
        </w:rPr>
        <w:t>LFTR</w:t>
      </w:r>
      <w:r w:rsidRPr="00661CFB">
        <w:rPr>
          <w:rFonts w:ascii="ITC Avant Garde" w:hAnsi="ITC Avant Garde"/>
          <w:bCs/>
          <w:lang w:val="es-ES" w:eastAsia="es-ES"/>
        </w:rPr>
        <w:t>.</w:t>
      </w:r>
    </w:p>
    <w:p w14:paraId="760957BB"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661CFB">
        <w:rPr>
          <w:rFonts w:ascii="ITC Avant Garde" w:hAnsi="ITC Avant Garde"/>
          <w:bCs/>
          <w:lang w:val="es-ES" w:eastAsia="es-ES"/>
        </w:rPr>
        <w:t>LFTR</w:t>
      </w:r>
      <w:r w:rsidR="008D3F7F" w:rsidRPr="00661CFB">
        <w:rPr>
          <w:rFonts w:ascii="ITC Avant Garde" w:hAnsi="ITC Avant Garde"/>
          <w:bCs/>
          <w:lang w:val="es-ES" w:eastAsia="es-ES"/>
        </w:rPr>
        <w:t>;</w:t>
      </w:r>
      <w:r w:rsidRPr="00661CFB">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661CFB">
        <w:rPr>
          <w:rFonts w:ascii="ITC Avant Garde" w:hAnsi="ITC Avant Garde"/>
          <w:bCs/>
          <w:lang w:val="es-ES" w:eastAsia="es-ES"/>
        </w:rPr>
        <w:t>LFTR</w:t>
      </w:r>
      <w:r w:rsidRPr="00661CFB">
        <w:rPr>
          <w:rFonts w:ascii="ITC Avant Garde" w:hAnsi="ITC Avant Garde"/>
          <w:bCs/>
          <w:lang w:val="es-ES" w:eastAsia="es-ES"/>
        </w:rPr>
        <w:t>, y (iii) que dicha interconexión se realice en condiciones no discriminatorias, transparentes y basadas en criterios objetivos.</w:t>
      </w:r>
    </w:p>
    <w:p w14:paraId="09A481F4"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Ahora bien,</w:t>
      </w:r>
      <w:bookmarkEnd w:id="3"/>
      <w:r w:rsidRPr="00661CFB">
        <w:rPr>
          <w:rFonts w:ascii="ITC Avant Garde" w:hAnsi="ITC Avant Garde"/>
          <w:bCs/>
          <w:lang w:val="es-ES" w:eastAsia="es-ES"/>
        </w:rPr>
        <w:t xml:space="preserve"> </w:t>
      </w:r>
      <w:bookmarkStart w:id="4" w:name="tercero1"/>
      <w:r w:rsidRPr="00661CFB">
        <w:rPr>
          <w:rFonts w:ascii="ITC Avant Garde" w:hAnsi="ITC Avant Garde"/>
          <w:bCs/>
          <w:lang w:val="es-ES" w:eastAsia="es-ES"/>
        </w:rPr>
        <w:t xml:space="preserve">el artículo 129 de la </w:t>
      </w:r>
      <w:r w:rsidR="00D70C98" w:rsidRPr="00661CFB">
        <w:rPr>
          <w:rFonts w:ascii="ITC Avant Garde" w:hAnsi="ITC Avant Garde"/>
          <w:bCs/>
          <w:lang w:val="es-ES" w:eastAsia="es-ES"/>
        </w:rPr>
        <w:t>LFTR</w:t>
      </w:r>
      <w:r w:rsidRPr="00661CFB">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661CFB">
        <w:rPr>
          <w:rFonts w:ascii="ITC Avant Garde" w:hAnsi="ITC Avant Garde"/>
          <w:bCs/>
          <w:lang w:val="es-ES" w:eastAsia="es-ES"/>
        </w:rPr>
        <w:t xml:space="preserve">los términos, condiciones y tarifas </w:t>
      </w:r>
      <w:r w:rsidR="003C7A6C" w:rsidRPr="00661CFB">
        <w:rPr>
          <w:rFonts w:ascii="ITC Avant Garde" w:hAnsi="ITC Avant Garde"/>
          <w:bCs/>
          <w:lang w:val="es-ES" w:eastAsia="es-ES"/>
        </w:rPr>
        <w:t>no convenidas</w:t>
      </w:r>
      <w:r w:rsidRPr="00661CFB">
        <w:rPr>
          <w:rFonts w:ascii="ITC Avant Garde" w:hAnsi="ITC Avant Garde"/>
          <w:bCs/>
          <w:lang w:val="es-ES" w:eastAsia="es-ES"/>
        </w:rPr>
        <w:t>.</w:t>
      </w:r>
    </w:p>
    <w:p w14:paraId="10D9E90C" w14:textId="77777777" w:rsidR="00661CFB" w:rsidRPr="00661CFB" w:rsidRDefault="00850C72" w:rsidP="00661CFB">
      <w:pPr>
        <w:spacing w:before="240"/>
        <w:jc w:val="both"/>
        <w:rPr>
          <w:rFonts w:ascii="ITC Avant Garde" w:hAnsi="ITC Avant Garde"/>
          <w:bCs/>
          <w:lang w:val="es-ES" w:eastAsia="es-ES"/>
        </w:rPr>
      </w:pPr>
      <w:bookmarkStart w:id="5" w:name="tercero2"/>
      <w:bookmarkEnd w:id="4"/>
      <w:r w:rsidRPr="00661CFB">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0AB84849"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En consecuencia, en autos está acreditado que </w:t>
      </w:r>
      <w:r w:rsidR="007A3C1C" w:rsidRPr="00661CFB">
        <w:rPr>
          <w:rFonts w:ascii="ITC Avant Garde" w:hAnsi="ITC Avant Garde"/>
          <w:bCs/>
          <w:lang w:val="es-ES" w:eastAsia="es-ES"/>
        </w:rPr>
        <w:t>Tel</w:t>
      </w:r>
      <w:r w:rsidR="00045157" w:rsidRPr="00661CFB">
        <w:rPr>
          <w:rFonts w:ascii="ITC Avant Garde" w:hAnsi="ITC Avant Garde"/>
          <w:bCs/>
          <w:lang w:val="es-ES" w:eastAsia="es-ES"/>
        </w:rPr>
        <w:t xml:space="preserve">cel </w:t>
      </w:r>
      <w:r w:rsidRPr="00661CFB">
        <w:rPr>
          <w:rFonts w:ascii="ITC Avant Garde" w:hAnsi="ITC Avant Garde"/>
          <w:bCs/>
          <w:lang w:val="es-ES" w:eastAsia="es-ES"/>
        </w:rPr>
        <w:t xml:space="preserve">y </w:t>
      </w:r>
      <w:r w:rsidR="00831586" w:rsidRPr="00661CFB">
        <w:rPr>
          <w:rFonts w:ascii="ITC Avant Garde" w:hAnsi="ITC Avant Garde"/>
          <w:bCs/>
          <w:lang w:val="es-ES" w:eastAsia="es-ES"/>
        </w:rPr>
        <w:t>TV Rey</w:t>
      </w:r>
      <w:r w:rsidR="003216A7" w:rsidRPr="00661CFB">
        <w:rPr>
          <w:rFonts w:ascii="ITC Avant Garde" w:hAnsi="ITC Avant Garde"/>
          <w:bCs/>
          <w:lang w:val="es-ES" w:eastAsia="es-ES"/>
        </w:rPr>
        <w:t xml:space="preserve"> </w:t>
      </w:r>
      <w:r w:rsidRPr="00661CFB">
        <w:rPr>
          <w:rFonts w:ascii="ITC Avant Garde" w:hAnsi="ITC Avant Garde"/>
          <w:bCs/>
          <w:lang w:val="es-ES" w:eastAsia="es-ES"/>
        </w:rPr>
        <w:t xml:space="preserve">tienen el carácter de concesionarios que operan una red pública de telecomunicaciones y que </w:t>
      </w:r>
      <w:r w:rsidR="00045157" w:rsidRPr="00661CFB">
        <w:rPr>
          <w:rFonts w:ascii="ITC Avant Garde" w:hAnsi="ITC Avant Garde"/>
          <w:bCs/>
          <w:lang w:val="es-ES" w:eastAsia="es-ES"/>
        </w:rPr>
        <w:t>Telcel</w:t>
      </w:r>
      <w:r w:rsidR="003216A7" w:rsidRPr="00661CFB">
        <w:rPr>
          <w:rFonts w:ascii="ITC Avant Garde" w:hAnsi="ITC Avant Garde"/>
          <w:bCs/>
          <w:lang w:val="es-ES" w:eastAsia="es-ES"/>
        </w:rPr>
        <w:t xml:space="preserve"> </w:t>
      </w:r>
      <w:r w:rsidRPr="00661CFB">
        <w:rPr>
          <w:rFonts w:ascii="ITC Avant Garde" w:hAnsi="ITC Avant Garde"/>
          <w:bCs/>
          <w:lang w:val="es-ES" w:eastAsia="es-ES"/>
        </w:rPr>
        <w:lastRenderedPageBreak/>
        <w:t xml:space="preserve">requirió a </w:t>
      </w:r>
      <w:r w:rsidR="00831586" w:rsidRPr="00661CFB">
        <w:rPr>
          <w:rFonts w:ascii="ITC Avant Garde" w:hAnsi="ITC Avant Garde"/>
          <w:bCs/>
          <w:lang w:val="es-ES" w:eastAsia="es-ES"/>
        </w:rPr>
        <w:t>TV Rey</w:t>
      </w:r>
      <w:r w:rsidR="003216A7" w:rsidRPr="00661CFB">
        <w:rPr>
          <w:rFonts w:ascii="ITC Avant Garde" w:hAnsi="ITC Avant Garde"/>
          <w:bCs/>
          <w:lang w:val="es-ES" w:eastAsia="es-ES"/>
        </w:rPr>
        <w:t xml:space="preserve"> </w:t>
      </w:r>
      <w:r w:rsidRPr="00661CFB">
        <w:rPr>
          <w:rFonts w:ascii="ITC Avant Garde" w:hAnsi="ITC Avant Garde"/>
          <w:bCs/>
          <w:lang w:val="es-ES" w:eastAsia="es-ES"/>
        </w:rPr>
        <w:t xml:space="preserve">el inicio de negociaciones para convenir los </w:t>
      </w:r>
      <w:r w:rsidR="00BB0D31" w:rsidRPr="00661CFB">
        <w:rPr>
          <w:rFonts w:ascii="ITC Avant Garde" w:hAnsi="ITC Avant Garde"/>
          <w:bCs/>
          <w:lang w:val="es-ES" w:eastAsia="es-ES"/>
        </w:rPr>
        <w:t>términos y</w:t>
      </w:r>
      <w:r w:rsidRPr="00661CFB">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II y V</w:t>
      </w:r>
      <w:r w:rsidR="00090C0C" w:rsidRPr="00661CFB">
        <w:rPr>
          <w:rFonts w:ascii="ITC Avant Garde" w:hAnsi="ITC Avant Garde"/>
          <w:bCs/>
          <w:lang w:val="es-ES" w:eastAsia="es-ES"/>
        </w:rPr>
        <w:t>II</w:t>
      </w:r>
      <w:r w:rsidRPr="00661CFB">
        <w:rPr>
          <w:rFonts w:ascii="ITC Avant Garde" w:hAnsi="ITC Avant Garde"/>
          <w:bCs/>
          <w:lang w:val="es-ES" w:eastAsia="es-ES"/>
        </w:rPr>
        <w:t xml:space="preserve"> de la presente Resolución.</w:t>
      </w:r>
    </w:p>
    <w:p w14:paraId="273DCB81" w14:textId="77777777" w:rsidR="00661CFB" w:rsidRPr="00661CFB" w:rsidRDefault="00850C72" w:rsidP="00661CFB">
      <w:pPr>
        <w:spacing w:before="240"/>
        <w:jc w:val="both"/>
        <w:rPr>
          <w:rFonts w:ascii="ITC Avant Garde" w:hAnsi="ITC Avant Garde"/>
          <w:bCs/>
          <w:lang w:val="es-ES" w:eastAsia="es-ES"/>
        </w:rPr>
      </w:pPr>
      <w:r w:rsidRPr="00661CFB">
        <w:rPr>
          <w:rFonts w:ascii="ITC Avant Garde" w:hAnsi="ITC Avant Garde"/>
          <w:bCs/>
          <w:lang w:val="es-ES" w:eastAsia="es-ES"/>
        </w:rPr>
        <w:t xml:space="preserve">Por ello, conforme al artículo 124 de la </w:t>
      </w:r>
      <w:r w:rsidR="00D70C98" w:rsidRPr="00661CFB">
        <w:rPr>
          <w:rFonts w:ascii="ITC Avant Garde" w:hAnsi="ITC Avant Garde"/>
          <w:bCs/>
          <w:lang w:val="es-ES" w:eastAsia="es-ES"/>
        </w:rPr>
        <w:t>LFTR</w:t>
      </w:r>
      <w:r w:rsidRPr="00661CFB">
        <w:rPr>
          <w:rFonts w:ascii="ITC Avant Garde" w:hAnsi="ITC Avant Garde"/>
          <w:bCs/>
          <w:lang w:val="es-ES" w:eastAsia="es-ES"/>
        </w:rPr>
        <w:t xml:space="preserve">, </w:t>
      </w:r>
      <w:r w:rsidR="00045157" w:rsidRPr="00661CFB">
        <w:rPr>
          <w:rFonts w:ascii="ITC Avant Garde" w:hAnsi="ITC Avant Garde"/>
          <w:bCs/>
          <w:lang w:val="es-ES" w:eastAsia="es-ES"/>
        </w:rPr>
        <w:t>Telcel</w:t>
      </w:r>
      <w:r w:rsidRPr="00661CFB">
        <w:rPr>
          <w:rFonts w:ascii="ITC Avant Garde" w:hAnsi="ITC Avant Garde"/>
          <w:bCs/>
          <w:lang w:val="es-ES" w:eastAsia="es-ES"/>
        </w:rPr>
        <w:t xml:space="preserve"> y </w:t>
      </w:r>
      <w:r w:rsidR="00831586" w:rsidRPr="00661CFB">
        <w:rPr>
          <w:rFonts w:ascii="ITC Avant Garde" w:hAnsi="ITC Avant Garde"/>
          <w:bCs/>
          <w:lang w:val="es-ES" w:eastAsia="es-ES"/>
        </w:rPr>
        <w:t>TV Rey</w:t>
      </w:r>
      <w:r w:rsidRPr="00661CFB">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1F71CB2D" w14:textId="77777777" w:rsidR="00661CFB" w:rsidRPr="00661CFB" w:rsidRDefault="00106FE3" w:rsidP="00661CFB">
      <w:pPr>
        <w:spacing w:before="240"/>
        <w:ind w:right="49"/>
        <w:jc w:val="both"/>
        <w:rPr>
          <w:rFonts w:ascii="ITC Avant Garde" w:hAnsi="ITC Avant Garde"/>
        </w:rPr>
      </w:pPr>
      <w:proofErr w:type="gramStart"/>
      <w:r w:rsidRPr="00661CFB">
        <w:rPr>
          <w:rFonts w:ascii="ITC Avant Garde" w:hAnsi="ITC Avant Garde" w:cs="Arial"/>
          <w:b/>
        </w:rPr>
        <w:t>TERCERO.-</w:t>
      </w:r>
      <w:proofErr w:type="gramEnd"/>
      <w:r w:rsidRPr="00661CFB">
        <w:rPr>
          <w:rFonts w:ascii="ITC Avant Garde" w:hAnsi="ITC Avant Garde" w:cs="Arial"/>
          <w:b/>
        </w:rPr>
        <w:t xml:space="preserve"> </w:t>
      </w:r>
      <w:r w:rsidRPr="00661CFB">
        <w:rPr>
          <w:rFonts w:ascii="ITC Avant Garde" w:hAnsi="ITC Avant Garde"/>
          <w:b/>
        </w:rPr>
        <w:t xml:space="preserve">Ejecutoria dictada en el Amparo en Revisión 1100/2015 por la Segunda Sala de la Suprema Corte de Justicia de la Nación. </w:t>
      </w:r>
      <w:r w:rsidRPr="00661CFB">
        <w:rPr>
          <w:rFonts w:ascii="ITC Avant Garde" w:hAnsi="ITC Avant Garde"/>
        </w:rPr>
        <w:t xml:space="preserve">El 16 de agosto de 2017 la Segunda Sala de la Suprema Corte de Justicia de la Nación (en lo sucesivo, la “SCJN”) dictó ejecutoria </w:t>
      </w:r>
      <w:r w:rsidRPr="00661CFB">
        <w:rPr>
          <w:rFonts w:ascii="ITC Avant Garde" w:hAnsi="ITC Avant Garde"/>
          <w:b/>
        </w:rPr>
        <w:t>en el Amparo en Revisión 1100/2015</w:t>
      </w:r>
      <w:r w:rsidRPr="00661CFB">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016144F8"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La Segunda Sala de la SCJN consideró que el Instituto tiene la competencia </w:t>
      </w:r>
      <w:r w:rsidRPr="00661CFB">
        <w:rPr>
          <w:rFonts w:ascii="ITC Avant Garde" w:hAnsi="ITC Avant Garde"/>
          <w:b/>
        </w:rPr>
        <w:t>originaria y exclusiva</w:t>
      </w:r>
      <w:r w:rsidRPr="00661CFB">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01CEB4AB"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78C99EC0"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Ahora bien, en dicha ejecutoria, la Segunda sala de la SCJN resolvió que </w:t>
      </w:r>
      <w:r w:rsidRPr="00661CFB">
        <w:rPr>
          <w:rFonts w:ascii="ITC Avant Garde" w:hAnsi="ITC Avant Garde"/>
          <w:b/>
        </w:rPr>
        <w:t>la Justicia de la Unión Ampara y Protege a Telcel</w:t>
      </w:r>
      <w:r w:rsidRPr="00661CFB">
        <w:rPr>
          <w:rFonts w:ascii="ITC Avant Garde" w:hAnsi="ITC Avant Garde"/>
        </w:rPr>
        <w:t>, para los siguientes efectos (párrafo 181):</w:t>
      </w:r>
    </w:p>
    <w:p w14:paraId="3F3B79A1" w14:textId="77777777" w:rsidR="00661CFB" w:rsidRPr="00661CFB" w:rsidRDefault="00106FE3" w:rsidP="00661CFB">
      <w:pPr>
        <w:pStyle w:val="Prrafodelista"/>
        <w:numPr>
          <w:ilvl w:val="0"/>
          <w:numId w:val="17"/>
        </w:numPr>
        <w:spacing w:before="240" w:after="200" w:line="276" w:lineRule="auto"/>
        <w:contextualSpacing/>
        <w:rPr>
          <w:rFonts w:ascii="ITC Avant Garde" w:hAnsi="ITC Avant Garde" w:cs="Arial"/>
          <w:sz w:val="18"/>
          <w:szCs w:val="18"/>
        </w:rPr>
      </w:pPr>
      <w:r w:rsidRPr="00661CFB">
        <w:rPr>
          <w:rFonts w:ascii="ITC Avant Garde" w:hAnsi="ITC Avant Garde" w:cs="Arial"/>
          <w:sz w:val="18"/>
          <w:szCs w:val="18"/>
        </w:rPr>
        <w:t xml:space="preserve">El Instituto Federal de Telecomunicaciones, en los términos de la presente ejecutoria, dejará de aplicar a </w:t>
      </w:r>
      <w:r w:rsidRPr="00661CFB">
        <w:rPr>
          <w:rFonts w:ascii="ITC Avant Garde" w:hAnsi="ITC Avant Garde" w:cs="Arial"/>
          <w:sz w:val="18"/>
          <w:szCs w:val="18"/>
          <w:u w:val="single"/>
        </w:rPr>
        <w:t>Radiomóvil Dipsa</w:t>
      </w:r>
      <w:r w:rsidRPr="00661CFB">
        <w:rPr>
          <w:rFonts w:ascii="ITC Avant Garde" w:hAnsi="ITC Avant Garde" w:cs="Arial"/>
          <w:sz w:val="18"/>
          <w:szCs w:val="18"/>
        </w:rPr>
        <w:t xml:space="preserve"> el sistema normativo declarado inconstitucional.</w:t>
      </w:r>
    </w:p>
    <w:p w14:paraId="4815ED6C" w14:textId="77777777" w:rsidR="00661CFB" w:rsidRPr="00661CFB" w:rsidRDefault="00106FE3" w:rsidP="00661CFB">
      <w:pPr>
        <w:pStyle w:val="Prrafodelista"/>
        <w:spacing w:before="240" w:after="200" w:line="276" w:lineRule="auto"/>
        <w:ind w:left="709"/>
        <w:rPr>
          <w:rFonts w:ascii="ITC Avant Garde" w:hAnsi="ITC Avant Garde" w:cs="Arial"/>
          <w:sz w:val="18"/>
          <w:szCs w:val="18"/>
        </w:rPr>
      </w:pPr>
      <w:r w:rsidRPr="00661CFB">
        <w:rPr>
          <w:rFonts w:ascii="ITC Avant Garde" w:hAnsi="ITC Avant Garde" w:cs="Arial"/>
          <w:sz w:val="18"/>
          <w:szCs w:val="18"/>
        </w:rPr>
        <w:lastRenderedPageBreak/>
        <w:t xml:space="preserve">La inaplicación de las citadas normas </w:t>
      </w:r>
      <w:r w:rsidRPr="00661CFB">
        <w:rPr>
          <w:rFonts w:ascii="ITC Avant Garde" w:hAnsi="ITC Avant Garde" w:cs="Arial"/>
          <w:sz w:val="18"/>
          <w:szCs w:val="18"/>
          <w:u w:val="single"/>
        </w:rPr>
        <w:t>no puede recaer en persona distinta</w:t>
      </w:r>
      <w:r w:rsidRPr="00661CFB">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60E85BA6"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Es decir, el </w:t>
      </w:r>
      <w:r w:rsidRPr="00661CFB">
        <w:rPr>
          <w:rFonts w:ascii="ITC Avant Garde" w:hAnsi="ITC Avant Garde"/>
          <w:b/>
        </w:rPr>
        <w:t>Instituto debe dejar de aplicar</w:t>
      </w:r>
      <w:r w:rsidR="0035214C" w:rsidRPr="00661CFB">
        <w:rPr>
          <w:rFonts w:ascii="ITC Avant Garde" w:hAnsi="ITC Avant Garde"/>
          <w:b/>
        </w:rPr>
        <w:t>le</w:t>
      </w:r>
      <w:r w:rsidRPr="00661CFB">
        <w:rPr>
          <w:rFonts w:ascii="ITC Avant Garde" w:hAnsi="ITC Avant Garde"/>
          <w:b/>
        </w:rPr>
        <w:t xml:space="preserve"> a Telcel el sistema normativo declarado inconstitucional</w:t>
      </w:r>
      <w:r w:rsidRPr="00661CFB">
        <w:rPr>
          <w:rFonts w:ascii="ITC Avant Garde" w:hAnsi="ITC Avant Garde"/>
        </w:rPr>
        <w:t>; el cual 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1B515BF7" w14:textId="77777777" w:rsidR="00661CFB" w:rsidRPr="00661CFB" w:rsidRDefault="00106FE3" w:rsidP="00661CFB">
      <w:pPr>
        <w:spacing w:before="240"/>
        <w:ind w:left="567" w:right="616"/>
        <w:jc w:val="both"/>
        <w:rPr>
          <w:rFonts w:ascii="ITC Avant Garde" w:hAnsi="ITC Avant Garde"/>
          <w:b/>
          <w:sz w:val="18"/>
          <w:szCs w:val="18"/>
        </w:rPr>
      </w:pPr>
      <w:r w:rsidRPr="00661CFB">
        <w:rPr>
          <w:rFonts w:ascii="ITC Avant Garde" w:hAnsi="ITC Avant Garde"/>
          <w:b/>
          <w:sz w:val="18"/>
          <w:szCs w:val="18"/>
        </w:rPr>
        <w:t>“Artículo 131.</w:t>
      </w:r>
    </w:p>
    <w:p w14:paraId="1FB59AE5" w14:textId="4D10DF3F" w:rsidR="00106FE3" w:rsidRPr="00661CFB" w:rsidRDefault="00106FE3" w:rsidP="00661CFB">
      <w:pPr>
        <w:spacing w:before="240"/>
        <w:ind w:left="567" w:right="616"/>
        <w:jc w:val="both"/>
        <w:rPr>
          <w:rFonts w:ascii="ITC Avant Garde" w:hAnsi="ITC Avant Garde"/>
          <w:sz w:val="18"/>
          <w:szCs w:val="18"/>
        </w:rPr>
      </w:pPr>
      <w:r w:rsidRPr="00661CFB">
        <w:rPr>
          <w:rFonts w:ascii="ITC Avant Garde" w:hAnsi="ITC Avant Garde"/>
          <w:sz w:val="18"/>
          <w:szCs w:val="18"/>
        </w:rPr>
        <w:t>[…]</w:t>
      </w:r>
    </w:p>
    <w:p w14:paraId="1503F4CC" w14:textId="77777777" w:rsidR="00106FE3" w:rsidRPr="00661CFB" w:rsidRDefault="00106FE3" w:rsidP="00661CFB">
      <w:pPr>
        <w:pStyle w:val="Prrafodelista"/>
        <w:numPr>
          <w:ilvl w:val="0"/>
          <w:numId w:val="17"/>
        </w:numPr>
        <w:spacing w:before="240" w:after="200" w:line="276" w:lineRule="auto"/>
        <w:ind w:right="616"/>
        <w:contextualSpacing/>
        <w:rPr>
          <w:rFonts w:ascii="ITC Avant Garde" w:hAnsi="ITC Avant Garde"/>
          <w:sz w:val="18"/>
          <w:szCs w:val="18"/>
        </w:rPr>
      </w:pPr>
      <w:r w:rsidRPr="00661CFB">
        <w:rPr>
          <w:rFonts w:ascii="ITC Avant Garde" w:hAnsi="ITC Avant Garde"/>
          <w:sz w:val="18"/>
          <w:szCs w:val="18"/>
        </w:rPr>
        <w:t>Los agentes a los que se refiere el párrafo anterior, no cobrarán a los demás concesionarios por el tráfico que termine en su red, y</w:t>
      </w:r>
    </w:p>
    <w:p w14:paraId="47157D24" w14:textId="77777777" w:rsidR="00661CFB" w:rsidRPr="00661CFB" w:rsidRDefault="00106FE3" w:rsidP="00661CFB">
      <w:pPr>
        <w:pStyle w:val="Prrafodelista"/>
        <w:spacing w:before="240" w:after="200" w:line="276" w:lineRule="auto"/>
        <w:ind w:left="567" w:right="616"/>
        <w:rPr>
          <w:rFonts w:ascii="ITC Avant Garde" w:hAnsi="ITC Avant Garde"/>
          <w:sz w:val="18"/>
          <w:szCs w:val="18"/>
        </w:rPr>
      </w:pPr>
      <w:r w:rsidRPr="00661CFB">
        <w:rPr>
          <w:rFonts w:ascii="ITC Avant Garde" w:hAnsi="ITC Avant Garde"/>
          <w:sz w:val="18"/>
          <w:szCs w:val="18"/>
        </w:rPr>
        <w:t>[…]</w:t>
      </w:r>
    </w:p>
    <w:p w14:paraId="139A71A9" w14:textId="77777777" w:rsidR="00661CFB" w:rsidRPr="00661CFB" w:rsidRDefault="00106FE3" w:rsidP="00661CFB">
      <w:pPr>
        <w:spacing w:before="240"/>
        <w:ind w:left="567" w:right="616"/>
        <w:jc w:val="both"/>
        <w:rPr>
          <w:rFonts w:ascii="ITC Avant Garde" w:hAnsi="ITC Avant Garde"/>
          <w:sz w:val="18"/>
          <w:szCs w:val="18"/>
        </w:rPr>
      </w:pPr>
      <w:r w:rsidRPr="00661CFB">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7D7BA87C" w14:textId="77777777" w:rsidR="00661CFB" w:rsidRPr="00661CFB" w:rsidRDefault="00106FE3" w:rsidP="00661CFB">
      <w:pPr>
        <w:spacing w:before="240"/>
        <w:ind w:right="49"/>
        <w:jc w:val="both"/>
        <w:rPr>
          <w:rFonts w:ascii="ITC Avant Garde" w:hAnsi="ITC Avant Garde"/>
        </w:rPr>
      </w:pPr>
      <w:proofErr w:type="gramStart"/>
      <w:r w:rsidRPr="00661CFB">
        <w:rPr>
          <w:rFonts w:ascii="ITC Avant Garde" w:hAnsi="ITC Avant Garde"/>
        </w:rPr>
        <w:t>Asimismo</w:t>
      </w:r>
      <w:proofErr w:type="gramEnd"/>
      <w:r w:rsidRPr="00661CFB">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74977AD2" w14:textId="4E1101B7" w:rsidR="00661CFB" w:rsidRPr="00661CFB" w:rsidRDefault="00106FE3" w:rsidP="00661CFB">
      <w:pPr>
        <w:widowControl w:val="0"/>
        <w:autoSpaceDE w:val="0"/>
        <w:autoSpaceDN w:val="0"/>
        <w:adjustRightInd w:val="0"/>
        <w:spacing w:before="240"/>
        <w:ind w:left="567" w:right="616"/>
        <w:jc w:val="both"/>
        <w:rPr>
          <w:rFonts w:ascii="ITC Avant Garde" w:hAnsi="ITC Avant Garde"/>
          <w:sz w:val="18"/>
          <w:szCs w:val="18"/>
        </w:rPr>
      </w:pPr>
      <w:r w:rsidRPr="00661CFB">
        <w:rPr>
          <w:rFonts w:ascii="ITC Avant Garde" w:hAnsi="ITC Avant Garde"/>
          <w:b/>
          <w:sz w:val="18"/>
          <w:szCs w:val="18"/>
        </w:rPr>
        <w:t>SEXTO.</w:t>
      </w:r>
      <w:r w:rsidRPr="00661CFB">
        <w:rPr>
          <w:rFonts w:ascii="ITC Avant Garde" w:hAnsi="ITC Avant Garde"/>
          <w:sz w:val="18"/>
          <w:szCs w:val="18"/>
        </w:rPr>
        <w:t xml:space="preserve"> […]. Lo anterior sin perjuicio de lo previsto en el Vigésimo Transitorio del presente Decreto. </w:t>
      </w:r>
    </w:p>
    <w:p w14:paraId="79EA1796" w14:textId="77777777" w:rsidR="00661CFB" w:rsidRPr="00661CFB" w:rsidRDefault="00106FE3" w:rsidP="00661CFB">
      <w:pPr>
        <w:widowControl w:val="0"/>
        <w:autoSpaceDE w:val="0"/>
        <w:autoSpaceDN w:val="0"/>
        <w:adjustRightInd w:val="0"/>
        <w:spacing w:before="240"/>
        <w:ind w:left="567" w:right="616"/>
        <w:jc w:val="both"/>
        <w:rPr>
          <w:rFonts w:ascii="ITC Avant Garde" w:hAnsi="ITC Avant Garde"/>
          <w:sz w:val="18"/>
          <w:szCs w:val="18"/>
        </w:rPr>
      </w:pPr>
      <w:r w:rsidRPr="00661CFB">
        <w:rPr>
          <w:rFonts w:ascii="ITC Avant Garde" w:hAnsi="ITC Avant Garde"/>
          <w:b/>
          <w:sz w:val="18"/>
          <w:szCs w:val="18"/>
        </w:rPr>
        <w:t>VIGÉSIMO.</w:t>
      </w:r>
      <w:r w:rsidRPr="00661CFB">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6F4CE6A7" w14:textId="77777777" w:rsidR="00661CFB" w:rsidRPr="00661CFB" w:rsidRDefault="00106FE3" w:rsidP="00661CFB">
      <w:pPr>
        <w:widowControl w:val="0"/>
        <w:autoSpaceDE w:val="0"/>
        <w:autoSpaceDN w:val="0"/>
        <w:adjustRightInd w:val="0"/>
        <w:spacing w:before="240"/>
        <w:ind w:left="567" w:right="616"/>
        <w:jc w:val="both"/>
        <w:rPr>
          <w:rFonts w:ascii="ITC Avant Garde" w:hAnsi="ITC Avant Garde"/>
          <w:sz w:val="18"/>
          <w:szCs w:val="18"/>
        </w:rPr>
      </w:pPr>
      <w:r w:rsidRPr="00661CFB">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5B6256C3" w14:textId="77777777" w:rsidR="00661CFB" w:rsidRPr="00661CFB" w:rsidRDefault="00106FE3" w:rsidP="00661CFB">
      <w:pPr>
        <w:widowControl w:val="0"/>
        <w:autoSpaceDE w:val="0"/>
        <w:autoSpaceDN w:val="0"/>
        <w:adjustRightInd w:val="0"/>
        <w:spacing w:before="240"/>
        <w:ind w:left="567" w:right="616"/>
        <w:jc w:val="both"/>
        <w:rPr>
          <w:rFonts w:ascii="ITC Avant Garde" w:hAnsi="ITC Avant Garde"/>
          <w:sz w:val="18"/>
          <w:szCs w:val="18"/>
        </w:rPr>
      </w:pPr>
      <w:r w:rsidRPr="00661CFB">
        <w:rPr>
          <w:rFonts w:ascii="ITC Avant Garde" w:hAnsi="ITC Avant Garde"/>
          <w:b/>
          <w:sz w:val="18"/>
          <w:szCs w:val="18"/>
        </w:rPr>
        <w:lastRenderedPageBreak/>
        <w:t>TRIGÉSIMO QUINTO.</w:t>
      </w:r>
      <w:r w:rsidRPr="00661CFB">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3CA96B0E"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En tal virtud, y de conformidad con los alcances de la ejecutoria emitida por la Segunda Sala de la SCJN, el Instituto debe dejar de aplicar</w:t>
      </w:r>
      <w:r w:rsidR="0035214C" w:rsidRPr="00661CFB">
        <w:rPr>
          <w:rFonts w:ascii="ITC Avant Garde" w:hAnsi="ITC Avant Garde"/>
        </w:rPr>
        <w:t>le</w:t>
      </w:r>
      <w:r w:rsidRPr="00661CFB">
        <w:rPr>
          <w:rFonts w:ascii="ITC Avant Garde" w:hAnsi="ITC Avant Garde"/>
        </w:rPr>
        <w:t xml:space="preserve">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308B8E69"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Cabe mencionar que en virtud de que la </w:t>
      </w:r>
      <w:r w:rsidRPr="00661CFB">
        <w:rPr>
          <w:rFonts w:ascii="ITC Avant Garde" w:hAnsi="ITC Avant Garde"/>
          <w:b/>
        </w:rPr>
        <w:t>inaplicación de dicho sistema normativo no puede recaer en persona distinta</w:t>
      </w:r>
      <w:r w:rsidRPr="00661CFB">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48214AFB"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Ahora bien, continuando con los efectos de la sentencia (párrafo 181 de la ejecutoria), la Segunda Sala de la SCJN los definió en los siguientes términos:</w:t>
      </w:r>
    </w:p>
    <w:p w14:paraId="653C9393" w14:textId="77777777" w:rsidR="00661CFB" w:rsidRPr="00661CFB" w:rsidRDefault="00106FE3" w:rsidP="00661CFB">
      <w:pPr>
        <w:pStyle w:val="Prrafodelista"/>
        <w:numPr>
          <w:ilvl w:val="0"/>
          <w:numId w:val="19"/>
        </w:numPr>
        <w:spacing w:before="240" w:after="200" w:line="276" w:lineRule="auto"/>
        <w:contextualSpacing/>
        <w:rPr>
          <w:rFonts w:ascii="ITC Avant Garde" w:hAnsi="ITC Avant Garde" w:cs="Arial"/>
          <w:sz w:val="18"/>
          <w:szCs w:val="18"/>
        </w:rPr>
      </w:pPr>
      <w:r w:rsidRPr="00661CFB">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661CFB">
        <w:rPr>
          <w:rFonts w:ascii="ITC Avant Garde" w:hAnsi="ITC Avant Garde" w:cs="Arial"/>
          <w:sz w:val="18"/>
          <w:szCs w:val="18"/>
          <w:u w:val="single"/>
        </w:rPr>
        <w:t>determinará la regulación asimétrica relativa a las tarifas de interconexión por la terminación de tráfico en la red de Radiomóvil Dipsa, en su carácter de agente económico preponderante</w:t>
      </w:r>
      <w:r w:rsidRPr="00661CFB">
        <w:rPr>
          <w:rFonts w:ascii="ITC Avant Garde" w:hAnsi="ITC Avant Garde" w:cs="Arial"/>
          <w:sz w:val="18"/>
          <w:szCs w:val="18"/>
        </w:rPr>
        <w:t xml:space="preserve">.  </w:t>
      </w:r>
    </w:p>
    <w:p w14:paraId="098B5E2D" w14:textId="77777777" w:rsidR="00661CFB" w:rsidRPr="00661CFB" w:rsidRDefault="00106FE3" w:rsidP="00661CFB">
      <w:pPr>
        <w:pStyle w:val="Prrafodelista"/>
        <w:numPr>
          <w:ilvl w:val="0"/>
          <w:numId w:val="19"/>
        </w:numPr>
        <w:spacing w:before="240" w:after="200" w:line="276" w:lineRule="auto"/>
        <w:contextualSpacing/>
        <w:rPr>
          <w:rFonts w:ascii="ITC Avant Garde" w:hAnsi="ITC Avant Garde" w:cs="Arial"/>
          <w:sz w:val="18"/>
          <w:szCs w:val="18"/>
        </w:rPr>
      </w:pPr>
      <w:r w:rsidRPr="00661CFB">
        <w:rPr>
          <w:rFonts w:ascii="ITC Avant Garde" w:hAnsi="ITC Avant Garde" w:cs="Arial"/>
          <w:sz w:val="18"/>
          <w:szCs w:val="18"/>
        </w:rPr>
        <w:t xml:space="preserve">Todos aquellos </w:t>
      </w:r>
      <w:r w:rsidRPr="00661CFB">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661CFB">
        <w:rPr>
          <w:rFonts w:ascii="ITC Avant Garde" w:hAnsi="ITC Avant Garde" w:cs="Arial"/>
          <w:sz w:val="18"/>
          <w:szCs w:val="18"/>
        </w:rPr>
        <w:t>.</w:t>
      </w:r>
    </w:p>
    <w:p w14:paraId="5B2B306C" w14:textId="77777777" w:rsidR="00661CFB" w:rsidRPr="00661CFB" w:rsidRDefault="00106FE3" w:rsidP="00661CFB">
      <w:pPr>
        <w:pStyle w:val="Prrafodelista"/>
        <w:numPr>
          <w:ilvl w:val="0"/>
          <w:numId w:val="19"/>
        </w:numPr>
        <w:spacing w:before="240" w:after="200" w:line="276" w:lineRule="auto"/>
        <w:contextualSpacing/>
        <w:rPr>
          <w:rFonts w:ascii="ITC Avant Garde" w:hAnsi="ITC Avant Garde" w:cs="Arial"/>
          <w:sz w:val="18"/>
          <w:szCs w:val="18"/>
        </w:rPr>
      </w:pPr>
      <w:r w:rsidRPr="00661CFB">
        <w:rPr>
          <w:rFonts w:ascii="ITC Avant Garde" w:hAnsi="ITC Avant Garde" w:cs="Arial"/>
          <w:sz w:val="18"/>
          <w:szCs w:val="18"/>
          <w:u w:val="single"/>
        </w:rPr>
        <w:t>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661CFB">
        <w:rPr>
          <w:rFonts w:ascii="ITC Avant Garde" w:hAnsi="ITC Avant Garde" w:cs="Arial"/>
          <w:sz w:val="18"/>
          <w:szCs w:val="18"/>
        </w:rPr>
        <w:t>.</w:t>
      </w:r>
    </w:p>
    <w:p w14:paraId="0EFF34E6"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En la materia de la citada ejecutoria, cobran relevancia los incisos b) y d) antes citados, ya que es en acato de los mismos que el Instituto deberá determinar las tarifas de </w:t>
      </w:r>
      <w:r w:rsidRPr="00661CFB">
        <w:rPr>
          <w:rFonts w:ascii="ITC Avant Garde" w:hAnsi="ITC Avant Garde"/>
        </w:rPr>
        <w:lastRenderedPageBreak/>
        <w:t>interconexión aplicables a la terminación de tráfico en la red móvil del agente económico preponderante.</w:t>
      </w:r>
    </w:p>
    <w:p w14:paraId="7A6FD3E2"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w:t>
      </w:r>
      <w:proofErr w:type="gramStart"/>
      <w:r w:rsidRPr="00661CFB">
        <w:rPr>
          <w:rFonts w:ascii="ITC Avant Garde" w:hAnsi="ITC Avant Garde"/>
        </w:rPr>
        <w:t>que</w:t>
      </w:r>
      <w:proofErr w:type="gramEnd"/>
      <w:r w:rsidRPr="00661CFB">
        <w:rPr>
          <w:rFonts w:ascii="ITC Avant Garde" w:hAnsi="ITC Avant Garde"/>
        </w:rPr>
        <w:t xml:space="preserve"> además, esto se debe realizar en términos de los dispuesto por el artículo 137 de la LFTR.</w:t>
      </w:r>
    </w:p>
    <w:p w14:paraId="09E0FE8A"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En este punto es preciso tener en cuenta lo que a la letra señala el mencionado artículo 137:</w:t>
      </w:r>
    </w:p>
    <w:p w14:paraId="4B5BEBE2" w14:textId="77777777" w:rsidR="00661CFB" w:rsidRPr="00661CFB" w:rsidRDefault="00106FE3" w:rsidP="00661CFB">
      <w:pPr>
        <w:widowControl w:val="0"/>
        <w:autoSpaceDE w:val="0"/>
        <w:autoSpaceDN w:val="0"/>
        <w:adjustRightInd w:val="0"/>
        <w:spacing w:before="240"/>
        <w:ind w:left="567" w:right="616"/>
        <w:jc w:val="both"/>
        <w:rPr>
          <w:rFonts w:ascii="ITC Avant Garde" w:hAnsi="ITC Avant Garde"/>
          <w:sz w:val="18"/>
          <w:szCs w:val="18"/>
        </w:rPr>
      </w:pPr>
      <w:r w:rsidRPr="00661CFB">
        <w:rPr>
          <w:rFonts w:ascii="ITC Avant Garde" w:hAnsi="ITC Avant Garde"/>
          <w:sz w:val="18"/>
          <w:szCs w:val="18"/>
        </w:rPr>
        <w:t>“</w:t>
      </w:r>
      <w:r w:rsidRPr="00661CFB">
        <w:rPr>
          <w:rFonts w:ascii="ITC Avant Garde" w:hAnsi="ITC Avant Garde"/>
          <w:b/>
          <w:sz w:val="18"/>
          <w:szCs w:val="18"/>
        </w:rPr>
        <w:t>Artículo 137.</w:t>
      </w:r>
      <w:r w:rsidRPr="00661CFB">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9C9AD05"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5C3FF8CB"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A mayor abundamiento, el artículo 137 se debe interpretar de manera armónica con lo señalado en el artículo 131 inciso b) de la LFTR que a la letra dispone: </w:t>
      </w:r>
    </w:p>
    <w:p w14:paraId="55AA1F46" w14:textId="58FF7BDF" w:rsidR="00106FE3" w:rsidRPr="00661CFB" w:rsidRDefault="00106FE3" w:rsidP="00661CFB">
      <w:pPr>
        <w:pStyle w:val="Default"/>
        <w:spacing w:before="240" w:after="200" w:line="276" w:lineRule="auto"/>
        <w:ind w:left="567" w:right="758"/>
        <w:jc w:val="both"/>
        <w:rPr>
          <w:rFonts w:ascii="ITC Avant Garde" w:hAnsi="ITC Avant Garde"/>
          <w:b/>
          <w:bCs/>
          <w:color w:val="auto"/>
          <w:sz w:val="18"/>
          <w:szCs w:val="18"/>
        </w:rPr>
      </w:pPr>
      <w:r w:rsidRPr="00661CFB">
        <w:rPr>
          <w:rFonts w:ascii="ITC Avant Garde" w:hAnsi="ITC Avant Garde"/>
          <w:bCs/>
          <w:color w:val="auto"/>
          <w:sz w:val="18"/>
          <w:szCs w:val="18"/>
        </w:rPr>
        <w:t>“</w:t>
      </w:r>
      <w:r w:rsidRPr="00661CFB">
        <w:rPr>
          <w:rFonts w:ascii="ITC Avant Garde" w:hAnsi="ITC Avant Garde"/>
          <w:b/>
          <w:bCs/>
          <w:color w:val="auto"/>
          <w:sz w:val="18"/>
          <w:szCs w:val="18"/>
        </w:rPr>
        <w:t xml:space="preserve">Artículo 131. </w:t>
      </w:r>
    </w:p>
    <w:p w14:paraId="7A7EAC66" w14:textId="77777777" w:rsidR="00106FE3" w:rsidRPr="00661CFB" w:rsidRDefault="00106FE3" w:rsidP="00661CFB">
      <w:pPr>
        <w:pStyle w:val="Default"/>
        <w:spacing w:before="240" w:after="200" w:line="276" w:lineRule="auto"/>
        <w:ind w:left="567" w:right="758"/>
        <w:jc w:val="both"/>
        <w:rPr>
          <w:rFonts w:ascii="ITC Avant Garde" w:hAnsi="ITC Avant Garde"/>
          <w:bCs/>
          <w:color w:val="auto"/>
          <w:sz w:val="18"/>
          <w:szCs w:val="18"/>
        </w:rPr>
      </w:pPr>
      <w:r w:rsidRPr="00661CFB">
        <w:rPr>
          <w:rFonts w:ascii="ITC Avant Garde" w:hAnsi="ITC Avant Garde"/>
          <w:bCs/>
          <w:color w:val="auto"/>
          <w:sz w:val="18"/>
          <w:szCs w:val="18"/>
        </w:rPr>
        <w:t>[…]</w:t>
      </w:r>
    </w:p>
    <w:p w14:paraId="1AE041D3" w14:textId="77777777" w:rsidR="00661CFB" w:rsidRPr="00661CFB" w:rsidRDefault="00106FE3" w:rsidP="00661CFB">
      <w:pPr>
        <w:pStyle w:val="Default"/>
        <w:spacing w:before="240" w:after="200" w:line="276" w:lineRule="auto"/>
        <w:ind w:left="567" w:right="758"/>
        <w:jc w:val="both"/>
        <w:rPr>
          <w:rFonts w:ascii="ITC Avant Garde" w:hAnsi="ITC Avant Garde"/>
          <w:color w:val="auto"/>
          <w:sz w:val="18"/>
          <w:szCs w:val="18"/>
        </w:rPr>
      </w:pPr>
      <w:r w:rsidRPr="00661CFB">
        <w:rPr>
          <w:rFonts w:ascii="ITC Avant Garde" w:hAnsi="ITC Avant Garde"/>
          <w:b/>
          <w:bCs/>
          <w:color w:val="auto"/>
          <w:sz w:val="18"/>
          <w:szCs w:val="18"/>
        </w:rPr>
        <w:t xml:space="preserve">b) </w:t>
      </w:r>
      <w:r w:rsidRPr="00661CFB">
        <w:rPr>
          <w:rFonts w:ascii="ITC Avant Garde" w:hAnsi="ITC Avant Garde"/>
          <w:color w:val="auto"/>
          <w:sz w:val="18"/>
          <w:szCs w:val="18"/>
        </w:rPr>
        <w:t xml:space="preserve">Para el tráfico que termine en la red de los demás concesionarios, la tarifa de interconexión será negociada libremente. </w:t>
      </w:r>
    </w:p>
    <w:p w14:paraId="395EA007" w14:textId="77777777" w:rsidR="00661CFB" w:rsidRPr="00661CFB" w:rsidRDefault="00106FE3" w:rsidP="00661CFB">
      <w:pPr>
        <w:spacing w:before="240"/>
        <w:ind w:left="567" w:right="758"/>
        <w:jc w:val="both"/>
        <w:rPr>
          <w:rFonts w:ascii="ITC Avant Garde" w:hAnsi="ITC Avant Garde"/>
          <w:sz w:val="18"/>
          <w:szCs w:val="18"/>
        </w:rPr>
      </w:pPr>
      <w:r w:rsidRPr="00661CFB">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661CFB">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661CFB">
        <w:rPr>
          <w:rFonts w:ascii="ITC Avant Garde" w:hAnsi="ITC Avant Garde"/>
          <w:sz w:val="18"/>
          <w:szCs w:val="18"/>
        </w:rPr>
        <w:t>, fijando las tarifas, términos y/o condiciones en consecuencia.”</w:t>
      </w:r>
    </w:p>
    <w:p w14:paraId="47CE82BB" w14:textId="77777777" w:rsidR="00661CFB" w:rsidRPr="00661CFB" w:rsidRDefault="00106FE3" w:rsidP="00661CFB">
      <w:pPr>
        <w:spacing w:before="240"/>
        <w:ind w:left="567" w:right="758"/>
        <w:jc w:val="right"/>
        <w:rPr>
          <w:rFonts w:ascii="ITC Avant Garde" w:hAnsi="ITC Avant Garde"/>
        </w:rPr>
      </w:pPr>
      <w:r w:rsidRPr="00661CFB">
        <w:rPr>
          <w:rFonts w:ascii="ITC Avant Garde" w:hAnsi="ITC Avant Garde"/>
          <w:sz w:val="18"/>
          <w:szCs w:val="18"/>
        </w:rPr>
        <w:t>[Énfasis añadido]</w:t>
      </w:r>
    </w:p>
    <w:p w14:paraId="5CC32F0D"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Es decir, en el artículo 131 de la LFTR se establece la facultad y obligación del Instituto para determinar una metodología de costos que tome en cuenta las asimetrías naturales de las redes a ser interconectadas, la participación de mercado y cualquier </w:t>
      </w:r>
      <w:r w:rsidRPr="00661CFB">
        <w:rPr>
          <w:rFonts w:ascii="ITC Avant Garde" w:hAnsi="ITC Avant Garde"/>
        </w:rPr>
        <w:lastRenderedPageBreak/>
        <w:t>otro factor; y que dichas metodologías se deben utilizar para fijar las tarifas de interconexión.</w:t>
      </w:r>
    </w:p>
    <w:p w14:paraId="254F7FDC"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661CFB">
        <w:rPr>
          <w:rStyle w:val="Refdenotaalpie"/>
          <w:rFonts w:ascii="ITC Avant Garde" w:hAnsi="ITC Avant Garde"/>
        </w:rPr>
        <w:footnoteReference w:id="2"/>
      </w:r>
      <w:r w:rsidRPr="00661CFB">
        <w:rPr>
          <w:rFonts w:ascii="ITC Avant Garde" w:hAnsi="ITC Avant Garde"/>
        </w:rPr>
        <w:t>” (en lo sucesivo, la “Metodología de Costos”), tal y como expresamente se señala en el lineamiento primero:</w:t>
      </w:r>
    </w:p>
    <w:p w14:paraId="0405B9E5" w14:textId="77777777" w:rsidR="00661CFB" w:rsidRPr="00661CFB" w:rsidRDefault="00106FE3" w:rsidP="00661CFB">
      <w:pPr>
        <w:pStyle w:val="Texto0"/>
        <w:spacing w:before="240" w:after="200" w:line="276" w:lineRule="auto"/>
        <w:ind w:left="567" w:right="616" w:firstLine="0"/>
        <w:rPr>
          <w:rFonts w:ascii="ITC Avant Garde" w:hAnsi="ITC Avant Garde"/>
        </w:rPr>
      </w:pPr>
      <w:r w:rsidRPr="00661CFB">
        <w:rPr>
          <w:rFonts w:ascii="ITC Avant Garde" w:hAnsi="ITC Avant Garde"/>
        </w:rPr>
        <w:t>“</w:t>
      </w:r>
      <w:proofErr w:type="gramStart"/>
      <w:r w:rsidRPr="00661CFB">
        <w:rPr>
          <w:rFonts w:ascii="ITC Avant Garde" w:hAnsi="ITC Avant Garde"/>
          <w:b/>
        </w:rPr>
        <w:t>PRIMERO.-</w:t>
      </w:r>
      <w:proofErr w:type="gramEnd"/>
      <w:r w:rsidRPr="00661CFB">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6175894E"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1CC1622C"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En tal virtud, se considera </w:t>
      </w:r>
      <w:proofErr w:type="gramStart"/>
      <w:r w:rsidRPr="00661CFB">
        <w:rPr>
          <w:rFonts w:ascii="ITC Avant Garde" w:hAnsi="ITC Avant Garde"/>
        </w:rPr>
        <w:t>que</w:t>
      </w:r>
      <w:proofErr w:type="gramEnd"/>
      <w:r w:rsidRPr="00661CFB">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661CFB">
        <w:rPr>
          <w:rFonts w:ascii="ITC Avant Garde" w:hAnsi="ITC Avant Garde"/>
          <w:b/>
        </w:rPr>
        <w:t>a través de la metodología de costos</w:t>
      </w:r>
      <w:r w:rsidRPr="00661CFB">
        <w:rPr>
          <w:rFonts w:ascii="ITC Avant Garde" w:hAnsi="ITC Avant Garde"/>
        </w:rPr>
        <w:t xml:space="preserve"> a la que se refieren los artículos 131 y 137 de la LFTR, y en consecuencia la misma debe calcularse </w:t>
      </w:r>
      <w:r w:rsidRPr="00661CFB">
        <w:rPr>
          <w:rFonts w:ascii="ITC Avant Garde" w:hAnsi="ITC Avant Garde"/>
          <w:b/>
        </w:rPr>
        <w:t>a través de un modelo de costos</w:t>
      </w:r>
      <w:r w:rsidRPr="00661CFB">
        <w:rPr>
          <w:rFonts w:ascii="ITC Avant Garde" w:hAnsi="ITC Avant Garde"/>
        </w:rPr>
        <w:t xml:space="preserve"> construido de conformidad con los lineamientos establecidos en la Metodología de Costos.</w:t>
      </w:r>
    </w:p>
    <w:p w14:paraId="497D82FB"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Lo anterior es plenamente consistente con lo determinado en el inciso b) de los efectos de la ejecutoria, toda vez que la Metodología de Costos establece en su parte considerativa lo siguiente:</w:t>
      </w:r>
    </w:p>
    <w:p w14:paraId="5663AFE6" w14:textId="77777777" w:rsidR="00661CFB" w:rsidRPr="00661CFB" w:rsidRDefault="00106FE3" w:rsidP="00661CFB">
      <w:pPr>
        <w:pStyle w:val="Texto0"/>
        <w:spacing w:before="240" w:after="200" w:line="276" w:lineRule="auto"/>
        <w:ind w:left="567" w:right="616" w:firstLine="0"/>
        <w:rPr>
          <w:rFonts w:ascii="ITC Avant Garde" w:hAnsi="ITC Avant Garde"/>
        </w:rPr>
      </w:pPr>
      <w:r w:rsidRPr="00661CFB">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02282192" w14:textId="77777777" w:rsidR="00661CFB" w:rsidRPr="00661CFB" w:rsidRDefault="00106FE3" w:rsidP="00661CFB">
      <w:pPr>
        <w:pStyle w:val="Texto0"/>
        <w:spacing w:before="240" w:after="200" w:line="276" w:lineRule="auto"/>
        <w:ind w:left="567" w:right="616" w:firstLine="0"/>
        <w:rPr>
          <w:rFonts w:ascii="ITC Avant Garde" w:hAnsi="ITC Avant Garde"/>
        </w:rPr>
      </w:pPr>
      <w:r w:rsidRPr="00661CFB">
        <w:rPr>
          <w:rFonts w:ascii="ITC Avant Garde" w:hAnsi="ITC Avant Garde"/>
        </w:rPr>
        <w:t xml:space="preserve">Es así </w:t>
      </w:r>
      <w:proofErr w:type="gramStart"/>
      <w:r w:rsidRPr="00661CFB">
        <w:rPr>
          <w:rFonts w:ascii="ITC Avant Garde" w:hAnsi="ITC Avant Garde"/>
        </w:rPr>
        <w:t>que</w:t>
      </w:r>
      <w:proofErr w:type="gramEnd"/>
      <w:r w:rsidRPr="00661CFB">
        <w:rPr>
          <w:rFonts w:ascii="ITC Avant Garde" w:hAnsi="ITC Avant Garde"/>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w:t>
      </w:r>
      <w:r w:rsidRPr="00661CFB">
        <w:rPr>
          <w:rFonts w:ascii="ITC Avant Garde" w:hAnsi="ITC Avant Garde"/>
        </w:rPr>
        <w:lastRenderedPageBreak/>
        <w:t>cuenta este hecho por lo que para su medición se debe considerar aquel segmento de mercado que no es atendido por el mencionado agente.”</w:t>
      </w:r>
    </w:p>
    <w:p w14:paraId="08289669" w14:textId="77777777" w:rsidR="00661CFB" w:rsidRPr="00661CFB" w:rsidRDefault="00106FE3" w:rsidP="00661CFB">
      <w:pPr>
        <w:spacing w:before="240"/>
        <w:jc w:val="both"/>
        <w:rPr>
          <w:rFonts w:ascii="ITC Avant Garde" w:hAnsi="ITC Avant Garde"/>
        </w:rPr>
      </w:pPr>
      <w:r w:rsidRPr="00661CFB">
        <w:rPr>
          <w:rFonts w:ascii="ITC Avant Garde" w:hAnsi="ITC Avant Garde"/>
        </w:rPr>
        <w:t>Mismo que se plasmó en el lineamiento Octavo de la siguiente manera:</w:t>
      </w:r>
    </w:p>
    <w:p w14:paraId="73CB72BC" w14:textId="77777777" w:rsidR="00661CFB" w:rsidRPr="00661CFB" w:rsidRDefault="00106FE3" w:rsidP="00661CFB">
      <w:pPr>
        <w:pStyle w:val="Texto0"/>
        <w:spacing w:before="240" w:after="200" w:line="276" w:lineRule="auto"/>
        <w:ind w:left="567" w:right="616" w:firstLine="0"/>
        <w:rPr>
          <w:rFonts w:ascii="ITC Avant Garde" w:hAnsi="ITC Avant Garde"/>
        </w:rPr>
      </w:pPr>
      <w:r w:rsidRPr="00661CFB">
        <w:rPr>
          <w:rFonts w:ascii="ITC Avant Garde" w:hAnsi="ITC Avant Garde"/>
        </w:rPr>
        <w:t>“</w:t>
      </w:r>
      <w:proofErr w:type="gramStart"/>
      <w:r w:rsidRPr="00661CFB">
        <w:rPr>
          <w:rFonts w:ascii="ITC Avant Garde" w:hAnsi="ITC Avant Garde"/>
          <w:b/>
        </w:rPr>
        <w:t>OCTAVO.-</w:t>
      </w:r>
      <w:proofErr w:type="gramEnd"/>
      <w:r w:rsidRPr="00661CFB">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40ABE7DF" w14:textId="77777777" w:rsidR="00661CFB" w:rsidRPr="00661CFB" w:rsidRDefault="00106FE3" w:rsidP="00661CFB">
      <w:pPr>
        <w:pStyle w:val="Texto0"/>
        <w:spacing w:before="240" w:after="200" w:line="276" w:lineRule="auto"/>
        <w:ind w:left="567" w:right="616" w:firstLine="0"/>
        <w:rPr>
          <w:rFonts w:ascii="ITC Avant Garde" w:hAnsi="ITC Avant Garde"/>
        </w:rPr>
      </w:pPr>
      <w:r w:rsidRPr="00661CFB">
        <w:rPr>
          <w:rFonts w:ascii="ITC Avant Garde" w:hAnsi="ITC Avant Garde"/>
        </w:rPr>
        <w:t>Para la definición de la escala de operación del concesionario eficiente se considerarán variables relevantes en la prestación de servicios de telecomunicaciones, tales como usuarios, tráfico, disponibilidad de espectro y presencia geográfica.”</w:t>
      </w:r>
    </w:p>
    <w:p w14:paraId="62D9ACE4"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Esto es, la Metodología de Costos vigente permite </w:t>
      </w:r>
      <w:r w:rsidRPr="00661CFB">
        <w:rPr>
          <w:rFonts w:ascii="ITC Avant Garde" w:hAnsi="ITC Avant Garde"/>
          <w:b/>
        </w:rPr>
        <w:t>determinar la regulación asimétrica relativa</w:t>
      </w:r>
      <w:r w:rsidRPr="00661CFB">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1DB0AF86"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3327C97D" w14:textId="53CA9486" w:rsidR="00106FE3" w:rsidRPr="00661CFB" w:rsidRDefault="00106FE3" w:rsidP="00661CFB">
      <w:pPr>
        <w:pStyle w:val="Prrafodelista"/>
        <w:spacing w:before="240" w:after="200" w:line="276" w:lineRule="auto"/>
        <w:ind w:left="765" w:right="616"/>
        <w:rPr>
          <w:rFonts w:ascii="ITC Avant Garde" w:hAnsi="ITC Avant Garde" w:cs="Arial"/>
          <w:sz w:val="18"/>
          <w:szCs w:val="18"/>
        </w:rPr>
      </w:pPr>
      <w:r w:rsidRPr="00661CFB">
        <w:rPr>
          <w:rFonts w:ascii="ITC Avant Garde" w:hAnsi="ITC Avant Garde" w:cs="Arial"/>
          <w:b/>
          <w:sz w:val="18"/>
          <w:szCs w:val="18"/>
        </w:rPr>
        <w:t>“164.</w:t>
      </w:r>
      <w:r w:rsidRPr="00661CFB">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661CFB">
        <w:rPr>
          <w:rFonts w:ascii="ITC Avant Garde" w:hAnsi="ITC Avant Garde" w:cs="Arial"/>
          <w:b/>
          <w:sz w:val="18"/>
          <w:szCs w:val="18"/>
        </w:rPr>
        <w:t>con base en el nuevo modelo de costos que el Instituto emitirá en cumplimiento a esta sentencia</w:t>
      </w:r>
      <w:r w:rsidRPr="00661CFB">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28975CAD" w14:textId="77777777" w:rsidR="00661CFB" w:rsidRPr="00661CFB" w:rsidRDefault="00106FE3" w:rsidP="00661CFB">
      <w:pPr>
        <w:pStyle w:val="Prrafodelista"/>
        <w:spacing w:before="240" w:after="200" w:line="276" w:lineRule="auto"/>
        <w:ind w:left="765" w:right="616"/>
        <w:rPr>
          <w:rFonts w:ascii="ITC Avant Garde" w:hAnsi="ITC Avant Garde" w:cs="Arial"/>
          <w:sz w:val="18"/>
          <w:szCs w:val="18"/>
        </w:rPr>
      </w:pPr>
      <w:r w:rsidRPr="00661CFB">
        <w:rPr>
          <w:rFonts w:ascii="ITC Avant Garde" w:hAnsi="ITC Avant Garde" w:cs="Arial"/>
          <w:sz w:val="18"/>
          <w:szCs w:val="18"/>
        </w:rPr>
        <w:t>[…]</w:t>
      </w:r>
    </w:p>
    <w:p w14:paraId="7767E984" w14:textId="77777777" w:rsidR="00661CFB" w:rsidRPr="00661CFB" w:rsidRDefault="00106FE3" w:rsidP="00661CFB">
      <w:pPr>
        <w:pStyle w:val="Prrafodelista"/>
        <w:spacing w:before="240" w:after="200" w:line="276" w:lineRule="auto"/>
        <w:ind w:left="765" w:right="616"/>
        <w:rPr>
          <w:rFonts w:ascii="ITC Avant Garde" w:hAnsi="ITC Avant Garde" w:cs="Arial"/>
          <w:sz w:val="18"/>
          <w:szCs w:val="18"/>
        </w:rPr>
      </w:pPr>
      <w:r w:rsidRPr="00661CFB">
        <w:rPr>
          <w:rFonts w:ascii="ITC Avant Garde" w:hAnsi="ITC Avant Garde" w:cs="Arial"/>
          <w:sz w:val="18"/>
          <w:szCs w:val="18"/>
        </w:rPr>
        <w:t>“</w:t>
      </w:r>
      <w:r w:rsidRPr="00661CFB">
        <w:rPr>
          <w:rFonts w:ascii="ITC Avant Garde" w:hAnsi="ITC Avant Garde" w:cs="Arial"/>
          <w:b/>
          <w:sz w:val="18"/>
          <w:szCs w:val="18"/>
        </w:rPr>
        <w:t>168.</w:t>
      </w:r>
      <w:r w:rsidRPr="00661CFB">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661CFB">
        <w:rPr>
          <w:rFonts w:ascii="ITC Avant Garde" w:hAnsi="ITC Avant Garde" w:cs="Arial"/>
          <w:b/>
          <w:sz w:val="18"/>
          <w:szCs w:val="18"/>
        </w:rPr>
        <w:t>con base en el nuevo modelo de costos que el Instituto emitirá en cumplimiento a esta sentencia</w:t>
      </w:r>
      <w:r w:rsidRPr="00661CFB">
        <w:rPr>
          <w:rFonts w:ascii="ITC Avant Garde" w:hAnsi="ITC Avant Garde" w:cs="Arial"/>
          <w:sz w:val="18"/>
          <w:szCs w:val="18"/>
        </w:rPr>
        <w:t xml:space="preserve">. </w:t>
      </w:r>
    </w:p>
    <w:p w14:paraId="22FB8135" w14:textId="77777777" w:rsidR="00661CFB" w:rsidRPr="00661CFB" w:rsidRDefault="00106FE3" w:rsidP="00661CFB">
      <w:pPr>
        <w:pStyle w:val="Prrafodelista"/>
        <w:spacing w:before="240" w:after="200" w:line="276" w:lineRule="auto"/>
        <w:ind w:left="765" w:right="616"/>
        <w:rPr>
          <w:rFonts w:ascii="ITC Avant Garde" w:hAnsi="ITC Avant Garde" w:cs="Arial"/>
          <w:sz w:val="18"/>
          <w:szCs w:val="18"/>
        </w:rPr>
      </w:pPr>
      <w:r w:rsidRPr="00661CFB">
        <w:rPr>
          <w:rFonts w:ascii="ITC Avant Garde" w:hAnsi="ITC Avant Garde" w:cs="Arial"/>
          <w:sz w:val="18"/>
          <w:szCs w:val="18"/>
        </w:rPr>
        <w:t>[…]”</w:t>
      </w:r>
    </w:p>
    <w:p w14:paraId="6A112DEF" w14:textId="77777777" w:rsidR="00661CFB" w:rsidRPr="00661CFB" w:rsidRDefault="00106FE3" w:rsidP="00661CFB">
      <w:pPr>
        <w:pStyle w:val="Prrafodelista"/>
        <w:spacing w:before="240" w:after="200" w:line="276" w:lineRule="auto"/>
        <w:ind w:left="765" w:right="616"/>
        <w:rPr>
          <w:rFonts w:ascii="ITC Avant Garde" w:hAnsi="ITC Avant Garde" w:cs="Arial"/>
          <w:sz w:val="18"/>
          <w:szCs w:val="18"/>
        </w:rPr>
      </w:pPr>
      <w:r w:rsidRPr="00661CFB">
        <w:rPr>
          <w:rFonts w:ascii="ITC Avant Garde" w:hAnsi="ITC Avant Garde" w:cs="Arial"/>
          <w:sz w:val="18"/>
          <w:szCs w:val="18"/>
        </w:rPr>
        <w:lastRenderedPageBreak/>
        <w:t>“</w:t>
      </w:r>
      <w:r w:rsidRPr="00661CFB">
        <w:rPr>
          <w:rFonts w:ascii="ITC Avant Garde" w:hAnsi="ITC Avant Garde" w:cs="Arial"/>
          <w:b/>
          <w:sz w:val="18"/>
          <w:szCs w:val="18"/>
        </w:rPr>
        <w:t>178.</w:t>
      </w:r>
      <w:r w:rsidRPr="00661CFB">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661CFB">
        <w:rPr>
          <w:rFonts w:ascii="ITC Avant Garde" w:hAnsi="ITC Avant Garde" w:cs="Arial"/>
          <w:b/>
          <w:sz w:val="18"/>
          <w:szCs w:val="18"/>
        </w:rPr>
        <w:t>a la luz de un modelo de costos que tome como parámetro a un operador del mercado razonablemente eficiente y en atención a las mejores prácticas internacionales</w:t>
      </w:r>
      <w:r w:rsidRPr="00661CFB">
        <w:rPr>
          <w:rFonts w:ascii="ITC Avant Garde" w:hAnsi="ITC Avant Garde" w:cs="Arial"/>
          <w:sz w:val="18"/>
          <w:szCs w:val="18"/>
        </w:rPr>
        <w:t xml:space="preserve">; </w:t>
      </w:r>
      <w:r w:rsidRPr="00661CFB">
        <w:rPr>
          <w:rFonts w:ascii="ITC Avant Garde" w:hAnsi="ITC Avant Garde"/>
          <w:b/>
          <w:sz w:val="18"/>
        </w:rPr>
        <w:t>todo con el objetivo de incentivar mercados competitivos a fin de lograr el bienestar del consumidor.”</w:t>
      </w:r>
      <w:r w:rsidRPr="00661CFB">
        <w:rPr>
          <w:rFonts w:ascii="ITC Avant Garde" w:hAnsi="ITC Avant Garde" w:cs="Arial"/>
          <w:sz w:val="18"/>
          <w:szCs w:val="18"/>
        </w:rPr>
        <w:t xml:space="preserve"> </w:t>
      </w:r>
    </w:p>
    <w:p w14:paraId="42C488E1" w14:textId="77777777" w:rsidR="00661CFB" w:rsidRPr="00661CFB" w:rsidRDefault="00106FE3" w:rsidP="00661CFB">
      <w:pPr>
        <w:pStyle w:val="Prrafodelista"/>
        <w:spacing w:before="240" w:after="200" w:line="276" w:lineRule="auto"/>
        <w:ind w:left="765" w:right="616"/>
        <w:jc w:val="right"/>
        <w:rPr>
          <w:rFonts w:ascii="ITC Avant Garde" w:hAnsi="ITC Avant Garde" w:cs="Arial"/>
          <w:sz w:val="18"/>
          <w:szCs w:val="18"/>
        </w:rPr>
      </w:pPr>
      <w:r w:rsidRPr="00661CFB">
        <w:rPr>
          <w:rFonts w:ascii="ITC Avant Garde" w:hAnsi="ITC Avant Garde" w:cs="Arial"/>
          <w:sz w:val="18"/>
          <w:szCs w:val="18"/>
        </w:rPr>
        <w:t>[Énfasis añadido]</w:t>
      </w:r>
    </w:p>
    <w:p w14:paraId="625B8826"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7B4A7EC0"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Cabe mencionar que el análisis realizado en el presente apartado es congruente con lo ya resuelto por la propia Segunda Sala de la SCJN dentro del </w:t>
      </w:r>
      <w:r w:rsidRPr="00661CFB">
        <w:rPr>
          <w:rFonts w:ascii="ITC Avant Garde" w:hAnsi="ITC Avant Garde"/>
          <w:b/>
        </w:rPr>
        <w:t>Amparo en Revisión 726/2016</w:t>
      </w:r>
      <w:r w:rsidRPr="00661CFB">
        <w:rPr>
          <w:rFonts w:ascii="ITC Avant Garde" w:hAnsi="ITC Avant Garde"/>
        </w:rPr>
        <w:t xml:space="preserve"> cuando analizó la constitucionalidad del artículo 137 de la LFTR y que al interpretarlo señaló lo siguiente:</w:t>
      </w:r>
    </w:p>
    <w:p w14:paraId="7AA06713" w14:textId="77777777" w:rsidR="00661CFB" w:rsidRPr="00661CFB" w:rsidRDefault="00106FE3" w:rsidP="00661CFB">
      <w:pPr>
        <w:spacing w:before="240"/>
        <w:ind w:left="567" w:right="618"/>
        <w:jc w:val="both"/>
        <w:rPr>
          <w:rFonts w:ascii="ITC Avant Garde" w:hAnsi="ITC Avant Garde" w:cs="Arial"/>
          <w:bCs/>
          <w:sz w:val="18"/>
          <w:szCs w:val="18"/>
        </w:rPr>
      </w:pPr>
      <w:r w:rsidRPr="00661CFB">
        <w:rPr>
          <w:rFonts w:ascii="ITC Avant Garde" w:hAnsi="ITC Avant Garde" w:cs="Arial"/>
          <w:sz w:val="18"/>
          <w:szCs w:val="18"/>
        </w:rPr>
        <w:t xml:space="preserve">“La norma aquí reproducida [Artículo 137] </w:t>
      </w:r>
      <w:r w:rsidRPr="00661CFB">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566F1847" w14:textId="77777777" w:rsidR="00661CFB" w:rsidRPr="00661CFB" w:rsidRDefault="00106FE3" w:rsidP="00661CFB">
      <w:pPr>
        <w:spacing w:before="240"/>
        <w:ind w:left="567" w:right="618"/>
        <w:jc w:val="both"/>
        <w:rPr>
          <w:rFonts w:ascii="ITC Avant Garde" w:hAnsi="ITC Avant Garde" w:cs="Arial"/>
          <w:bCs/>
          <w:sz w:val="18"/>
          <w:szCs w:val="18"/>
        </w:rPr>
      </w:pPr>
      <w:r w:rsidRPr="00661CFB">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661CFB">
        <w:rPr>
          <w:rFonts w:ascii="ITC Avant Garde" w:hAnsi="ITC Avant Garde" w:cs="Arial"/>
          <w:b/>
          <w:bCs/>
          <w:sz w:val="18"/>
          <w:szCs w:val="18"/>
        </w:rPr>
        <w:t>modelo de costos</w:t>
      </w:r>
      <w:r w:rsidRPr="00661CFB">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3D88A758" w14:textId="77777777" w:rsidR="00661CFB" w:rsidRPr="00661CFB" w:rsidRDefault="00106FE3" w:rsidP="00661CFB">
      <w:pPr>
        <w:spacing w:before="240"/>
        <w:ind w:left="567" w:right="618"/>
        <w:jc w:val="both"/>
        <w:rPr>
          <w:rFonts w:ascii="ITC Avant Garde" w:hAnsi="ITC Avant Garde" w:cs="Arial"/>
          <w:bCs/>
          <w:sz w:val="18"/>
          <w:szCs w:val="18"/>
        </w:rPr>
      </w:pPr>
      <w:r w:rsidRPr="00661CFB">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1F59262E" w14:textId="77777777" w:rsidR="00661CFB" w:rsidRPr="00661CFB" w:rsidRDefault="00106FE3" w:rsidP="00661CFB">
      <w:pPr>
        <w:spacing w:before="240"/>
        <w:ind w:left="567" w:right="618"/>
        <w:jc w:val="both"/>
        <w:rPr>
          <w:rFonts w:ascii="ITC Avant Garde" w:hAnsi="ITC Avant Garde" w:cs="Arial"/>
          <w:sz w:val="18"/>
          <w:szCs w:val="18"/>
        </w:rPr>
      </w:pPr>
      <w:r w:rsidRPr="00661CFB">
        <w:rPr>
          <w:rFonts w:ascii="ITC Avant Garde" w:hAnsi="ITC Avant Garde" w:cs="Arial"/>
          <w:bCs/>
          <w:sz w:val="18"/>
          <w:szCs w:val="18"/>
        </w:rPr>
        <w:lastRenderedPageBreak/>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26699C16"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661CFB">
        <w:rPr>
          <w:rFonts w:ascii="ITC Avant Garde" w:hAnsi="ITC Avant Garde"/>
          <w:b/>
        </w:rPr>
        <w:t xml:space="preserve">modelo de costos, </w:t>
      </w:r>
      <w:r w:rsidRPr="00661CFB">
        <w:rPr>
          <w:rFonts w:ascii="ITC Avant Garde" w:hAnsi="ITC Avant Garde"/>
        </w:rPr>
        <w:t>el cual consiste en el marco referencial en que se basará el Instituto para el cálculo de las tarifas de interconexión, y que a partir del mismo publicará durante el último trimestre del año las tarifas de interconexión que</w:t>
      </w:r>
      <w:r w:rsidR="0035214C" w:rsidRPr="00661CFB">
        <w:rPr>
          <w:rFonts w:ascii="ITC Avant Garde" w:hAnsi="ITC Avant Garde"/>
        </w:rPr>
        <w:t xml:space="preserve"> se</w:t>
      </w:r>
      <w:r w:rsidRPr="00661CFB">
        <w:rPr>
          <w:rFonts w:ascii="ITC Avant Garde" w:hAnsi="ITC Avant Garde"/>
        </w:rPr>
        <w:t xml:space="preserve"> aplicará durante el siguiente año para la resolución de desacuerdos en materia de interconexión ente concesionarios. </w:t>
      </w:r>
    </w:p>
    <w:p w14:paraId="5A4F2DAC"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En virtud de lo anterior se considera que la tarifa de interconexión aplicable a la terminación del tráfico en la red móvil del AEP debe calcularse a través de </w:t>
      </w:r>
      <w:r w:rsidRPr="00661CFB">
        <w:rPr>
          <w:rFonts w:ascii="ITC Avant Garde" w:hAnsi="ITC Avant Garde"/>
          <w:b/>
        </w:rPr>
        <w:t>un modelo de costos</w:t>
      </w:r>
      <w:r w:rsidRPr="00661CFB">
        <w:rPr>
          <w:rFonts w:ascii="ITC Avant Garde" w:hAnsi="ITC Avant Garde"/>
        </w:rPr>
        <w:t xml:space="preserve"> construido de conformidad con los lineamientos establecidos en la Metodología de Costos, que tiene como fundamento</w:t>
      </w:r>
      <w:r w:rsidRPr="00661CFB">
        <w:rPr>
          <w:rFonts w:ascii="ITC Avant Garde" w:hAnsi="ITC Avant Garde"/>
          <w:b/>
        </w:rPr>
        <w:t xml:space="preserve"> </w:t>
      </w:r>
      <w:r w:rsidRPr="00661CFB">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233EF716" w14:textId="77777777" w:rsidR="00661CFB" w:rsidRPr="00661CFB" w:rsidRDefault="00106FE3" w:rsidP="00661CFB">
      <w:pPr>
        <w:autoSpaceDE w:val="0"/>
        <w:autoSpaceDN w:val="0"/>
        <w:adjustRightInd w:val="0"/>
        <w:spacing w:before="240"/>
        <w:ind w:left="567" w:right="566"/>
        <w:jc w:val="both"/>
        <w:rPr>
          <w:rFonts w:ascii="ITC Avant Garde" w:hAnsi="ITC Avant Garde"/>
          <w:sz w:val="18"/>
          <w:szCs w:val="18"/>
        </w:rPr>
      </w:pPr>
      <w:r w:rsidRPr="00661CFB">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74686ADE" w14:textId="2A97F92D" w:rsidR="00106FE3" w:rsidRPr="00661CFB" w:rsidRDefault="00106FE3" w:rsidP="00661CFB">
      <w:pPr>
        <w:pStyle w:val="Prrafodelista"/>
        <w:numPr>
          <w:ilvl w:val="0"/>
          <w:numId w:val="18"/>
        </w:numPr>
        <w:autoSpaceDE w:val="0"/>
        <w:autoSpaceDN w:val="0"/>
        <w:adjustRightInd w:val="0"/>
        <w:spacing w:before="240" w:after="200" w:line="276" w:lineRule="auto"/>
        <w:ind w:right="566"/>
        <w:rPr>
          <w:rFonts w:ascii="ITC Avant Garde" w:hAnsi="ITC Avant Garde"/>
          <w:sz w:val="18"/>
          <w:szCs w:val="18"/>
        </w:rPr>
      </w:pPr>
      <w:r w:rsidRPr="00661CFB">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42BE51D1" w14:textId="77777777" w:rsidR="00661CFB" w:rsidRPr="00661CFB" w:rsidRDefault="00106FE3" w:rsidP="00661CFB">
      <w:pPr>
        <w:pStyle w:val="Prrafodelista"/>
        <w:numPr>
          <w:ilvl w:val="0"/>
          <w:numId w:val="18"/>
        </w:numPr>
        <w:autoSpaceDE w:val="0"/>
        <w:autoSpaceDN w:val="0"/>
        <w:adjustRightInd w:val="0"/>
        <w:spacing w:before="240" w:after="200" w:line="276" w:lineRule="auto"/>
        <w:ind w:right="566"/>
        <w:rPr>
          <w:rFonts w:ascii="ITC Avant Garde" w:hAnsi="ITC Avant Garde"/>
          <w:sz w:val="18"/>
          <w:szCs w:val="18"/>
        </w:rPr>
      </w:pPr>
      <w:r w:rsidRPr="00661CFB">
        <w:rPr>
          <w:rFonts w:ascii="ITC Avant Garde" w:hAnsi="ITC Avant Garde"/>
          <w:sz w:val="18"/>
          <w:szCs w:val="18"/>
        </w:rPr>
        <w:t>La evaluación de los costos eficientes se debería basar en los costos corrientes y en el uso de un modelo de costos de abajo hacia arriba (</w:t>
      </w:r>
      <w:proofErr w:type="spellStart"/>
      <w:r w:rsidRPr="00661CFB">
        <w:rPr>
          <w:rFonts w:ascii="ITC Avant Garde" w:hAnsi="ITC Avant Garde"/>
          <w:sz w:val="18"/>
          <w:szCs w:val="18"/>
        </w:rPr>
        <w:t>bottom</w:t>
      </w:r>
      <w:proofErr w:type="spellEnd"/>
      <w:r w:rsidRPr="00661CFB">
        <w:rPr>
          <w:rFonts w:ascii="ITC Avant Garde" w:hAnsi="ITC Avant Garde"/>
          <w:sz w:val="18"/>
          <w:szCs w:val="18"/>
        </w:rPr>
        <w:t>-up) de costos incrementales de largo plazo puros que se elabore siguiendo los principios señalados en la recomendación.”</w:t>
      </w:r>
    </w:p>
    <w:p w14:paraId="5FC43508"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1CB8E45F"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lastRenderedPageBreak/>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1E75C141"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661CFB">
        <w:rPr>
          <w:rStyle w:val="Refdenotaalpie"/>
          <w:rFonts w:ascii="ITC Avant Garde" w:hAnsi="ITC Avant Garde"/>
        </w:rPr>
        <w:footnoteReference w:id="3"/>
      </w:r>
      <w:r w:rsidRPr="00661CFB">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2358B2B7"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En el mismo sentido Castañeda</w:t>
      </w:r>
      <w:r w:rsidR="00256C08" w:rsidRPr="00661CFB">
        <w:rPr>
          <w:rStyle w:val="Refdenotaalpie"/>
          <w:rFonts w:ascii="ITC Avant Garde" w:hAnsi="ITC Avant Garde"/>
        </w:rPr>
        <w:footnoteReference w:id="4"/>
      </w:r>
      <w:r w:rsidRPr="00661CFB">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795537B0"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t xml:space="preserve">En otro estudio realizado por </w:t>
      </w:r>
      <w:proofErr w:type="spellStart"/>
      <w:r w:rsidRPr="00661CFB">
        <w:rPr>
          <w:rFonts w:ascii="ITC Avant Garde" w:hAnsi="ITC Avant Garde"/>
        </w:rPr>
        <w:t>Growitsch</w:t>
      </w:r>
      <w:proofErr w:type="spellEnd"/>
      <w:r w:rsidRPr="00661CFB">
        <w:rPr>
          <w:rFonts w:ascii="ITC Avant Garde" w:hAnsi="ITC Avant Garde"/>
        </w:rPr>
        <w:t xml:space="preserve">, Marcus y </w:t>
      </w:r>
      <w:proofErr w:type="spellStart"/>
      <w:r w:rsidRPr="00661CFB">
        <w:rPr>
          <w:rFonts w:ascii="ITC Avant Garde" w:hAnsi="ITC Avant Garde"/>
        </w:rPr>
        <w:t>Wernick</w:t>
      </w:r>
      <w:proofErr w:type="spellEnd"/>
      <w:r w:rsidR="00256C08" w:rsidRPr="00661CFB">
        <w:rPr>
          <w:rStyle w:val="Refdenotaalpie"/>
          <w:rFonts w:ascii="ITC Avant Garde" w:hAnsi="ITC Avant Garde"/>
        </w:rPr>
        <w:footnoteReference w:id="5"/>
      </w:r>
      <w:r w:rsidRPr="00661CFB">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0590D7EF" w14:textId="77777777" w:rsidR="00661CFB" w:rsidRPr="00661CFB" w:rsidRDefault="00106FE3" w:rsidP="00661CFB">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661CFB">
        <w:rPr>
          <w:rFonts w:ascii="ITC Avant Garde" w:hAnsi="ITC Avant Garde"/>
        </w:rPr>
        <w:t>Tarifas de terminación móvil inferiores tienden a resultar en un precio de venta más bajo, con un coeficiente altamente significativo de 0.71.</w:t>
      </w:r>
    </w:p>
    <w:p w14:paraId="66F7B0CE" w14:textId="77777777" w:rsidR="00661CFB" w:rsidRPr="00661CFB" w:rsidRDefault="00106FE3" w:rsidP="00661CFB">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661CFB">
        <w:rPr>
          <w:rFonts w:ascii="ITC Avant Garde" w:hAnsi="ITC Avant Garde"/>
        </w:rPr>
        <w:t>Tarifas de terminación móvil inferiores tienden a dar lugar a un mayor consumo de servicios móviles en términos de minutos de uso mensuales por suscripción.</w:t>
      </w:r>
    </w:p>
    <w:p w14:paraId="7F9905CC" w14:textId="77777777" w:rsidR="00661CFB" w:rsidRPr="00661CFB" w:rsidRDefault="00106FE3" w:rsidP="00661CFB">
      <w:pPr>
        <w:spacing w:before="240"/>
        <w:ind w:right="49"/>
        <w:jc w:val="both"/>
        <w:rPr>
          <w:rFonts w:ascii="ITC Avant Garde" w:hAnsi="ITC Avant Garde"/>
        </w:rPr>
      </w:pPr>
      <w:r w:rsidRPr="00661CFB">
        <w:rPr>
          <w:rFonts w:ascii="ITC Avant Garde" w:hAnsi="ITC Avant Garde"/>
        </w:rPr>
        <w:lastRenderedPageBreak/>
        <w:t>Los autores concluyen que los esfuerzos para impulsar a las tarifas de interconexión por terminación móvil a niveles más bajos son apropiados y tenderán a aumentar el bienestar del consumidor.</w:t>
      </w:r>
    </w:p>
    <w:p w14:paraId="5357F26E" w14:textId="77777777" w:rsidR="00661CFB" w:rsidRPr="00661CFB" w:rsidRDefault="00106FE3" w:rsidP="00661CFB">
      <w:pPr>
        <w:spacing w:before="240"/>
        <w:jc w:val="both"/>
        <w:rPr>
          <w:rFonts w:ascii="ITC Avant Garde" w:hAnsi="ITC Avant Garde" w:cs="Arial"/>
        </w:rPr>
      </w:pPr>
      <w:r w:rsidRPr="00661CFB">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 </w:t>
      </w:r>
    </w:p>
    <w:p w14:paraId="39D81C47" w14:textId="77777777" w:rsidR="00661CFB" w:rsidRPr="00661CFB" w:rsidRDefault="00860B0A" w:rsidP="00661CFB">
      <w:pPr>
        <w:spacing w:before="240"/>
        <w:ind w:right="49"/>
        <w:jc w:val="both"/>
        <w:rPr>
          <w:rFonts w:ascii="ITC Avant Garde" w:hAnsi="ITC Avant Garde"/>
        </w:rPr>
      </w:pPr>
      <w:r w:rsidRPr="00661CFB">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480BDAC0" w14:textId="77777777" w:rsidR="00661CFB" w:rsidRPr="00661CFB" w:rsidRDefault="00860B0A" w:rsidP="00661CFB">
      <w:pPr>
        <w:spacing w:before="240"/>
        <w:jc w:val="both"/>
        <w:rPr>
          <w:rFonts w:ascii="ITC Avant Garde" w:eastAsia="Times New Roman" w:hAnsi="ITC Avant Garde" w:cs="Arial"/>
        </w:rPr>
      </w:pPr>
      <w:r w:rsidRPr="00661CFB">
        <w:rPr>
          <w:rFonts w:ascii="ITC Avant Garde" w:eastAsia="Times New Roman" w:hAnsi="ITC Avant Garde" w:cs="Arial"/>
        </w:rPr>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1FA34DF1" w14:textId="77777777" w:rsidR="00661CFB" w:rsidRPr="00661CFB" w:rsidRDefault="00860B0A" w:rsidP="00661CFB">
      <w:pPr>
        <w:spacing w:before="240"/>
        <w:jc w:val="both"/>
        <w:rPr>
          <w:rFonts w:ascii="ITC Avant Garde" w:eastAsia="Times New Roman" w:hAnsi="ITC Avant Garde" w:cs="Arial"/>
        </w:rPr>
      </w:pPr>
      <w:r w:rsidRPr="00661CFB">
        <w:rPr>
          <w:rFonts w:ascii="ITC Avant Garde" w:eastAsia="Times New Roman" w:hAnsi="ITC Avant Garde" w:cs="Arial"/>
        </w:rPr>
        <w:t>Asimismo, en el inciso b) de los efectos de la sentencia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170DE721" w14:textId="77777777" w:rsidR="00661CFB" w:rsidRPr="00661CFB" w:rsidRDefault="00860B0A" w:rsidP="00661CFB">
      <w:pPr>
        <w:spacing w:before="240"/>
        <w:jc w:val="both"/>
        <w:rPr>
          <w:rFonts w:ascii="ITC Avant Garde" w:eastAsia="Times New Roman" w:hAnsi="ITC Avant Garde" w:cs="Arial"/>
        </w:rPr>
      </w:pPr>
      <w:r w:rsidRPr="00661CFB">
        <w:rPr>
          <w:rFonts w:ascii="ITC Avant Garde" w:eastAsia="Times New Roman" w:hAnsi="ITC Avant Garde" w:cs="Arial"/>
        </w:rPr>
        <w:t>En este punto es preciso mencionar que con posterioridad a la emisión de la LFTR, diversos concesionarios han solicitado a través de sus diferendos de interconexión que el Instituto ratifique o determine las tarifas de interconexión aplicables al tráfico público conmutado (</w:t>
      </w:r>
      <w:proofErr w:type="spellStart"/>
      <w:r w:rsidRPr="00661CFB">
        <w:rPr>
          <w:rFonts w:ascii="ITC Avant Garde" w:eastAsia="Times New Roman" w:hAnsi="ITC Avant Garde" w:cs="Arial"/>
        </w:rPr>
        <w:t>originación</w:t>
      </w:r>
      <w:proofErr w:type="spellEnd"/>
      <w:r w:rsidRPr="00661CFB">
        <w:rPr>
          <w:rFonts w:ascii="ITC Avant Garde" w:eastAsia="Times New Roman" w:hAnsi="ITC Avant Garde" w:cs="Arial"/>
        </w:rPr>
        <w:t xml:space="preserve">,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46556D13" w14:textId="77777777" w:rsidR="00661CFB" w:rsidRPr="00661CFB" w:rsidRDefault="00860B0A" w:rsidP="00661CFB">
      <w:pPr>
        <w:spacing w:before="240"/>
        <w:jc w:val="both"/>
        <w:rPr>
          <w:rFonts w:ascii="ITC Avant Garde" w:eastAsia="Times New Roman" w:hAnsi="ITC Avant Garde" w:cs="Arial"/>
        </w:rPr>
      </w:pPr>
      <w:r w:rsidRPr="00661CFB">
        <w:rPr>
          <w:rFonts w:ascii="ITC Avant Garde" w:eastAsia="Times New Roman" w:hAnsi="ITC Avant Garde" w:cs="Arial"/>
        </w:rPr>
        <w:t xml:space="preserve">En concordancia con lo anterior, a efecto de otorgar a las partes certeza sobre las tarifas aplicables en el intercambio de tráfico con la red de Telcel, se hace necesario precisar en el presente procedimiento que la tarifa por terminación de tráfico (voz y </w:t>
      </w:r>
      <w:r w:rsidRPr="00661CFB">
        <w:rPr>
          <w:rFonts w:ascii="ITC Avant Garde" w:eastAsia="Times New Roman" w:hAnsi="ITC Avant Garde" w:cs="Arial"/>
        </w:rPr>
        <w:lastRenderedPageBreak/>
        <w:t>SMS) en la red de Telcel serán las determinadas por el Instituto en el Acuerdo de CTM y Tarifas 2018.</w:t>
      </w:r>
    </w:p>
    <w:p w14:paraId="60D1D555" w14:textId="77777777" w:rsidR="00661CFB" w:rsidRPr="00661CFB" w:rsidRDefault="00256C08" w:rsidP="00661CFB">
      <w:pPr>
        <w:spacing w:before="240"/>
        <w:jc w:val="both"/>
        <w:rPr>
          <w:rFonts w:ascii="ITC Avant Garde" w:hAnsi="ITC Avant Garde" w:cs="Arial"/>
        </w:rPr>
      </w:pPr>
      <w:r w:rsidRPr="00661CFB">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bookmarkEnd w:id="5"/>
    <w:p w14:paraId="1D7EF411" w14:textId="77777777" w:rsidR="00661CFB" w:rsidRPr="00661CFB" w:rsidRDefault="006F1386" w:rsidP="00661CFB">
      <w:pPr>
        <w:pStyle w:val="Piedepgina"/>
        <w:widowControl w:val="0"/>
        <w:tabs>
          <w:tab w:val="left" w:pos="720"/>
        </w:tabs>
        <w:spacing w:before="240" w:after="200" w:line="276" w:lineRule="auto"/>
        <w:jc w:val="both"/>
        <w:rPr>
          <w:rFonts w:ascii="ITC Avant Garde" w:hAnsi="ITC Avant Garde" w:cs="Arial"/>
        </w:rPr>
      </w:pPr>
      <w:proofErr w:type="gramStart"/>
      <w:r w:rsidRPr="00661CFB">
        <w:rPr>
          <w:rFonts w:ascii="ITC Avant Garde" w:eastAsia="Times New Roman" w:hAnsi="ITC Avant Garde"/>
          <w:b/>
          <w:lang w:eastAsia="es-ES"/>
        </w:rPr>
        <w:t>CUART</w:t>
      </w:r>
      <w:r w:rsidR="00106FE3" w:rsidRPr="00661CFB">
        <w:rPr>
          <w:rFonts w:ascii="ITC Avant Garde" w:eastAsia="Times New Roman" w:hAnsi="ITC Avant Garde"/>
          <w:b/>
          <w:lang w:eastAsia="es-ES"/>
        </w:rPr>
        <w:t>O</w:t>
      </w:r>
      <w:r w:rsidR="002920C0" w:rsidRPr="00661CFB">
        <w:rPr>
          <w:rFonts w:ascii="ITC Avant Garde" w:eastAsia="Times New Roman" w:hAnsi="ITC Avant Garde"/>
          <w:b/>
          <w:lang w:eastAsia="es-ES"/>
        </w:rPr>
        <w:t>.-</w:t>
      </w:r>
      <w:proofErr w:type="gramEnd"/>
      <w:r w:rsidR="002920C0" w:rsidRPr="00661CFB">
        <w:rPr>
          <w:rFonts w:ascii="ITC Avant Garde" w:eastAsia="Times New Roman" w:hAnsi="ITC Avant Garde"/>
          <w:b/>
          <w:lang w:eastAsia="es-ES"/>
        </w:rPr>
        <w:t xml:space="preserve"> </w:t>
      </w:r>
      <w:bookmarkEnd w:id="1"/>
      <w:r w:rsidR="00321C60" w:rsidRPr="00661CFB">
        <w:rPr>
          <w:rFonts w:ascii="ITC Avant Garde" w:eastAsia="Times New Roman" w:hAnsi="ITC Avant Garde"/>
          <w:b/>
          <w:lang w:eastAsia="es-ES"/>
        </w:rPr>
        <w:t>Condiciones no convenidas sujetas a resolución</w:t>
      </w:r>
      <w:r w:rsidR="00C92C0A" w:rsidRPr="00661CFB">
        <w:rPr>
          <w:rFonts w:ascii="ITC Avant Garde" w:eastAsia="Times New Roman" w:hAnsi="ITC Avant Garde"/>
          <w:lang w:eastAsia="es-ES"/>
        </w:rPr>
        <w:t>.</w:t>
      </w:r>
      <w:r w:rsidR="00FA07C5" w:rsidRPr="00661CFB">
        <w:rPr>
          <w:rFonts w:ascii="ITC Avant Garde" w:hAnsi="ITC Avant Garde"/>
          <w:b/>
        </w:rPr>
        <w:t xml:space="preserve"> </w:t>
      </w:r>
      <w:r w:rsidR="0089212E" w:rsidRPr="00661CFB">
        <w:rPr>
          <w:rFonts w:ascii="ITC Avant Garde" w:hAnsi="ITC Avant Garde"/>
        </w:rPr>
        <w:t xml:space="preserve">Telcel </w:t>
      </w:r>
      <w:r w:rsidR="00083F8D" w:rsidRPr="00661CFB">
        <w:rPr>
          <w:rFonts w:ascii="ITC Avant Garde" w:eastAsia="Times New Roman" w:hAnsi="ITC Avant Garde"/>
          <w:lang w:eastAsia="es-ES"/>
        </w:rPr>
        <w:t>plantea lo</w:t>
      </w:r>
      <w:r w:rsidR="00FA07C5" w:rsidRPr="00661CFB">
        <w:rPr>
          <w:rFonts w:ascii="ITC Avant Garde" w:eastAsia="Times New Roman" w:hAnsi="ITC Avant Garde"/>
          <w:lang w:eastAsia="es-ES"/>
        </w:rPr>
        <w:t xml:space="preserve">s siguientes </w:t>
      </w:r>
      <w:r w:rsidR="00083F8D" w:rsidRPr="00661CFB">
        <w:rPr>
          <w:rFonts w:ascii="ITC Avant Garde" w:eastAsia="Times New Roman" w:hAnsi="ITC Avant Garde"/>
          <w:lang w:eastAsia="es-ES"/>
        </w:rPr>
        <w:t>términos, condiciones</w:t>
      </w:r>
      <w:r w:rsidR="00FA07C5" w:rsidRPr="00661CFB">
        <w:rPr>
          <w:rFonts w:ascii="ITC Avant Garde" w:eastAsia="Times New Roman" w:hAnsi="ITC Avant Garde"/>
          <w:lang w:eastAsia="es-ES"/>
        </w:rPr>
        <w:t xml:space="preserve"> y tarifas de interconexión que no pudo conv</w:t>
      </w:r>
      <w:r w:rsidR="000A49A1" w:rsidRPr="00661CFB">
        <w:rPr>
          <w:rFonts w:ascii="ITC Avant Garde" w:eastAsia="Times New Roman" w:hAnsi="ITC Avant Garde"/>
          <w:lang w:eastAsia="es-ES"/>
        </w:rPr>
        <w:t>enir con</w:t>
      </w:r>
      <w:r w:rsidR="009C071E" w:rsidRPr="00661CFB">
        <w:rPr>
          <w:rFonts w:ascii="ITC Avant Garde" w:eastAsia="Times New Roman" w:hAnsi="ITC Avant Garde"/>
          <w:lang w:eastAsia="es-ES"/>
        </w:rPr>
        <w:t xml:space="preserve"> </w:t>
      </w:r>
      <w:r w:rsidR="00831586" w:rsidRPr="00661CFB">
        <w:rPr>
          <w:rFonts w:ascii="ITC Avant Garde" w:eastAsia="Times New Roman" w:hAnsi="ITC Avant Garde"/>
          <w:lang w:eastAsia="es-ES"/>
        </w:rPr>
        <w:t>TV Rey</w:t>
      </w:r>
      <w:r w:rsidR="00FA07C5" w:rsidRPr="00661CFB">
        <w:rPr>
          <w:rFonts w:ascii="ITC Avant Garde" w:eastAsia="Times New Roman" w:hAnsi="ITC Avant Garde"/>
          <w:lang w:eastAsia="es-ES"/>
        </w:rPr>
        <w:t>:</w:t>
      </w:r>
    </w:p>
    <w:p w14:paraId="48C46C44" w14:textId="77777777" w:rsidR="00661CFB" w:rsidRPr="00661CFB" w:rsidRDefault="00B40500" w:rsidP="00661CFB">
      <w:pPr>
        <w:pStyle w:val="Prrafodelista"/>
        <w:numPr>
          <w:ilvl w:val="0"/>
          <w:numId w:val="13"/>
        </w:numPr>
        <w:spacing w:before="240" w:after="200" w:line="276" w:lineRule="auto"/>
        <w:rPr>
          <w:rFonts w:ascii="ITC Avant Garde" w:hAnsi="ITC Avant Garde"/>
        </w:rPr>
      </w:pPr>
      <w:r w:rsidRPr="00661CFB">
        <w:rPr>
          <w:rFonts w:ascii="ITC Avant Garde" w:hAnsi="ITC Avant Garde"/>
        </w:rPr>
        <w:t>Determin</w:t>
      </w:r>
      <w:r w:rsidR="007D3782" w:rsidRPr="00661CFB">
        <w:rPr>
          <w:rFonts w:ascii="ITC Avant Garde" w:hAnsi="ITC Avant Garde"/>
        </w:rPr>
        <w:t>ar</w:t>
      </w:r>
      <w:r w:rsidRPr="00661CFB">
        <w:rPr>
          <w:rFonts w:ascii="ITC Avant Garde" w:hAnsi="ITC Avant Garde"/>
        </w:rPr>
        <w:t xml:space="preserve"> </w:t>
      </w:r>
      <w:r w:rsidR="0089212E" w:rsidRPr="00661CFB">
        <w:rPr>
          <w:rFonts w:ascii="ITC Avant Garde" w:hAnsi="ITC Avant Garde"/>
        </w:rPr>
        <w:t xml:space="preserve">las tarifas de </w:t>
      </w:r>
      <w:r w:rsidR="007A3C1C" w:rsidRPr="00661CFB">
        <w:rPr>
          <w:rFonts w:ascii="ITC Avant Garde" w:hAnsi="ITC Avant Garde"/>
        </w:rPr>
        <w:t xml:space="preserve">interconexión que Telcel deberá </w:t>
      </w:r>
      <w:r w:rsidR="0089212E" w:rsidRPr="00661CFB">
        <w:rPr>
          <w:rFonts w:ascii="ITC Avant Garde" w:hAnsi="ITC Avant Garde"/>
        </w:rPr>
        <w:t xml:space="preserve">pagar por servicios de terminación de tráfico público conmutado en la red de servicio local fijo de </w:t>
      </w:r>
      <w:r w:rsidR="00831586" w:rsidRPr="00661CFB">
        <w:rPr>
          <w:rFonts w:ascii="ITC Avant Garde" w:hAnsi="ITC Avant Garde"/>
        </w:rPr>
        <w:t>TV Rey</w:t>
      </w:r>
      <w:r w:rsidR="0089212E" w:rsidRPr="00661CFB">
        <w:rPr>
          <w:rFonts w:ascii="ITC Avant Garde" w:hAnsi="ITC Avant Garde"/>
        </w:rPr>
        <w:t xml:space="preserve">, para el periodo comprendido </w:t>
      </w:r>
      <w:r w:rsidR="007A3C1C" w:rsidRPr="00661CFB">
        <w:rPr>
          <w:rFonts w:ascii="ITC Avant Garde" w:hAnsi="ITC Avant Garde"/>
        </w:rPr>
        <w:t>d</w:t>
      </w:r>
      <w:r w:rsidR="0089212E" w:rsidRPr="00661CFB">
        <w:rPr>
          <w:rFonts w:ascii="ITC Avant Garde" w:hAnsi="ITC Avant Garde"/>
        </w:rPr>
        <w:t>el 1 de enero al 31 de diciembre de 201</w:t>
      </w:r>
      <w:r w:rsidR="004542F6" w:rsidRPr="00661CFB">
        <w:rPr>
          <w:rFonts w:ascii="ITC Avant Garde" w:hAnsi="ITC Avant Garde"/>
        </w:rPr>
        <w:t>8</w:t>
      </w:r>
      <w:r w:rsidR="00BC7E36" w:rsidRPr="00661CFB">
        <w:rPr>
          <w:rFonts w:ascii="ITC Avant Garde" w:hAnsi="ITC Avant Garde"/>
        </w:rPr>
        <w:t>.</w:t>
      </w:r>
    </w:p>
    <w:p w14:paraId="0F29DB52" w14:textId="33D68BF8" w:rsidR="00661CFB" w:rsidRPr="00661CFB" w:rsidRDefault="00B779A9" w:rsidP="00661CFB">
      <w:pPr>
        <w:pStyle w:val="Piedepgina"/>
        <w:widowControl w:val="0"/>
        <w:tabs>
          <w:tab w:val="left" w:pos="720"/>
        </w:tabs>
        <w:spacing w:before="240" w:after="200" w:line="276" w:lineRule="auto"/>
        <w:jc w:val="both"/>
        <w:rPr>
          <w:rFonts w:ascii="ITC Avant Garde" w:hAnsi="ITC Avant Garde"/>
        </w:rPr>
      </w:pPr>
      <w:r w:rsidRPr="00661CFB">
        <w:rPr>
          <w:rFonts w:ascii="ITC Avant Garde" w:eastAsia="Times New Roman" w:hAnsi="ITC Avant Garde"/>
          <w:lang w:eastAsia="es-ES"/>
        </w:rPr>
        <w:t xml:space="preserve">Por su parte, </w:t>
      </w:r>
      <w:r w:rsidRPr="00661CFB">
        <w:rPr>
          <w:rFonts w:ascii="ITC Avant Garde" w:hAnsi="ITC Avant Garde"/>
          <w:lang w:val="es-ES" w:eastAsia="es-ES"/>
        </w:rPr>
        <w:t xml:space="preserve">TV Rey </w:t>
      </w:r>
      <w:r w:rsidRPr="00661CFB">
        <w:rPr>
          <w:rFonts w:ascii="ITC Avant Garde" w:eastAsia="Times New Roman" w:hAnsi="ITC Avant Garde"/>
          <w:lang w:eastAsia="es-ES"/>
        </w:rPr>
        <w:t xml:space="preserve">en su escrito de respuesta de fecha 22 de agosto de 2017 reitera la petición de Telcel al </w:t>
      </w:r>
      <w:r w:rsidRPr="00661CFB">
        <w:rPr>
          <w:rFonts w:ascii="ITC Avant Garde" w:hAnsi="ITC Avant Garde"/>
        </w:rPr>
        <w:t xml:space="preserve">manifestar su voluntad de firmar las nuevas tarifas que resuelva el Instituto para 2018. </w:t>
      </w:r>
    </w:p>
    <w:p w14:paraId="5E9AC379" w14:textId="77777777" w:rsidR="00661CFB" w:rsidRPr="00661CFB" w:rsidRDefault="00B779A9" w:rsidP="00661CFB">
      <w:pPr>
        <w:spacing w:before="240"/>
        <w:jc w:val="both"/>
        <w:rPr>
          <w:rFonts w:ascii="ITC Avant Garde" w:eastAsia="Times New Roman" w:hAnsi="ITC Avant Garde"/>
          <w:lang w:eastAsia="es-ES"/>
        </w:rPr>
      </w:pPr>
      <w:r w:rsidRPr="00661CFB">
        <w:rPr>
          <w:rFonts w:ascii="ITC Avant Garde" w:eastAsia="Times New Roman" w:hAnsi="ITC Avant Garde"/>
          <w:lang w:eastAsia="es-ES"/>
        </w:rPr>
        <w:t xml:space="preserve">Toda vez que en las manifestaciones y alegatos de </w:t>
      </w:r>
      <w:proofErr w:type="gramStart"/>
      <w:r w:rsidRPr="00661CFB">
        <w:rPr>
          <w:rFonts w:ascii="ITC Avant Garde" w:eastAsia="Times New Roman" w:hAnsi="ITC Avant Garde"/>
          <w:lang w:eastAsia="es-ES"/>
        </w:rPr>
        <w:t>la partes</w:t>
      </w:r>
      <w:proofErr w:type="gramEnd"/>
      <w:r w:rsidRPr="00661CFB">
        <w:rPr>
          <w:rFonts w:ascii="ITC Avant Garde" w:eastAsia="Times New Roman" w:hAnsi="ITC Avant Garde"/>
          <w:lang w:eastAsia="es-ES"/>
        </w:rPr>
        <w:t xml:space="preserve"> no surgieron puntos adicionales o manifestaciones generales que analizar, en términos del artículo 129 de la LFTR se procederá a resolver sobre las condiciones no convenidas.</w:t>
      </w:r>
    </w:p>
    <w:p w14:paraId="18DD431B" w14:textId="77777777" w:rsidR="00661CFB" w:rsidRPr="00661CFB" w:rsidRDefault="00252598" w:rsidP="00661CFB">
      <w:pPr>
        <w:numPr>
          <w:ilvl w:val="0"/>
          <w:numId w:val="20"/>
        </w:numPr>
        <w:spacing w:before="240"/>
        <w:jc w:val="both"/>
        <w:rPr>
          <w:rFonts w:ascii="ITC Avant Garde" w:eastAsia="Times New Roman" w:hAnsi="ITC Avant Garde"/>
          <w:b/>
          <w:szCs w:val="24"/>
          <w:lang w:eastAsia="es-ES"/>
        </w:rPr>
      </w:pPr>
      <w:r w:rsidRPr="00661CFB">
        <w:rPr>
          <w:rFonts w:ascii="ITC Avant Garde" w:eastAsia="Times New Roman" w:hAnsi="ITC Avant Garde"/>
          <w:b/>
          <w:szCs w:val="24"/>
          <w:lang w:eastAsia="es-ES"/>
        </w:rPr>
        <w:t xml:space="preserve">Tarifas de Interconexión </w:t>
      </w:r>
    </w:p>
    <w:p w14:paraId="4CD11C7F" w14:textId="77777777" w:rsidR="00661CFB" w:rsidRPr="00661CFB" w:rsidRDefault="00A27B97" w:rsidP="00661CFB">
      <w:pPr>
        <w:spacing w:before="240"/>
        <w:jc w:val="both"/>
        <w:rPr>
          <w:rFonts w:ascii="ITC Avant Garde" w:eastAsia="Times New Roman" w:hAnsi="ITC Avant Garde"/>
          <w:b/>
          <w:szCs w:val="24"/>
          <w:lang w:eastAsia="es-ES"/>
        </w:rPr>
      </w:pPr>
      <w:r w:rsidRPr="00661CFB">
        <w:rPr>
          <w:rFonts w:ascii="ITC Avant Garde" w:eastAsia="Times New Roman" w:hAnsi="ITC Avant Garde"/>
          <w:b/>
          <w:szCs w:val="24"/>
          <w:lang w:eastAsia="es-ES"/>
        </w:rPr>
        <w:t>Argumentos de las partes</w:t>
      </w:r>
    </w:p>
    <w:p w14:paraId="4901EABB" w14:textId="77777777" w:rsidR="00661CFB" w:rsidRPr="00661CFB" w:rsidRDefault="00A27B97" w:rsidP="00661CFB">
      <w:pPr>
        <w:widowControl w:val="0"/>
        <w:tabs>
          <w:tab w:val="left" w:pos="720"/>
          <w:tab w:val="center" w:pos="4419"/>
          <w:tab w:val="right" w:pos="8838"/>
        </w:tabs>
        <w:spacing w:before="240"/>
        <w:jc w:val="both"/>
        <w:rPr>
          <w:rFonts w:ascii="ITC Avant Garde" w:hAnsi="ITC Avant Garde"/>
          <w:lang w:val="es-ES" w:eastAsia="es-ES"/>
        </w:rPr>
      </w:pPr>
      <w:r w:rsidRPr="00661CFB">
        <w:rPr>
          <w:rFonts w:ascii="ITC Avant Garde" w:hAnsi="ITC Avant Garde" w:cs="Arial"/>
          <w:lang w:val="es-ES"/>
        </w:rPr>
        <w:t xml:space="preserve">En la Solicitud de Resolución, Telcel manifiesta que </w:t>
      </w:r>
      <w:r w:rsidR="002E0F00" w:rsidRPr="00661CFB">
        <w:rPr>
          <w:rFonts w:ascii="ITC Avant Garde" w:hAnsi="ITC Avant Garde" w:cs="Arial"/>
          <w:lang w:val="es-ES"/>
        </w:rPr>
        <w:t>el</w:t>
      </w:r>
      <w:r w:rsidR="0078446F" w:rsidRPr="00661CFB">
        <w:rPr>
          <w:rFonts w:ascii="ITC Avant Garde" w:hAnsi="ITC Avant Garde" w:cs="Arial"/>
          <w:lang w:val="es-ES"/>
        </w:rPr>
        <w:t xml:space="preserve"> 9</w:t>
      </w:r>
      <w:r w:rsidR="00787F89" w:rsidRPr="00661CFB">
        <w:rPr>
          <w:rFonts w:ascii="ITC Avant Garde" w:hAnsi="ITC Avant Garde" w:cs="Arial"/>
          <w:lang w:val="es-ES"/>
        </w:rPr>
        <w:t xml:space="preserve"> de mayo de 2017</w:t>
      </w:r>
      <w:r w:rsidRPr="00661CFB">
        <w:rPr>
          <w:rFonts w:ascii="ITC Avant Garde" w:hAnsi="ITC Avant Garde" w:cs="Arial"/>
          <w:lang w:val="es-ES"/>
        </w:rPr>
        <w:t>, solicitó formalmente a</w:t>
      </w:r>
      <w:r w:rsidR="008D406A" w:rsidRPr="00661CFB">
        <w:rPr>
          <w:rFonts w:ascii="ITC Avant Garde" w:hAnsi="ITC Avant Garde" w:cs="Arial"/>
          <w:lang w:val="es-ES"/>
        </w:rPr>
        <w:t xml:space="preserve"> </w:t>
      </w:r>
      <w:r w:rsidR="00831586" w:rsidRPr="00661CFB">
        <w:rPr>
          <w:rFonts w:ascii="ITC Avant Garde" w:hAnsi="ITC Avant Garde" w:cs="Arial"/>
          <w:lang w:val="es-ES"/>
        </w:rPr>
        <w:t>TV Rey</w:t>
      </w:r>
      <w:r w:rsidR="008D406A" w:rsidRPr="00661CFB">
        <w:rPr>
          <w:rFonts w:ascii="ITC Avant Garde" w:hAnsi="ITC Avant Garde" w:cs="Arial"/>
          <w:lang w:val="es-ES"/>
        </w:rPr>
        <w:t xml:space="preserve"> dar inicio a las negociaciones tendientes a acordar las tarifas de interconexión </w:t>
      </w:r>
      <w:r w:rsidRPr="00661CFB">
        <w:rPr>
          <w:rFonts w:ascii="ITC Avant Garde" w:hAnsi="ITC Avant Garde"/>
          <w:lang w:val="es-ES" w:eastAsia="es-ES"/>
        </w:rPr>
        <w:t>que</w:t>
      </w:r>
      <w:r w:rsidR="008D406A" w:rsidRPr="00661CFB">
        <w:rPr>
          <w:rFonts w:ascii="ITC Avant Garde" w:hAnsi="ITC Avant Garde"/>
          <w:lang w:val="es-ES" w:eastAsia="es-ES"/>
        </w:rPr>
        <w:t xml:space="preserve"> </w:t>
      </w:r>
      <w:r w:rsidRPr="00661CFB">
        <w:rPr>
          <w:rFonts w:ascii="ITC Avant Garde" w:hAnsi="ITC Avant Garde"/>
          <w:lang w:val="es-ES" w:eastAsia="es-ES"/>
        </w:rPr>
        <w:t xml:space="preserve">Telcel </w:t>
      </w:r>
      <w:r w:rsidR="008D406A" w:rsidRPr="00661CFB">
        <w:rPr>
          <w:rFonts w:ascii="ITC Avant Garde" w:hAnsi="ITC Avant Garde"/>
          <w:lang w:val="es-ES" w:eastAsia="es-ES"/>
        </w:rPr>
        <w:t xml:space="preserve">deberá pagarle </w:t>
      </w:r>
      <w:r w:rsidRPr="00661CFB">
        <w:rPr>
          <w:rFonts w:ascii="ITC Avant Garde" w:hAnsi="ITC Avant Garde"/>
          <w:lang w:val="es-ES" w:eastAsia="es-ES"/>
        </w:rPr>
        <w:t>por servicios de terminación de tráfico publico conmutado en la red de servicio local fijo de</w:t>
      </w:r>
      <w:r w:rsidR="00274849" w:rsidRPr="00661CFB">
        <w:rPr>
          <w:rFonts w:ascii="ITC Avant Garde" w:hAnsi="ITC Avant Garde"/>
          <w:lang w:val="es-ES" w:eastAsia="es-ES"/>
        </w:rPr>
        <w:t xml:space="preserve">l </w:t>
      </w:r>
      <w:r w:rsidR="00831586" w:rsidRPr="00661CFB">
        <w:rPr>
          <w:rFonts w:ascii="ITC Avant Garde" w:hAnsi="ITC Avant Garde"/>
          <w:lang w:val="es-ES" w:eastAsia="es-ES"/>
        </w:rPr>
        <w:t>TV Rey</w:t>
      </w:r>
      <w:r w:rsidR="008D406A" w:rsidRPr="00661CFB">
        <w:rPr>
          <w:rFonts w:ascii="ITC Avant Garde" w:hAnsi="ITC Avant Garde"/>
          <w:lang w:val="es-ES" w:eastAsia="es-ES"/>
        </w:rPr>
        <w:t xml:space="preserve">, </w:t>
      </w:r>
      <w:r w:rsidRPr="00661CFB">
        <w:rPr>
          <w:rFonts w:ascii="ITC Avant Garde" w:hAnsi="ITC Avant Garde"/>
          <w:lang w:val="es-ES" w:eastAsia="es-ES"/>
        </w:rPr>
        <w:t xml:space="preserve">durante </w:t>
      </w:r>
      <w:r w:rsidR="008D406A" w:rsidRPr="00661CFB">
        <w:rPr>
          <w:rFonts w:ascii="ITC Avant Garde" w:hAnsi="ITC Avant Garde"/>
          <w:lang w:val="es-ES" w:eastAsia="es-ES"/>
        </w:rPr>
        <w:t>el periodo comprendido entre el 1 de enero y el 31 de diciembre de 2018</w:t>
      </w:r>
      <w:r w:rsidRPr="00661CFB">
        <w:rPr>
          <w:rFonts w:ascii="ITC Avant Garde" w:hAnsi="ITC Avant Garde"/>
          <w:lang w:val="es-ES" w:eastAsia="es-ES"/>
        </w:rPr>
        <w:t>.</w:t>
      </w:r>
    </w:p>
    <w:p w14:paraId="5CD8F52B" w14:textId="77777777" w:rsidR="00661CFB" w:rsidRPr="00661CFB" w:rsidRDefault="00804A8D" w:rsidP="00661CFB">
      <w:pPr>
        <w:spacing w:before="240"/>
        <w:jc w:val="both"/>
        <w:rPr>
          <w:rFonts w:ascii="ITC Avant Garde" w:eastAsia="Times New Roman" w:hAnsi="ITC Avant Garde"/>
          <w:szCs w:val="24"/>
          <w:lang w:eastAsia="es-ES"/>
        </w:rPr>
      </w:pPr>
      <w:r w:rsidRPr="00661CFB">
        <w:rPr>
          <w:rFonts w:ascii="ITC Avant Garde" w:eastAsia="Times New Roman" w:hAnsi="ITC Avant Garde"/>
          <w:szCs w:val="24"/>
          <w:lang w:eastAsia="es-ES"/>
        </w:rPr>
        <w:t>Asimismo, en su escrito de alegatos, Telcel solicita que la tarifa se determine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2F397CFC" w14:textId="77777777" w:rsidR="00661CFB" w:rsidRPr="00661CFB" w:rsidRDefault="003255F8" w:rsidP="00661CFB">
      <w:pPr>
        <w:widowControl w:val="0"/>
        <w:tabs>
          <w:tab w:val="center" w:pos="4419"/>
          <w:tab w:val="right" w:pos="8838"/>
        </w:tabs>
        <w:spacing w:before="240"/>
        <w:jc w:val="both"/>
        <w:rPr>
          <w:rFonts w:ascii="ITC Avant Garde" w:eastAsia="Times New Roman" w:hAnsi="ITC Avant Garde" w:cs="Arial"/>
        </w:rPr>
      </w:pPr>
      <w:r w:rsidRPr="00661CFB">
        <w:rPr>
          <w:rFonts w:ascii="ITC Avant Garde" w:eastAsia="Times New Roman" w:hAnsi="ITC Avant Garde" w:cs="Arial"/>
        </w:rPr>
        <w:t xml:space="preserve">Por su parte, </w:t>
      </w:r>
      <w:r w:rsidRPr="00661CFB">
        <w:rPr>
          <w:rFonts w:ascii="ITC Avant Garde" w:hAnsi="ITC Avant Garde"/>
          <w:bCs/>
        </w:rPr>
        <w:t>TV Rey</w:t>
      </w:r>
      <w:r w:rsidRPr="00661CFB">
        <w:rPr>
          <w:rFonts w:ascii="ITC Avant Garde" w:hAnsi="ITC Avant Garde"/>
        </w:rPr>
        <w:t xml:space="preserve"> </w:t>
      </w:r>
      <w:r w:rsidRPr="00661CFB">
        <w:rPr>
          <w:rFonts w:ascii="ITC Avant Garde" w:eastAsia="Times New Roman" w:hAnsi="ITC Avant Garde" w:cs="Arial"/>
        </w:rPr>
        <w:t xml:space="preserve">señaló que toda vez que hay indicadores económicos muy variables hace imposible que se cuente con elementos económicos que permitan </w:t>
      </w:r>
      <w:r w:rsidRPr="00661CFB">
        <w:rPr>
          <w:rFonts w:ascii="ITC Avant Garde" w:eastAsia="Times New Roman" w:hAnsi="ITC Avant Garde" w:cs="Arial"/>
        </w:rPr>
        <w:lastRenderedPageBreak/>
        <w:t>definir una tarifa de interconexión para 2018 por lo que acatará las tarifas que el Instituto Federal de Telecomunicaciones está obligado a emitir.</w:t>
      </w:r>
    </w:p>
    <w:p w14:paraId="07335B62" w14:textId="77777777" w:rsidR="00661CFB" w:rsidRPr="00661CFB" w:rsidRDefault="00A27B97" w:rsidP="00661CFB">
      <w:pPr>
        <w:spacing w:before="240"/>
        <w:jc w:val="both"/>
        <w:rPr>
          <w:rFonts w:ascii="ITC Avant Garde" w:eastAsia="Times New Roman" w:hAnsi="ITC Avant Garde"/>
          <w:b/>
          <w:szCs w:val="24"/>
          <w:lang w:eastAsia="es-ES"/>
        </w:rPr>
      </w:pPr>
      <w:r w:rsidRPr="00661CFB">
        <w:rPr>
          <w:rFonts w:ascii="ITC Avant Garde" w:eastAsia="Times New Roman" w:hAnsi="ITC Avant Garde"/>
          <w:b/>
          <w:szCs w:val="24"/>
          <w:lang w:eastAsia="es-ES"/>
        </w:rPr>
        <w:t>Consideraciones del Instituto</w:t>
      </w:r>
    </w:p>
    <w:p w14:paraId="6DD5A846" w14:textId="77777777" w:rsidR="00661CFB" w:rsidRPr="00661CFB" w:rsidRDefault="00274849" w:rsidP="00661CFB">
      <w:pPr>
        <w:spacing w:before="240"/>
        <w:jc w:val="both"/>
        <w:rPr>
          <w:rFonts w:ascii="ITC Avant Garde" w:hAnsi="ITC Avant Garde" w:cs="Arial"/>
        </w:rPr>
      </w:pPr>
      <w:bookmarkStart w:id="6" w:name="vitalimportancia"/>
      <w:r w:rsidRPr="00661CFB">
        <w:rPr>
          <w:rFonts w:ascii="ITC Avant Garde" w:hAnsi="ITC Avant Garde" w:cs="Arial"/>
        </w:rPr>
        <w:t>P</w:t>
      </w:r>
      <w:r w:rsidR="00A27B97" w:rsidRPr="00661CFB">
        <w:rPr>
          <w:rFonts w:ascii="ITC Avant Garde" w:hAnsi="ITC Avant Garde" w:cs="Arial"/>
        </w:rPr>
        <w:t xml:space="preserve">ara la determinación de las tarifas de interconexión en las redes públicas de telecomunicaciones de Telcel con </w:t>
      </w:r>
      <w:r w:rsidR="00831586" w:rsidRPr="00661CFB">
        <w:rPr>
          <w:rFonts w:ascii="ITC Avant Garde" w:hAnsi="ITC Avant Garde" w:cs="Arial"/>
        </w:rPr>
        <w:t>TV Rey</w:t>
      </w:r>
      <w:r w:rsidR="00A27B97" w:rsidRPr="00661CFB">
        <w:rPr>
          <w:rFonts w:ascii="ITC Avant Garde" w:hAnsi="ITC Avant Garde" w:cs="Arial"/>
        </w:rPr>
        <w:t>, se debe considerar que la propia LFTR establece el marco normativo y regulatorio aplicable para la fijación de las tarifas de interconexión.</w:t>
      </w:r>
    </w:p>
    <w:p w14:paraId="4A9FAAC1" w14:textId="048E9ACF" w:rsidR="00661CFB" w:rsidRPr="00661CFB" w:rsidRDefault="00A27B97" w:rsidP="00661CFB">
      <w:pPr>
        <w:widowControl w:val="0"/>
        <w:spacing w:before="240"/>
        <w:jc w:val="both"/>
        <w:rPr>
          <w:rFonts w:ascii="ITC Avant Garde" w:hAnsi="ITC Avant Garde" w:cs="Arial"/>
        </w:rPr>
      </w:pPr>
      <w:r w:rsidRPr="00661CFB">
        <w:rPr>
          <w:rFonts w:ascii="ITC Avant Garde" w:eastAsia="Times New Roman" w:hAnsi="ITC Avant Garde" w:cs="Arial"/>
        </w:rPr>
        <w:t xml:space="preserve">A tal efecto, </w:t>
      </w:r>
      <w:r w:rsidRPr="00661CFB">
        <w:rPr>
          <w:rFonts w:ascii="ITC Avant Garde" w:hAnsi="ITC Avant Garde" w:cs="Arial"/>
        </w:rPr>
        <w:t>el artículo 131 de la LFTR dispone lo siguiente:</w:t>
      </w:r>
    </w:p>
    <w:p w14:paraId="20B5CEF0" w14:textId="419D4CFF"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w:t>
      </w:r>
      <w:r w:rsidRPr="00661CFB">
        <w:rPr>
          <w:rFonts w:ascii="ITC Avant Garde" w:hAnsi="ITC Avant Garde" w:cs="Arial"/>
          <w:b/>
          <w:sz w:val="18"/>
          <w:szCs w:val="18"/>
        </w:rPr>
        <w:t>Artículo 131.</w:t>
      </w:r>
      <w:r w:rsidRPr="00661CFB">
        <w:rPr>
          <w:rFonts w:ascii="ITC Avant Garde" w:hAnsi="ITC Avant Garde" w:cs="Arial"/>
          <w:sz w:val="18"/>
          <w:szCs w:val="18"/>
        </w:rPr>
        <w:t xml:space="preserve"> […]</w:t>
      </w:r>
    </w:p>
    <w:p w14:paraId="52DE5DA6"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w:t>
      </w:r>
    </w:p>
    <w:p w14:paraId="2F6976B3"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b) Para el tráfico que termine en la red de los demás concesionarios, la tarifa de interconexión será negociada libremente.</w:t>
      </w:r>
    </w:p>
    <w:p w14:paraId="7CD46F44"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A6C5035"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A5A21BD"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2A9438C"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sz w:val="18"/>
          <w:szCs w:val="18"/>
        </w:rPr>
        <w:t>[…]”</w:t>
      </w:r>
    </w:p>
    <w:p w14:paraId="369C7FD2" w14:textId="77777777" w:rsidR="00661CFB" w:rsidRPr="00661CFB" w:rsidRDefault="00A27B97" w:rsidP="00661CFB">
      <w:pPr>
        <w:spacing w:before="240"/>
        <w:ind w:right="20"/>
        <w:jc w:val="both"/>
        <w:rPr>
          <w:rFonts w:ascii="ITC Avant Garde" w:hAnsi="ITC Avant Garde" w:cs="Arial"/>
        </w:rPr>
      </w:pPr>
      <w:r w:rsidRPr="00661CF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8A1542E" w14:textId="77777777" w:rsidR="00661CFB" w:rsidRPr="00661CFB" w:rsidRDefault="00A27B97" w:rsidP="00661CFB">
      <w:pPr>
        <w:spacing w:before="240"/>
        <w:ind w:right="20"/>
        <w:jc w:val="both"/>
        <w:rPr>
          <w:rFonts w:ascii="ITC Avant Garde" w:hAnsi="ITC Avant Garde" w:cs="Arial"/>
        </w:rPr>
      </w:pPr>
      <w:r w:rsidRPr="00661CFB">
        <w:rPr>
          <w:rFonts w:ascii="ITC Avant Garde" w:hAnsi="ITC Avant Garde" w:cs="Arial"/>
        </w:rPr>
        <w:t>En este orden de ideas, el artículo 137 de la LFTR señala a la letra lo siguiente:</w:t>
      </w:r>
    </w:p>
    <w:p w14:paraId="1C7EB4EA" w14:textId="77777777" w:rsidR="00661CFB" w:rsidRPr="00661CFB" w:rsidRDefault="00A27B97" w:rsidP="00661CFB">
      <w:pPr>
        <w:spacing w:before="240"/>
        <w:ind w:left="567" w:right="615"/>
        <w:jc w:val="both"/>
        <w:rPr>
          <w:rFonts w:ascii="ITC Avant Garde" w:hAnsi="ITC Avant Garde" w:cs="Arial"/>
          <w:sz w:val="18"/>
          <w:szCs w:val="18"/>
        </w:rPr>
      </w:pPr>
      <w:r w:rsidRPr="00661CFB">
        <w:rPr>
          <w:rFonts w:ascii="ITC Avant Garde" w:hAnsi="ITC Avant Garde" w:cs="Arial"/>
          <w:b/>
          <w:sz w:val="18"/>
          <w:szCs w:val="18"/>
        </w:rPr>
        <w:lastRenderedPageBreak/>
        <w:t>“Artículo 137.</w:t>
      </w:r>
      <w:r w:rsidRPr="00661CFB">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6"/>
    <w:p w14:paraId="4CAB43C8" w14:textId="77777777" w:rsidR="00661CFB" w:rsidRPr="00661CFB" w:rsidRDefault="00A27B97" w:rsidP="00661CFB">
      <w:pPr>
        <w:spacing w:before="240"/>
        <w:ind w:right="20"/>
        <w:jc w:val="both"/>
        <w:rPr>
          <w:rFonts w:ascii="ITC Avant Garde" w:eastAsia="Times New Roman" w:hAnsi="ITC Avant Garde" w:cs="Arial"/>
        </w:rPr>
      </w:pPr>
      <w:r w:rsidRPr="00661CFB">
        <w:rPr>
          <w:rFonts w:ascii="ITC Avant Garde" w:eastAsia="Times New Roman" w:hAnsi="ITC Avant Garde" w:cs="Arial"/>
        </w:rPr>
        <w:t xml:space="preserve">En apego a </w:t>
      </w:r>
      <w:r w:rsidR="00D33E9B" w:rsidRPr="00661CFB">
        <w:rPr>
          <w:rFonts w:ascii="ITC Avant Garde" w:eastAsia="Times New Roman" w:hAnsi="ITC Avant Garde" w:cs="Arial"/>
        </w:rPr>
        <w:t>la</w:t>
      </w:r>
      <w:r w:rsidRPr="00661CFB">
        <w:rPr>
          <w:rFonts w:ascii="ITC Avant Garde" w:eastAsia="Times New Roman" w:hAnsi="ITC Avant Garde" w:cs="Arial"/>
        </w:rPr>
        <w:t xml:space="preserve"> </w:t>
      </w:r>
      <w:r w:rsidR="004D4F41" w:rsidRPr="00661CFB">
        <w:rPr>
          <w:rFonts w:ascii="ITC Avant Garde" w:eastAsia="Times New Roman" w:hAnsi="ITC Avant Garde" w:cs="Arial"/>
        </w:rPr>
        <w:t>M</w:t>
      </w:r>
      <w:r w:rsidRPr="00661CFB">
        <w:rPr>
          <w:rFonts w:ascii="ITC Avant Garde" w:eastAsia="Times New Roman" w:hAnsi="ITC Avant Garde" w:cs="Arial"/>
        </w:rPr>
        <w:t>etodología</w:t>
      </w:r>
      <w:r w:rsidR="00D33E9B" w:rsidRPr="00661CFB">
        <w:rPr>
          <w:rFonts w:ascii="ITC Avant Garde" w:eastAsia="Times New Roman" w:hAnsi="ITC Avant Garde" w:cs="Arial"/>
        </w:rPr>
        <w:t xml:space="preserve"> de </w:t>
      </w:r>
      <w:r w:rsidR="004D4F41" w:rsidRPr="00661CFB">
        <w:rPr>
          <w:rFonts w:ascii="ITC Avant Garde" w:eastAsia="Times New Roman" w:hAnsi="ITC Avant Garde" w:cs="Arial"/>
        </w:rPr>
        <w:t>C</w:t>
      </w:r>
      <w:r w:rsidR="00D33E9B" w:rsidRPr="00661CFB">
        <w:rPr>
          <w:rFonts w:ascii="ITC Avant Garde" w:eastAsia="Times New Roman" w:hAnsi="ITC Avant Garde" w:cs="Arial"/>
        </w:rPr>
        <w:t>ostos</w:t>
      </w:r>
      <w:r w:rsidR="004D4F41" w:rsidRPr="00661CFB">
        <w:rPr>
          <w:rFonts w:ascii="ITC Avant Garde" w:eastAsia="Times New Roman" w:hAnsi="ITC Avant Garde" w:cs="Arial"/>
        </w:rPr>
        <w:t xml:space="preserve"> y</w:t>
      </w:r>
      <w:r w:rsidRPr="00661CFB">
        <w:rPr>
          <w:rFonts w:ascii="ITC Avant Garde" w:eastAsia="Times New Roman" w:hAnsi="ITC Avant Garde" w:cs="Arial"/>
        </w:rPr>
        <w:t xml:space="preserve"> en cumplimiento a lo establecido </w:t>
      </w:r>
      <w:r w:rsidR="004D4F41" w:rsidRPr="00661CFB">
        <w:rPr>
          <w:rFonts w:ascii="ITC Avant Garde" w:eastAsia="Times New Roman" w:hAnsi="ITC Avant Garde" w:cs="Arial"/>
        </w:rPr>
        <w:t>en</w:t>
      </w:r>
      <w:r w:rsidR="00D33E9B" w:rsidRPr="00661CFB">
        <w:rPr>
          <w:rFonts w:ascii="ITC Avant Garde" w:eastAsia="Times New Roman" w:hAnsi="ITC Avant Garde" w:cs="Arial"/>
        </w:rPr>
        <w:t xml:space="preserve"> </w:t>
      </w:r>
      <w:r w:rsidR="00AD5E0A" w:rsidRPr="00661CFB">
        <w:rPr>
          <w:rFonts w:ascii="ITC Avant Garde" w:eastAsia="Times New Roman" w:hAnsi="ITC Avant Garde" w:cs="Arial"/>
        </w:rPr>
        <w:t>e</w:t>
      </w:r>
      <w:r w:rsidR="004D4F41" w:rsidRPr="00661CFB">
        <w:rPr>
          <w:rFonts w:ascii="ITC Avant Garde" w:eastAsia="Times New Roman" w:hAnsi="ITC Avant Garde" w:cs="Arial"/>
        </w:rPr>
        <w:t>l artículo 137 de la LFTR</w:t>
      </w:r>
      <w:r w:rsidR="00106FE3" w:rsidRPr="00661CFB">
        <w:rPr>
          <w:rFonts w:ascii="ITC Avant Garde" w:eastAsia="Times New Roman" w:hAnsi="ITC Avant Garde" w:cs="Arial"/>
        </w:rPr>
        <w:t>,</w:t>
      </w:r>
      <w:r w:rsidRPr="00661CFB">
        <w:rPr>
          <w:rFonts w:ascii="ITC Avant Garde" w:eastAsia="Times New Roman" w:hAnsi="ITC Avant Garde" w:cs="Arial"/>
        </w:rPr>
        <w:t xml:space="preserve"> el Instituto publicó en el DOF el </w:t>
      </w:r>
      <w:r w:rsidR="003A485C" w:rsidRPr="00661CFB">
        <w:rPr>
          <w:rFonts w:ascii="ITC Avant Garde" w:eastAsia="Times New Roman" w:hAnsi="ITC Avant Garde" w:cs="Arial"/>
        </w:rPr>
        <w:t>9 de noviembre de 2017,</w:t>
      </w:r>
      <w:r w:rsidRPr="00661CFB">
        <w:rPr>
          <w:rFonts w:ascii="ITC Avant Garde" w:eastAsia="Times New Roman" w:hAnsi="ITC Avant Garde" w:cs="Arial"/>
        </w:rPr>
        <w:t xml:space="preserve">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76A5E956" w14:textId="77777777" w:rsidR="00661CFB" w:rsidRPr="00661CFB" w:rsidRDefault="00A27B97" w:rsidP="00661CFB">
      <w:pPr>
        <w:spacing w:before="240"/>
        <w:ind w:right="20"/>
        <w:jc w:val="both"/>
        <w:rPr>
          <w:rFonts w:ascii="ITC Avant Garde" w:eastAsia="Times New Roman" w:hAnsi="ITC Avant Garde" w:cs="Arial"/>
        </w:rPr>
      </w:pPr>
      <w:r w:rsidRPr="00661CFB">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486644D1" w14:textId="77777777" w:rsidR="00661CFB" w:rsidRPr="00661CFB" w:rsidRDefault="00A27B97" w:rsidP="00661CFB">
      <w:pPr>
        <w:spacing w:before="240"/>
        <w:ind w:right="20"/>
        <w:jc w:val="both"/>
        <w:rPr>
          <w:rFonts w:ascii="ITC Avant Garde" w:hAnsi="ITC Avant Garde" w:cs="Arial"/>
        </w:rPr>
      </w:pPr>
      <w:r w:rsidRPr="00661CFB">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1AA76FF1" w14:textId="77777777" w:rsidR="00661CFB" w:rsidRPr="00661CFB" w:rsidRDefault="00A27B97" w:rsidP="00661CFB">
      <w:pPr>
        <w:spacing w:before="240"/>
        <w:ind w:right="20"/>
        <w:jc w:val="both"/>
        <w:rPr>
          <w:rFonts w:ascii="ITC Avant Garde" w:hAnsi="ITC Avant Garde" w:cs="Arial"/>
        </w:rPr>
      </w:pPr>
      <w:r w:rsidRPr="00661CFB">
        <w:rPr>
          <w:rFonts w:ascii="ITC Avant Garde" w:hAnsi="ITC Avant Garde" w:cs="Arial"/>
        </w:rPr>
        <w:t xml:space="preserve">En tal virtud, la tarifa que </w:t>
      </w:r>
      <w:r w:rsidRPr="00661CFB">
        <w:rPr>
          <w:rFonts w:ascii="ITC Avant Garde" w:hAnsi="ITC Avant Garde" w:cs="Arial"/>
          <w:spacing w:val="-2"/>
        </w:rPr>
        <w:t>Telcel</w:t>
      </w:r>
      <w:r w:rsidRPr="00661CFB">
        <w:rPr>
          <w:rFonts w:ascii="ITC Avant Garde" w:hAnsi="ITC Avant Garde"/>
          <w:spacing w:val="-4"/>
          <w:lang w:val="es-ES"/>
        </w:rPr>
        <w:t xml:space="preserve"> deberá pagar a </w:t>
      </w:r>
      <w:r w:rsidR="00831586" w:rsidRPr="00661CFB">
        <w:rPr>
          <w:rFonts w:ascii="ITC Avant Garde" w:hAnsi="ITC Avant Garde"/>
          <w:spacing w:val="-4"/>
          <w:lang w:val="es-ES"/>
        </w:rPr>
        <w:t>TV Rey</w:t>
      </w:r>
      <w:r w:rsidRPr="00661CFB">
        <w:rPr>
          <w:rFonts w:ascii="ITC Avant Garde" w:hAnsi="ITC Avant Garde"/>
          <w:spacing w:val="-4"/>
          <w:lang w:val="es-ES"/>
        </w:rPr>
        <w:t xml:space="preserve"> </w:t>
      </w:r>
      <w:r w:rsidRPr="00661CFB">
        <w:rPr>
          <w:rFonts w:ascii="ITC Avant Garde" w:hAnsi="ITC Avant Garde" w:cs="Arial"/>
        </w:rPr>
        <w:t>por los servicios de terminación del Servicio Local en usuarios fijos, será la siguiente:</w:t>
      </w:r>
    </w:p>
    <w:p w14:paraId="17F0BE6E" w14:textId="77777777" w:rsidR="00661CFB" w:rsidRPr="00661CFB" w:rsidRDefault="00A27B97" w:rsidP="00661CFB">
      <w:pPr>
        <w:pStyle w:val="Prrafodelista"/>
        <w:numPr>
          <w:ilvl w:val="0"/>
          <w:numId w:val="14"/>
        </w:numPr>
        <w:spacing w:before="240" w:after="200" w:line="276" w:lineRule="auto"/>
        <w:rPr>
          <w:rFonts w:ascii="ITC Avant Garde" w:hAnsi="ITC Avant Garde"/>
          <w:b/>
          <w:spacing w:val="-4"/>
          <w:lang w:val="es-ES_tradnl"/>
        </w:rPr>
      </w:pPr>
      <w:r w:rsidRPr="00661CFB">
        <w:rPr>
          <w:rFonts w:ascii="ITC Avant Garde" w:hAnsi="ITC Avant Garde"/>
          <w:b/>
          <w:spacing w:val="-4"/>
          <w:lang w:val="es-ES_tradnl"/>
        </w:rPr>
        <w:t>Del 1 de enero al 31 de diciembre de 201</w:t>
      </w:r>
      <w:r w:rsidR="00004E45" w:rsidRPr="00661CFB">
        <w:rPr>
          <w:rFonts w:ascii="ITC Avant Garde" w:hAnsi="ITC Avant Garde"/>
          <w:b/>
          <w:spacing w:val="-4"/>
          <w:lang w:val="es-ES_tradnl"/>
        </w:rPr>
        <w:t>8</w:t>
      </w:r>
      <w:r w:rsidRPr="00661CFB">
        <w:rPr>
          <w:rFonts w:ascii="ITC Avant Garde" w:hAnsi="ITC Avant Garde"/>
          <w:b/>
          <w:spacing w:val="-4"/>
          <w:lang w:val="es-ES_tradnl"/>
        </w:rPr>
        <w:t xml:space="preserve">, </w:t>
      </w:r>
      <w:r w:rsidR="003A485C" w:rsidRPr="00661CFB">
        <w:rPr>
          <w:rFonts w:ascii="ITC Avant Garde" w:hAnsi="ITC Avant Garde"/>
          <w:b/>
          <w:szCs w:val="22"/>
        </w:rPr>
        <w:t xml:space="preserve">$0.002836 </w:t>
      </w:r>
      <w:r w:rsidRPr="00661CFB">
        <w:rPr>
          <w:rFonts w:ascii="ITC Avant Garde" w:hAnsi="ITC Avant Garde"/>
          <w:b/>
          <w:spacing w:val="-4"/>
          <w:lang w:val="es-ES_tradnl"/>
        </w:rPr>
        <w:t>pesos M.N. por minuto de interconexión.</w:t>
      </w:r>
    </w:p>
    <w:p w14:paraId="172A56C3" w14:textId="77777777" w:rsidR="00661CFB" w:rsidRPr="00661CFB" w:rsidRDefault="003A485C" w:rsidP="00661CFB">
      <w:pPr>
        <w:spacing w:before="240"/>
        <w:jc w:val="both"/>
        <w:rPr>
          <w:rFonts w:ascii="ITC Avant Garde" w:hAnsi="ITC Avant Garde" w:cs="Arial"/>
        </w:rPr>
      </w:pPr>
      <w:r w:rsidRPr="00661CFB">
        <w:rPr>
          <w:rFonts w:ascii="ITC Avant Garde" w:hAnsi="ITC Avant Garde" w:cs="Arial"/>
        </w:rPr>
        <w:t>Las tarifas anteriores ya incluyen el costo correspondiente a los puertos necesarios para la interconexión.</w:t>
      </w:r>
    </w:p>
    <w:p w14:paraId="5178702B" w14:textId="77777777" w:rsidR="00661CFB" w:rsidRPr="00661CFB" w:rsidRDefault="003A485C" w:rsidP="00661CFB">
      <w:pPr>
        <w:spacing w:before="240"/>
        <w:jc w:val="both"/>
        <w:rPr>
          <w:rFonts w:ascii="ITC Avant Garde" w:hAnsi="ITC Avant Garde" w:cs="Arial"/>
        </w:rPr>
      </w:pPr>
      <w:r w:rsidRPr="00661CFB">
        <w:rPr>
          <w:rFonts w:ascii="ITC Avant Garde" w:hAnsi="ITC Avant Garde" w:cs="Arial"/>
        </w:rPr>
        <w:t>Asimismo, e</w:t>
      </w:r>
      <w:r w:rsidR="00A27B97" w:rsidRPr="00661CFB">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AAD204A" w14:textId="77777777" w:rsidR="00661CFB" w:rsidRPr="00661CFB" w:rsidRDefault="00741B1B" w:rsidP="00661CFB">
      <w:pPr>
        <w:spacing w:before="240"/>
        <w:jc w:val="both"/>
        <w:rPr>
          <w:rFonts w:ascii="ITC Avant Garde" w:hAnsi="ITC Avant Garde" w:cs="Arial"/>
        </w:rPr>
      </w:pPr>
      <w:r w:rsidRPr="00661CFB">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w:t>
      </w:r>
      <w:r w:rsidRPr="00661CFB">
        <w:rPr>
          <w:rFonts w:ascii="ITC Avant Garde" w:hAnsi="ITC Avant Garde" w:cs="Arial"/>
        </w:rPr>
        <w:lastRenderedPageBreak/>
        <w:t xml:space="preserve">concesionarios. Para efectos de lo anterior y en términos de lo dispuesto por los artículos 129 fracción IX, 176, 177, fracción XV y 178 de la </w:t>
      </w:r>
      <w:r w:rsidR="00D70C98" w:rsidRPr="00661CFB">
        <w:rPr>
          <w:rFonts w:ascii="ITC Avant Garde" w:hAnsi="ITC Avant Garde" w:cs="Arial"/>
        </w:rPr>
        <w:t>LFTR</w:t>
      </w:r>
      <w:r w:rsidRPr="00661CFB">
        <w:rPr>
          <w:rFonts w:ascii="ITC Avant Garde" w:hAnsi="ITC Avant Garde" w:cs="Arial"/>
        </w:rPr>
        <w:t>, la presente Resolución será inscrita en el Registro Público de Telecomunicaciones a cargo del propio Instituto.</w:t>
      </w:r>
    </w:p>
    <w:p w14:paraId="740448D4" w14:textId="65D3D55C" w:rsidR="00661CFB" w:rsidRPr="00661CFB" w:rsidRDefault="00A70124" w:rsidP="00661CFB">
      <w:pPr>
        <w:pStyle w:val="Textoindependiente"/>
        <w:spacing w:before="240" w:after="200" w:line="276" w:lineRule="auto"/>
        <w:rPr>
          <w:rFonts w:ascii="ITC Avant Garde" w:eastAsia="Calibri" w:hAnsi="ITC Avant Garde" w:cs="Arial"/>
          <w:szCs w:val="22"/>
        </w:rPr>
      </w:pPr>
      <w:r w:rsidRPr="00661CFB">
        <w:rPr>
          <w:rFonts w:ascii="ITC Avant Garde" w:eastAsia="Calibri" w:hAnsi="ITC Avant Garde" w:cs="Arial"/>
          <w:szCs w:val="22"/>
        </w:rPr>
        <w:t xml:space="preserve">Lo anterior, </w:t>
      </w:r>
      <w:r w:rsidR="007C5F0F" w:rsidRPr="00661CFB">
        <w:rPr>
          <w:rFonts w:ascii="ITC Avant Garde" w:eastAsia="Calibri" w:hAnsi="ITC Avant Garde" w:cs="Arial"/>
          <w:szCs w:val="22"/>
        </w:rPr>
        <w:t xml:space="preserve">sin perjuicio de que </w:t>
      </w:r>
      <w:r w:rsidR="00004E45" w:rsidRPr="00661CFB">
        <w:rPr>
          <w:rFonts w:ascii="ITC Avant Garde" w:eastAsia="Calibri" w:hAnsi="ITC Avant Garde" w:cs="Arial"/>
          <w:szCs w:val="22"/>
        </w:rPr>
        <w:t xml:space="preserve">Telcel y </w:t>
      </w:r>
      <w:r w:rsidR="00831586" w:rsidRPr="00661CFB">
        <w:rPr>
          <w:rFonts w:ascii="ITC Avant Garde" w:eastAsia="Calibri" w:hAnsi="ITC Avant Garde" w:cs="Arial"/>
          <w:szCs w:val="22"/>
        </w:rPr>
        <w:t>TV Rey</w:t>
      </w:r>
      <w:r w:rsidRPr="00661CFB">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661CFB">
        <w:rPr>
          <w:rFonts w:ascii="ITC Avant Garde" w:eastAsia="Calibri" w:hAnsi="ITC Avant Garde" w:cs="Arial"/>
          <w:szCs w:val="22"/>
        </w:rPr>
        <w:t>,</w:t>
      </w:r>
      <w:r w:rsidRPr="00661CFB">
        <w:rPr>
          <w:rFonts w:ascii="ITC Avant Garde" w:eastAsia="Calibri" w:hAnsi="ITC Avant Garde" w:cs="Arial"/>
          <w:szCs w:val="22"/>
        </w:rPr>
        <w:t xml:space="preserve"> fracción VII de la </w:t>
      </w:r>
      <w:r w:rsidR="00D70C98" w:rsidRPr="00661CFB">
        <w:rPr>
          <w:rFonts w:ascii="ITC Avant Garde" w:eastAsia="Calibri" w:hAnsi="ITC Avant Garde" w:cs="Arial"/>
          <w:szCs w:val="22"/>
        </w:rPr>
        <w:t>LFTR</w:t>
      </w:r>
      <w:r w:rsidRPr="00661CFB">
        <w:rPr>
          <w:rFonts w:ascii="ITC Avant Garde" w:eastAsia="Calibri" w:hAnsi="ITC Avant Garde" w:cs="Arial"/>
          <w:szCs w:val="22"/>
        </w:rPr>
        <w:t>.</w:t>
      </w:r>
    </w:p>
    <w:p w14:paraId="0BAE0F97" w14:textId="77777777" w:rsidR="00661CFB" w:rsidRPr="00661CFB" w:rsidRDefault="009752AE" w:rsidP="00661CFB">
      <w:pPr>
        <w:spacing w:before="240"/>
        <w:jc w:val="both"/>
        <w:rPr>
          <w:rFonts w:ascii="ITC Avant Garde" w:hAnsi="ITC Avant Garde" w:cs="Arial"/>
        </w:rPr>
      </w:pPr>
      <w:r w:rsidRPr="00661CFB">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661CFB">
        <w:rPr>
          <w:rFonts w:ascii="ITC Avant Garde" w:hAnsi="ITC Avant Garde" w:cs="Arial"/>
        </w:rPr>
        <w:t>ión X, 17 fracción I, 125, 128,</w:t>
      </w:r>
      <w:r w:rsidRPr="00661CFB">
        <w:rPr>
          <w:rFonts w:ascii="ITC Avant Garde" w:hAnsi="ITC Avant Garde" w:cs="Arial"/>
        </w:rPr>
        <w:t xml:space="preserve"> 129</w:t>
      </w:r>
      <w:r w:rsidR="00DB1608" w:rsidRPr="00661CFB">
        <w:rPr>
          <w:rFonts w:ascii="ITC Avant Garde" w:hAnsi="ITC Avant Garde" w:cs="Arial"/>
        </w:rPr>
        <w:t xml:space="preserve">, 176, 177, </w:t>
      </w:r>
      <w:r w:rsidRPr="00661CFB">
        <w:rPr>
          <w:rFonts w:ascii="ITC Avant Garde" w:hAnsi="ITC Avant Garde" w:cs="Arial"/>
        </w:rPr>
        <w:t>fracción VII, 312 y 313 de la Ley Federal de Telecomunicaciones y Radiodifusión</w:t>
      </w:r>
      <w:r w:rsidR="00D745ED" w:rsidRPr="00661CFB">
        <w:rPr>
          <w:rFonts w:ascii="ITC Avant Garde" w:hAnsi="ITC Avant Garde" w:cs="Arial"/>
        </w:rPr>
        <w:t>; 32, 35 fracción I, 36, 38, 39</w:t>
      </w:r>
      <w:r w:rsidRPr="00661CFB">
        <w:rPr>
          <w:rFonts w:ascii="ITC Avant Garde" w:hAnsi="ITC Avant Garde" w:cs="Arial"/>
        </w:rPr>
        <w:t xml:space="preserve"> y 57 de la Ley Federal de Procedimiento Administrativo; y 4 fracción I y 6 fracción XXXVI</w:t>
      </w:r>
      <w:r w:rsidR="003A485C" w:rsidRPr="00661CFB">
        <w:rPr>
          <w:rFonts w:ascii="ITC Avant Garde" w:hAnsi="ITC Avant Garde" w:cs="Arial"/>
        </w:rPr>
        <w:t>I</w:t>
      </w:r>
      <w:r w:rsidRPr="00661CFB">
        <w:rPr>
          <w:rFonts w:ascii="ITC Avant Garde" w:hAnsi="ITC Avant Garde" w:cs="Arial"/>
        </w:rPr>
        <w:t>I del Estatuto Orgánico del Instituto Federal de Telecomunicaciones, el Pleno del Instituto Federal de Telecomunicaciones emite los siguientes:</w:t>
      </w:r>
    </w:p>
    <w:p w14:paraId="091D551C" w14:textId="2EBC5FA5" w:rsidR="00661CFB" w:rsidRPr="00661CFB" w:rsidRDefault="00AC04A2" w:rsidP="00661CFB">
      <w:pPr>
        <w:pStyle w:val="Ttulo2"/>
        <w:keepLines/>
        <w:spacing w:before="40" w:after="240" w:line="276" w:lineRule="auto"/>
        <w:jc w:val="center"/>
        <w:rPr>
          <w:rFonts w:ascii="ITC Avant Garde" w:eastAsiaTheme="majorEastAsia" w:hAnsi="ITC Avant Garde" w:cstheme="majorBidi"/>
          <w:color w:val="000000" w:themeColor="text1"/>
          <w:szCs w:val="22"/>
        </w:rPr>
      </w:pPr>
      <w:r w:rsidRPr="00661CFB">
        <w:rPr>
          <w:rFonts w:ascii="ITC Avant Garde" w:eastAsiaTheme="majorEastAsia" w:hAnsi="ITC Avant Garde" w:cstheme="majorBidi"/>
          <w:color w:val="000000" w:themeColor="text1"/>
          <w:szCs w:val="22"/>
        </w:rPr>
        <w:t>RESOLUTIVOS</w:t>
      </w:r>
    </w:p>
    <w:p w14:paraId="2E826F4B" w14:textId="77777777" w:rsidR="00661CFB" w:rsidRPr="00661CFB" w:rsidRDefault="00946933" w:rsidP="00661CFB">
      <w:pPr>
        <w:spacing w:before="240"/>
        <w:jc w:val="both"/>
        <w:rPr>
          <w:rFonts w:ascii="ITC Avant Garde" w:hAnsi="ITC Avant Garde"/>
          <w:spacing w:val="-4"/>
          <w:lang w:val="es-ES_tradnl"/>
        </w:rPr>
      </w:pPr>
      <w:proofErr w:type="gramStart"/>
      <w:r w:rsidRPr="00661CFB">
        <w:rPr>
          <w:rFonts w:ascii="ITC Avant Garde" w:hAnsi="ITC Avant Garde" w:cs="Arial"/>
          <w:b/>
        </w:rPr>
        <w:t>PRIMERO</w:t>
      </w:r>
      <w:r w:rsidRPr="00661CFB">
        <w:rPr>
          <w:rFonts w:ascii="ITC Avant Garde" w:hAnsi="ITC Avant Garde" w:cs="Arial"/>
        </w:rPr>
        <w:t>.-</w:t>
      </w:r>
      <w:proofErr w:type="gramEnd"/>
      <w:r w:rsidRPr="00661CFB">
        <w:rPr>
          <w:rFonts w:ascii="ITC Avant Garde" w:hAnsi="ITC Avant Garde" w:cs="Arial"/>
        </w:rPr>
        <w:t xml:space="preserve"> </w:t>
      </w:r>
      <w:r w:rsidR="00B163FF" w:rsidRPr="00661CFB">
        <w:rPr>
          <w:rFonts w:ascii="ITC Avant Garde" w:hAnsi="ITC Avant Garde" w:cs="Arial"/>
        </w:rPr>
        <w:t>La</w:t>
      </w:r>
      <w:r w:rsidR="002B3108" w:rsidRPr="00661CFB">
        <w:rPr>
          <w:rFonts w:ascii="ITC Avant Garde" w:hAnsi="ITC Avant Garde"/>
          <w:spacing w:val="-4"/>
          <w:lang w:val="es-ES"/>
        </w:rPr>
        <w:t xml:space="preserve"> tarifa </w:t>
      </w:r>
      <w:r w:rsidR="00EC7CD8" w:rsidRPr="00661CFB">
        <w:rPr>
          <w:rFonts w:ascii="ITC Avant Garde" w:hAnsi="ITC Avant Garde"/>
          <w:spacing w:val="-4"/>
          <w:lang w:val="es-ES"/>
        </w:rPr>
        <w:t xml:space="preserve">de interconexión </w:t>
      </w:r>
      <w:r w:rsidR="002B3108" w:rsidRPr="00661CFB">
        <w:rPr>
          <w:rFonts w:ascii="ITC Avant Garde" w:hAnsi="ITC Avant Garde"/>
          <w:spacing w:val="-4"/>
          <w:lang w:val="es-ES"/>
        </w:rPr>
        <w:t xml:space="preserve">que </w:t>
      </w:r>
      <w:r w:rsidR="00004E45" w:rsidRPr="00661CFB">
        <w:rPr>
          <w:rFonts w:ascii="ITC Avant Garde" w:hAnsi="ITC Avant Garde"/>
          <w:lang w:val="es-ES" w:eastAsia="es-ES"/>
        </w:rPr>
        <w:t>Radiomóvil Dipsa, S.A. de C.V.</w:t>
      </w:r>
      <w:r w:rsidR="00274849" w:rsidRPr="00661CFB">
        <w:rPr>
          <w:rFonts w:ascii="ITC Avant Garde" w:hAnsi="ITC Avant Garde" w:cs="Arial"/>
        </w:rPr>
        <w:t>, deberá pagar</w:t>
      </w:r>
      <w:r w:rsidR="002B3108" w:rsidRPr="00661CFB">
        <w:rPr>
          <w:rFonts w:ascii="ITC Avant Garde" w:hAnsi="ITC Avant Garde" w:cs="Arial"/>
        </w:rPr>
        <w:t xml:space="preserve"> a </w:t>
      </w:r>
      <w:r w:rsidR="00C602B5" w:rsidRPr="00661CFB">
        <w:rPr>
          <w:rFonts w:ascii="ITC Avant Garde" w:hAnsi="ITC Avant Garde" w:cs="Arial"/>
        </w:rPr>
        <w:t>TV Rey de Occidente,</w:t>
      </w:r>
      <w:r w:rsidR="00004E45" w:rsidRPr="00661CFB">
        <w:rPr>
          <w:rFonts w:ascii="ITC Avant Garde" w:hAnsi="ITC Avant Garde" w:cs="Arial"/>
        </w:rPr>
        <w:t xml:space="preserve"> S.A. de C.V., </w:t>
      </w:r>
      <w:r w:rsidR="002B3108" w:rsidRPr="00661CFB">
        <w:rPr>
          <w:rFonts w:ascii="ITC Avant Garde" w:hAnsi="ITC Avant Garde" w:cs="Arial"/>
        </w:rPr>
        <w:t xml:space="preserve">por servicios </w:t>
      </w:r>
      <w:r w:rsidR="00004E45" w:rsidRPr="00661CFB">
        <w:rPr>
          <w:rFonts w:ascii="ITC Avant Garde" w:hAnsi="ITC Avant Garde" w:cs="Arial"/>
        </w:rPr>
        <w:t xml:space="preserve">de terminación </w:t>
      </w:r>
      <w:r w:rsidR="00D745ED" w:rsidRPr="00661CFB">
        <w:rPr>
          <w:rFonts w:ascii="ITC Avant Garde" w:hAnsi="ITC Avant Garde" w:cs="Arial"/>
        </w:rPr>
        <w:t>del Servicio Local en usuarios fijos</w:t>
      </w:r>
      <w:r w:rsidR="002B3108" w:rsidRPr="00661CFB">
        <w:rPr>
          <w:rFonts w:ascii="ITC Avant Garde" w:hAnsi="ITC Avant Garde" w:cs="Arial"/>
        </w:rPr>
        <w:t>, será la siguiente:</w:t>
      </w:r>
    </w:p>
    <w:p w14:paraId="28573700" w14:textId="77777777" w:rsidR="00661CFB" w:rsidRPr="00661CFB" w:rsidRDefault="002B3108" w:rsidP="00661CFB">
      <w:pPr>
        <w:pStyle w:val="Prrafodelista"/>
        <w:numPr>
          <w:ilvl w:val="0"/>
          <w:numId w:val="16"/>
        </w:numPr>
        <w:spacing w:before="240" w:after="200" w:line="276" w:lineRule="auto"/>
        <w:rPr>
          <w:rFonts w:ascii="ITC Avant Garde" w:hAnsi="ITC Avant Garde"/>
          <w:b/>
          <w:spacing w:val="-4"/>
          <w:lang w:val="es-ES_tradnl"/>
        </w:rPr>
      </w:pPr>
      <w:r w:rsidRPr="00661CFB">
        <w:rPr>
          <w:rFonts w:ascii="ITC Avant Garde" w:hAnsi="ITC Avant Garde"/>
          <w:b/>
          <w:spacing w:val="-4"/>
          <w:lang w:val="es-ES_tradnl"/>
        </w:rPr>
        <w:t xml:space="preserve">Del </w:t>
      </w:r>
      <w:r w:rsidR="00004E45" w:rsidRPr="00661CFB">
        <w:rPr>
          <w:rFonts w:ascii="ITC Avant Garde" w:hAnsi="ITC Avant Garde"/>
          <w:b/>
          <w:spacing w:val="-4"/>
          <w:lang w:val="es-ES_tradnl"/>
        </w:rPr>
        <w:t>1</w:t>
      </w:r>
      <w:r w:rsidR="00EB0FB5" w:rsidRPr="00661CFB">
        <w:rPr>
          <w:rFonts w:ascii="ITC Avant Garde" w:hAnsi="ITC Avant Garde" w:cs="Arial"/>
          <w:b/>
        </w:rPr>
        <w:t xml:space="preserve"> </w:t>
      </w:r>
      <w:r w:rsidR="00F13F69" w:rsidRPr="00661CFB">
        <w:rPr>
          <w:rFonts w:ascii="ITC Avant Garde" w:hAnsi="ITC Avant Garde" w:cs="Arial"/>
          <w:b/>
        </w:rPr>
        <w:t xml:space="preserve">de </w:t>
      </w:r>
      <w:r w:rsidR="00004E45" w:rsidRPr="00661CFB">
        <w:rPr>
          <w:rFonts w:ascii="ITC Avant Garde" w:hAnsi="ITC Avant Garde" w:cs="Arial"/>
          <w:b/>
        </w:rPr>
        <w:t>enero al 31 de diciembre de 2018</w:t>
      </w:r>
      <w:r w:rsidRPr="00661CFB">
        <w:rPr>
          <w:rFonts w:ascii="ITC Avant Garde" w:hAnsi="ITC Avant Garde"/>
          <w:b/>
          <w:spacing w:val="-4"/>
          <w:lang w:val="es-ES_tradnl"/>
        </w:rPr>
        <w:t xml:space="preserve">, </w:t>
      </w:r>
      <w:r w:rsidR="003A485C" w:rsidRPr="00661CFB">
        <w:rPr>
          <w:rFonts w:ascii="ITC Avant Garde" w:hAnsi="ITC Avant Garde"/>
          <w:b/>
          <w:szCs w:val="22"/>
        </w:rPr>
        <w:t xml:space="preserve">$0.002836 </w:t>
      </w:r>
      <w:r w:rsidRPr="00661CFB">
        <w:rPr>
          <w:rFonts w:ascii="ITC Avant Garde" w:hAnsi="ITC Avant Garde"/>
          <w:b/>
          <w:spacing w:val="-4"/>
          <w:lang w:val="es-ES_tradnl"/>
        </w:rPr>
        <w:t xml:space="preserve">pesos M.N. por </w:t>
      </w:r>
      <w:r w:rsidR="00A7754D" w:rsidRPr="00661CFB">
        <w:rPr>
          <w:rFonts w:ascii="ITC Avant Garde" w:hAnsi="ITC Avant Garde"/>
          <w:b/>
          <w:spacing w:val="-4"/>
          <w:lang w:val="es-ES_tradnl"/>
        </w:rPr>
        <w:t>minuto de interconexión</w:t>
      </w:r>
      <w:r w:rsidRPr="00661CFB">
        <w:rPr>
          <w:rFonts w:ascii="ITC Avant Garde" w:hAnsi="ITC Avant Garde"/>
          <w:b/>
          <w:spacing w:val="-4"/>
          <w:lang w:val="es-ES_tradnl"/>
        </w:rPr>
        <w:t>.</w:t>
      </w:r>
    </w:p>
    <w:p w14:paraId="6EEF7B9D" w14:textId="77777777" w:rsidR="00661CFB" w:rsidRPr="00661CFB" w:rsidRDefault="00A7754D" w:rsidP="00661CFB">
      <w:pPr>
        <w:pStyle w:val="Prrafodelista"/>
        <w:spacing w:before="240" w:after="200" w:line="276" w:lineRule="auto"/>
        <w:ind w:left="0"/>
        <w:rPr>
          <w:rFonts w:ascii="ITC Avant Garde" w:hAnsi="ITC Avant Garde" w:cs="Arial"/>
        </w:rPr>
      </w:pPr>
      <w:r w:rsidRPr="00661CFB">
        <w:rPr>
          <w:rFonts w:ascii="ITC Avant Garde" w:hAnsi="ITC Avant Garde" w:cs="Arial"/>
        </w:rPr>
        <w:t>La tarifa anterior ya incluye el costo correspondiente a los puertos necesarios para la interconexión.</w:t>
      </w:r>
    </w:p>
    <w:p w14:paraId="15266268" w14:textId="77777777" w:rsidR="00661CFB" w:rsidRPr="00661CFB" w:rsidRDefault="00A7754D" w:rsidP="00661CFB">
      <w:pPr>
        <w:spacing w:before="240"/>
        <w:jc w:val="both"/>
        <w:rPr>
          <w:rFonts w:ascii="ITC Avant Garde" w:hAnsi="ITC Avant Garde" w:cs="Arial"/>
        </w:rPr>
      </w:pPr>
      <w:r w:rsidRPr="00661CF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963A0B5" w14:textId="2F98D4BF" w:rsidR="00661CFB" w:rsidRPr="00661CFB" w:rsidRDefault="00106FE3" w:rsidP="00661CFB">
      <w:pPr>
        <w:spacing w:before="240"/>
        <w:jc w:val="both"/>
        <w:rPr>
          <w:rFonts w:ascii="ITC Avant Garde" w:hAnsi="ITC Avant Garde" w:cs="Arial"/>
        </w:rPr>
      </w:pPr>
      <w:proofErr w:type="gramStart"/>
      <w:r w:rsidRPr="00661CFB">
        <w:rPr>
          <w:rFonts w:ascii="ITC Avant Garde" w:hAnsi="ITC Avant Garde" w:cs="Arial"/>
          <w:b/>
        </w:rPr>
        <w:t>SEGUNDO</w:t>
      </w:r>
      <w:r w:rsidRPr="00661CFB">
        <w:rPr>
          <w:rFonts w:ascii="ITC Avant Garde" w:eastAsia="Times New Roman" w:hAnsi="ITC Avant Garde" w:cs="Arial"/>
          <w:b/>
          <w:bCs/>
        </w:rPr>
        <w:t>.-</w:t>
      </w:r>
      <w:proofErr w:type="gramEnd"/>
      <w:r w:rsidRPr="00661CFB">
        <w:rPr>
          <w:rFonts w:ascii="ITC Avant Garde" w:eastAsia="Times New Roman" w:hAnsi="ITC Avant Garde" w:cs="Arial"/>
          <w:b/>
          <w:bCs/>
        </w:rPr>
        <w:t xml:space="preserve"> </w:t>
      </w:r>
      <w:r w:rsidRPr="00661CFB">
        <w:rPr>
          <w:rFonts w:ascii="ITC Avant Garde" w:hAnsi="ITC Avant Garde" w:cs="Arial"/>
        </w:rPr>
        <w:t xml:space="preserve">La tarifa de interconexión que </w:t>
      </w:r>
      <w:r w:rsidR="00C602B5" w:rsidRPr="00661CFB">
        <w:rPr>
          <w:rFonts w:ascii="ITC Avant Garde" w:hAnsi="ITC Avant Garde" w:cs="Arial"/>
        </w:rPr>
        <w:t>TV Rey de Occidente</w:t>
      </w:r>
      <w:r w:rsidRPr="00661CFB">
        <w:rPr>
          <w:rFonts w:ascii="ITC Avant Garde" w:hAnsi="ITC Avant Garde" w:cs="Arial"/>
        </w:rPr>
        <w:t>, S.A. de C.V. deberá pagar a Radiomóvil Dipsa, S.A. de C.V. por servicios de terminación del Servicio Local en usuarios móviles bajo la modalidad “El que llama paga”, será la siguiente:</w:t>
      </w:r>
    </w:p>
    <w:p w14:paraId="1ED8E859" w14:textId="31C54E8F" w:rsidR="00106FE3" w:rsidRPr="00661CFB" w:rsidRDefault="00106FE3" w:rsidP="00661CFB">
      <w:pPr>
        <w:pStyle w:val="Prrafodelista"/>
        <w:numPr>
          <w:ilvl w:val="0"/>
          <w:numId w:val="16"/>
        </w:numPr>
        <w:spacing w:before="240" w:after="200" w:line="276" w:lineRule="auto"/>
        <w:rPr>
          <w:rFonts w:ascii="ITC Avant Garde" w:hAnsi="ITC Avant Garde"/>
          <w:b/>
          <w:spacing w:val="-4"/>
          <w:lang w:val="es-ES_tradnl"/>
        </w:rPr>
      </w:pPr>
      <w:r w:rsidRPr="00661CFB">
        <w:rPr>
          <w:rFonts w:ascii="ITC Avant Garde" w:hAnsi="ITC Avant Garde"/>
          <w:b/>
          <w:spacing w:val="-4"/>
          <w:lang w:val="es-ES_tradnl"/>
        </w:rPr>
        <w:t>Del 1 de enero al 31 de diciembre de 201</w:t>
      </w:r>
      <w:r w:rsidR="00DC0D58" w:rsidRPr="00661CFB">
        <w:rPr>
          <w:rFonts w:ascii="ITC Avant Garde" w:hAnsi="ITC Avant Garde"/>
          <w:b/>
          <w:spacing w:val="-4"/>
          <w:lang w:val="es-ES_tradnl"/>
        </w:rPr>
        <w:t>8</w:t>
      </w:r>
      <w:r w:rsidRPr="00661CFB">
        <w:rPr>
          <w:rFonts w:ascii="ITC Avant Garde" w:hAnsi="ITC Avant Garde"/>
          <w:b/>
          <w:spacing w:val="-4"/>
          <w:lang w:val="es-ES_tradnl"/>
        </w:rPr>
        <w:t>, $0.028562 pesos M.N. por minuto de interconexión.</w:t>
      </w:r>
    </w:p>
    <w:p w14:paraId="28F9B44A" w14:textId="77777777" w:rsidR="00661CFB" w:rsidRPr="00661CFB" w:rsidRDefault="00106FE3" w:rsidP="00661CFB">
      <w:pPr>
        <w:pStyle w:val="Prrafodelista"/>
        <w:spacing w:before="240" w:after="200" w:line="276" w:lineRule="auto"/>
        <w:ind w:left="0"/>
        <w:rPr>
          <w:rFonts w:ascii="ITC Avant Garde" w:hAnsi="ITC Avant Garde" w:cs="Arial"/>
        </w:rPr>
      </w:pPr>
      <w:r w:rsidRPr="00661CFB">
        <w:rPr>
          <w:rFonts w:ascii="ITC Avant Garde" w:hAnsi="ITC Avant Garde" w:cs="Arial"/>
        </w:rPr>
        <w:lastRenderedPageBreak/>
        <w:t>La tarifa anterior ya incluye el costo correspondiente a los puertos necesarios para la interconexión.</w:t>
      </w:r>
    </w:p>
    <w:p w14:paraId="354E9C8E" w14:textId="77777777" w:rsidR="00661CFB" w:rsidRPr="00661CFB" w:rsidRDefault="00106FE3" w:rsidP="00661CFB">
      <w:pPr>
        <w:spacing w:before="240"/>
        <w:jc w:val="both"/>
        <w:rPr>
          <w:rFonts w:ascii="ITC Avant Garde" w:hAnsi="ITC Avant Garde" w:cs="Arial"/>
        </w:rPr>
      </w:pPr>
      <w:r w:rsidRPr="00661CFB">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07892D2" w14:textId="77777777" w:rsidR="00661CFB" w:rsidRPr="00661CFB" w:rsidRDefault="00106FE3" w:rsidP="00661CFB">
      <w:pPr>
        <w:spacing w:before="240"/>
        <w:jc w:val="both"/>
        <w:rPr>
          <w:rFonts w:ascii="ITC Avant Garde" w:hAnsi="ITC Avant Garde" w:cs="Arial"/>
        </w:rPr>
      </w:pPr>
      <w:r w:rsidRPr="00661CFB">
        <w:rPr>
          <w:rFonts w:ascii="ITC Avant Garde" w:hAnsi="ITC Avant Garde"/>
          <w:b/>
          <w:lang w:eastAsia="es-ES"/>
        </w:rPr>
        <w:t>TERCERO</w:t>
      </w:r>
      <w:r w:rsidR="005353A3" w:rsidRPr="00661CFB">
        <w:rPr>
          <w:rFonts w:ascii="ITC Avant Garde" w:hAnsi="ITC Avant Garde"/>
          <w:b/>
        </w:rPr>
        <w:t>.</w:t>
      </w:r>
      <w:r w:rsidR="005353A3" w:rsidRPr="00661CFB">
        <w:rPr>
          <w:rFonts w:ascii="ITC Avant Garde" w:hAnsi="ITC Avant Garde"/>
        </w:rPr>
        <w:t xml:space="preserve">- </w:t>
      </w:r>
      <w:r w:rsidR="009E6191" w:rsidRPr="00661CFB">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094727" w:rsidRPr="00661CFB">
        <w:rPr>
          <w:rFonts w:ascii="ITC Avant Garde" w:hAnsi="ITC Avant Garde" w:cs="Arial"/>
        </w:rPr>
        <w:t>Radiomóvil Dipsa, S.A. de C.V.</w:t>
      </w:r>
      <w:r w:rsidR="00A7754D" w:rsidRPr="00661CFB">
        <w:rPr>
          <w:rFonts w:ascii="ITC Avant Garde" w:hAnsi="ITC Avant Garde" w:cs="Arial"/>
        </w:rPr>
        <w:t xml:space="preserve"> y </w:t>
      </w:r>
      <w:r w:rsidR="00C602B5" w:rsidRPr="00661CFB">
        <w:rPr>
          <w:rFonts w:ascii="ITC Avant Garde" w:hAnsi="ITC Avant Garde" w:cs="Arial"/>
        </w:rPr>
        <w:t>TV Rey de Occidente</w:t>
      </w:r>
      <w:r w:rsidR="00A7754D" w:rsidRPr="00661CFB">
        <w:rPr>
          <w:rFonts w:ascii="ITC Avant Garde" w:hAnsi="ITC Avant Garde" w:cs="Arial"/>
        </w:rPr>
        <w:t>, S.A. de C.V.</w:t>
      </w:r>
      <w:r w:rsidR="00EA360B" w:rsidRPr="00661CFB">
        <w:rPr>
          <w:rFonts w:ascii="ITC Avant Garde" w:hAnsi="ITC Avant Garde"/>
          <w:bCs/>
          <w:lang w:val="es-ES" w:eastAsia="es-ES"/>
        </w:rPr>
        <w:t>,</w:t>
      </w:r>
      <w:r w:rsidR="00EA360B" w:rsidRPr="00661CFB">
        <w:rPr>
          <w:rFonts w:ascii="ITC Avant Garde" w:hAnsi="ITC Avant Garde" w:cs="Arial"/>
        </w:rPr>
        <w:t xml:space="preserve"> </w:t>
      </w:r>
      <w:r w:rsidR="009E6191" w:rsidRPr="00661CFB">
        <w:rPr>
          <w:rFonts w:ascii="ITC Avant Garde" w:hAnsi="ITC Avant Garde" w:cs="Arial"/>
        </w:rPr>
        <w:t xml:space="preserve">deberán </w:t>
      </w:r>
      <w:r w:rsidR="009E6191" w:rsidRPr="00661CFB">
        <w:rPr>
          <w:rFonts w:ascii="ITC Avant Garde" w:eastAsia="Times New Roman" w:hAnsi="ITC Avant Garde" w:cs="Arial"/>
        </w:rPr>
        <w:t xml:space="preserve">suscribir </w:t>
      </w:r>
      <w:r w:rsidR="003A485C" w:rsidRPr="00661CFB">
        <w:rPr>
          <w:rFonts w:ascii="ITC Avant Garde" w:hAnsi="ITC Avant Garde" w:cs="Arial"/>
        </w:rPr>
        <w:t>el</w:t>
      </w:r>
      <w:r w:rsidR="009E6191" w:rsidRPr="00661CFB">
        <w:rPr>
          <w:rFonts w:ascii="ITC Avant Garde" w:hAnsi="ITC Avant Garde" w:cs="Arial"/>
        </w:rPr>
        <w:t xml:space="preserve"> convenio de interconexión de sus redes públicas de telecomunicaciones conforme a los términos y condiciones determinados en </w:t>
      </w:r>
      <w:r w:rsidRPr="00661CFB">
        <w:rPr>
          <w:rFonts w:ascii="ITC Avant Garde" w:hAnsi="ITC Avant Garde" w:cs="Arial"/>
        </w:rPr>
        <w:t>los</w:t>
      </w:r>
      <w:r w:rsidR="00A7754D" w:rsidRPr="00661CFB">
        <w:rPr>
          <w:rFonts w:ascii="ITC Avant Garde" w:hAnsi="ITC Avant Garde" w:cs="Arial"/>
        </w:rPr>
        <w:t xml:space="preserve"> </w:t>
      </w:r>
      <w:r w:rsidR="009E6191" w:rsidRPr="00661CFB">
        <w:rPr>
          <w:rFonts w:ascii="ITC Avant Garde" w:hAnsi="ITC Avant Garde" w:cs="Arial"/>
        </w:rPr>
        <w:t>Resolutivo</w:t>
      </w:r>
      <w:r w:rsidRPr="00661CFB">
        <w:rPr>
          <w:rFonts w:ascii="ITC Avant Garde" w:hAnsi="ITC Avant Garde" w:cs="Arial"/>
        </w:rPr>
        <w:t>s</w:t>
      </w:r>
      <w:r w:rsidR="00A7754D" w:rsidRPr="00661CFB">
        <w:rPr>
          <w:rFonts w:ascii="ITC Avant Garde" w:hAnsi="ITC Avant Garde" w:cs="Arial"/>
        </w:rPr>
        <w:t xml:space="preserve"> </w:t>
      </w:r>
      <w:r w:rsidR="009E6191" w:rsidRPr="00661CFB">
        <w:rPr>
          <w:rFonts w:ascii="ITC Avant Garde" w:hAnsi="ITC Avant Garde" w:cs="Arial"/>
        </w:rPr>
        <w:t>PRIMERO</w:t>
      </w:r>
      <w:r w:rsidRPr="00661CFB">
        <w:rPr>
          <w:rFonts w:ascii="ITC Avant Garde" w:hAnsi="ITC Avant Garde" w:cs="Arial"/>
        </w:rPr>
        <w:t xml:space="preserve"> y SEGUNDO</w:t>
      </w:r>
      <w:r w:rsidR="00A7754D" w:rsidRPr="00661CFB">
        <w:rPr>
          <w:rFonts w:ascii="ITC Avant Garde" w:hAnsi="ITC Avant Garde" w:cs="Arial"/>
        </w:rPr>
        <w:t xml:space="preserve"> </w:t>
      </w:r>
      <w:r w:rsidR="009E6191" w:rsidRPr="00661CFB">
        <w:rPr>
          <w:rFonts w:ascii="ITC Avant Garde" w:hAnsi="ITC Avant Garde" w:cs="Arial"/>
        </w:rPr>
        <w:t>de la presente Resolución.</w:t>
      </w:r>
      <w:r w:rsidR="003A485C" w:rsidRPr="00661CFB">
        <w:rPr>
          <w:rFonts w:ascii="ITC Avant Garde" w:hAnsi="ITC Avant Garde" w:cs="Arial"/>
        </w:rPr>
        <w:t xml:space="preserve"> </w:t>
      </w:r>
      <w:r w:rsidR="009E6191" w:rsidRPr="00661CFB">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DE84690" w14:textId="77777777" w:rsidR="00661CFB" w:rsidRPr="00661CFB" w:rsidRDefault="00D413AF" w:rsidP="00661CFB">
      <w:pPr>
        <w:spacing w:before="240"/>
        <w:jc w:val="both"/>
        <w:rPr>
          <w:rFonts w:ascii="ITC Avant Garde" w:hAnsi="ITC Avant Garde"/>
          <w:lang w:eastAsia="es-ES"/>
        </w:rPr>
      </w:pPr>
      <w:r w:rsidRPr="00661CFB">
        <w:rPr>
          <w:rFonts w:ascii="ITC Avant Garde" w:hAnsi="ITC Avant Garde"/>
          <w:b/>
        </w:rPr>
        <w:t>CUART</w:t>
      </w:r>
      <w:r w:rsidR="003A485C" w:rsidRPr="00661CFB">
        <w:rPr>
          <w:rFonts w:ascii="ITC Avant Garde" w:hAnsi="ITC Avant Garde"/>
          <w:b/>
        </w:rPr>
        <w:t>O</w:t>
      </w:r>
      <w:r w:rsidR="000B2707" w:rsidRPr="00661CFB">
        <w:rPr>
          <w:rFonts w:ascii="ITC Avant Garde" w:hAnsi="ITC Avant Garde"/>
          <w:b/>
          <w:lang w:eastAsia="es-ES"/>
        </w:rPr>
        <w:t xml:space="preserve">.- </w:t>
      </w:r>
      <w:r w:rsidR="00F204CE" w:rsidRPr="00661CFB">
        <w:rPr>
          <w:rFonts w:ascii="ITC Avant Garde" w:hAnsi="ITC Avant Garde"/>
          <w:lang w:eastAsia="es-ES"/>
        </w:rPr>
        <w:t xml:space="preserve">En cumplimiento a lo dispuesto en </w:t>
      </w:r>
      <w:r w:rsidR="00DB1608" w:rsidRPr="00661CFB">
        <w:rPr>
          <w:rFonts w:ascii="ITC Avant Garde" w:hAnsi="ITC Avant Garde"/>
          <w:lang w:eastAsia="es-ES"/>
        </w:rPr>
        <w:t xml:space="preserve">el artículo 3, fracción XV de la Ley Federal de Procedimiento Administrativo, en relación con </w:t>
      </w:r>
      <w:r w:rsidR="00F204CE" w:rsidRPr="00661CFB">
        <w:rPr>
          <w:rFonts w:ascii="ITC Avant Garde" w:hAnsi="ITC Avant Garde"/>
          <w:lang w:eastAsia="es-ES"/>
        </w:rPr>
        <w:t>los artículos 312 y 313 de la Ley Federal de Telecomunicaciones y Radiodifusión, se hace del conocimiento de</w:t>
      </w:r>
      <w:r w:rsidR="00807CD8" w:rsidRPr="00661CFB">
        <w:rPr>
          <w:rFonts w:ascii="ITC Avant Garde" w:hAnsi="ITC Avant Garde"/>
          <w:lang w:eastAsia="es-ES"/>
        </w:rPr>
        <w:t xml:space="preserve"> </w:t>
      </w:r>
      <w:r w:rsidR="003A485C" w:rsidRPr="00661CFB">
        <w:rPr>
          <w:rFonts w:ascii="ITC Avant Garde" w:hAnsi="ITC Avant Garde" w:cs="Arial"/>
        </w:rPr>
        <w:t>Radiomóvil Dipsa, S.A. de C.V.</w:t>
      </w:r>
      <w:r w:rsidR="00807CD8" w:rsidRPr="00661CFB">
        <w:rPr>
          <w:rFonts w:ascii="ITC Avant Garde" w:hAnsi="ITC Avant Garde" w:cs="Arial"/>
        </w:rPr>
        <w:t xml:space="preserve"> y</w:t>
      </w:r>
      <w:r w:rsidR="003A485C" w:rsidRPr="00661CFB">
        <w:rPr>
          <w:rFonts w:ascii="ITC Avant Garde" w:hAnsi="ITC Avant Garde" w:cs="Arial"/>
        </w:rPr>
        <w:t xml:space="preserve"> </w:t>
      </w:r>
      <w:r w:rsidR="00C602B5" w:rsidRPr="00661CFB">
        <w:rPr>
          <w:rFonts w:ascii="ITC Avant Garde" w:hAnsi="ITC Avant Garde" w:cs="Arial"/>
        </w:rPr>
        <w:t>TV Rey de Occidente</w:t>
      </w:r>
      <w:r w:rsidR="00807CD8" w:rsidRPr="00661CFB">
        <w:rPr>
          <w:rFonts w:ascii="ITC Avant Garde" w:hAnsi="ITC Avant Garde" w:cs="Arial"/>
        </w:rPr>
        <w:t xml:space="preserve">, S.A. de C.V., </w:t>
      </w:r>
      <w:r w:rsidR="00F204CE" w:rsidRPr="00661CFB">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274849" w:rsidRPr="00661CFB">
        <w:rPr>
          <w:rFonts w:ascii="ITC Avant Garde" w:hAnsi="ITC Avant Garde"/>
          <w:lang w:eastAsia="es-ES"/>
        </w:rPr>
        <w:t>la Ciudad de México</w:t>
      </w:r>
      <w:r w:rsidR="00F204CE" w:rsidRPr="00661CFB">
        <w:rPr>
          <w:rFonts w:ascii="ITC Avant Garde" w:hAnsi="ITC Avant Garde"/>
          <w:lang w:eastAsia="es-ES"/>
        </w:rPr>
        <w:t xml:space="preserve"> y Jurisdicción territorial en toda la República, el juicio de amparo indirecto dentro del plazo de quince</w:t>
      </w:r>
      <w:r w:rsidR="00D244D6" w:rsidRPr="00661CFB">
        <w:rPr>
          <w:rFonts w:ascii="ITC Avant Garde" w:hAnsi="ITC Avant Garde"/>
          <w:lang w:eastAsia="es-ES"/>
        </w:rPr>
        <w:t xml:space="preserve"> (15)</w:t>
      </w:r>
      <w:r w:rsidR="00F204CE" w:rsidRPr="00661CFB">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661CFB">
        <w:rPr>
          <w:rFonts w:ascii="ITC Avant Garde" w:hAnsi="ITC Avant Garde"/>
          <w:lang w:eastAsia="es-ES"/>
        </w:rPr>
        <w:t>e los Estados Unidos Mexicanos.</w:t>
      </w:r>
    </w:p>
    <w:p w14:paraId="7A8F5D2E" w14:textId="300228E9" w:rsidR="00661CFB" w:rsidRPr="00661CFB" w:rsidRDefault="00D413AF" w:rsidP="00661CFB">
      <w:pPr>
        <w:spacing w:before="240"/>
        <w:jc w:val="both"/>
        <w:rPr>
          <w:rFonts w:ascii="ITC Avant Garde" w:hAnsi="ITC Avant Garde"/>
        </w:rPr>
      </w:pPr>
      <w:proofErr w:type="gramStart"/>
      <w:r w:rsidRPr="00661CFB">
        <w:rPr>
          <w:rFonts w:ascii="ITC Avant Garde" w:hAnsi="ITC Avant Garde"/>
          <w:b/>
        </w:rPr>
        <w:t>QUINT</w:t>
      </w:r>
      <w:r w:rsidR="003A485C" w:rsidRPr="00661CFB">
        <w:rPr>
          <w:rFonts w:ascii="ITC Avant Garde" w:hAnsi="ITC Avant Garde"/>
          <w:b/>
        </w:rPr>
        <w:t>O</w:t>
      </w:r>
      <w:r w:rsidR="000B2707" w:rsidRPr="00661CFB">
        <w:rPr>
          <w:rFonts w:ascii="ITC Avant Garde" w:hAnsi="ITC Avant Garde" w:cs="Arial"/>
          <w:b/>
        </w:rPr>
        <w:t>.-</w:t>
      </w:r>
      <w:proofErr w:type="gramEnd"/>
      <w:r w:rsidR="000B2707" w:rsidRPr="00661CFB">
        <w:rPr>
          <w:rFonts w:ascii="ITC Avant Garde" w:hAnsi="ITC Avant Garde" w:cs="Arial"/>
          <w:b/>
        </w:rPr>
        <w:t xml:space="preserve"> </w:t>
      </w:r>
      <w:r w:rsidR="003314D9" w:rsidRPr="00661CFB">
        <w:rPr>
          <w:rFonts w:ascii="ITC Avant Garde" w:hAnsi="ITC Avant Garde" w:cs="Arial"/>
        </w:rPr>
        <w:t xml:space="preserve">Notifíquese personalmente a los representantes legales de </w:t>
      </w:r>
      <w:r w:rsidR="00807CD8" w:rsidRPr="00661CFB">
        <w:rPr>
          <w:rFonts w:ascii="ITC Avant Garde" w:hAnsi="ITC Avant Garde" w:cs="Arial"/>
        </w:rPr>
        <w:t>Radiomóvil Dipsa, S.A. de C.V.</w:t>
      </w:r>
      <w:r w:rsidR="00EA360B" w:rsidRPr="00661CFB">
        <w:rPr>
          <w:rFonts w:ascii="ITC Avant Garde" w:hAnsi="ITC Avant Garde"/>
        </w:rPr>
        <w:t xml:space="preserve"> </w:t>
      </w:r>
      <w:r w:rsidR="00EA360B" w:rsidRPr="00661CFB">
        <w:rPr>
          <w:rFonts w:ascii="ITC Avant Garde" w:hAnsi="ITC Avant Garde" w:cs="Arial"/>
        </w:rPr>
        <w:t xml:space="preserve">y </w:t>
      </w:r>
      <w:r w:rsidR="00C602B5" w:rsidRPr="00661CFB">
        <w:rPr>
          <w:rFonts w:ascii="ITC Avant Garde" w:hAnsi="ITC Avant Garde" w:cs="Arial"/>
        </w:rPr>
        <w:t>TV Rey de Occidente,</w:t>
      </w:r>
      <w:r w:rsidR="00807CD8" w:rsidRPr="00661CFB">
        <w:rPr>
          <w:rFonts w:ascii="ITC Avant Garde" w:hAnsi="ITC Avant Garde" w:cs="Arial"/>
        </w:rPr>
        <w:t xml:space="preserve"> S.A. de C.V.,</w:t>
      </w:r>
      <w:r w:rsidR="00EA360B" w:rsidRPr="00661CFB">
        <w:rPr>
          <w:rFonts w:ascii="ITC Avant Garde" w:hAnsi="ITC Avant Garde" w:cs="Arial"/>
        </w:rPr>
        <w:t xml:space="preserve"> </w:t>
      </w:r>
      <w:r w:rsidR="00112B47" w:rsidRPr="00661CFB">
        <w:rPr>
          <w:rFonts w:ascii="ITC Avant Garde" w:hAnsi="ITC Avant Garde" w:cs="Arial"/>
          <w:bCs/>
        </w:rPr>
        <w:t>el</w:t>
      </w:r>
      <w:r w:rsidR="00112B47" w:rsidRPr="00661CFB">
        <w:rPr>
          <w:rFonts w:ascii="ITC Avant Garde" w:hAnsi="ITC Avant Garde" w:cs="Arial"/>
        </w:rPr>
        <w:t xml:space="preserve"> contenido de la presente Resolución, en términos de lo establecido en el artículo 129 fracción VIII de la Ley Federal de Telecomunicaciones y Radiodifusión.</w:t>
      </w:r>
    </w:p>
    <w:p w14:paraId="25CC0237" w14:textId="6C725E0F" w:rsidR="00661CFB" w:rsidRPr="00661CFB" w:rsidRDefault="00533C7D" w:rsidP="00661CFB">
      <w:pPr>
        <w:pStyle w:val="Prrafodelista"/>
        <w:ind w:left="0"/>
        <w:rPr>
          <w:rFonts w:ascii="ITC Avant Garde" w:hAnsi="ITC Avant Garde"/>
          <w:sz w:val="12"/>
        </w:rPr>
      </w:pPr>
      <w:r w:rsidRPr="00661CFB">
        <w:rPr>
          <w:rFonts w:ascii="ITC Avant Garde" w:hAnsi="ITC Avant Garde"/>
          <w:sz w:val="12"/>
        </w:rPr>
        <w:t xml:space="preserve">La presente Resolución fue aprobada por el Pleno del Instituto Federal de Telecomunicaciones en su LI Sesión Ordinaria celebrada el 6 de diciembre de 2017, en lo general </w:t>
      </w:r>
      <w:r w:rsidRPr="00661CFB">
        <w:rPr>
          <w:rFonts w:ascii="ITC Avant Garde" w:hAnsi="ITC Avant Garde"/>
          <w:bCs/>
          <w:sz w:val="12"/>
        </w:rPr>
        <w:t>por unanimidad</w:t>
      </w:r>
      <w:r w:rsidRPr="00661CFB">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661CFB">
        <w:rPr>
          <w:rFonts w:ascii="ITC Avant Garde" w:hAnsi="ITC Avant Garde"/>
          <w:sz w:val="12"/>
        </w:rPr>
        <w:t>Rovalo</w:t>
      </w:r>
      <w:proofErr w:type="spellEnd"/>
      <w:r w:rsidRPr="00661CFB">
        <w:rPr>
          <w:rFonts w:ascii="ITC Avant Garde" w:hAnsi="ITC Avant Garde"/>
          <w:sz w:val="12"/>
        </w:rPr>
        <w:t>.</w:t>
      </w:r>
    </w:p>
    <w:p w14:paraId="5A54C911" w14:textId="77777777" w:rsidR="00661CFB" w:rsidRPr="00661CFB" w:rsidRDefault="00533C7D" w:rsidP="00661CFB">
      <w:pPr>
        <w:autoSpaceDE w:val="0"/>
        <w:autoSpaceDN w:val="0"/>
        <w:adjustRightInd w:val="0"/>
        <w:spacing w:after="0" w:line="240" w:lineRule="auto"/>
        <w:jc w:val="both"/>
        <w:rPr>
          <w:rFonts w:ascii="ITC Avant Garde" w:eastAsia="Times New Roman" w:hAnsi="ITC Avant Garde"/>
          <w:bCs/>
          <w:sz w:val="12"/>
          <w:lang w:eastAsia="es-ES"/>
        </w:rPr>
      </w:pPr>
      <w:r w:rsidRPr="00661CFB">
        <w:rPr>
          <w:rFonts w:ascii="ITC Avant Garde" w:hAnsi="ITC Avant Garde"/>
          <w:sz w:val="12"/>
        </w:rPr>
        <w:lastRenderedPageBreak/>
        <w:t xml:space="preserve">En lo particular, la Comisionada María Elena Estavillo Flores manifiesta voto en contra de la mención de la </w:t>
      </w:r>
      <w:r w:rsidRPr="00661CFB">
        <w:rPr>
          <w:rFonts w:ascii="ITC Avant Garde" w:eastAsia="Times New Roman" w:hAnsi="ITC Avant Garde"/>
          <w:bCs/>
          <w:sz w:val="12"/>
          <w:lang w:eastAsia="es-ES"/>
        </w:rPr>
        <w:t>de la modalidad “el que llama paga” en el Resolutivo Segundo.</w:t>
      </w:r>
    </w:p>
    <w:p w14:paraId="34E88851" w14:textId="77777777" w:rsidR="00661CFB" w:rsidRPr="00661CFB" w:rsidRDefault="00533C7D" w:rsidP="00661CFB">
      <w:pPr>
        <w:pStyle w:val="Prrafodelista"/>
        <w:ind w:left="0"/>
        <w:rPr>
          <w:rFonts w:ascii="ITC Avant Garde" w:hAnsi="ITC Avant Garde"/>
          <w:sz w:val="12"/>
        </w:rPr>
      </w:pPr>
      <w:r w:rsidRPr="00661CFB">
        <w:rPr>
          <w:rFonts w:ascii="ITC Avant Garde" w:hAnsi="ITC Avant Garde"/>
          <w:sz w:val="12"/>
        </w:rPr>
        <w:t>El Comisionado Adolfo Cuevas Teja manifiesta voto en contra de los Resolutivos Segundo y Tercero, por lo que hace a resolver la tarifa de terminación móvil en la red de Radiomóvil Dipsa, S.A. de C.V.</w:t>
      </w:r>
    </w:p>
    <w:p w14:paraId="54BCEC85" w14:textId="77777777" w:rsidR="00661CFB" w:rsidRPr="00661CFB" w:rsidRDefault="00533C7D" w:rsidP="00661CFB">
      <w:pPr>
        <w:pStyle w:val="Prrafodelista"/>
        <w:ind w:left="0"/>
        <w:rPr>
          <w:rFonts w:ascii="ITC Avant Garde" w:hAnsi="ITC Avant Garde"/>
          <w:sz w:val="12"/>
        </w:rPr>
      </w:pPr>
      <w:r w:rsidRPr="00661CFB">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P/IFT/061217/837.</w:t>
      </w:r>
    </w:p>
    <w:p w14:paraId="66E7AB7F" w14:textId="57C2517C" w:rsidR="00533C7D" w:rsidRPr="00661CFB" w:rsidRDefault="00533C7D" w:rsidP="00661CFB">
      <w:pPr>
        <w:autoSpaceDE w:val="0"/>
        <w:autoSpaceDN w:val="0"/>
        <w:adjustRightInd w:val="0"/>
        <w:spacing w:after="0" w:line="240" w:lineRule="auto"/>
        <w:jc w:val="both"/>
        <w:rPr>
          <w:rFonts w:ascii="ITC Avant Garde" w:hAnsi="ITC Avant Garde" w:cs="Arial"/>
          <w:b/>
        </w:rPr>
      </w:pPr>
      <w:r w:rsidRPr="00661CFB">
        <w:rPr>
          <w:rFonts w:ascii="ITC Avant Garde" w:hAnsi="ITC Avant Garde"/>
          <w:sz w:val="12"/>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533C7D" w:rsidRPr="00661CFB" w:rsidSect="00C23107">
      <w:headerReference w:type="even" r:id="rId12"/>
      <w:footerReference w:type="default" r:id="rId13"/>
      <w:headerReference w:type="first" r:id="rId14"/>
      <w:pgSz w:w="12240" w:h="15840"/>
      <w:pgMar w:top="2410"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1F13" w14:textId="77777777" w:rsidR="00FD46BE" w:rsidRDefault="00FD46BE" w:rsidP="00072BC8">
      <w:pPr>
        <w:spacing w:after="0" w:line="240" w:lineRule="auto"/>
      </w:pPr>
      <w:r>
        <w:separator/>
      </w:r>
    </w:p>
  </w:endnote>
  <w:endnote w:type="continuationSeparator" w:id="0">
    <w:p w14:paraId="2C736070" w14:textId="77777777" w:rsidR="00FD46BE" w:rsidRDefault="00FD46BE" w:rsidP="00072BC8">
      <w:pPr>
        <w:spacing w:after="0" w:line="240" w:lineRule="auto"/>
      </w:pPr>
      <w:r>
        <w:continuationSeparator/>
      </w:r>
    </w:p>
  </w:endnote>
  <w:endnote w:type="continuationNotice" w:id="1">
    <w:p w14:paraId="0B4B360D" w14:textId="77777777" w:rsidR="00FD46BE" w:rsidRDefault="00FD4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11C5FC4D" w14:textId="1B570B70"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661CFB">
              <w:rPr>
                <w:rFonts w:ascii="ITC Avant Garde" w:hAnsi="ITC Avant Garde"/>
                <w:bCs/>
                <w:noProof/>
                <w:sz w:val="20"/>
                <w:szCs w:val="20"/>
              </w:rPr>
              <w:t>2</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793A" w14:textId="77777777" w:rsidR="00FD46BE" w:rsidRDefault="00FD46BE" w:rsidP="00072BC8">
      <w:pPr>
        <w:spacing w:after="0" w:line="240" w:lineRule="auto"/>
      </w:pPr>
      <w:r>
        <w:separator/>
      </w:r>
    </w:p>
  </w:footnote>
  <w:footnote w:type="continuationSeparator" w:id="0">
    <w:p w14:paraId="77B9F1E1" w14:textId="77777777" w:rsidR="00FD46BE" w:rsidRDefault="00FD46BE" w:rsidP="00072BC8">
      <w:pPr>
        <w:spacing w:after="0" w:line="240" w:lineRule="auto"/>
      </w:pPr>
      <w:r>
        <w:continuationSeparator/>
      </w:r>
    </w:p>
  </w:footnote>
  <w:footnote w:type="continuationNotice" w:id="1">
    <w:p w14:paraId="01304406" w14:textId="77777777" w:rsidR="00FD46BE" w:rsidRDefault="00FD46BE">
      <w:pPr>
        <w:spacing w:after="0" w:line="240" w:lineRule="auto"/>
      </w:pPr>
    </w:p>
  </w:footnote>
  <w:footnote w:id="2">
    <w:p w14:paraId="07FDDC7C" w14:textId="77777777" w:rsidR="00106FE3" w:rsidRPr="00DB2CF8" w:rsidRDefault="00106FE3" w:rsidP="00106FE3">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31003E0A" w14:textId="77777777" w:rsidR="00106FE3" w:rsidRPr="00A05ECB" w:rsidRDefault="00106FE3" w:rsidP="00106FE3">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7158D9ED" w14:textId="77777777" w:rsidR="00256C08" w:rsidRPr="00CE2BC3" w:rsidRDefault="00256C08">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proofErr w:type="spellStart"/>
      <w:r w:rsidRPr="008F6311">
        <w:rPr>
          <w:rFonts w:ascii="Segoe UI" w:hAnsi="Segoe UI" w:cs="Segoe UI"/>
          <w:color w:val="1A1A1A"/>
          <w:sz w:val="18"/>
          <w:szCs w:val="18"/>
          <w:lang w:val="en-US"/>
        </w:rPr>
        <w:t>En</w:t>
      </w:r>
      <w:proofErr w:type="spellEnd"/>
      <w:r w:rsidRPr="008F6311">
        <w:rPr>
          <w:rFonts w:ascii="Segoe UI" w:hAnsi="Segoe UI" w:cs="Segoe UI"/>
          <w:color w:val="1A1A1A"/>
          <w:sz w:val="18"/>
          <w:szCs w:val="18"/>
          <w:lang w:val="en-US"/>
        </w:rPr>
        <w:t xml:space="preserve"> </w:t>
      </w:r>
      <w:proofErr w:type="spellStart"/>
      <w:r w:rsidRPr="008F6311">
        <w:rPr>
          <w:rFonts w:ascii="Segoe UI" w:hAnsi="Segoe UI" w:cs="Segoe UI"/>
          <w:color w:val="1A1A1A"/>
          <w:sz w:val="18"/>
          <w:szCs w:val="18"/>
          <w:lang w:val="en-US"/>
        </w:rPr>
        <w:t>Microeconomía</w:t>
      </w:r>
      <w:proofErr w:type="spellEnd"/>
      <w:r w:rsidRPr="008F6311">
        <w:rPr>
          <w:rFonts w:ascii="Segoe UI" w:hAnsi="Segoe UI" w:cs="Segoe UI"/>
          <w:color w:val="1A1A1A"/>
          <w:sz w:val="18"/>
          <w:szCs w:val="18"/>
          <w:lang w:val="en-US"/>
        </w:rPr>
        <w:t xml:space="preserve">. El </w:t>
      </w:r>
      <w:proofErr w:type="spellStart"/>
      <w:r w:rsidRPr="008F6311">
        <w:rPr>
          <w:rFonts w:ascii="Segoe UI" w:hAnsi="Segoe UI" w:cs="Segoe UI"/>
          <w:color w:val="1A1A1A"/>
          <w:sz w:val="18"/>
          <w:szCs w:val="18"/>
          <w:lang w:val="en-US"/>
        </w:rPr>
        <w:t>Colegio</w:t>
      </w:r>
      <w:proofErr w:type="spellEnd"/>
      <w:r w:rsidRPr="008F6311">
        <w:rPr>
          <w:rFonts w:ascii="Segoe UI" w:hAnsi="Segoe UI" w:cs="Segoe UI"/>
          <w:color w:val="1A1A1A"/>
          <w:sz w:val="18"/>
          <w:szCs w:val="18"/>
          <w:lang w:val="en-US"/>
        </w:rPr>
        <w:t xml:space="preserve"> de México, p. 77-122.</w:t>
      </w:r>
    </w:p>
  </w:footnote>
  <w:footnote w:id="5">
    <w:p w14:paraId="3A83B636" w14:textId="77777777" w:rsidR="00661CFB" w:rsidRDefault="00256C08" w:rsidP="00256C08">
      <w:pPr>
        <w:pStyle w:val="Textonotapie"/>
        <w:rPr>
          <w:rFonts w:ascii="Segoe UI" w:hAnsi="Segoe UI" w:cs="Segoe UI"/>
          <w:color w:val="1A1A1A"/>
          <w:sz w:val="18"/>
          <w:szCs w:val="18"/>
        </w:rPr>
      </w:pPr>
      <w:r>
        <w:rPr>
          <w:rStyle w:val="Refdenotaalpie"/>
        </w:rPr>
        <w:footnoteRef/>
      </w:r>
      <w:r w:rsidRPr="00256C08">
        <w:rPr>
          <w:lang w:val="en-US"/>
        </w:rPr>
        <w:t xml:space="preserve"> </w:t>
      </w:r>
      <w:proofErr w:type="spellStart"/>
      <w:r w:rsidRPr="008F6311">
        <w:rPr>
          <w:rFonts w:ascii="Segoe UI" w:hAnsi="Segoe UI" w:cs="Segoe UI"/>
          <w:color w:val="1A1A1A"/>
          <w:sz w:val="18"/>
          <w:szCs w:val="18"/>
          <w:lang w:val="en-US"/>
        </w:rPr>
        <w:t>Growitsch</w:t>
      </w:r>
      <w:proofErr w:type="spellEnd"/>
      <w:r w:rsidRPr="008F6311">
        <w:rPr>
          <w:rFonts w:ascii="Segoe UI" w:hAnsi="Segoe UI" w:cs="Segoe UI"/>
          <w:color w:val="1A1A1A"/>
          <w:sz w:val="18"/>
          <w:szCs w:val="18"/>
          <w:lang w:val="en-US"/>
        </w:rPr>
        <w:t xml:space="preserve">, C., Marcus, J.S., y </w:t>
      </w:r>
      <w:proofErr w:type="spellStart"/>
      <w:r w:rsidRPr="008F6311">
        <w:rPr>
          <w:rFonts w:ascii="Segoe UI" w:hAnsi="Segoe UI" w:cs="Segoe UI"/>
          <w:color w:val="1A1A1A"/>
          <w:sz w:val="18"/>
          <w:szCs w:val="18"/>
          <w:lang w:val="en-US"/>
        </w:rPr>
        <w:t>Wernick</w:t>
      </w:r>
      <w:proofErr w:type="spellEnd"/>
      <w:r w:rsidRPr="008F6311">
        <w:rPr>
          <w:rFonts w:ascii="Segoe UI" w:hAnsi="Segoe UI" w:cs="Segoe UI"/>
          <w:color w:val="1A1A1A"/>
          <w:sz w:val="18"/>
          <w:szCs w:val="18"/>
          <w:lang w:val="en-US"/>
        </w:rPr>
        <w:t xml:space="preserve">, C., (2010) </w:t>
      </w:r>
      <w:proofErr w:type="gramStart"/>
      <w:r w:rsidRPr="008F6311">
        <w:rPr>
          <w:rFonts w:ascii="Segoe UI" w:hAnsi="Segoe UI" w:cs="Segoe UI"/>
          <w:color w:val="1A1A1A"/>
          <w:sz w:val="18"/>
          <w:szCs w:val="18"/>
          <w:lang w:val="en-US"/>
        </w:rPr>
        <w:t>The</w:t>
      </w:r>
      <w:proofErr w:type="gramEnd"/>
      <w:r w:rsidRPr="008F6311">
        <w:rPr>
          <w:rFonts w:ascii="Segoe UI" w:hAnsi="Segoe UI" w:cs="Segoe UI"/>
          <w:color w:val="1A1A1A"/>
          <w:sz w:val="18"/>
          <w:szCs w:val="18"/>
          <w:lang w:val="en-US"/>
        </w:rPr>
        <w:t xml:space="preserve"> Effects of Lower Mobile Termination Rates (MTRs) on Retail Price and Demand. </w:t>
      </w:r>
      <w:proofErr w:type="spellStart"/>
      <w:r w:rsidRPr="00100E96">
        <w:rPr>
          <w:rFonts w:ascii="Segoe UI" w:hAnsi="Segoe UI" w:cs="Segoe UI"/>
          <w:color w:val="1A1A1A"/>
          <w:sz w:val="18"/>
          <w:szCs w:val="18"/>
        </w:rPr>
        <w:t>Communications</w:t>
      </w:r>
      <w:proofErr w:type="spellEnd"/>
      <w:r w:rsidRPr="00100E96">
        <w:rPr>
          <w:rFonts w:ascii="Segoe UI" w:hAnsi="Segoe UI" w:cs="Segoe UI"/>
          <w:color w:val="1A1A1A"/>
          <w:sz w:val="18"/>
          <w:szCs w:val="18"/>
        </w:rPr>
        <w:t xml:space="preserve"> &amp; </w:t>
      </w:r>
      <w:proofErr w:type="spellStart"/>
      <w:r w:rsidRPr="00100E96">
        <w:rPr>
          <w:rFonts w:ascii="Segoe UI" w:hAnsi="Segoe UI" w:cs="Segoe UI"/>
          <w:color w:val="1A1A1A"/>
          <w:sz w:val="18"/>
          <w:szCs w:val="18"/>
        </w:rPr>
        <w:t>Strategies</w:t>
      </w:r>
      <w:proofErr w:type="spellEnd"/>
      <w:r w:rsidRPr="00100E96">
        <w:rPr>
          <w:rFonts w:ascii="Segoe UI" w:hAnsi="Segoe UI" w:cs="Segoe UI"/>
          <w:color w:val="1A1A1A"/>
          <w:sz w:val="18"/>
          <w:szCs w:val="18"/>
        </w:rPr>
        <w:t>, 80, 4th Q. 2010.</w:t>
      </w:r>
    </w:p>
    <w:p w14:paraId="2984BBF8" w14:textId="63DD43ED" w:rsidR="00256C08" w:rsidRPr="00256C08" w:rsidRDefault="00256C08">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0859" w14:textId="77777777" w:rsidR="003301A4" w:rsidRDefault="00FD46BE">
    <w:pPr>
      <w:pStyle w:val="Encabezado"/>
    </w:pPr>
    <w:r>
      <w:rPr>
        <w:noProof/>
        <w:lang w:eastAsia="es-MX"/>
      </w:rPr>
      <w:pict w14:anchorId="3B515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AB1" w14:textId="77777777" w:rsidR="003301A4" w:rsidRDefault="00FD46BE">
    <w:pPr>
      <w:pStyle w:val="Encabezado"/>
    </w:pPr>
    <w:r>
      <w:rPr>
        <w:noProof/>
        <w:lang w:eastAsia="es-MX"/>
      </w:rPr>
      <w:pict w14:anchorId="3ABD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C539C4"/>
    <w:multiLevelType w:val="hybridMultilevel"/>
    <w:tmpl w:val="18FC04D0"/>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4EACA3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52E3800"/>
    <w:multiLevelType w:val="hybridMultilevel"/>
    <w:tmpl w:val="2BE09448"/>
    <w:lvl w:ilvl="0" w:tplc="40D0CBF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26363"/>
    <w:multiLevelType w:val="hybridMultilevel"/>
    <w:tmpl w:val="F30CA86A"/>
    <w:lvl w:ilvl="0" w:tplc="080A0015">
      <w:start w:val="1"/>
      <w:numFmt w:val="upp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D7988AAC"/>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0"/>
  </w:num>
  <w:num w:numId="5">
    <w:abstractNumId w:val="1"/>
  </w:num>
  <w:num w:numId="6">
    <w:abstractNumId w:val="14"/>
  </w:num>
  <w:num w:numId="7">
    <w:abstractNumId w:val="11"/>
  </w:num>
  <w:num w:numId="8">
    <w:abstractNumId w:val="15"/>
  </w:num>
  <w:num w:numId="9">
    <w:abstractNumId w:val="9"/>
  </w:num>
  <w:num w:numId="10">
    <w:abstractNumId w:val="12"/>
  </w:num>
  <w:num w:numId="11">
    <w:abstractNumId w:val="8"/>
  </w:num>
  <w:num w:numId="12">
    <w:abstractNumId w:val="18"/>
  </w:num>
  <w:num w:numId="13">
    <w:abstractNumId w:val="3"/>
  </w:num>
  <w:num w:numId="14">
    <w:abstractNumId w:val="13"/>
  </w:num>
  <w:num w:numId="15">
    <w:abstractNumId w:val="6"/>
  </w:num>
  <w:num w:numId="16">
    <w:abstractNumId w:val="19"/>
  </w:num>
  <w:num w:numId="17">
    <w:abstractNumId w:val="7"/>
  </w:num>
  <w:num w:numId="18">
    <w:abstractNumId w:val="4"/>
  </w:num>
  <w:num w:numId="19">
    <w:abstractNumId w:val="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4E45"/>
    <w:rsid w:val="00006174"/>
    <w:rsid w:val="00010307"/>
    <w:rsid w:val="00011447"/>
    <w:rsid w:val="00011B01"/>
    <w:rsid w:val="000125EE"/>
    <w:rsid w:val="00012F68"/>
    <w:rsid w:val="00014431"/>
    <w:rsid w:val="00014C3A"/>
    <w:rsid w:val="000154B0"/>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7553"/>
    <w:rsid w:val="00051ABC"/>
    <w:rsid w:val="00052B88"/>
    <w:rsid w:val="00052BB6"/>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7D8"/>
    <w:rsid w:val="00086F94"/>
    <w:rsid w:val="000901D2"/>
    <w:rsid w:val="00090BCF"/>
    <w:rsid w:val="00090C0C"/>
    <w:rsid w:val="00091171"/>
    <w:rsid w:val="000920BD"/>
    <w:rsid w:val="00094727"/>
    <w:rsid w:val="00096D65"/>
    <w:rsid w:val="00096FD8"/>
    <w:rsid w:val="00096FE1"/>
    <w:rsid w:val="00097822"/>
    <w:rsid w:val="0009782B"/>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00D"/>
    <w:rsid w:val="00102C7D"/>
    <w:rsid w:val="001034A3"/>
    <w:rsid w:val="00103611"/>
    <w:rsid w:val="00103797"/>
    <w:rsid w:val="00104B65"/>
    <w:rsid w:val="00104C74"/>
    <w:rsid w:val="00106523"/>
    <w:rsid w:val="00106FE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2D0"/>
    <w:rsid w:val="001B1B85"/>
    <w:rsid w:val="001B1F43"/>
    <w:rsid w:val="001B23F4"/>
    <w:rsid w:val="001B3081"/>
    <w:rsid w:val="001B33C4"/>
    <w:rsid w:val="001B33D4"/>
    <w:rsid w:val="001B3727"/>
    <w:rsid w:val="001B48C1"/>
    <w:rsid w:val="001B5006"/>
    <w:rsid w:val="001B58A1"/>
    <w:rsid w:val="001B6768"/>
    <w:rsid w:val="001B7827"/>
    <w:rsid w:val="001C5803"/>
    <w:rsid w:val="001C5959"/>
    <w:rsid w:val="001C5A3B"/>
    <w:rsid w:val="001C5CE3"/>
    <w:rsid w:val="001C7306"/>
    <w:rsid w:val="001D0167"/>
    <w:rsid w:val="001D07AA"/>
    <w:rsid w:val="001D0D90"/>
    <w:rsid w:val="001D169C"/>
    <w:rsid w:val="001D2FA2"/>
    <w:rsid w:val="001D31C5"/>
    <w:rsid w:val="001D38C3"/>
    <w:rsid w:val="001D5636"/>
    <w:rsid w:val="001D5676"/>
    <w:rsid w:val="001D5838"/>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000"/>
    <w:rsid w:val="00200654"/>
    <w:rsid w:val="002007A5"/>
    <w:rsid w:val="00200990"/>
    <w:rsid w:val="002012FB"/>
    <w:rsid w:val="002013BB"/>
    <w:rsid w:val="00201488"/>
    <w:rsid w:val="00201D57"/>
    <w:rsid w:val="002032A7"/>
    <w:rsid w:val="00204965"/>
    <w:rsid w:val="0020508C"/>
    <w:rsid w:val="0020556F"/>
    <w:rsid w:val="00206973"/>
    <w:rsid w:val="00206B4C"/>
    <w:rsid w:val="00207BB5"/>
    <w:rsid w:val="00207FD9"/>
    <w:rsid w:val="00210190"/>
    <w:rsid w:val="00210F73"/>
    <w:rsid w:val="002116CD"/>
    <w:rsid w:val="00211E1B"/>
    <w:rsid w:val="0021489B"/>
    <w:rsid w:val="00215F9C"/>
    <w:rsid w:val="002163BD"/>
    <w:rsid w:val="00216E0B"/>
    <w:rsid w:val="002177EB"/>
    <w:rsid w:val="00217CF8"/>
    <w:rsid w:val="00220677"/>
    <w:rsid w:val="00220A0E"/>
    <w:rsid w:val="00221DBD"/>
    <w:rsid w:val="00221EB0"/>
    <w:rsid w:val="00223B93"/>
    <w:rsid w:val="00225B11"/>
    <w:rsid w:val="00226C75"/>
    <w:rsid w:val="002300CA"/>
    <w:rsid w:val="00231540"/>
    <w:rsid w:val="00231BDB"/>
    <w:rsid w:val="0023288D"/>
    <w:rsid w:val="002348C4"/>
    <w:rsid w:val="002350CD"/>
    <w:rsid w:val="00235A46"/>
    <w:rsid w:val="0023752B"/>
    <w:rsid w:val="00241145"/>
    <w:rsid w:val="00241843"/>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6C08"/>
    <w:rsid w:val="002573D4"/>
    <w:rsid w:val="002610C4"/>
    <w:rsid w:val="00261A94"/>
    <w:rsid w:val="00263B26"/>
    <w:rsid w:val="002653B8"/>
    <w:rsid w:val="00265983"/>
    <w:rsid w:val="00270247"/>
    <w:rsid w:val="00270D70"/>
    <w:rsid w:val="00271751"/>
    <w:rsid w:val="00271EAA"/>
    <w:rsid w:val="00272B28"/>
    <w:rsid w:val="00273064"/>
    <w:rsid w:val="00274849"/>
    <w:rsid w:val="002803B3"/>
    <w:rsid w:val="00281965"/>
    <w:rsid w:val="00282180"/>
    <w:rsid w:val="0028352C"/>
    <w:rsid w:val="0028363B"/>
    <w:rsid w:val="0028440F"/>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6986"/>
    <w:rsid w:val="002C05D5"/>
    <w:rsid w:val="002C120D"/>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0F00"/>
    <w:rsid w:val="002E1682"/>
    <w:rsid w:val="002E17C7"/>
    <w:rsid w:val="002E25CA"/>
    <w:rsid w:val="002E308C"/>
    <w:rsid w:val="002E41B7"/>
    <w:rsid w:val="002E6217"/>
    <w:rsid w:val="002E6B53"/>
    <w:rsid w:val="002E71F1"/>
    <w:rsid w:val="002F1D43"/>
    <w:rsid w:val="002F1E7F"/>
    <w:rsid w:val="002F1F05"/>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26EB"/>
    <w:rsid w:val="003234FB"/>
    <w:rsid w:val="00324C77"/>
    <w:rsid w:val="003255F8"/>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214C"/>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2EF3"/>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85C"/>
    <w:rsid w:val="003A49C5"/>
    <w:rsid w:val="003A512D"/>
    <w:rsid w:val="003A5479"/>
    <w:rsid w:val="003A5C87"/>
    <w:rsid w:val="003A5E62"/>
    <w:rsid w:val="003A7B99"/>
    <w:rsid w:val="003B01B2"/>
    <w:rsid w:val="003B04B8"/>
    <w:rsid w:val="003B083D"/>
    <w:rsid w:val="003B1822"/>
    <w:rsid w:val="003B3FCD"/>
    <w:rsid w:val="003B49CF"/>
    <w:rsid w:val="003B4F28"/>
    <w:rsid w:val="003B611E"/>
    <w:rsid w:val="003B6AF8"/>
    <w:rsid w:val="003C0405"/>
    <w:rsid w:val="003C09CB"/>
    <w:rsid w:val="003C0C79"/>
    <w:rsid w:val="003C1737"/>
    <w:rsid w:val="003C3DE9"/>
    <w:rsid w:val="003C657A"/>
    <w:rsid w:val="003C6814"/>
    <w:rsid w:val="003C6A13"/>
    <w:rsid w:val="003C6A34"/>
    <w:rsid w:val="003C7A6C"/>
    <w:rsid w:val="003D024B"/>
    <w:rsid w:val="003D08CA"/>
    <w:rsid w:val="003D09C7"/>
    <w:rsid w:val="003D2034"/>
    <w:rsid w:val="003D2097"/>
    <w:rsid w:val="003D38C1"/>
    <w:rsid w:val="003D5646"/>
    <w:rsid w:val="003D74F9"/>
    <w:rsid w:val="003E0BCA"/>
    <w:rsid w:val="003E1016"/>
    <w:rsid w:val="003E1278"/>
    <w:rsid w:val="003E14D5"/>
    <w:rsid w:val="003E1522"/>
    <w:rsid w:val="003E15EA"/>
    <w:rsid w:val="003E1D67"/>
    <w:rsid w:val="003E23A9"/>
    <w:rsid w:val="003E2BA9"/>
    <w:rsid w:val="003E2D2E"/>
    <w:rsid w:val="003E3993"/>
    <w:rsid w:val="003E53A0"/>
    <w:rsid w:val="003E5563"/>
    <w:rsid w:val="003E6836"/>
    <w:rsid w:val="003E75E6"/>
    <w:rsid w:val="003F161A"/>
    <w:rsid w:val="003F1BC1"/>
    <w:rsid w:val="003F1DBD"/>
    <w:rsid w:val="003F299E"/>
    <w:rsid w:val="003F2A0B"/>
    <w:rsid w:val="003F4154"/>
    <w:rsid w:val="003F4251"/>
    <w:rsid w:val="003F5ABC"/>
    <w:rsid w:val="003F5CBB"/>
    <w:rsid w:val="003F6162"/>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42F6"/>
    <w:rsid w:val="00454F25"/>
    <w:rsid w:val="0045681D"/>
    <w:rsid w:val="00457318"/>
    <w:rsid w:val="00457370"/>
    <w:rsid w:val="00460408"/>
    <w:rsid w:val="00460D60"/>
    <w:rsid w:val="00460F82"/>
    <w:rsid w:val="00461629"/>
    <w:rsid w:val="00464463"/>
    <w:rsid w:val="0046618D"/>
    <w:rsid w:val="00466E9A"/>
    <w:rsid w:val="0046747C"/>
    <w:rsid w:val="0047094D"/>
    <w:rsid w:val="004715DB"/>
    <w:rsid w:val="004722B7"/>
    <w:rsid w:val="0047395B"/>
    <w:rsid w:val="004774CC"/>
    <w:rsid w:val="0048004C"/>
    <w:rsid w:val="00480A98"/>
    <w:rsid w:val="00482FB8"/>
    <w:rsid w:val="00483036"/>
    <w:rsid w:val="00483461"/>
    <w:rsid w:val="00484094"/>
    <w:rsid w:val="00484782"/>
    <w:rsid w:val="00484CCD"/>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68E3"/>
    <w:rsid w:val="004B7097"/>
    <w:rsid w:val="004C0003"/>
    <w:rsid w:val="004C04C8"/>
    <w:rsid w:val="004C10AC"/>
    <w:rsid w:val="004C1F48"/>
    <w:rsid w:val="004C3188"/>
    <w:rsid w:val="004C417D"/>
    <w:rsid w:val="004C7699"/>
    <w:rsid w:val="004D4F41"/>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7B4"/>
    <w:rsid w:val="00503CD3"/>
    <w:rsid w:val="00504E6B"/>
    <w:rsid w:val="00504FF0"/>
    <w:rsid w:val="00505B59"/>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7FC6"/>
    <w:rsid w:val="005214A0"/>
    <w:rsid w:val="00523158"/>
    <w:rsid w:val="00525E3C"/>
    <w:rsid w:val="00526B1D"/>
    <w:rsid w:val="005306E4"/>
    <w:rsid w:val="00531974"/>
    <w:rsid w:val="00532D4D"/>
    <w:rsid w:val="0053305E"/>
    <w:rsid w:val="005339FC"/>
    <w:rsid w:val="00533A0A"/>
    <w:rsid w:val="00533C7D"/>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6C1"/>
    <w:rsid w:val="00567D07"/>
    <w:rsid w:val="00570606"/>
    <w:rsid w:val="005720B8"/>
    <w:rsid w:val="00572386"/>
    <w:rsid w:val="00572734"/>
    <w:rsid w:val="00577E55"/>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719"/>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5F82"/>
    <w:rsid w:val="00626740"/>
    <w:rsid w:val="00626833"/>
    <w:rsid w:val="00626D23"/>
    <w:rsid w:val="00626F35"/>
    <w:rsid w:val="00631D55"/>
    <w:rsid w:val="00632F85"/>
    <w:rsid w:val="006358A8"/>
    <w:rsid w:val="006361FA"/>
    <w:rsid w:val="00637785"/>
    <w:rsid w:val="006403BE"/>
    <w:rsid w:val="00640D6D"/>
    <w:rsid w:val="00640D86"/>
    <w:rsid w:val="006416BC"/>
    <w:rsid w:val="00641BAE"/>
    <w:rsid w:val="00642735"/>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1CFB"/>
    <w:rsid w:val="006631C7"/>
    <w:rsid w:val="00663DBC"/>
    <w:rsid w:val="00663F7D"/>
    <w:rsid w:val="00665074"/>
    <w:rsid w:val="00666259"/>
    <w:rsid w:val="006664A9"/>
    <w:rsid w:val="00666CB8"/>
    <w:rsid w:val="00671517"/>
    <w:rsid w:val="00671C7C"/>
    <w:rsid w:val="00673215"/>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99"/>
    <w:rsid w:val="0069339A"/>
    <w:rsid w:val="006933E9"/>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3B99"/>
    <w:rsid w:val="006B413A"/>
    <w:rsid w:val="006B5FD1"/>
    <w:rsid w:val="006B7290"/>
    <w:rsid w:val="006C0230"/>
    <w:rsid w:val="006C024A"/>
    <w:rsid w:val="006C13BC"/>
    <w:rsid w:val="006C1D5C"/>
    <w:rsid w:val="006C2424"/>
    <w:rsid w:val="006C363A"/>
    <w:rsid w:val="006C3B66"/>
    <w:rsid w:val="006C51CD"/>
    <w:rsid w:val="006C5EAA"/>
    <w:rsid w:val="006C64FC"/>
    <w:rsid w:val="006C781A"/>
    <w:rsid w:val="006D00A5"/>
    <w:rsid w:val="006D0CDF"/>
    <w:rsid w:val="006D1173"/>
    <w:rsid w:val="006D2E3F"/>
    <w:rsid w:val="006D2F20"/>
    <w:rsid w:val="006D65FE"/>
    <w:rsid w:val="006D7955"/>
    <w:rsid w:val="006E0489"/>
    <w:rsid w:val="006E16AE"/>
    <w:rsid w:val="006E18D1"/>
    <w:rsid w:val="006E1F9B"/>
    <w:rsid w:val="006E4AB4"/>
    <w:rsid w:val="006E56BB"/>
    <w:rsid w:val="006E7508"/>
    <w:rsid w:val="006E7757"/>
    <w:rsid w:val="006E7DBD"/>
    <w:rsid w:val="006F076D"/>
    <w:rsid w:val="006F11C3"/>
    <w:rsid w:val="006F1386"/>
    <w:rsid w:val="006F3D60"/>
    <w:rsid w:val="006F7352"/>
    <w:rsid w:val="00700BB7"/>
    <w:rsid w:val="007019EF"/>
    <w:rsid w:val="0070221D"/>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17CC4"/>
    <w:rsid w:val="00721E96"/>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6B24"/>
    <w:rsid w:val="007478DA"/>
    <w:rsid w:val="00747C81"/>
    <w:rsid w:val="00752379"/>
    <w:rsid w:val="00752A21"/>
    <w:rsid w:val="0075370D"/>
    <w:rsid w:val="00753E5C"/>
    <w:rsid w:val="00756263"/>
    <w:rsid w:val="00757040"/>
    <w:rsid w:val="007577FE"/>
    <w:rsid w:val="00760047"/>
    <w:rsid w:val="007601BA"/>
    <w:rsid w:val="00761C83"/>
    <w:rsid w:val="00762728"/>
    <w:rsid w:val="00762771"/>
    <w:rsid w:val="00762ABC"/>
    <w:rsid w:val="007638A7"/>
    <w:rsid w:val="00763D2A"/>
    <w:rsid w:val="007660DB"/>
    <w:rsid w:val="00770411"/>
    <w:rsid w:val="007711CF"/>
    <w:rsid w:val="0077341C"/>
    <w:rsid w:val="00773807"/>
    <w:rsid w:val="00773B3C"/>
    <w:rsid w:val="007759EF"/>
    <w:rsid w:val="00775BE7"/>
    <w:rsid w:val="00777A20"/>
    <w:rsid w:val="00780400"/>
    <w:rsid w:val="00781F67"/>
    <w:rsid w:val="0078267D"/>
    <w:rsid w:val="0078446F"/>
    <w:rsid w:val="00785CB9"/>
    <w:rsid w:val="00785DD8"/>
    <w:rsid w:val="00785FC7"/>
    <w:rsid w:val="00786EF1"/>
    <w:rsid w:val="00786F22"/>
    <w:rsid w:val="00787F89"/>
    <w:rsid w:val="007907C2"/>
    <w:rsid w:val="00792ACE"/>
    <w:rsid w:val="00792C44"/>
    <w:rsid w:val="007946A1"/>
    <w:rsid w:val="00794CB6"/>
    <w:rsid w:val="00795AF2"/>
    <w:rsid w:val="00796567"/>
    <w:rsid w:val="00796DA6"/>
    <w:rsid w:val="007A2FA6"/>
    <w:rsid w:val="007A3C1C"/>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4A8D"/>
    <w:rsid w:val="00806DA5"/>
    <w:rsid w:val="00807CD8"/>
    <w:rsid w:val="00810F16"/>
    <w:rsid w:val="0081198D"/>
    <w:rsid w:val="008129EA"/>
    <w:rsid w:val="00813158"/>
    <w:rsid w:val="00813237"/>
    <w:rsid w:val="00813A32"/>
    <w:rsid w:val="00813D61"/>
    <w:rsid w:val="0081546C"/>
    <w:rsid w:val="00817E36"/>
    <w:rsid w:val="008208B9"/>
    <w:rsid w:val="00821BC8"/>
    <w:rsid w:val="00821F9A"/>
    <w:rsid w:val="00823B48"/>
    <w:rsid w:val="00831313"/>
    <w:rsid w:val="00831586"/>
    <w:rsid w:val="00831CE0"/>
    <w:rsid w:val="00831F9A"/>
    <w:rsid w:val="008329A3"/>
    <w:rsid w:val="00832AC6"/>
    <w:rsid w:val="00833151"/>
    <w:rsid w:val="008339A0"/>
    <w:rsid w:val="0083495E"/>
    <w:rsid w:val="00834BD1"/>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0B0A"/>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12E"/>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97"/>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744A"/>
    <w:rsid w:val="00902EEB"/>
    <w:rsid w:val="00904329"/>
    <w:rsid w:val="00904805"/>
    <w:rsid w:val="0090537E"/>
    <w:rsid w:val="00906834"/>
    <w:rsid w:val="0090727B"/>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5C0B"/>
    <w:rsid w:val="00955DCD"/>
    <w:rsid w:val="00960A59"/>
    <w:rsid w:val="00962602"/>
    <w:rsid w:val="00962A9D"/>
    <w:rsid w:val="00963297"/>
    <w:rsid w:val="00963CBC"/>
    <w:rsid w:val="0096432F"/>
    <w:rsid w:val="009664DC"/>
    <w:rsid w:val="00966CEA"/>
    <w:rsid w:val="00967207"/>
    <w:rsid w:val="00967EC8"/>
    <w:rsid w:val="00970B13"/>
    <w:rsid w:val="00970B9F"/>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841"/>
    <w:rsid w:val="00991FE7"/>
    <w:rsid w:val="009932C8"/>
    <w:rsid w:val="0099404A"/>
    <w:rsid w:val="009973A8"/>
    <w:rsid w:val="0099770C"/>
    <w:rsid w:val="009A002C"/>
    <w:rsid w:val="009A0BD7"/>
    <w:rsid w:val="009A1044"/>
    <w:rsid w:val="009A191D"/>
    <w:rsid w:val="009A1A86"/>
    <w:rsid w:val="009A3384"/>
    <w:rsid w:val="009A35D3"/>
    <w:rsid w:val="009A44E9"/>
    <w:rsid w:val="009A4640"/>
    <w:rsid w:val="009A52AC"/>
    <w:rsid w:val="009A54C6"/>
    <w:rsid w:val="009A5740"/>
    <w:rsid w:val="009A6297"/>
    <w:rsid w:val="009B07DB"/>
    <w:rsid w:val="009B14DF"/>
    <w:rsid w:val="009B14FB"/>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756"/>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40"/>
    <w:rsid w:val="00A02653"/>
    <w:rsid w:val="00A05664"/>
    <w:rsid w:val="00A05B88"/>
    <w:rsid w:val="00A05E97"/>
    <w:rsid w:val="00A06D46"/>
    <w:rsid w:val="00A0722E"/>
    <w:rsid w:val="00A112AF"/>
    <w:rsid w:val="00A127AE"/>
    <w:rsid w:val="00A13061"/>
    <w:rsid w:val="00A138DC"/>
    <w:rsid w:val="00A13E05"/>
    <w:rsid w:val="00A140C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2626"/>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5E0A"/>
    <w:rsid w:val="00AD601F"/>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779A9"/>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05F"/>
    <w:rsid w:val="00BC7E36"/>
    <w:rsid w:val="00BD02A5"/>
    <w:rsid w:val="00BD0928"/>
    <w:rsid w:val="00BD14F7"/>
    <w:rsid w:val="00BD17A0"/>
    <w:rsid w:val="00BD1CAD"/>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3107"/>
    <w:rsid w:val="00C25333"/>
    <w:rsid w:val="00C25A21"/>
    <w:rsid w:val="00C25F00"/>
    <w:rsid w:val="00C2605C"/>
    <w:rsid w:val="00C27EC5"/>
    <w:rsid w:val="00C3036A"/>
    <w:rsid w:val="00C30F9C"/>
    <w:rsid w:val="00C32053"/>
    <w:rsid w:val="00C347FE"/>
    <w:rsid w:val="00C41F4D"/>
    <w:rsid w:val="00C42BE0"/>
    <w:rsid w:val="00C43425"/>
    <w:rsid w:val="00C435F7"/>
    <w:rsid w:val="00C43DBE"/>
    <w:rsid w:val="00C44222"/>
    <w:rsid w:val="00C506B8"/>
    <w:rsid w:val="00C51332"/>
    <w:rsid w:val="00C529F4"/>
    <w:rsid w:val="00C53EBF"/>
    <w:rsid w:val="00C55719"/>
    <w:rsid w:val="00C602B5"/>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14C6"/>
    <w:rsid w:val="00C8323C"/>
    <w:rsid w:val="00C842CF"/>
    <w:rsid w:val="00C8579B"/>
    <w:rsid w:val="00C86F12"/>
    <w:rsid w:val="00C90862"/>
    <w:rsid w:val="00C92C0A"/>
    <w:rsid w:val="00C92ED8"/>
    <w:rsid w:val="00C93BBE"/>
    <w:rsid w:val="00C94AC7"/>
    <w:rsid w:val="00C95888"/>
    <w:rsid w:val="00C95B0B"/>
    <w:rsid w:val="00C967EA"/>
    <w:rsid w:val="00C97244"/>
    <w:rsid w:val="00C97793"/>
    <w:rsid w:val="00CA02D1"/>
    <w:rsid w:val="00CA27FC"/>
    <w:rsid w:val="00CA3518"/>
    <w:rsid w:val="00CA459A"/>
    <w:rsid w:val="00CA490C"/>
    <w:rsid w:val="00CA57DB"/>
    <w:rsid w:val="00CB006D"/>
    <w:rsid w:val="00CB2A1C"/>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2BC3"/>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3AF"/>
    <w:rsid w:val="00D41874"/>
    <w:rsid w:val="00D4516C"/>
    <w:rsid w:val="00D46045"/>
    <w:rsid w:val="00D46C0A"/>
    <w:rsid w:val="00D508A1"/>
    <w:rsid w:val="00D509FF"/>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5ED"/>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73C"/>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3D2F"/>
    <w:rsid w:val="00DB4485"/>
    <w:rsid w:val="00DB57A5"/>
    <w:rsid w:val="00DB61E1"/>
    <w:rsid w:val="00DB6944"/>
    <w:rsid w:val="00DB74E9"/>
    <w:rsid w:val="00DC0881"/>
    <w:rsid w:val="00DC08AF"/>
    <w:rsid w:val="00DC0D58"/>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2A1D"/>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8BD"/>
    <w:rsid w:val="00EB2AAB"/>
    <w:rsid w:val="00EB2CCB"/>
    <w:rsid w:val="00EB4022"/>
    <w:rsid w:val="00EB43C8"/>
    <w:rsid w:val="00EB49DA"/>
    <w:rsid w:val="00EB7015"/>
    <w:rsid w:val="00EC1223"/>
    <w:rsid w:val="00EC176A"/>
    <w:rsid w:val="00EC46B7"/>
    <w:rsid w:val="00EC4E55"/>
    <w:rsid w:val="00EC575C"/>
    <w:rsid w:val="00EC5D5F"/>
    <w:rsid w:val="00EC7CD8"/>
    <w:rsid w:val="00EC7F72"/>
    <w:rsid w:val="00ED30BA"/>
    <w:rsid w:val="00ED312D"/>
    <w:rsid w:val="00ED3773"/>
    <w:rsid w:val="00ED50ED"/>
    <w:rsid w:val="00ED6F30"/>
    <w:rsid w:val="00ED7BAF"/>
    <w:rsid w:val="00ED7BE6"/>
    <w:rsid w:val="00EE1FA5"/>
    <w:rsid w:val="00EE4BE0"/>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21A9"/>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4E36"/>
    <w:rsid w:val="00F3715D"/>
    <w:rsid w:val="00F3756C"/>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1FF6"/>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D18"/>
    <w:rsid w:val="00FA07C5"/>
    <w:rsid w:val="00FA2C6E"/>
    <w:rsid w:val="00FA3422"/>
    <w:rsid w:val="00FA384C"/>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6F4D"/>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6BE"/>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EB4C6D7"/>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533C7D"/>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533C7D"/>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810469">
      <w:bodyDiv w:val="1"/>
      <w:marLeft w:val="0"/>
      <w:marRight w:val="0"/>
      <w:marTop w:val="0"/>
      <w:marBottom w:val="0"/>
      <w:divBdr>
        <w:top w:val="none" w:sz="0" w:space="0" w:color="auto"/>
        <w:left w:val="none" w:sz="0" w:space="0" w:color="auto"/>
        <w:bottom w:val="none" w:sz="0" w:space="0" w:color="auto"/>
        <w:right w:val="none" w:sz="0" w:space="0" w:color="auto"/>
      </w:divBdr>
      <w:divsChild>
        <w:div w:id="1926525888">
          <w:marLeft w:val="0"/>
          <w:marRight w:val="0"/>
          <w:marTop w:val="0"/>
          <w:marBottom w:val="0"/>
          <w:divBdr>
            <w:top w:val="none" w:sz="0" w:space="0" w:color="auto"/>
            <w:left w:val="none" w:sz="0" w:space="0" w:color="auto"/>
            <w:bottom w:val="none" w:sz="0" w:space="0" w:color="auto"/>
            <w:right w:val="none" w:sz="0" w:space="0" w:color="auto"/>
          </w:divBdr>
          <w:divsChild>
            <w:div w:id="92283923">
              <w:marLeft w:val="0"/>
              <w:marRight w:val="0"/>
              <w:marTop w:val="0"/>
              <w:marBottom w:val="0"/>
              <w:divBdr>
                <w:top w:val="none" w:sz="0" w:space="0" w:color="auto"/>
                <w:left w:val="none" w:sz="0" w:space="0" w:color="auto"/>
                <w:bottom w:val="none" w:sz="0" w:space="0" w:color="auto"/>
                <w:right w:val="none" w:sz="0" w:space="0" w:color="auto"/>
              </w:divBdr>
              <w:divsChild>
                <w:div w:id="711342364">
                  <w:marLeft w:val="0"/>
                  <w:marRight w:val="0"/>
                  <w:marTop w:val="0"/>
                  <w:marBottom w:val="0"/>
                  <w:divBdr>
                    <w:top w:val="none" w:sz="0" w:space="0" w:color="auto"/>
                    <w:left w:val="none" w:sz="0" w:space="0" w:color="auto"/>
                    <w:bottom w:val="none" w:sz="0" w:space="0" w:color="auto"/>
                    <w:right w:val="none" w:sz="0" w:space="0" w:color="auto"/>
                  </w:divBdr>
                  <w:divsChild>
                    <w:div w:id="490098628">
                      <w:marLeft w:val="0"/>
                      <w:marRight w:val="0"/>
                      <w:marTop w:val="0"/>
                      <w:marBottom w:val="0"/>
                      <w:divBdr>
                        <w:top w:val="none" w:sz="0" w:space="0" w:color="auto"/>
                        <w:left w:val="none" w:sz="0" w:space="0" w:color="auto"/>
                        <w:bottom w:val="none" w:sz="0" w:space="0" w:color="auto"/>
                        <w:right w:val="none" w:sz="0" w:space="0" w:color="auto"/>
                      </w:divBdr>
                      <w:divsChild>
                        <w:div w:id="1595436334">
                          <w:marLeft w:val="0"/>
                          <w:marRight w:val="0"/>
                          <w:marTop w:val="0"/>
                          <w:marBottom w:val="0"/>
                          <w:divBdr>
                            <w:top w:val="none" w:sz="0" w:space="0" w:color="auto"/>
                            <w:left w:val="none" w:sz="0" w:space="0" w:color="auto"/>
                            <w:bottom w:val="none" w:sz="0" w:space="0" w:color="auto"/>
                            <w:right w:val="none" w:sz="0" w:space="0" w:color="auto"/>
                          </w:divBdr>
                          <w:divsChild>
                            <w:div w:id="920682207">
                              <w:marLeft w:val="0"/>
                              <w:marRight w:val="0"/>
                              <w:marTop w:val="0"/>
                              <w:marBottom w:val="0"/>
                              <w:divBdr>
                                <w:top w:val="none" w:sz="0" w:space="0" w:color="auto"/>
                                <w:left w:val="none" w:sz="0" w:space="0" w:color="auto"/>
                                <w:bottom w:val="none" w:sz="0" w:space="0" w:color="auto"/>
                                <w:right w:val="none" w:sz="0" w:space="0" w:color="auto"/>
                              </w:divBdr>
                              <w:divsChild>
                                <w:div w:id="1289971133">
                                  <w:marLeft w:val="0"/>
                                  <w:marRight w:val="0"/>
                                  <w:marTop w:val="0"/>
                                  <w:marBottom w:val="0"/>
                                  <w:divBdr>
                                    <w:top w:val="none" w:sz="0" w:space="0" w:color="auto"/>
                                    <w:left w:val="none" w:sz="0" w:space="0" w:color="auto"/>
                                    <w:bottom w:val="none" w:sz="0" w:space="0" w:color="auto"/>
                                    <w:right w:val="none" w:sz="0" w:space="0" w:color="auto"/>
                                  </w:divBdr>
                                  <w:divsChild>
                                    <w:div w:id="1135877981">
                                      <w:marLeft w:val="0"/>
                                      <w:marRight w:val="0"/>
                                      <w:marTop w:val="0"/>
                                      <w:marBottom w:val="0"/>
                                      <w:divBdr>
                                        <w:top w:val="none" w:sz="0" w:space="0" w:color="auto"/>
                                        <w:left w:val="none" w:sz="0" w:space="0" w:color="auto"/>
                                        <w:bottom w:val="none" w:sz="0" w:space="0" w:color="auto"/>
                                        <w:right w:val="none" w:sz="0" w:space="0" w:color="auto"/>
                                      </w:divBdr>
                                      <w:divsChild>
                                        <w:div w:id="1133056643">
                                          <w:marLeft w:val="0"/>
                                          <w:marRight w:val="0"/>
                                          <w:marTop w:val="0"/>
                                          <w:marBottom w:val="0"/>
                                          <w:divBdr>
                                            <w:top w:val="none" w:sz="0" w:space="0" w:color="auto"/>
                                            <w:left w:val="none" w:sz="0" w:space="0" w:color="auto"/>
                                            <w:bottom w:val="none" w:sz="0" w:space="0" w:color="auto"/>
                                            <w:right w:val="none" w:sz="0" w:space="0" w:color="auto"/>
                                          </w:divBdr>
                                          <w:divsChild>
                                            <w:div w:id="1378628203">
                                              <w:marLeft w:val="0"/>
                                              <w:marRight w:val="0"/>
                                              <w:marTop w:val="0"/>
                                              <w:marBottom w:val="0"/>
                                              <w:divBdr>
                                                <w:top w:val="none" w:sz="0" w:space="0" w:color="auto"/>
                                                <w:left w:val="none" w:sz="0" w:space="0" w:color="auto"/>
                                                <w:bottom w:val="none" w:sz="0" w:space="0" w:color="auto"/>
                                                <w:right w:val="none" w:sz="0" w:space="0" w:color="auto"/>
                                              </w:divBdr>
                                              <w:divsChild>
                                                <w:div w:id="1398669342">
                                                  <w:marLeft w:val="0"/>
                                                  <w:marRight w:val="0"/>
                                                  <w:marTop w:val="0"/>
                                                  <w:marBottom w:val="0"/>
                                                  <w:divBdr>
                                                    <w:top w:val="none" w:sz="0" w:space="0" w:color="auto"/>
                                                    <w:left w:val="none" w:sz="0" w:space="0" w:color="auto"/>
                                                    <w:bottom w:val="none" w:sz="0" w:space="0" w:color="auto"/>
                                                    <w:right w:val="none" w:sz="0" w:space="0" w:color="auto"/>
                                                  </w:divBdr>
                                                  <w:divsChild>
                                                    <w:div w:id="1780761050">
                                                      <w:marLeft w:val="0"/>
                                                      <w:marRight w:val="0"/>
                                                      <w:marTop w:val="0"/>
                                                      <w:marBottom w:val="0"/>
                                                      <w:divBdr>
                                                        <w:top w:val="none" w:sz="0" w:space="0" w:color="auto"/>
                                                        <w:left w:val="none" w:sz="0" w:space="0" w:color="auto"/>
                                                        <w:bottom w:val="none" w:sz="0" w:space="0" w:color="auto"/>
                                                        <w:right w:val="none" w:sz="0" w:space="0" w:color="auto"/>
                                                      </w:divBdr>
                                                    </w:div>
                                                  </w:divsChild>
                                                </w:div>
                                                <w:div w:id="45615373">
                                                  <w:marLeft w:val="0"/>
                                                  <w:marRight w:val="0"/>
                                                  <w:marTop w:val="0"/>
                                                  <w:marBottom w:val="0"/>
                                                  <w:divBdr>
                                                    <w:top w:val="none" w:sz="0" w:space="0" w:color="auto"/>
                                                    <w:left w:val="none" w:sz="0" w:space="0" w:color="auto"/>
                                                    <w:bottom w:val="none" w:sz="0" w:space="0" w:color="auto"/>
                                                    <w:right w:val="none" w:sz="0" w:space="0" w:color="auto"/>
                                                  </w:divBdr>
                                                  <w:divsChild>
                                                    <w:div w:id="4275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5709173">
      <w:bodyDiv w:val="1"/>
      <w:marLeft w:val="0"/>
      <w:marRight w:val="0"/>
      <w:marTop w:val="0"/>
      <w:marBottom w:val="0"/>
      <w:divBdr>
        <w:top w:val="none" w:sz="0" w:space="0" w:color="auto"/>
        <w:left w:val="none" w:sz="0" w:space="0" w:color="auto"/>
        <w:bottom w:val="none" w:sz="0" w:space="0" w:color="auto"/>
        <w:right w:val="none" w:sz="0" w:space="0" w:color="auto"/>
      </w:divBdr>
    </w:div>
    <w:div w:id="846095036">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4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356F58D-18B9-4542-BF8F-25EB3E1F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7624</Words>
  <Characters>41938</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2017-09-27T23:35:00Z</cp:lastPrinted>
  <dcterms:created xsi:type="dcterms:W3CDTF">2017-12-06T02:05:00Z</dcterms:created>
  <dcterms:modified xsi:type="dcterms:W3CDTF">2018-03-09T00:43:00Z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