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B6" w:rsidRPr="00601E45" w:rsidRDefault="002401B6" w:rsidP="00601E45">
      <w:pPr>
        <w:pStyle w:val="Ttulo1"/>
        <w:rPr>
          <w:rFonts w:ascii="ITC Avant Garde" w:hAnsi="ITC Avant Garde"/>
          <w:color w:val="auto"/>
          <w:sz w:val="22"/>
          <w:szCs w:val="22"/>
        </w:rPr>
      </w:pPr>
      <w:r w:rsidRPr="00601E45">
        <w:rPr>
          <w:rFonts w:ascii="ITC Avant Garde" w:hAnsi="ITC Avant Garde"/>
          <w:color w:val="auto"/>
          <w:sz w:val="22"/>
          <w:szCs w:val="22"/>
        </w:rPr>
        <w:t xml:space="preserve">Ciudad de México, a </w:t>
      </w:r>
      <w:r w:rsidR="004D01FD" w:rsidRPr="00601E45">
        <w:rPr>
          <w:rFonts w:ascii="ITC Avant Garde" w:hAnsi="ITC Avant Garde"/>
          <w:color w:val="auto"/>
          <w:sz w:val="22"/>
          <w:szCs w:val="22"/>
        </w:rPr>
        <w:t xml:space="preserve">seis </w:t>
      </w:r>
      <w:r w:rsidR="007D1E7D" w:rsidRPr="00601E45">
        <w:rPr>
          <w:rFonts w:ascii="ITC Avant Garde" w:hAnsi="ITC Avant Garde"/>
          <w:color w:val="auto"/>
          <w:sz w:val="22"/>
          <w:szCs w:val="22"/>
        </w:rPr>
        <w:t>de junio</w:t>
      </w:r>
      <w:r w:rsidR="006269F1" w:rsidRPr="00601E45">
        <w:rPr>
          <w:rFonts w:ascii="ITC Avant Garde" w:hAnsi="ITC Avant Garde"/>
          <w:color w:val="auto"/>
          <w:sz w:val="22"/>
          <w:szCs w:val="22"/>
        </w:rPr>
        <w:t xml:space="preserve"> de dos mil </w:t>
      </w:r>
      <w:r w:rsidR="002C5DE4" w:rsidRPr="00601E45">
        <w:rPr>
          <w:rFonts w:ascii="ITC Avant Garde" w:hAnsi="ITC Avant Garde"/>
          <w:color w:val="auto"/>
          <w:sz w:val="22"/>
          <w:szCs w:val="22"/>
        </w:rPr>
        <w:t>dieciocho. -</w:t>
      </w:r>
      <w:r w:rsidRPr="00601E45">
        <w:rPr>
          <w:rFonts w:ascii="ITC Avant Garde" w:hAnsi="ITC Avant Garde"/>
          <w:color w:val="auto"/>
          <w:sz w:val="22"/>
          <w:szCs w:val="22"/>
        </w:rPr>
        <w:t xml:space="preserve"> Vistos:</w:t>
      </w:r>
    </w:p>
    <w:p w:rsidR="002401B6" w:rsidRPr="005A7955" w:rsidRDefault="002401B6" w:rsidP="00601E45">
      <w:pPr>
        <w:tabs>
          <w:tab w:val="right" w:pos="8789"/>
        </w:tabs>
        <w:spacing w:before="240" w:line="240" w:lineRule="auto"/>
        <w:jc w:val="both"/>
        <w:rPr>
          <w:rFonts w:ascii="ITC Avant Garde" w:hAnsi="ITC Avant Garde"/>
        </w:rPr>
      </w:pPr>
      <w:r w:rsidRPr="005A7955">
        <w:rPr>
          <w:rFonts w:ascii="ITC Avant Garde" w:hAnsi="ITC Avant Garde"/>
          <w:b/>
        </w:rPr>
        <w:t xml:space="preserve">I. </w:t>
      </w:r>
      <w:r w:rsidRPr="005A7955">
        <w:rPr>
          <w:rFonts w:ascii="ITC Avant Garde" w:hAnsi="ITC Avant Garde"/>
        </w:rPr>
        <w:t xml:space="preserve">La resolución de </w:t>
      </w:r>
      <w:r w:rsidR="0051091A">
        <w:rPr>
          <w:rFonts w:ascii="ITC Avant Garde" w:hAnsi="ITC Avant Garde"/>
        </w:rPr>
        <w:t>veintiuno de enero de dos mil diez</w:t>
      </w:r>
      <w:r>
        <w:rPr>
          <w:rFonts w:ascii="ITC Avant Garde" w:hAnsi="ITC Avant Garde"/>
        </w:rPr>
        <w:t>,</w:t>
      </w:r>
      <w:r w:rsidRPr="005A7955">
        <w:rPr>
          <w:rFonts w:ascii="ITC Avant Garde" w:hAnsi="ITC Avant Garde"/>
        </w:rPr>
        <w:t xml:space="preserve"> emitida por el Pleno de la e</w:t>
      </w:r>
      <w:r>
        <w:rPr>
          <w:rFonts w:ascii="ITC Avant Garde" w:hAnsi="ITC Avant Garde"/>
        </w:rPr>
        <w:t>xtinta</w:t>
      </w:r>
      <w:r w:rsidRPr="005A7955">
        <w:rPr>
          <w:rFonts w:ascii="ITC Avant Garde" w:hAnsi="ITC Avant Garde"/>
        </w:rPr>
        <w:t xml:space="preserve"> Comisión Federal de Competencia (</w:t>
      </w:r>
      <w:r>
        <w:rPr>
          <w:rFonts w:ascii="ITC Avant Garde" w:hAnsi="ITC Avant Garde"/>
        </w:rPr>
        <w:t>CFC</w:t>
      </w:r>
      <w:r w:rsidRPr="005A7955">
        <w:rPr>
          <w:rFonts w:ascii="ITC Avant Garde" w:hAnsi="ITC Avant Garde"/>
        </w:rPr>
        <w:t xml:space="preserve">), dentro del </w:t>
      </w:r>
      <w:r w:rsidRPr="0096715E">
        <w:rPr>
          <w:rFonts w:ascii="ITC Avant Garde" w:hAnsi="ITC Avant Garde"/>
        </w:rPr>
        <w:t>expediente DC-0</w:t>
      </w:r>
      <w:r w:rsidR="0051091A">
        <w:rPr>
          <w:rFonts w:ascii="ITC Avant Garde" w:hAnsi="ITC Avant Garde"/>
        </w:rPr>
        <w:t>8</w:t>
      </w:r>
      <w:r w:rsidRPr="0096715E">
        <w:rPr>
          <w:rFonts w:ascii="ITC Avant Garde" w:hAnsi="ITC Avant Garde"/>
        </w:rPr>
        <w:t>-2007</w:t>
      </w:r>
      <w:r>
        <w:rPr>
          <w:rFonts w:ascii="ITC Avant Garde" w:hAnsi="ITC Avant Garde"/>
        </w:rPr>
        <w:t>,</w:t>
      </w:r>
      <w:r>
        <w:rPr>
          <w:rStyle w:val="Refdenotaalpie"/>
          <w:rFonts w:ascii="ITC Avant Garde" w:hAnsi="ITC Avant Garde"/>
        </w:rPr>
        <w:footnoteReference w:id="2"/>
      </w:r>
      <w:r>
        <w:rPr>
          <w:rFonts w:ascii="ITC Avant Garde" w:hAnsi="ITC Avant Garde"/>
        </w:rPr>
        <w:t xml:space="preserve"> </w:t>
      </w:r>
      <w:r w:rsidR="006224B3">
        <w:rPr>
          <w:rFonts w:ascii="ITC Avant Garde" w:hAnsi="ITC Avant Garde"/>
        </w:rPr>
        <w:t>mediante la cual</w:t>
      </w:r>
      <w:r>
        <w:rPr>
          <w:rFonts w:ascii="ITC Avant Garde" w:hAnsi="ITC Avant Garde"/>
        </w:rPr>
        <w:t xml:space="preserve"> resolvió que Radiomóvil Dipsa, S.A. de C.V. (Telcel) tiene poder sustancial en el mercado relevante de servicios de </w:t>
      </w:r>
      <w:r w:rsidR="00B741FD">
        <w:rPr>
          <w:rFonts w:ascii="ITC Avant Garde" w:hAnsi="ITC Avant Garde"/>
        </w:rPr>
        <w:t>telefonía móvil a nivel nacional</w:t>
      </w:r>
      <w:r w:rsidRPr="005A7955">
        <w:rPr>
          <w:rFonts w:ascii="ITC Avant Garde" w:hAnsi="ITC Avant Garde"/>
        </w:rPr>
        <w:t>.</w:t>
      </w:r>
    </w:p>
    <w:p w:rsidR="002401B6" w:rsidRDefault="002401B6" w:rsidP="002C5DE4">
      <w:pPr>
        <w:tabs>
          <w:tab w:val="right" w:pos="8789"/>
        </w:tabs>
        <w:spacing w:line="240" w:lineRule="auto"/>
        <w:jc w:val="both"/>
        <w:rPr>
          <w:rFonts w:ascii="ITC Avant Garde" w:hAnsi="ITC Avant Garde"/>
        </w:rPr>
      </w:pPr>
      <w:r>
        <w:rPr>
          <w:rFonts w:ascii="ITC Avant Garde" w:hAnsi="ITC Avant Garde"/>
          <w:b/>
        </w:rPr>
        <w:t>II</w:t>
      </w:r>
      <w:r w:rsidRPr="00745B3C">
        <w:rPr>
          <w:rFonts w:ascii="ITC Avant Garde" w:hAnsi="ITC Avant Garde"/>
          <w:b/>
        </w:rPr>
        <w:t>.</w:t>
      </w:r>
      <w:r w:rsidRPr="00745B3C">
        <w:rPr>
          <w:rFonts w:ascii="ITC Avant Garde" w:hAnsi="ITC Avant Garde"/>
        </w:rPr>
        <w:t xml:space="preserve"> </w:t>
      </w:r>
      <w:r>
        <w:rPr>
          <w:rFonts w:ascii="ITC Avant Garde" w:hAnsi="ITC Avant Garde"/>
        </w:rPr>
        <w:t>La r</w:t>
      </w:r>
      <w:r w:rsidRPr="00DA53B6">
        <w:rPr>
          <w:rFonts w:ascii="ITC Avant Garde" w:hAnsi="ITC Avant Garde"/>
        </w:rPr>
        <w:t xml:space="preserve">esolución </w:t>
      </w:r>
      <w:r>
        <w:rPr>
          <w:rFonts w:ascii="ITC Avant Garde" w:hAnsi="ITC Avant Garde"/>
        </w:rPr>
        <w:t xml:space="preserve">de </w:t>
      </w:r>
      <w:r w:rsidR="00B741FD">
        <w:rPr>
          <w:rFonts w:ascii="ITC Avant Garde" w:hAnsi="ITC Avant Garde"/>
        </w:rPr>
        <w:t>veintiocho de febrero de dos mil trece</w:t>
      </w:r>
      <w:r>
        <w:rPr>
          <w:rFonts w:ascii="ITC Avant Garde" w:hAnsi="ITC Avant Garde"/>
        </w:rPr>
        <w:t>, emitida por el Pleno de la CFC, dentro del recurso de reconsideración con número de expediente RA-</w:t>
      </w:r>
      <w:r w:rsidR="00B741FD">
        <w:rPr>
          <w:rFonts w:ascii="ITC Avant Garde" w:hAnsi="ITC Avant Garde"/>
        </w:rPr>
        <w:t>016-2010</w:t>
      </w:r>
      <w:r>
        <w:rPr>
          <w:rFonts w:ascii="ITC Avant Garde" w:hAnsi="ITC Avant Garde"/>
        </w:rPr>
        <w:t xml:space="preserve"> (Expediente),</w:t>
      </w:r>
      <w:r>
        <w:rPr>
          <w:rStyle w:val="Refdenotaalpie"/>
          <w:rFonts w:ascii="ITC Avant Garde" w:hAnsi="ITC Avant Garde"/>
        </w:rPr>
        <w:footnoteReference w:id="3"/>
      </w:r>
      <w:r>
        <w:rPr>
          <w:rFonts w:ascii="ITC Avant Garde" w:hAnsi="ITC Avant Garde"/>
        </w:rPr>
        <w:t xml:space="preserve"> mediante la cual confirmó que Telcel tiene poder sustancial en el mercado relevante de servicios de </w:t>
      </w:r>
      <w:r w:rsidR="00B741FD">
        <w:rPr>
          <w:rFonts w:ascii="ITC Avant Garde" w:hAnsi="ITC Avant Garde"/>
        </w:rPr>
        <w:t>telefonía móvil a nivel nacional</w:t>
      </w:r>
      <w:r>
        <w:rPr>
          <w:rFonts w:ascii="ITC Avant Garde" w:hAnsi="ITC Avant Garde"/>
        </w:rPr>
        <w:t>.</w:t>
      </w:r>
    </w:p>
    <w:p w:rsidR="002401B6" w:rsidRDefault="002401B6" w:rsidP="002C5DE4">
      <w:pPr>
        <w:spacing w:before="120" w:line="240" w:lineRule="auto"/>
        <w:jc w:val="both"/>
        <w:rPr>
          <w:rFonts w:ascii="ITC Avant Garde" w:hAnsi="ITC Avant Garde"/>
        </w:rPr>
      </w:pPr>
      <w:r w:rsidRPr="00AB2DFA">
        <w:rPr>
          <w:rFonts w:ascii="ITC Avant Garde" w:hAnsi="ITC Avant Garde"/>
          <w:b/>
        </w:rPr>
        <w:t>II</w:t>
      </w:r>
      <w:r>
        <w:rPr>
          <w:rFonts w:ascii="ITC Avant Garde" w:hAnsi="ITC Avant Garde"/>
          <w:b/>
        </w:rPr>
        <w:t>I</w:t>
      </w:r>
      <w:r w:rsidRPr="00AB2DFA">
        <w:rPr>
          <w:rFonts w:ascii="ITC Avant Garde" w:hAnsi="ITC Avant Garde"/>
          <w:b/>
        </w:rPr>
        <w:t>.</w:t>
      </w:r>
      <w:r>
        <w:rPr>
          <w:rFonts w:ascii="ITC Avant Garde" w:hAnsi="ITC Avant Garde"/>
        </w:rPr>
        <w:t xml:space="preserve"> La sentencia de fecha </w:t>
      </w:r>
      <w:r w:rsidR="00B741FD">
        <w:rPr>
          <w:rFonts w:ascii="ITC Avant Garde" w:hAnsi="ITC Avant Garde"/>
        </w:rPr>
        <w:t>veintiuno de septiembre de dos mil quince</w:t>
      </w:r>
      <w:r>
        <w:rPr>
          <w:rFonts w:ascii="ITC Avant Garde" w:hAnsi="ITC Avant Garde"/>
        </w:rPr>
        <w:t>,</w:t>
      </w:r>
      <w:r w:rsidR="00D24170">
        <w:rPr>
          <w:rFonts w:ascii="ITC Avant Garde" w:hAnsi="ITC Avant Garde"/>
        </w:rPr>
        <w:t xml:space="preserve"> emitida por </w:t>
      </w:r>
      <w:r w:rsidR="000D2A40">
        <w:rPr>
          <w:rFonts w:ascii="ITC Avant Garde" w:hAnsi="ITC Avant Garde"/>
        </w:rPr>
        <w:t>e</w:t>
      </w:r>
      <w:r>
        <w:rPr>
          <w:rFonts w:ascii="ITC Avant Garde" w:hAnsi="ITC Avant Garde"/>
        </w:rPr>
        <w:t xml:space="preserve">l </w:t>
      </w:r>
      <w:r w:rsidR="00D24170">
        <w:rPr>
          <w:rFonts w:ascii="ITC Avant Garde" w:hAnsi="ITC Avant Garde"/>
        </w:rPr>
        <w:t>Juz</w:t>
      </w:r>
      <w:r w:rsidR="000D2A40">
        <w:rPr>
          <w:rFonts w:ascii="ITC Avant Garde" w:hAnsi="ITC Avant Garde"/>
        </w:rPr>
        <w:t>g</w:t>
      </w:r>
      <w:r w:rsidR="00D24170">
        <w:rPr>
          <w:rFonts w:ascii="ITC Avant Garde" w:hAnsi="ITC Avant Garde"/>
        </w:rPr>
        <w:t>a</w:t>
      </w:r>
      <w:r w:rsidR="000D2A40">
        <w:rPr>
          <w:rFonts w:ascii="ITC Avant Garde" w:hAnsi="ITC Avant Garde"/>
        </w:rPr>
        <w:t>do</w:t>
      </w:r>
      <w:r w:rsidR="00D24170">
        <w:rPr>
          <w:rFonts w:ascii="ITC Avant Garde" w:hAnsi="ITC Avant Garde"/>
        </w:rPr>
        <w:t xml:space="preserve"> Primero de Distrito en Materia Administrativa Especializada en Competencia Económica, Radiodifusión y Telecomunicaciones</w:t>
      </w:r>
      <w:r w:rsidR="00DD208D">
        <w:rPr>
          <w:rFonts w:ascii="ITC Avant Garde" w:hAnsi="ITC Avant Garde"/>
        </w:rPr>
        <w:t>, con residencia en la Ciudad de México y jurisdicción en toda la República</w:t>
      </w:r>
      <w:r w:rsidR="00666FE8">
        <w:rPr>
          <w:rFonts w:ascii="ITC Avant Garde" w:hAnsi="ITC Avant Garde"/>
        </w:rPr>
        <w:t xml:space="preserve"> (Juzgado)</w:t>
      </w:r>
      <w:r>
        <w:rPr>
          <w:rFonts w:ascii="ITC Avant Garde" w:hAnsi="ITC Avant Garde"/>
        </w:rPr>
        <w:t xml:space="preserve">, dentro del expediente del juicio de amparo </w:t>
      </w:r>
      <w:r w:rsidR="00DD208D">
        <w:rPr>
          <w:rFonts w:ascii="ITC Avant Garde" w:hAnsi="ITC Avant Garde"/>
        </w:rPr>
        <w:t>212/2014</w:t>
      </w:r>
      <w:r>
        <w:rPr>
          <w:rFonts w:ascii="ITC Avant Garde" w:hAnsi="ITC Avant Garde"/>
        </w:rPr>
        <w:t xml:space="preserve">, </w:t>
      </w:r>
      <w:r w:rsidR="006224B3">
        <w:rPr>
          <w:rFonts w:ascii="ITC Avant Garde" w:hAnsi="ITC Avant Garde"/>
        </w:rPr>
        <w:t>mediante la cual</w:t>
      </w:r>
      <w:r>
        <w:rPr>
          <w:rFonts w:ascii="ITC Avant Garde" w:hAnsi="ITC Avant Garde"/>
        </w:rPr>
        <w:t xml:space="preserve"> resolvi</w:t>
      </w:r>
      <w:r w:rsidR="004D01FD">
        <w:rPr>
          <w:rFonts w:ascii="ITC Avant Garde" w:hAnsi="ITC Avant Garde"/>
        </w:rPr>
        <w:t>ó que “</w:t>
      </w:r>
      <w:r>
        <w:rPr>
          <w:rFonts w:ascii="ITC Avant Garde" w:hAnsi="ITC Avant Garde"/>
        </w:rPr>
        <w:t xml:space="preserve">[…] </w:t>
      </w:r>
      <w:r>
        <w:rPr>
          <w:rFonts w:ascii="ITC Avant Garde" w:hAnsi="ITC Avant Garde"/>
          <w:i/>
          <w:sz w:val="20"/>
          <w:szCs w:val="20"/>
        </w:rPr>
        <w:t xml:space="preserve">La Justicia de la Unión </w:t>
      </w:r>
      <w:r w:rsidRPr="00623835">
        <w:rPr>
          <w:rFonts w:ascii="ITC Avant Garde" w:hAnsi="ITC Avant Garde"/>
          <w:b/>
          <w:i/>
          <w:sz w:val="20"/>
          <w:szCs w:val="20"/>
        </w:rPr>
        <w:t xml:space="preserve">AMPARA Y PROTEGE a </w:t>
      </w:r>
      <w:r w:rsidRPr="00120AE7">
        <w:rPr>
          <w:rFonts w:ascii="ITC Avant Garde" w:hAnsi="ITC Avant Garde"/>
          <w:b/>
          <w:szCs w:val="20"/>
        </w:rPr>
        <w:t>[Telcel]</w:t>
      </w:r>
      <w:r>
        <w:rPr>
          <w:rFonts w:ascii="ITC Avant Garde" w:hAnsi="ITC Avant Garde"/>
          <w:szCs w:val="20"/>
        </w:rPr>
        <w:t>,</w:t>
      </w:r>
      <w:r w:rsidRPr="004C1E12">
        <w:rPr>
          <w:rFonts w:ascii="ITC Avant Garde" w:hAnsi="ITC Avant Garde"/>
          <w:i/>
          <w:sz w:val="20"/>
          <w:szCs w:val="20"/>
        </w:rPr>
        <w:t xml:space="preserve"> </w:t>
      </w:r>
      <w:r w:rsidR="00DD208D">
        <w:rPr>
          <w:rFonts w:ascii="ITC Avant Garde" w:hAnsi="ITC Avant Garde"/>
          <w:i/>
          <w:sz w:val="20"/>
          <w:szCs w:val="20"/>
        </w:rPr>
        <w:t>por los motivos y para los efectos precisados en el último considerando de la presente resolución</w:t>
      </w:r>
      <w:r>
        <w:rPr>
          <w:rFonts w:ascii="ITC Avant Garde" w:hAnsi="ITC Avant Garde"/>
          <w:i/>
          <w:sz w:val="20"/>
          <w:szCs w:val="20"/>
        </w:rPr>
        <w:t>.</w:t>
      </w:r>
      <w:r>
        <w:rPr>
          <w:rFonts w:ascii="ITC Avant Garde" w:hAnsi="ITC Avant Garde"/>
        </w:rPr>
        <w:t>”(Sentencia).</w:t>
      </w:r>
    </w:p>
    <w:p w:rsidR="007E2E94" w:rsidRDefault="002401B6" w:rsidP="002C5DE4">
      <w:pPr>
        <w:spacing w:before="120" w:line="240" w:lineRule="auto"/>
        <w:jc w:val="both"/>
        <w:rPr>
          <w:rFonts w:ascii="ITC Avant Garde" w:hAnsi="ITC Avant Garde"/>
        </w:rPr>
      </w:pPr>
      <w:r>
        <w:rPr>
          <w:rFonts w:ascii="ITC Avant Garde" w:hAnsi="ITC Avant Garde"/>
          <w:b/>
        </w:rPr>
        <w:t>IV</w:t>
      </w:r>
      <w:r w:rsidRPr="00FA4088">
        <w:rPr>
          <w:rFonts w:ascii="ITC Avant Garde" w:hAnsi="ITC Avant Garde"/>
          <w:b/>
        </w:rPr>
        <w:t>.</w:t>
      </w:r>
      <w:r>
        <w:rPr>
          <w:rFonts w:ascii="ITC Avant Garde" w:hAnsi="ITC Avant Garde"/>
        </w:rPr>
        <w:t xml:space="preserve"> La </w:t>
      </w:r>
      <w:r w:rsidR="006224B3">
        <w:rPr>
          <w:rFonts w:ascii="ITC Avant Garde" w:hAnsi="ITC Avant Garde"/>
        </w:rPr>
        <w:t xml:space="preserve">ejecutoria </w:t>
      </w:r>
      <w:r>
        <w:rPr>
          <w:rFonts w:ascii="ITC Avant Garde" w:hAnsi="ITC Avant Garde"/>
        </w:rPr>
        <w:t xml:space="preserve">emitida el </w:t>
      </w:r>
      <w:r w:rsidR="00774A0F">
        <w:rPr>
          <w:rFonts w:ascii="ITC Avant Garde" w:hAnsi="ITC Avant Garde"/>
        </w:rPr>
        <w:t>veintiséis de abril de dos mil dieciocho</w:t>
      </w:r>
      <w:r>
        <w:rPr>
          <w:rFonts w:ascii="ITC Avant Garde" w:hAnsi="ITC Avant Garde"/>
        </w:rPr>
        <w:t>, en los autos del toca de</w:t>
      </w:r>
      <w:r w:rsidR="001F2826">
        <w:rPr>
          <w:rFonts w:ascii="ITC Avant Garde" w:hAnsi="ITC Avant Garde"/>
        </w:rPr>
        <w:t>l</w:t>
      </w:r>
      <w:r>
        <w:rPr>
          <w:rFonts w:ascii="ITC Avant Garde" w:hAnsi="ITC Avant Garde"/>
        </w:rPr>
        <w:t xml:space="preserve"> amparo en revisión R.A.</w:t>
      </w:r>
      <w:r w:rsidR="00774A0F">
        <w:rPr>
          <w:rFonts w:ascii="ITC Avant Garde" w:hAnsi="ITC Avant Garde"/>
        </w:rPr>
        <w:t xml:space="preserve"> 153/2015</w:t>
      </w:r>
      <w:r>
        <w:rPr>
          <w:rFonts w:ascii="ITC Avant Garde" w:hAnsi="ITC Avant Garde"/>
        </w:rPr>
        <w:t xml:space="preserve"> del índice del Primer Tribunal Colegiado de </w:t>
      </w:r>
      <w:r w:rsidRPr="00CC489B">
        <w:rPr>
          <w:rFonts w:ascii="ITC Avant Garde" w:hAnsi="ITC Avant Garde"/>
        </w:rPr>
        <w:t>Circuito en Materia Administrati</w:t>
      </w:r>
      <w:r>
        <w:rPr>
          <w:rFonts w:ascii="ITC Avant Garde" w:hAnsi="ITC Avant Garde"/>
        </w:rPr>
        <w:t xml:space="preserve">va Especializado en Competencia </w:t>
      </w:r>
      <w:r w:rsidRPr="00CC489B">
        <w:rPr>
          <w:rFonts w:ascii="ITC Avant Garde" w:hAnsi="ITC Avant Garde"/>
        </w:rPr>
        <w:t>Económica, Radiodifusión y Teleco</w:t>
      </w:r>
      <w:r>
        <w:rPr>
          <w:rFonts w:ascii="ITC Avant Garde" w:hAnsi="ITC Avant Garde"/>
        </w:rPr>
        <w:t xml:space="preserve">municaciones, con residencia en </w:t>
      </w:r>
      <w:r w:rsidRPr="00CC489B">
        <w:rPr>
          <w:rFonts w:ascii="ITC Avant Garde" w:hAnsi="ITC Avant Garde"/>
        </w:rPr>
        <w:t>la Ciudad de México y jurisdicción en toda la República</w:t>
      </w:r>
      <w:r>
        <w:rPr>
          <w:rFonts w:ascii="ITC Avant Garde" w:hAnsi="ITC Avant Garde"/>
        </w:rPr>
        <w:t xml:space="preserve"> (Ejecutoria),</w:t>
      </w:r>
      <w:r w:rsidR="00774A0F">
        <w:rPr>
          <w:rFonts w:ascii="ITC Avant Garde" w:hAnsi="ITC Avant Garde"/>
        </w:rPr>
        <w:t xml:space="preserve"> </w:t>
      </w:r>
      <w:r w:rsidR="006224B3">
        <w:rPr>
          <w:rFonts w:ascii="ITC Avant Garde" w:hAnsi="ITC Avant Garde"/>
        </w:rPr>
        <w:t>por la que</w:t>
      </w:r>
      <w:r w:rsidR="00774A0F">
        <w:rPr>
          <w:rFonts w:ascii="ITC Avant Garde" w:hAnsi="ITC Avant Garde"/>
        </w:rPr>
        <w:t xml:space="preserve"> resolvió: </w:t>
      </w:r>
      <w:r w:rsidR="00774A0F" w:rsidRPr="00774A0F">
        <w:rPr>
          <w:rFonts w:ascii="ITC Avant Garde" w:hAnsi="ITC Avant Garde"/>
          <w:b/>
        </w:rPr>
        <w:t>(i)</w:t>
      </w:r>
      <w:r w:rsidR="00774A0F">
        <w:rPr>
          <w:rFonts w:ascii="ITC Avant Garde" w:hAnsi="ITC Avant Garde"/>
        </w:rPr>
        <w:t xml:space="preserve"> modificar la Sentencia y, </w:t>
      </w:r>
      <w:r w:rsidR="00774A0F">
        <w:rPr>
          <w:rFonts w:ascii="ITC Avant Garde" w:hAnsi="ITC Avant Garde"/>
          <w:b/>
        </w:rPr>
        <w:t>(ii)</w:t>
      </w:r>
      <w:r w:rsidR="00A8582D">
        <w:rPr>
          <w:rFonts w:ascii="ITC Avant Garde" w:hAnsi="ITC Avant Garde"/>
          <w:b/>
        </w:rPr>
        <w:t xml:space="preserve"> </w:t>
      </w:r>
      <w:r w:rsidR="007E2E94">
        <w:rPr>
          <w:rFonts w:ascii="ITC Avant Garde" w:hAnsi="ITC Avant Garde"/>
        </w:rPr>
        <w:t>amparar a Telcel en contra de la resolución de veintiocho de febrero de dos mil trece, dictada en el recurso de reconsideración RA-016-2010, para lo</w:t>
      </w:r>
      <w:r w:rsidR="002D12E5">
        <w:rPr>
          <w:rFonts w:ascii="ITC Avant Garde" w:hAnsi="ITC Avant Garde"/>
        </w:rPr>
        <w:t>s</w:t>
      </w:r>
      <w:r w:rsidR="007E2E94">
        <w:rPr>
          <w:rFonts w:ascii="ITC Avant Garde" w:hAnsi="ITC Avant Garde"/>
        </w:rPr>
        <w:t xml:space="preserve"> efectos precisados en el último considerando de la Ejecutoria.</w:t>
      </w:r>
      <w:r w:rsidR="006224B3">
        <w:rPr>
          <w:rFonts w:ascii="ITC Avant Garde" w:hAnsi="ITC Avant Garde"/>
        </w:rPr>
        <w:t xml:space="preserve"> </w:t>
      </w:r>
      <w:r w:rsidR="007E2E94">
        <w:rPr>
          <w:rFonts w:ascii="ITC Avant Garde" w:hAnsi="ITC Avant Garde"/>
        </w:rPr>
        <w:t xml:space="preserve">Los efectos </w:t>
      </w:r>
      <w:r w:rsidR="006224B3">
        <w:rPr>
          <w:rFonts w:ascii="ITC Avant Garde" w:hAnsi="ITC Avant Garde"/>
        </w:rPr>
        <w:t xml:space="preserve">referidos </w:t>
      </w:r>
      <w:r w:rsidR="007E2E94">
        <w:rPr>
          <w:rFonts w:ascii="ITC Avant Garde" w:hAnsi="ITC Avant Garde"/>
        </w:rPr>
        <w:t>en la Ejecutoria, son los siguientes:</w:t>
      </w:r>
    </w:p>
    <w:p w:rsidR="00857801" w:rsidRDefault="002401B6" w:rsidP="002C5DE4">
      <w:pPr>
        <w:spacing w:line="240" w:lineRule="auto"/>
        <w:ind w:left="567" w:right="567"/>
        <w:jc w:val="both"/>
        <w:rPr>
          <w:rFonts w:ascii="ITC Avant Garde" w:hAnsi="ITC Avant Garde"/>
          <w:i/>
          <w:sz w:val="20"/>
          <w:szCs w:val="20"/>
        </w:rPr>
      </w:pPr>
      <w:r>
        <w:rPr>
          <w:rFonts w:ascii="ITC Avant Garde" w:hAnsi="ITC Avant Garde"/>
          <w:i/>
          <w:sz w:val="20"/>
          <w:szCs w:val="20"/>
        </w:rPr>
        <w:t>“</w:t>
      </w:r>
      <w:r w:rsidR="008A143E">
        <w:rPr>
          <w:rFonts w:ascii="ITC Avant Garde" w:hAnsi="ITC Avant Garde"/>
        </w:rPr>
        <w:t xml:space="preserve">[…] </w:t>
      </w:r>
      <w:r w:rsidR="00857801">
        <w:rPr>
          <w:rFonts w:ascii="ITC Avant Garde" w:hAnsi="ITC Avant Garde"/>
          <w:i/>
          <w:sz w:val="20"/>
          <w:szCs w:val="20"/>
        </w:rPr>
        <w:t>129. Son sustancialmente fundados los planteamientos que formula la quejosa en un apartado del segundo y quinto de sus conceptos de violación, en lo</w:t>
      </w:r>
      <w:r w:rsidR="00415ADF">
        <w:rPr>
          <w:rFonts w:ascii="ITC Avant Garde" w:hAnsi="ITC Avant Garde"/>
          <w:i/>
          <w:sz w:val="20"/>
          <w:szCs w:val="20"/>
        </w:rPr>
        <w:t>s</w:t>
      </w:r>
      <w:r w:rsidR="00857801">
        <w:rPr>
          <w:rFonts w:ascii="ITC Avant Garde" w:hAnsi="ITC Avant Garde"/>
          <w:i/>
          <w:sz w:val="20"/>
          <w:szCs w:val="20"/>
        </w:rPr>
        <w:t xml:space="preserve"> que expone lo siguiente:</w:t>
      </w:r>
    </w:p>
    <w:p w:rsidR="00857801" w:rsidRDefault="00857801" w:rsidP="002C5DE4">
      <w:pPr>
        <w:pStyle w:val="Prrafodelista"/>
        <w:numPr>
          <w:ilvl w:val="0"/>
          <w:numId w:val="3"/>
        </w:numPr>
        <w:spacing w:line="240" w:lineRule="auto"/>
        <w:ind w:left="924" w:right="567" w:hanging="357"/>
        <w:contextualSpacing w:val="0"/>
        <w:jc w:val="both"/>
        <w:rPr>
          <w:rFonts w:ascii="ITC Avant Garde" w:hAnsi="ITC Avant Garde"/>
          <w:i/>
          <w:sz w:val="20"/>
          <w:szCs w:val="20"/>
        </w:rPr>
      </w:pPr>
      <w:r>
        <w:rPr>
          <w:rFonts w:ascii="ITC Avant Garde" w:hAnsi="ITC Avant Garde"/>
          <w:i/>
          <w:sz w:val="20"/>
          <w:szCs w:val="20"/>
        </w:rPr>
        <w:t>Que es inconstitucional el hecho de que en el acto reclamado se hayan desestimado algunos de sus agravios, bajo la idea de que resultaba</w:t>
      </w:r>
      <w:r w:rsidR="00415ADF">
        <w:rPr>
          <w:rFonts w:ascii="ITC Avant Garde" w:hAnsi="ITC Avant Garde"/>
          <w:i/>
          <w:sz w:val="20"/>
          <w:szCs w:val="20"/>
        </w:rPr>
        <w:t>n</w:t>
      </w:r>
      <w:r>
        <w:rPr>
          <w:rFonts w:ascii="ITC Avant Garde" w:hAnsi="ITC Avant Garde"/>
          <w:i/>
          <w:sz w:val="20"/>
          <w:szCs w:val="20"/>
        </w:rPr>
        <w:t xml:space="preserve"> novedosos, “cuando en realidad se estaba ante la primera oportunidad de impugnar lo resuelto en la primera resolución definitiva del expediente </w:t>
      </w:r>
      <w:r w:rsidR="006E1480">
        <w:rPr>
          <w:rFonts w:ascii="ITC Avant Garde" w:hAnsi="ITC Avant Garde"/>
          <w:i/>
          <w:sz w:val="20"/>
          <w:szCs w:val="20"/>
        </w:rPr>
        <w:t>DC-08-2007, en la que se modifican por primera vez situaciones procesales diversas al dictamen preliminar y actuaciones previas. ¿cómo podrían haber sido planteadas antes del recurso?</w:t>
      </w:r>
    </w:p>
    <w:p w:rsidR="006E1480" w:rsidRDefault="006E1480" w:rsidP="002C5DE4">
      <w:pPr>
        <w:pStyle w:val="Prrafodelista"/>
        <w:numPr>
          <w:ilvl w:val="0"/>
          <w:numId w:val="3"/>
        </w:numPr>
        <w:spacing w:line="240" w:lineRule="auto"/>
        <w:ind w:left="924" w:right="567" w:hanging="357"/>
        <w:contextualSpacing w:val="0"/>
        <w:jc w:val="both"/>
        <w:rPr>
          <w:rFonts w:ascii="ITC Avant Garde" w:hAnsi="ITC Avant Garde"/>
          <w:i/>
          <w:sz w:val="20"/>
          <w:szCs w:val="20"/>
        </w:rPr>
      </w:pPr>
      <w:r>
        <w:rPr>
          <w:rFonts w:ascii="ITC Avant Garde" w:hAnsi="ITC Avant Garde"/>
          <w:i/>
          <w:sz w:val="20"/>
          <w:szCs w:val="20"/>
        </w:rPr>
        <w:t>Que en la resolución reclamada quedó sin atenderse y resolverse</w:t>
      </w:r>
      <w:r w:rsidR="006A6B5A">
        <w:rPr>
          <w:rFonts w:ascii="ITC Avant Garde" w:hAnsi="ITC Avant Garde"/>
          <w:i/>
          <w:sz w:val="20"/>
          <w:szCs w:val="20"/>
        </w:rPr>
        <w:t xml:space="preserve"> la parte del tercer agravio del recurso de reconsideración</w:t>
      </w:r>
      <w:r>
        <w:rPr>
          <w:rFonts w:ascii="ITC Avant Garde" w:hAnsi="ITC Avant Garde"/>
          <w:i/>
          <w:sz w:val="20"/>
          <w:szCs w:val="20"/>
        </w:rPr>
        <w:t xml:space="preserve">, en el que hizo valer la mutación o variación </w:t>
      </w:r>
      <w:r>
        <w:rPr>
          <w:rFonts w:ascii="ITC Avant Garde" w:hAnsi="ITC Avant Garde"/>
          <w:i/>
          <w:sz w:val="20"/>
          <w:szCs w:val="20"/>
        </w:rPr>
        <w:lastRenderedPageBreak/>
        <w:t>más grave del mercado materia de la declaratoria de poder sustancial, pues la CFC pretende que como consecuencia de “una declaratoria de poder sus</w:t>
      </w:r>
      <w:r w:rsidR="006A6B5A">
        <w:rPr>
          <w:rFonts w:ascii="ITC Avant Garde" w:hAnsi="ITC Avant Garde"/>
          <w:i/>
          <w:sz w:val="20"/>
          <w:szCs w:val="20"/>
        </w:rPr>
        <w:t>tancial en el mercado relevante</w:t>
      </w:r>
      <w:r>
        <w:rPr>
          <w:rFonts w:ascii="ITC Avant Garde" w:hAnsi="ITC Avant Garde"/>
          <w:i/>
          <w:sz w:val="20"/>
          <w:szCs w:val="20"/>
        </w:rPr>
        <w:t xml:space="preserve"> de “servicios de telefoní</w:t>
      </w:r>
      <w:r w:rsidRPr="006E1480">
        <w:rPr>
          <w:rFonts w:ascii="ITC Avant Garde" w:hAnsi="ITC Avant Garde"/>
          <w:i/>
          <w:sz w:val="20"/>
          <w:szCs w:val="20"/>
        </w:rPr>
        <w:t>a</w:t>
      </w:r>
      <w:r>
        <w:rPr>
          <w:rFonts w:ascii="ITC Avant Garde" w:hAnsi="ITC Avant Garde"/>
          <w:i/>
          <w:sz w:val="20"/>
          <w:szCs w:val="20"/>
        </w:rPr>
        <w:t xml:space="preserve"> </w:t>
      </w:r>
      <w:r w:rsidRPr="006E1480">
        <w:rPr>
          <w:rFonts w:ascii="ITC Avant Garde" w:hAnsi="ITC Avant Garde"/>
          <w:i/>
          <w:sz w:val="20"/>
          <w:szCs w:val="20"/>
        </w:rPr>
        <w:t>móvil a nivel nacional”</w:t>
      </w:r>
      <w:r>
        <w:rPr>
          <w:rFonts w:ascii="ITC Avant Garde" w:hAnsi="ITC Avant Garde"/>
          <w:i/>
          <w:sz w:val="20"/>
          <w:szCs w:val="20"/>
        </w:rPr>
        <w:t xml:space="preserve"> en términos del artículo </w:t>
      </w:r>
      <w:r w:rsidR="006A6B5A">
        <w:rPr>
          <w:rFonts w:ascii="ITC Avant Garde" w:hAnsi="ITC Avant Garde"/>
          <w:i/>
          <w:sz w:val="20"/>
          <w:szCs w:val="20"/>
        </w:rPr>
        <w:t>33 bis antes señalado, se regule</w:t>
      </w:r>
      <w:r>
        <w:rPr>
          <w:rFonts w:ascii="ITC Avant Garde" w:hAnsi="ITC Avant Garde"/>
          <w:i/>
          <w:sz w:val="20"/>
          <w:szCs w:val="20"/>
        </w:rPr>
        <w:t xml:space="preserve"> a través de obligaciones específicas un mercado distinto, lo que es ilegal y cambia la naturaleza, efectos, alcances y causa del procedimiento dejando a </w:t>
      </w:r>
      <w:r w:rsidR="002D12E5">
        <w:rPr>
          <w:rFonts w:ascii="ITC Avant Garde" w:hAnsi="ITC Avant Garde"/>
          <w:i/>
          <w:sz w:val="20"/>
          <w:szCs w:val="20"/>
        </w:rPr>
        <w:t>m</w:t>
      </w:r>
      <w:r>
        <w:rPr>
          <w:rFonts w:ascii="ITC Avant Garde" w:hAnsi="ITC Avant Garde"/>
          <w:i/>
          <w:sz w:val="20"/>
          <w:szCs w:val="20"/>
        </w:rPr>
        <w:t>i mandante en indefensión.”</w:t>
      </w:r>
    </w:p>
    <w:p w:rsidR="006E1480" w:rsidRDefault="006E1480" w:rsidP="002C5DE4">
      <w:pPr>
        <w:spacing w:line="240" w:lineRule="auto"/>
        <w:ind w:left="567" w:right="567"/>
        <w:jc w:val="both"/>
        <w:rPr>
          <w:rFonts w:ascii="ITC Avant Garde" w:hAnsi="ITC Avant Garde"/>
          <w:i/>
          <w:sz w:val="20"/>
          <w:szCs w:val="20"/>
        </w:rPr>
      </w:pPr>
      <w:r>
        <w:rPr>
          <w:rFonts w:ascii="ITC Avant Garde" w:hAnsi="ITC Avant Garde"/>
          <w:i/>
          <w:sz w:val="20"/>
          <w:szCs w:val="20"/>
        </w:rPr>
        <w:t xml:space="preserve">130. </w:t>
      </w:r>
      <w:r w:rsidR="00777262">
        <w:rPr>
          <w:rFonts w:ascii="ITC Avant Garde" w:hAnsi="ITC Avant Garde"/>
          <w:i/>
          <w:sz w:val="20"/>
          <w:szCs w:val="20"/>
        </w:rPr>
        <w:t>Para justificar la conclusión anterior, es conveniente tener presente, como hecho notorio, lo resuelto por este Tribunal dentro del recurso de revisión 82/2016, en sesión de diecinueve de enero de dos mil diecisiete, bajo la ponencia del Magistrado Patricio González-Loyola Pérez.</w:t>
      </w:r>
    </w:p>
    <w:p w:rsidR="00777262" w:rsidRPr="00777262" w:rsidRDefault="00777262" w:rsidP="002C5DE4">
      <w:pPr>
        <w:spacing w:line="240" w:lineRule="auto"/>
        <w:ind w:left="567" w:right="567"/>
        <w:jc w:val="both"/>
        <w:rPr>
          <w:rFonts w:ascii="ITC Avant Garde" w:hAnsi="ITC Avant Garde"/>
          <w:szCs w:val="20"/>
        </w:rPr>
      </w:pPr>
      <w:r w:rsidRPr="00777262">
        <w:rPr>
          <w:rFonts w:ascii="ITC Avant Garde" w:hAnsi="ITC Avant Garde"/>
          <w:szCs w:val="20"/>
        </w:rPr>
        <w:t>[…]</w:t>
      </w:r>
    </w:p>
    <w:p w:rsidR="00777262" w:rsidRDefault="006A6B5A" w:rsidP="002C5DE4">
      <w:pPr>
        <w:spacing w:line="240" w:lineRule="auto"/>
        <w:ind w:left="567" w:right="567"/>
        <w:jc w:val="both"/>
        <w:rPr>
          <w:rFonts w:ascii="ITC Avant Garde" w:hAnsi="ITC Avant Garde"/>
          <w:i/>
          <w:sz w:val="20"/>
          <w:szCs w:val="20"/>
        </w:rPr>
      </w:pPr>
      <w:r>
        <w:rPr>
          <w:rFonts w:ascii="ITC Avant Garde" w:hAnsi="ITC Avant Garde"/>
          <w:i/>
          <w:sz w:val="20"/>
          <w:szCs w:val="20"/>
        </w:rPr>
        <w:t>132. E</w:t>
      </w:r>
      <w:r w:rsidR="003D0439">
        <w:rPr>
          <w:rFonts w:ascii="ITC Avant Garde" w:hAnsi="ITC Avant Garde"/>
          <w:i/>
          <w:sz w:val="20"/>
          <w:szCs w:val="20"/>
        </w:rPr>
        <w:t xml:space="preserve">l recurso citado derivó del juicio de amparo 575/2012, del índice del Juzgado Tercero de Distrito en Materia Administrativa en la Ciudad de México, promovido también por la aquí quejosa </w:t>
      </w:r>
      <w:r w:rsidR="0054517D" w:rsidRPr="0054517D">
        <w:rPr>
          <w:rFonts w:ascii="ITC Avant Garde" w:hAnsi="ITC Avant Garde"/>
          <w:szCs w:val="20"/>
        </w:rPr>
        <w:t>[Telcel]</w:t>
      </w:r>
      <w:r w:rsidR="003D0439" w:rsidRPr="0054517D">
        <w:rPr>
          <w:rFonts w:ascii="ITC Avant Garde" w:hAnsi="ITC Avant Garde"/>
          <w:szCs w:val="20"/>
        </w:rPr>
        <w:t>,</w:t>
      </w:r>
      <w:r w:rsidR="003D0439">
        <w:rPr>
          <w:rFonts w:ascii="ITC Avant Garde" w:hAnsi="ITC Avant Garde"/>
          <w:i/>
          <w:sz w:val="20"/>
          <w:szCs w:val="20"/>
        </w:rPr>
        <w:t xml:space="preserve"> en el que reclamó, entre otros actos, la resolución </w:t>
      </w:r>
      <w:r w:rsidR="0054517D">
        <w:rPr>
          <w:rFonts w:ascii="ITC Avant Garde" w:hAnsi="ITC Avant Garde"/>
          <w:i/>
          <w:sz w:val="20"/>
          <w:szCs w:val="20"/>
        </w:rPr>
        <w:t xml:space="preserve">de catorce de marzo de dos mil doce, emitida por el Pleno de la Comisión Federal de Competencia, en la que al decidir el recurso de reconsideración interpuesto resolvió, por un lado, confirmar la resolución de veintisiete de octubre de dos mil once, que declaró que la quejosa tiene poder sustancial en el mercado relevante de servicios de terminación conmutada prestados en sus redes móviles a los demás </w:t>
      </w:r>
      <w:r w:rsidR="00FA09F2">
        <w:rPr>
          <w:rFonts w:ascii="ITC Avant Garde" w:hAnsi="ITC Avant Garde"/>
          <w:i/>
          <w:sz w:val="20"/>
          <w:szCs w:val="20"/>
        </w:rPr>
        <w:t>concesionarios de servicios locales y a los concesionarios de larga distancia y, por el otro, modificarla para concluir que no existen elementos suficientes para declarar la existencia de poder sustancial de otros agentes económicos en ese mercado.</w:t>
      </w:r>
    </w:p>
    <w:p w:rsidR="00566BFC" w:rsidRDefault="00566BFC" w:rsidP="002C5DE4">
      <w:pPr>
        <w:spacing w:line="240" w:lineRule="auto"/>
        <w:ind w:left="567" w:right="567"/>
        <w:jc w:val="both"/>
        <w:rPr>
          <w:rFonts w:ascii="ITC Avant Garde" w:hAnsi="ITC Avant Garde"/>
          <w:i/>
          <w:sz w:val="20"/>
          <w:szCs w:val="20"/>
        </w:rPr>
      </w:pPr>
      <w:r>
        <w:rPr>
          <w:rFonts w:ascii="ITC Avant Garde" w:hAnsi="ITC Avant Garde"/>
          <w:i/>
          <w:sz w:val="20"/>
          <w:szCs w:val="20"/>
        </w:rPr>
        <w:t xml:space="preserve">133. En la sentencia que decidió el juicio de amparo en comentario, el juez de Distrito resolvió, en lo que interesa, concederle el amparo a la quejosa </w:t>
      </w:r>
      <w:r w:rsidRPr="0054517D">
        <w:rPr>
          <w:rFonts w:ascii="ITC Avant Garde" w:hAnsi="ITC Avant Garde"/>
          <w:szCs w:val="20"/>
        </w:rPr>
        <w:t>[Telcel]</w:t>
      </w:r>
      <w:r>
        <w:rPr>
          <w:rFonts w:ascii="ITC Avant Garde" w:hAnsi="ITC Avant Garde"/>
          <w:i/>
          <w:sz w:val="20"/>
          <w:szCs w:val="20"/>
        </w:rPr>
        <w:t>, en contra de la resolución de catorce de marzo de dos mil doce, que decidió el recurso de reconsideración.</w:t>
      </w:r>
    </w:p>
    <w:p w:rsidR="00566BFC" w:rsidRDefault="00566BFC" w:rsidP="002C5DE4">
      <w:pPr>
        <w:spacing w:line="240" w:lineRule="auto"/>
        <w:ind w:left="567" w:right="567"/>
        <w:jc w:val="both"/>
        <w:rPr>
          <w:rFonts w:ascii="ITC Avant Garde" w:hAnsi="ITC Avant Garde"/>
          <w:i/>
          <w:sz w:val="20"/>
          <w:szCs w:val="20"/>
        </w:rPr>
      </w:pPr>
      <w:r>
        <w:rPr>
          <w:rFonts w:ascii="ITC Avant Garde" w:hAnsi="ITC Avant Garde"/>
          <w:i/>
          <w:sz w:val="20"/>
          <w:szCs w:val="20"/>
        </w:rPr>
        <w:t>134. Ello, con base en dos razones:</w:t>
      </w:r>
    </w:p>
    <w:p w:rsidR="00566BFC" w:rsidRDefault="00566BFC" w:rsidP="002C5DE4">
      <w:pPr>
        <w:spacing w:line="240" w:lineRule="auto"/>
        <w:ind w:left="851" w:right="567"/>
        <w:jc w:val="both"/>
        <w:rPr>
          <w:rFonts w:ascii="ITC Avant Garde" w:hAnsi="ITC Avant Garde"/>
          <w:i/>
          <w:sz w:val="20"/>
          <w:szCs w:val="20"/>
        </w:rPr>
      </w:pPr>
      <w:r>
        <w:rPr>
          <w:rFonts w:ascii="ITC Avant Garde" w:hAnsi="ITC Avant Garde"/>
          <w:i/>
          <w:sz w:val="20"/>
          <w:szCs w:val="20"/>
        </w:rPr>
        <w:t>a) Por un lado, porque los art</w:t>
      </w:r>
      <w:r w:rsidR="006F076A">
        <w:rPr>
          <w:rFonts w:ascii="ITC Avant Garde" w:hAnsi="ITC Avant Garde"/>
          <w:i/>
          <w:sz w:val="20"/>
          <w:szCs w:val="20"/>
        </w:rPr>
        <w:t>ículos 33 bis de la Ley Federal de Competencia Económica, así como 54 y 55 de su reglamento, no contemplaban la preclusión del derecho del agente económico para proponer argumentos en el recurso de reconsideración cuando no los hiciera valer durante el procedimiento, por lo que la responsable no podía declarar inoperantes los que formuló la quejosa en el recurso, estimando que reiteraba los que había expuesto al realizar manifestaciones en contra del dictamen preliminar y demás actos procesales, abundaba sobre ellos, los mejoraba o planteaba otros novedosos;</w:t>
      </w:r>
    </w:p>
    <w:p w:rsidR="002C5DE4" w:rsidRDefault="006F076A" w:rsidP="00B272C2">
      <w:pPr>
        <w:spacing w:line="240" w:lineRule="auto"/>
        <w:ind w:left="851" w:right="567"/>
        <w:jc w:val="both"/>
        <w:rPr>
          <w:rFonts w:ascii="ITC Avant Garde" w:hAnsi="ITC Avant Garde"/>
          <w:i/>
          <w:sz w:val="20"/>
          <w:szCs w:val="20"/>
        </w:rPr>
      </w:pPr>
      <w:r>
        <w:rPr>
          <w:rFonts w:ascii="ITC Avant Garde" w:hAnsi="ITC Avant Garde"/>
          <w:i/>
          <w:sz w:val="20"/>
          <w:szCs w:val="20"/>
        </w:rPr>
        <w:t>b) Por otro, el juez de Distrito advirtió que, en parte de sus agravios en el recurso de reconsideración, la quejosa había destacado el hecho de que en la resolución recurrida no se habían atendido y resuelto en forma congruente y legal sus alegatos o manifestaciones, por lo que la comisión responsable estaba obligada a explicar de manera fundada y motivada si se habían atendido o no en sus términos esas manifestaciones y alegatos propuestos, o bien, determinar si la resolución recurrida resultaba incongruente.</w:t>
      </w:r>
    </w:p>
    <w:p w:rsidR="006F076A" w:rsidRDefault="006F076A" w:rsidP="002C5DE4">
      <w:pPr>
        <w:spacing w:line="240" w:lineRule="auto"/>
        <w:ind w:left="567" w:right="567"/>
        <w:jc w:val="both"/>
        <w:rPr>
          <w:rFonts w:ascii="ITC Avant Garde" w:hAnsi="ITC Avant Garde"/>
          <w:i/>
          <w:sz w:val="20"/>
          <w:szCs w:val="20"/>
        </w:rPr>
      </w:pPr>
      <w:r>
        <w:rPr>
          <w:rFonts w:ascii="ITC Avant Garde" w:hAnsi="ITC Avant Garde"/>
          <w:i/>
          <w:sz w:val="20"/>
          <w:szCs w:val="20"/>
        </w:rPr>
        <w:lastRenderedPageBreak/>
        <w:t xml:space="preserve">135.La autoridad responsable y las terceras interesadas </w:t>
      </w:r>
      <w:r w:rsidR="00642FEC">
        <w:rPr>
          <w:rFonts w:ascii="ITC Avant Garde" w:hAnsi="ITC Avant Garde"/>
          <w:i/>
          <w:sz w:val="20"/>
          <w:szCs w:val="20"/>
        </w:rPr>
        <w:t>dentro del juicio de amparo, se inconformaron con la concesión del amparo decretada por el juez de Distrito, por lo que interpusieron recurso de revisión, lo que dio lugar al expediente 82/2016, en el que este tribunal se ocupó de dilucidar, en lo que interesa, el tema relativo a cómo se integra la Litis en el recurso de reconsideración.</w:t>
      </w:r>
    </w:p>
    <w:p w:rsidR="00642FEC" w:rsidRPr="00642FEC" w:rsidRDefault="00642FEC" w:rsidP="002C5DE4">
      <w:pPr>
        <w:spacing w:line="240" w:lineRule="auto"/>
        <w:ind w:left="567" w:right="567"/>
        <w:jc w:val="both"/>
        <w:rPr>
          <w:rFonts w:ascii="ITC Avant Garde" w:hAnsi="ITC Avant Garde"/>
          <w:szCs w:val="20"/>
        </w:rPr>
      </w:pPr>
      <w:r w:rsidRPr="00642FEC">
        <w:rPr>
          <w:rFonts w:ascii="ITC Avant Garde" w:hAnsi="ITC Avant Garde"/>
          <w:szCs w:val="20"/>
        </w:rPr>
        <w:t>[…]</w:t>
      </w:r>
    </w:p>
    <w:p w:rsidR="00642FEC" w:rsidRDefault="00642FEC" w:rsidP="002C5DE4">
      <w:pPr>
        <w:spacing w:line="240" w:lineRule="auto"/>
        <w:ind w:left="567" w:right="567"/>
        <w:jc w:val="both"/>
        <w:rPr>
          <w:rFonts w:ascii="ITC Avant Garde" w:hAnsi="ITC Avant Garde"/>
          <w:i/>
          <w:sz w:val="20"/>
          <w:szCs w:val="20"/>
        </w:rPr>
      </w:pPr>
      <w:r>
        <w:rPr>
          <w:rFonts w:ascii="ITC Avant Garde" w:hAnsi="ITC Avant Garde"/>
          <w:i/>
          <w:sz w:val="20"/>
          <w:szCs w:val="20"/>
        </w:rPr>
        <w:t xml:space="preserve">137. Con base en las consideraciones transcritas y otras adicionales, este tribunal confirmó la decisión del juez de Distrito de concederle el amparo a la quejosa. </w:t>
      </w:r>
      <w:r w:rsidRPr="00642FEC">
        <w:rPr>
          <w:rFonts w:ascii="ITC Avant Garde" w:hAnsi="ITC Avant Garde"/>
          <w:szCs w:val="20"/>
        </w:rPr>
        <w:t>[…]</w:t>
      </w:r>
    </w:p>
    <w:p w:rsidR="00642FEC" w:rsidRDefault="00642FEC" w:rsidP="002C5DE4">
      <w:pPr>
        <w:spacing w:line="240" w:lineRule="auto"/>
        <w:ind w:left="567" w:right="567"/>
        <w:jc w:val="both"/>
        <w:rPr>
          <w:rFonts w:ascii="ITC Avant Garde" w:hAnsi="ITC Avant Garde"/>
          <w:i/>
          <w:sz w:val="20"/>
          <w:szCs w:val="20"/>
        </w:rPr>
      </w:pPr>
      <w:r>
        <w:rPr>
          <w:rFonts w:ascii="ITC Avant Garde" w:hAnsi="ITC Avant Garde"/>
          <w:i/>
          <w:sz w:val="20"/>
          <w:szCs w:val="20"/>
        </w:rPr>
        <w:t>138. Dicho lo anterior, en el caso de nuestra atención de la resolución de veintiocho de febrero de dos mil trece, dictada en el recurso de reconsideración RA-016-2010, mediante la cual se confirmó la diversa de veintiuno de enero de dos mil diez, en la que se determinó que Telcel tiene poder sustancial en el mercado relevante de servicios de telefonía móvil a nivel nacional, se advierte que asiste razón a la quejosa en cuanto a los conceptos de violación que quedaron enunciados.</w:t>
      </w:r>
    </w:p>
    <w:p w:rsidR="00642FEC" w:rsidRDefault="00642FEC" w:rsidP="002C5DE4">
      <w:pPr>
        <w:spacing w:line="240" w:lineRule="auto"/>
        <w:ind w:left="567" w:right="567"/>
        <w:jc w:val="both"/>
        <w:rPr>
          <w:rFonts w:ascii="ITC Avant Garde" w:hAnsi="ITC Avant Garde"/>
          <w:i/>
          <w:sz w:val="20"/>
          <w:szCs w:val="20"/>
        </w:rPr>
      </w:pPr>
      <w:r>
        <w:rPr>
          <w:rFonts w:ascii="ITC Avant Garde" w:hAnsi="ITC Avant Garde"/>
          <w:i/>
          <w:sz w:val="20"/>
          <w:szCs w:val="20"/>
        </w:rPr>
        <w:t xml:space="preserve">139. De los siguientes apartados de la resolución reclamada se observa que la CFC resolvió lo siguiente en cuanto a algunos de los agravios que planteó la quejosa en su recurso de reconsideración: </w:t>
      </w:r>
    </w:p>
    <w:p w:rsidR="00642FEC" w:rsidRDefault="006B36DC" w:rsidP="002C5DE4">
      <w:pPr>
        <w:spacing w:line="240" w:lineRule="auto"/>
        <w:ind w:left="567" w:right="567"/>
        <w:jc w:val="both"/>
        <w:rPr>
          <w:rFonts w:ascii="ITC Avant Garde" w:hAnsi="ITC Avant Garde"/>
          <w:i/>
          <w:sz w:val="20"/>
          <w:szCs w:val="20"/>
        </w:rPr>
      </w:pPr>
      <w:r>
        <w:rPr>
          <w:rFonts w:ascii="ITC Avant Garde" w:hAnsi="ITC Avant Garde"/>
          <w:i/>
          <w:sz w:val="20"/>
          <w:szCs w:val="20"/>
        </w:rPr>
        <w:t>a) Al analizar el décimo de los agravios que formuló la quejosa, respecto del ilegal uso y determinación del grupo de interés económico, concretamente el identificado como “</w:t>
      </w:r>
      <w:r w:rsidR="00BD3D67">
        <w:rPr>
          <w:rFonts w:ascii="ITC Avant Garde" w:hAnsi="ITC Avant Garde"/>
          <w:b/>
          <w:i/>
          <w:sz w:val="20"/>
          <w:szCs w:val="20"/>
          <w:u w:val="single"/>
        </w:rPr>
        <w:t>III.</w:t>
      </w:r>
      <w:r w:rsidRPr="00BD3D67">
        <w:rPr>
          <w:rFonts w:ascii="ITC Avant Garde" w:hAnsi="ITC Avant Garde"/>
          <w:b/>
          <w:i/>
          <w:sz w:val="20"/>
          <w:szCs w:val="20"/>
          <w:u w:val="single"/>
        </w:rPr>
        <w:t>10.3 La resolución definitiva es ilegal porque viola los artículos 1, 3, 33 bis, 34 bis, último párrafo, de la LFCE, 55, 56 del RLFCE, 222, 348 y 349 del CFPC.</w:t>
      </w:r>
      <w:r>
        <w:rPr>
          <w:rFonts w:ascii="ITC Avant Garde" w:hAnsi="ITC Avant Garde"/>
          <w:i/>
          <w:sz w:val="20"/>
          <w:szCs w:val="20"/>
        </w:rPr>
        <w:t>”, la CFC resolvió lo siguiente (ver páginas 162 a 165 de la resolución reclamada):</w:t>
      </w:r>
    </w:p>
    <w:p w:rsidR="00F44611" w:rsidRPr="00F44611" w:rsidRDefault="00F44611" w:rsidP="002C5DE4">
      <w:pPr>
        <w:spacing w:line="240" w:lineRule="auto"/>
        <w:ind w:left="851" w:right="567"/>
        <w:jc w:val="both"/>
        <w:rPr>
          <w:rFonts w:ascii="ITC Avant Garde" w:hAnsi="ITC Avant Garde"/>
          <w:i/>
          <w:sz w:val="20"/>
          <w:szCs w:val="20"/>
        </w:rPr>
      </w:pPr>
      <w:r w:rsidRPr="00F44611">
        <w:rPr>
          <w:rFonts w:ascii="ITC Avant Garde" w:hAnsi="ITC Avant Garde"/>
          <w:i/>
          <w:sz w:val="20"/>
          <w:szCs w:val="20"/>
        </w:rPr>
        <w:t xml:space="preserve">“Acerca de la irrelevancia de entrar al estudio de GIE, el argumento </w:t>
      </w:r>
      <w:r w:rsidRPr="00AB0BA7">
        <w:rPr>
          <w:rFonts w:ascii="ITC Avant Garde" w:hAnsi="ITC Avant Garde"/>
          <w:b/>
          <w:i/>
          <w:sz w:val="20"/>
          <w:szCs w:val="20"/>
          <w:u w:val="single"/>
        </w:rPr>
        <w:t>es inoperante por abundar en sus manifestaciones y por novedoso</w:t>
      </w:r>
      <w:r w:rsidRPr="00F44611">
        <w:rPr>
          <w:rFonts w:ascii="ITC Avant Garde" w:hAnsi="ITC Avant Garde"/>
          <w:i/>
          <w:sz w:val="20"/>
          <w:szCs w:val="20"/>
        </w:rPr>
        <w:t>. De conformidad con el artículo 33 bis, fracción IV de al LFCE, el momento para manifestarse respeto del DICTAMEN y los actos procesales previsto es el escrito de manifestaciones respectivo, ahí que TELCEL pretenda mejorar sus argumentos y agregar otros novedosos, sin que combata la RESOLUCIÓN DEFINITIVA.</w:t>
      </w:r>
    </w:p>
    <w:p w:rsidR="00F44611" w:rsidRPr="00F44611" w:rsidRDefault="00F44611" w:rsidP="002C5DE4">
      <w:pPr>
        <w:spacing w:line="240" w:lineRule="auto"/>
        <w:ind w:left="851" w:right="567"/>
        <w:jc w:val="both"/>
        <w:rPr>
          <w:rFonts w:ascii="ITC Avant Garde" w:hAnsi="ITC Avant Garde"/>
          <w:i/>
          <w:sz w:val="20"/>
          <w:szCs w:val="20"/>
        </w:rPr>
      </w:pPr>
      <w:r w:rsidRPr="00F44611">
        <w:rPr>
          <w:rFonts w:ascii="ITC Avant Garde" w:hAnsi="ITC Avant Garde"/>
          <w:i/>
          <w:sz w:val="20"/>
          <w:szCs w:val="20"/>
        </w:rPr>
        <w:t>…”</w:t>
      </w:r>
    </w:p>
    <w:p w:rsidR="00F44611" w:rsidRPr="00F44611" w:rsidRDefault="00F44611" w:rsidP="002C5DE4">
      <w:pPr>
        <w:spacing w:line="240" w:lineRule="auto"/>
        <w:ind w:left="851" w:right="567"/>
        <w:jc w:val="both"/>
        <w:rPr>
          <w:rFonts w:ascii="ITC Avant Garde" w:hAnsi="ITC Avant Garde"/>
          <w:i/>
          <w:sz w:val="20"/>
          <w:szCs w:val="20"/>
        </w:rPr>
      </w:pPr>
      <w:r w:rsidRPr="00F44611">
        <w:rPr>
          <w:rFonts w:ascii="ITC Avant Garde" w:hAnsi="ITC Avant Garde"/>
          <w:i/>
          <w:sz w:val="20"/>
          <w:szCs w:val="20"/>
        </w:rPr>
        <w:t xml:space="preserve">En adición a lo anterior, la CFC respondió a qué </w:t>
      </w:r>
      <w:r w:rsidR="00AB0BA7" w:rsidRPr="00F44611">
        <w:rPr>
          <w:rFonts w:ascii="ITC Avant Garde" w:hAnsi="ITC Avant Garde"/>
          <w:i/>
          <w:sz w:val="20"/>
          <w:szCs w:val="20"/>
        </w:rPr>
        <w:t>obedecía</w:t>
      </w:r>
      <w:r w:rsidRPr="00F44611">
        <w:rPr>
          <w:rFonts w:ascii="ITC Avant Garde" w:hAnsi="ITC Avant Garde"/>
          <w:i/>
          <w:sz w:val="20"/>
          <w:szCs w:val="20"/>
        </w:rPr>
        <w:t xml:space="preserve"> el análisis sobre la existencia de un grupo de interés económico: que dicho concepto si existía y era aplicable; y que en el caso concreto se concluyó que Telcel actualizaba diversos supuestos que se debían evaluar para determinar si los agentes económicos formaban parte de un grupo de </w:t>
      </w:r>
      <w:r w:rsidR="00BD3D67" w:rsidRPr="00F44611">
        <w:rPr>
          <w:rFonts w:ascii="ITC Avant Garde" w:hAnsi="ITC Avant Garde"/>
          <w:i/>
          <w:sz w:val="20"/>
          <w:szCs w:val="20"/>
        </w:rPr>
        <w:t xml:space="preserve">interés </w:t>
      </w:r>
      <w:r w:rsidRPr="00F44611">
        <w:rPr>
          <w:rFonts w:ascii="ITC Avant Garde" w:hAnsi="ITC Avant Garde"/>
          <w:i/>
          <w:sz w:val="20"/>
          <w:szCs w:val="20"/>
        </w:rPr>
        <w:t>económic</w:t>
      </w:r>
      <w:r w:rsidR="00BD3D67">
        <w:rPr>
          <w:rFonts w:ascii="ITC Avant Garde" w:hAnsi="ITC Avant Garde"/>
          <w:i/>
          <w:sz w:val="20"/>
          <w:szCs w:val="20"/>
        </w:rPr>
        <w:t>o</w:t>
      </w:r>
      <w:r w:rsidRPr="00F44611">
        <w:rPr>
          <w:rFonts w:ascii="ITC Avant Garde" w:hAnsi="ITC Avant Garde"/>
          <w:i/>
          <w:sz w:val="20"/>
          <w:szCs w:val="20"/>
        </w:rPr>
        <w:t>.</w:t>
      </w:r>
    </w:p>
    <w:p w:rsidR="002C5DE4" w:rsidRPr="00F44611" w:rsidRDefault="00AB0BA7" w:rsidP="00B272C2">
      <w:pPr>
        <w:spacing w:line="240" w:lineRule="auto"/>
        <w:ind w:left="567" w:right="567"/>
        <w:jc w:val="both"/>
        <w:rPr>
          <w:rFonts w:ascii="ITC Avant Garde" w:hAnsi="ITC Avant Garde"/>
          <w:i/>
          <w:sz w:val="20"/>
          <w:szCs w:val="20"/>
        </w:rPr>
      </w:pPr>
      <w:r>
        <w:rPr>
          <w:rFonts w:ascii="ITC Avant Garde" w:hAnsi="ITC Avant Garde"/>
          <w:i/>
          <w:sz w:val="20"/>
          <w:szCs w:val="20"/>
        </w:rPr>
        <w:t xml:space="preserve">b) </w:t>
      </w:r>
      <w:r w:rsidR="00F44611" w:rsidRPr="00F44611">
        <w:rPr>
          <w:rFonts w:ascii="ITC Avant Garde" w:hAnsi="ITC Avant Garde"/>
          <w:i/>
          <w:sz w:val="20"/>
          <w:szCs w:val="20"/>
        </w:rPr>
        <w:t>Al examinar el décimo segundo de los agravios vinculado con la indebida definición de mercado relevante y poder sustancial concretamente el identificado como “</w:t>
      </w:r>
      <w:r w:rsidR="00F44611">
        <w:rPr>
          <w:rFonts w:ascii="ITC Avant Garde" w:hAnsi="ITC Avant Garde"/>
          <w:b/>
          <w:i/>
          <w:sz w:val="20"/>
          <w:szCs w:val="20"/>
          <w:u w:val="single"/>
        </w:rPr>
        <w:t>III.12.6 Diferenciales on-net</w:t>
      </w:r>
      <w:r w:rsidR="00C72272">
        <w:rPr>
          <w:rFonts w:ascii="ITC Avant Garde" w:hAnsi="ITC Avant Garde"/>
          <w:b/>
          <w:i/>
          <w:sz w:val="20"/>
          <w:szCs w:val="20"/>
          <w:u w:val="single"/>
        </w:rPr>
        <w:t>/</w:t>
      </w:r>
      <w:r w:rsidR="00F44611" w:rsidRPr="00C72272">
        <w:rPr>
          <w:rFonts w:ascii="ITC Avant Garde" w:hAnsi="ITC Avant Garde"/>
          <w:b/>
          <w:i/>
          <w:sz w:val="20"/>
          <w:szCs w:val="20"/>
          <w:u w:val="single"/>
        </w:rPr>
        <w:t>off-net”</w:t>
      </w:r>
      <w:r w:rsidR="00F44611" w:rsidRPr="00F44611">
        <w:rPr>
          <w:rFonts w:ascii="ITC Avant Garde" w:hAnsi="ITC Avant Garde"/>
          <w:i/>
          <w:sz w:val="20"/>
          <w:szCs w:val="20"/>
        </w:rPr>
        <w:t>, la CFC resolvió nuevamente lo siguiente (ver páginas 212 y 213 de la resolución reclamada).</w:t>
      </w:r>
    </w:p>
    <w:p w:rsidR="00F44611" w:rsidRPr="00F44611" w:rsidRDefault="00F44611" w:rsidP="002C5DE4">
      <w:pPr>
        <w:spacing w:line="240" w:lineRule="auto"/>
        <w:ind w:left="851" w:right="567"/>
        <w:jc w:val="both"/>
        <w:rPr>
          <w:rFonts w:ascii="ITC Avant Garde" w:hAnsi="ITC Avant Garde"/>
          <w:i/>
          <w:sz w:val="20"/>
          <w:szCs w:val="20"/>
        </w:rPr>
      </w:pPr>
      <w:r w:rsidRPr="00F44611">
        <w:rPr>
          <w:rFonts w:ascii="ITC Avant Garde" w:hAnsi="ITC Avant Garde"/>
          <w:i/>
          <w:sz w:val="20"/>
          <w:szCs w:val="20"/>
        </w:rPr>
        <w:t xml:space="preserve">“Los argumentos de TELCEL </w:t>
      </w:r>
      <w:r w:rsidRPr="006B6D01">
        <w:rPr>
          <w:rFonts w:ascii="ITC Avant Garde" w:hAnsi="ITC Avant Garde"/>
          <w:i/>
          <w:sz w:val="20"/>
          <w:szCs w:val="20"/>
        </w:rPr>
        <w:t xml:space="preserve">son </w:t>
      </w:r>
      <w:r w:rsidRPr="00C72272">
        <w:rPr>
          <w:rFonts w:ascii="ITC Avant Garde" w:hAnsi="ITC Avant Garde"/>
          <w:b/>
          <w:i/>
          <w:sz w:val="20"/>
          <w:szCs w:val="20"/>
          <w:u w:val="single"/>
        </w:rPr>
        <w:t>inoperantes por novedosos</w:t>
      </w:r>
      <w:r w:rsidRPr="00F44611">
        <w:rPr>
          <w:rFonts w:ascii="ITC Avant Garde" w:hAnsi="ITC Avant Garde"/>
          <w:i/>
          <w:sz w:val="20"/>
          <w:szCs w:val="20"/>
        </w:rPr>
        <w:t xml:space="preserve"> toda vez que los mismos están encaminados a desvirtuar el DICTAMEN y no la RESOLUCIÓN DEFINITIVA. D</w:t>
      </w:r>
      <w:r w:rsidR="00AB0BA7">
        <w:rPr>
          <w:rFonts w:ascii="ITC Avant Garde" w:hAnsi="ITC Avant Garde"/>
          <w:i/>
          <w:sz w:val="20"/>
          <w:szCs w:val="20"/>
        </w:rPr>
        <w:t>e</w:t>
      </w:r>
      <w:r w:rsidRPr="00F44611">
        <w:rPr>
          <w:rFonts w:ascii="ITC Avant Garde" w:hAnsi="ITC Avant Garde"/>
          <w:i/>
          <w:sz w:val="20"/>
          <w:szCs w:val="20"/>
        </w:rPr>
        <w:t xml:space="preserve"> </w:t>
      </w:r>
      <w:r w:rsidRPr="00F44611">
        <w:rPr>
          <w:rFonts w:ascii="ITC Avant Garde" w:hAnsi="ITC Avant Garde"/>
          <w:i/>
          <w:sz w:val="20"/>
          <w:szCs w:val="20"/>
        </w:rPr>
        <w:lastRenderedPageBreak/>
        <w:t>conformidad con el artículo 33 bis, fracción IV de la LFCE, el momento para manifestarse respecto al DICTAMEN y los actos procesales previos es el escrito de manifestaciones respectivo de ahí que TELCEL pretenda mejorar sus argumentos y agregar otros novedosos sin que co</w:t>
      </w:r>
      <w:r w:rsidR="00AB0BA7">
        <w:rPr>
          <w:rFonts w:ascii="ITC Avant Garde" w:hAnsi="ITC Avant Garde"/>
          <w:i/>
          <w:sz w:val="20"/>
          <w:szCs w:val="20"/>
        </w:rPr>
        <w:t>mbata la RESOLUCIÓN DEFINITIVA.”</w:t>
      </w:r>
    </w:p>
    <w:p w:rsidR="00F44611" w:rsidRPr="00F44611" w:rsidRDefault="00F44611" w:rsidP="002C5DE4">
      <w:pPr>
        <w:spacing w:line="240" w:lineRule="auto"/>
        <w:ind w:left="851" w:right="567"/>
        <w:jc w:val="both"/>
        <w:rPr>
          <w:rFonts w:ascii="ITC Avant Garde" w:hAnsi="ITC Avant Garde"/>
          <w:i/>
          <w:sz w:val="20"/>
          <w:szCs w:val="20"/>
        </w:rPr>
      </w:pPr>
      <w:r w:rsidRPr="00F44611">
        <w:rPr>
          <w:rFonts w:ascii="ITC Avant Garde" w:hAnsi="ITC Avant Garde"/>
          <w:i/>
          <w:sz w:val="20"/>
          <w:szCs w:val="20"/>
        </w:rPr>
        <w:t>Adicionalmente, la CFC respondió que la referencia que hacia la recu</w:t>
      </w:r>
      <w:r w:rsidR="006B6D01">
        <w:rPr>
          <w:rFonts w:ascii="ITC Avant Garde" w:hAnsi="ITC Avant Garde"/>
          <w:i/>
          <w:sz w:val="20"/>
          <w:szCs w:val="20"/>
        </w:rPr>
        <w:t>rr</w:t>
      </w:r>
      <w:r w:rsidRPr="00F44611">
        <w:rPr>
          <w:rFonts w:ascii="ITC Avant Garde" w:hAnsi="ITC Avant Garde"/>
          <w:i/>
          <w:sz w:val="20"/>
          <w:szCs w:val="20"/>
        </w:rPr>
        <w:t>ente en el inciso c) del agravio de que se trata –dividido en tres incisos a), b) y c)- se vinculaba con el dictamen preliminar, lo cual había sido modificado en la resolución definitiva, como se constaba de la página 216 de la misma, y que ello constituía un elemento agregado que confirmaba la inoperancia de las manifestaciones de TELCEL, sobre el tema on-net y off-net.</w:t>
      </w:r>
    </w:p>
    <w:p w:rsidR="00F44611" w:rsidRPr="00F44611" w:rsidRDefault="006B6D01" w:rsidP="002C5DE4">
      <w:pPr>
        <w:spacing w:line="240" w:lineRule="auto"/>
        <w:ind w:left="567" w:right="567"/>
        <w:jc w:val="both"/>
        <w:rPr>
          <w:rFonts w:ascii="ITC Avant Garde" w:hAnsi="ITC Avant Garde"/>
          <w:i/>
          <w:sz w:val="20"/>
          <w:szCs w:val="20"/>
        </w:rPr>
      </w:pPr>
      <w:r>
        <w:rPr>
          <w:rFonts w:ascii="ITC Avant Garde" w:hAnsi="ITC Avant Garde"/>
          <w:i/>
          <w:sz w:val="20"/>
          <w:szCs w:val="20"/>
        </w:rPr>
        <w:t xml:space="preserve">c) </w:t>
      </w:r>
      <w:r w:rsidR="00F44611" w:rsidRPr="00F44611">
        <w:rPr>
          <w:rFonts w:ascii="ITC Avant Garde" w:hAnsi="ITC Avant Garde"/>
          <w:i/>
          <w:sz w:val="20"/>
          <w:szCs w:val="20"/>
        </w:rPr>
        <w:t>Asimismo, al examinar el décimo segundo de los agravios, concretamente los que hizo valer la recurrente en el apartado identificado como “</w:t>
      </w:r>
      <w:r w:rsidR="00F44611" w:rsidRPr="00C72272">
        <w:rPr>
          <w:rFonts w:ascii="ITC Avant Garde" w:hAnsi="ITC Avant Garde"/>
          <w:b/>
          <w:i/>
          <w:sz w:val="20"/>
          <w:szCs w:val="20"/>
          <w:u w:val="single"/>
        </w:rPr>
        <w:t>III.12.7 Barreras a la entrada”</w:t>
      </w:r>
      <w:r w:rsidR="00F44611" w:rsidRPr="00F44611">
        <w:rPr>
          <w:rFonts w:ascii="ITC Avant Garde" w:hAnsi="ITC Avant Garde"/>
          <w:i/>
          <w:sz w:val="20"/>
          <w:szCs w:val="20"/>
        </w:rPr>
        <w:t>, la CFC resolvió, nuevamente, lo siguiente (ver página 215 de la resolución reclamada):</w:t>
      </w:r>
    </w:p>
    <w:p w:rsidR="00F44611" w:rsidRPr="00F44611" w:rsidRDefault="00F44611" w:rsidP="002C5DE4">
      <w:pPr>
        <w:spacing w:line="240" w:lineRule="auto"/>
        <w:ind w:left="851" w:right="567"/>
        <w:jc w:val="both"/>
        <w:rPr>
          <w:rFonts w:ascii="ITC Avant Garde" w:hAnsi="ITC Avant Garde"/>
          <w:i/>
          <w:sz w:val="20"/>
          <w:szCs w:val="20"/>
        </w:rPr>
      </w:pPr>
      <w:r w:rsidRPr="00F44611">
        <w:rPr>
          <w:rFonts w:ascii="ITC Avant Garde" w:hAnsi="ITC Avant Garde"/>
          <w:i/>
          <w:sz w:val="20"/>
          <w:szCs w:val="20"/>
        </w:rPr>
        <w:t>“…</w:t>
      </w:r>
    </w:p>
    <w:p w:rsidR="00F44611" w:rsidRPr="00F44611" w:rsidRDefault="00F44611" w:rsidP="002C5DE4">
      <w:pPr>
        <w:spacing w:line="240" w:lineRule="auto"/>
        <w:ind w:left="851" w:right="567"/>
        <w:jc w:val="both"/>
        <w:rPr>
          <w:rFonts w:ascii="ITC Avant Garde" w:hAnsi="ITC Avant Garde"/>
          <w:i/>
          <w:sz w:val="20"/>
          <w:szCs w:val="20"/>
        </w:rPr>
      </w:pPr>
      <w:r w:rsidRPr="00F44611">
        <w:rPr>
          <w:rFonts w:ascii="ITC Avant Garde" w:hAnsi="ITC Avant Garde"/>
          <w:i/>
          <w:sz w:val="20"/>
          <w:szCs w:val="20"/>
        </w:rPr>
        <w:t xml:space="preserve">En relación a SAI y la posibilidad de utilizar espectro con fines especulativos, esta afirmación de </w:t>
      </w:r>
      <w:r w:rsidRPr="00BD3D67">
        <w:rPr>
          <w:rFonts w:ascii="ITC Avant Garde" w:hAnsi="ITC Avant Garde"/>
          <w:i/>
          <w:sz w:val="20"/>
          <w:szCs w:val="20"/>
        </w:rPr>
        <w:t xml:space="preserve">TELCEL </w:t>
      </w:r>
      <w:r w:rsidRPr="00C72272">
        <w:rPr>
          <w:rFonts w:ascii="ITC Avant Garde" w:hAnsi="ITC Avant Garde"/>
          <w:b/>
          <w:i/>
          <w:sz w:val="20"/>
          <w:szCs w:val="20"/>
          <w:u w:val="single"/>
        </w:rPr>
        <w:t>es inoperante por novedosa</w:t>
      </w:r>
      <w:r w:rsidRPr="00F44611">
        <w:rPr>
          <w:rFonts w:ascii="ITC Avant Garde" w:hAnsi="ITC Avant Garde"/>
          <w:i/>
          <w:sz w:val="20"/>
          <w:szCs w:val="20"/>
        </w:rPr>
        <w:t>, en virtud de que dicha situación no fue señalada en el escrito de manifestaciones al DICTAMEN y, por lo tanto, esta autoridad no pudo haberla analizado al emitir la RESOLUCIÓN DEFINITIVA.</w:t>
      </w:r>
    </w:p>
    <w:p w:rsidR="00F44611" w:rsidRPr="00F44611" w:rsidRDefault="00F44611" w:rsidP="002C5DE4">
      <w:pPr>
        <w:spacing w:line="240" w:lineRule="auto"/>
        <w:ind w:left="851" w:right="567"/>
        <w:jc w:val="both"/>
        <w:rPr>
          <w:rFonts w:ascii="ITC Avant Garde" w:hAnsi="ITC Avant Garde"/>
          <w:i/>
          <w:sz w:val="20"/>
          <w:szCs w:val="20"/>
        </w:rPr>
      </w:pPr>
      <w:r w:rsidRPr="00F44611">
        <w:rPr>
          <w:rFonts w:ascii="ITC Avant Garde" w:hAnsi="ITC Avant Garde"/>
          <w:i/>
          <w:sz w:val="20"/>
          <w:szCs w:val="20"/>
        </w:rPr>
        <w:t>…</w:t>
      </w:r>
    </w:p>
    <w:p w:rsidR="00F44611" w:rsidRPr="00F44611" w:rsidRDefault="00F44611" w:rsidP="002C5DE4">
      <w:pPr>
        <w:spacing w:line="240" w:lineRule="auto"/>
        <w:ind w:left="851" w:right="567"/>
        <w:jc w:val="both"/>
        <w:rPr>
          <w:rFonts w:ascii="ITC Avant Garde" w:hAnsi="ITC Avant Garde"/>
          <w:i/>
          <w:sz w:val="20"/>
          <w:szCs w:val="20"/>
        </w:rPr>
      </w:pPr>
      <w:r w:rsidRPr="00F44611">
        <w:rPr>
          <w:rFonts w:ascii="ITC Avant Garde" w:hAnsi="ITC Avant Garde"/>
          <w:i/>
          <w:sz w:val="20"/>
          <w:szCs w:val="20"/>
        </w:rPr>
        <w:t xml:space="preserve">Su argumento </w:t>
      </w:r>
      <w:r w:rsidRPr="00BD3D67">
        <w:rPr>
          <w:rFonts w:ascii="ITC Avant Garde" w:hAnsi="ITC Avant Garde"/>
          <w:i/>
          <w:sz w:val="20"/>
          <w:szCs w:val="20"/>
        </w:rPr>
        <w:t xml:space="preserve">es inoperante por novedoso </w:t>
      </w:r>
      <w:r w:rsidRPr="00F44611">
        <w:rPr>
          <w:rFonts w:ascii="ITC Avant Garde" w:hAnsi="ITC Avant Garde"/>
          <w:i/>
          <w:sz w:val="20"/>
          <w:szCs w:val="20"/>
        </w:rPr>
        <w:t>y no combatir la RESOLUCIÓN DEFINITIVA, toda vez que en ninguna parte de la resolución se mencionó el uso de las redes sociales como medio para disminuir costos en cuanto a la publicidad por parte de los agentes económicos en el mercado,</w:t>
      </w:r>
      <w:r w:rsidR="006B6D01">
        <w:rPr>
          <w:rFonts w:ascii="ITC Avant Garde" w:hAnsi="ITC Avant Garde"/>
          <w:i/>
          <w:sz w:val="20"/>
          <w:szCs w:val="20"/>
        </w:rPr>
        <w:t xml:space="preserve"> es más, ni siquiera se hizo referencia a tales redes.</w:t>
      </w:r>
      <w:r w:rsidRPr="00F44611">
        <w:rPr>
          <w:rFonts w:ascii="ITC Avant Garde" w:hAnsi="ITC Avant Garde"/>
          <w:i/>
          <w:sz w:val="20"/>
          <w:szCs w:val="20"/>
        </w:rPr>
        <w:t xml:space="preserve"> </w:t>
      </w:r>
      <w:r w:rsidR="006B6D01">
        <w:rPr>
          <w:rFonts w:ascii="ITC Avant Garde" w:hAnsi="ITC Avant Garde"/>
          <w:i/>
          <w:sz w:val="20"/>
          <w:szCs w:val="20"/>
        </w:rPr>
        <w:t>En</w:t>
      </w:r>
      <w:r w:rsidRPr="00F44611">
        <w:rPr>
          <w:rFonts w:ascii="ITC Avant Garde" w:hAnsi="ITC Avant Garde"/>
          <w:i/>
          <w:sz w:val="20"/>
          <w:szCs w:val="20"/>
        </w:rPr>
        <w:t xml:space="preserve"> consecuencia, esta autoridad se ve imposibilidad para entrar al estudio de su argumento, </w:t>
      </w:r>
      <w:r w:rsidR="006B6D01">
        <w:rPr>
          <w:rFonts w:ascii="ITC Avant Garde" w:hAnsi="ITC Avant Garde"/>
          <w:i/>
          <w:sz w:val="20"/>
          <w:szCs w:val="20"/>
        </w:rPr>
        <w:t>toda vez que debió</w:t>
      </w:r>
      <w:r w:rsidRPr="00F44611">
        <w:rPr>
          <w:rFonts w:ascii="ITC Avant Garde" w:hAnsi="ITC Avant Garde"/>
          <w:i/>
          <w:sz w:val="20"/>
          <w:szCs w:val="20"/>
        </w:rPr>
        <w:t xml:space="preserve"> haberlo planteado en sus manifestaciones al DICTAMEN si es que estimaba que debía haberse considerado dentro de la RESOLUCIÓN DEFINITIVA y, por no hacerlo dentro del momento procesal que resultaba oportuno para ello, precluyó en su perjuicio su derecho para alegarlo. </w:t>
      </w:r>
    </w:p>
    <w:p w:rsidR="002C5DE4" w:rsidRDefault="006B6D01" w:rsidP="00B272C2">
      <w:pPr>
        <w:spacing w:line="240" w:lineRule="auto"/>
        <w:ind w:left="567" w:right="567"/>
        <w:jc w:val="both"/>
        <w:rPr>
          <w:rFonts w:ascii="ITC Avant Garde" w:hAnsi="ITC Avant Garde"/>
          <w:i/>
          <w:sz w:val="20"/>
          <w:szCs w:val="20"/>
        </w:rPr>
      </w:pPr>
      <w:r>
        <w:rPr>
          <w:rFonts w:ascii="ITC Avant Garde" w:hAnsi="ITC Avant Garde"/>
          <w:i/>
          <w:sz w:val="20"/>
          <w:szCs w:val="20"/>
        </w:rPr>
        <w:t xml:space="preserve">d) </w:t>
      </w:r>
      <w:r w:rsidR="00F44611" w:rsidRPr="00F44611">
        <w:rPr>
          <w:rFonts w:ascii="ITC Avant Garde" w:hAnsi="ITC Avant Garde"/>
          <w:i/>
          <w:sz w:val="20"/>
          <w:szCs w:val="20"/>
        </w:rPr>
        <w:t xml:space="preserve">Igualmente, de la resolución reclamada se observa que al abordar la CFC el estudio del </w:t>
      </w:r>
      <w:r w:rsidR="00F44611" w:rsidRPr="00A167AF">
        <w:rPr>
          <w:rFonts w:ascii="ITC Avant Garde" w:hAnsi="ITC Avant Garde"/>
          <w:b/>
          <w:i/>
          <w:sz w:val="20"/>
          <w:szCs w:val="20"/>
          <w:u w:val="single"/>
        </w:rPr>
        <w:t>tercer agravio que planteó la recurrente en relación con el tema de la modificación del mercado investigado</w:t>
      </w:r>
      <w:r w:rsidR="00F44611" w:rsidRPr="00F44611">
        <w:rPr>
          <w:rFonts w:ascii="ITC Avant Garde" w:hAnsi="ITC Avant Garde"/>
          <w:i/>
          <w:sz w:val="20"/>
          <w:szCs w:val="20"/>
        </w:rPr>
        <w:t xml:space="preserve"> (ver página 95 a 104 de la resolución reclamada), no se ocupó de examinar el argumento que formuló la recurrida, en virtud de que varió el mercado materia de la declaratoria, pues la CFC pretendía que como consecuencia de una declaratoria de poder sustancial en el mercado relevante de servicios de telefonía móvil a nivel nacional, se regulara a través de obligaciones especifica un mercado distinto, lo que dijo la recurrente era ilegal, ya que cambia</w:t>
      </w:r>
      <w:r w:rsidR="00354319">
        <w:rPr>
          <w:rFonts w:ascii="ITC Avant Garde" w:hAnsi="ITC Avant Garde"/>
          <w:i/>
          <w:sz w:val="20"/>
          <w:szCs w:val="20"/>
        </w:rPr>
        <w:t>b</w:t>
      </w:r>
      <w:r w:rsidR="00F44611" w:rsidRPr="00F44611">
        <w:rPr>
          <w:rFonts w:ascii="ITC Avant Garde" w:hAnsi="ITC Avant Garde"/>
          <w:i/>
          <w:sz w:val="20"/>
          <w:szCs w:val="20"/>
        </w:rPr>
        <w:t>a la naturaleza</w:t>
      </w:r>
      <w:r w:rsidR="00A167AF">
        <w:rPr>
          <w:rFonts w:ascii="ITC Avant Garde" w:hAnsi="ITC Avant Garde"/>
          <w:i/>
          <w:sz w:val="20"/>
          <w:szCs w:val="20"/>
        </w:rPr>
        <w:t>,</w:t>
      </w:r>
      <w:r w:rsidR="00F44611" w:rsidRPr="00F44611">
        <w:rPr>
          <w:rFonts w:ascii="ITC Avant Garde" w:hAnsi="ITC Avant Garde"/>
          <w:i/>
          <w:sz w:val="20"/>
          <w:szCs w:val="20"/>
        </w:rPr>
        <w:t xml:space="preserve"> efectos</w:t>
      </w:r>
      <w:r w:rsidR="00A167AF">
        <w:rPr>
          <w:rFonts w:ascii="ITC Avant Garde" w:hAnsi="ITC Avant Garde"/>
          <w:i/>
          <w:sz w:val="20"/>
          <w:szCs w:val="20"/>
        </w:rPr>
        <w:t>,</w:t>
      </w:r>
      <w:r w:rsidR="00F44611" w:rsidRPr="00F44611">
        <w:rPr>
          <w:rFonts w:ascii="ITC Avant Garde" w:hAnsi="ITC Avant Garde"/>
          <w:i/>
          <w:sz w:val="20"/>
          <w:szCs w:val="20"/>
        </w:rPr>
        <w:t xml:space="preserve"> alcances y causa del procedimiento dejándola en estado de indefensión. En apoyo a su planteamiento la recurrente transcribió el parágrafo 339 de la resolución recurrida</w:t>
      </w:r>
      <w:r w:rsidR="008F7AEF">
        <w:rPr>
          <w:rFonts w:ascii="ITC Avant Garde" w:hAnsi="ITC Avant Garde"/>
          <w:i/>
          <w:sz w:val="20"/>
          <w:szCs w:val="20"/>
        </w:rPr>
        <w:t>.</w:t>
      </w:r>
    </w:p>
    <w:p w:rsidR="00F44611" w:rsidRPr="00F44611" w:rsidRDefault="00F44611" w:rsidP="002C5DE4">
      <w:pPr>
        <w:spacing w:line="240" w:lineRule="auto"/>
        <w:ind w:left="567" w:right="567"/>
        <w:jc w:val="both"/>
        <w:rPr>
          <w:rFonts w:ascii="ITC Avant Garde" w:hAnsi="ITC Avant Garde"/>
          <w:i/>
          <w:sz w:val="20"/>
          <w:szCs w:val="20"/>
        </w:rPr>
      </w:pPr>
      <w:r w:rsidRPr="00F44611">
        <w:rPr>
          <w:rFonts w:ascii="ITC Avant Garde" w:hAnsi="ITC Avant Garde"/>
          <w:i/>
          <w:sz w:val="20"/>
          <w:szCs w:val="20"/>
        </w:rPr>
        <w:t xml:space="preserve">140. Como se puede notar del inciso c), la CFC a partir de la premisa de que </w:t>
      </w:r>
      <w:r w:rsidR="006B6D01">
        <w:rPr>
          <w:rFonts w:ascii="ITC Avant Garde" w:hAnsi="ITC Avant Garde"/>
          <w:i/>
          <w:sz w:val="20"/>
          <w:szCs w:val="20"/>
        </w:rPr>
        <w:t xml:space="preserve">en </w:t>
      </w:r>
      <w:r w:rsidRPr="00F44611">
        <w:rPr>
          <w:rFonts w:ascii="ITC Avant Garde" w:hAnsi="ITC Avant Garde"/>
          <w:i/>
          <w:sz w:val="20"/>
          <w:szCs w:val="20"/>
        </w:rPr>
        <w:t xml:space="preserve">el recurso de reconsideración no se podía plantear argumentos novedosos, es decir, cuestiones que no se hubiesen formulado al pronunciarse sobre el dictamen preliminar </w:t>
      </w:r>
      <w:r w:rsidRPr="00F44611">
        <w:rPr>
          <w:rFonts w:ascii="ITC Avant Garde" w:hAnsi="ITC Avant Garde"/>
          <w:i/>
          <w:sz w:val="20"/>
          <w:szCs w:val="20"/>
        </w:rPr>
        <w:lastRenderedPageBreak/>
        <w:t>calificó como inoperantes los aspectos que adujo el recurrente en su defensa, pues en su opinión había operado la preclusión para ello.</w:t>
      </w:r>
    </w:p>
    <w:p w:rsidR="00F44611" w:rsidRPr="00F44611" w:rsidRDefault="00F44611" w:rsidP="002C5DE4">
      <w:pPr>
        <w:spacing w:line="240" w:lineRule="auto"/>
        <w:ind w:left="567" w:right="567"/>
        <w:jc w:val="both"/>
        <w:rPr>
          <w:rFonts w:ascii="ITC Avant Garde" w:hAnsi="ITC Avant Garde"/>
          <w:i/>
          <w:sz w:val="20"/>
          <w:szCs w:val="20"/>
        </w:rPr>
      </w:pPr>
      <w:r w:rsidRPr="00F44611">
        <w:rPr>
          <w:rFonts w:ascii="ITC Avant Garde" w:hAnsi="ITC Avant Garde"/>
          <w:i/>
          <w:sz w:val="20"/>
          <w:szCs w:val="20"/>
        </w:rPr>
        <w:t xml:space="preserve">141. Asimismo, el planteamiento que quedó enunciado en el inciso d) en el sentido de que la CFC pretendía que, como consecuencia de una declaratoria de poder sustancial en el mercado relevante de servicios de telefonía móvil a nivel nacional, se regulara un mercado distinto a través de obligaciones específicas, tal como se constaba del parágrafo 339 de la resolución recurrida-, ni siquiera mereció algún pronunciamiento de la responsable en el acto reclamado. </w:t>
      </w:r>
    </w:p>
    <w:p w:rsidR="00F44611" w:rsidRPr="00F44611" w:rsidRDefault="00F44611" w:rsidP="002C5DE4">
      <w:pPr>
        <w:spacing w:line="240" w:lineRule="auto"/>
        <w:ind w:left="567" w:right="567"/>
        <w:jc w:val="both"/>
        <w:rPr>
          <w:rFonts w:ascii="ITC Avant Garde" w:hAnsi="ITC Avant Garde"/>
          <w:i/>
          <w:sz w:val="20"/>
          <w:szCs w:val="20"/>
        </w:rPr>
      </w:pPr>
      <w:r w:rsidRPr="00F44611">
        <w:rPr>
          <w:rFonts w:ascii="ITC Avant Garde" w:hAnsi="ITC Avant Garde"/>
          <w:i/>
          <w:sz w:val="20"/>
          <w:szCs w:val="20"/>
        </w:rPr>
        <w:t>142. Igualmente en relación con los argumentos enunciados en los incisos a) y b), la CFC señaló, nuevamente, que eran novedosos, puesto que al momento para inconformarse respecto del dictamen preliminar y los actos procesales previos era el escrito mediante el cual se hacían manifestaciones en torno a dicho dictamen, de tal modo que la hoy quejosa solamente pretendía mejorar sus argumentos.</w:t>
      </w:r>
    </w:p>
    <w:p w:rsidR="00F44611" w:rsidRPr="007406F2" w:rsidRDefault="00F44611" w:rsidP="002C5DE4">
      <w:pPr>
        <w:spacing w:line="240" w:lineRule="auto"/>
        <w:ind w:left="567" w:right="567"/>
        <w:jc w:val="both"/>
        <w:rPr>
          <w:rFonts w:ascii="ITC Avant Garde" w:hAnsi="ITC Avant Garde"/>
          <w:b/>
          <w:i/>
          <w:sz w:val="20"/>
          <w:szCs w:val="20"/>
          <w:u w:val="single"/>
        </w:rPr>
      </w:pPr>
      <w:r w:rsidRPr="00F44611">
        <w:rPr>
          <w:rFonts w:ascii="ITC Avant Garde" w:hAnsi="ITC Avant Garde"/>
          <w:i/>
          <w:sz w:val="20"/>
          <w:szCs w:val="20"/>
        </w:rPr>
        <w:t xml:space="preserve">143. </w:t>
      </w:r>
      <w:r w:rsidRPr="007406F2">
        <w:rPr>
          <w:rFonts w:ascii="ITC Avant Garde" w:hAnsi="ITC Avant Garde"/>
          <w:b/>
          <w:i/>
          <w:sz w:val="20"/>
          <w:szCs w:val="20"/>
          <w:u w:val="single"/>
        </w:rPr>
        <w:t>Como se puede ver, la autoridad responsable obvió el estudio de los agravios enunciados en los incisos a), b) y c), con base en una premisa ilegal, pues, como lo sostuvo este tribunal en la ejecutoria y tesis a que se ha hecho referencia en el recurso de reconsideración opera la litis abierta, lo que significa que el recurrente puede plantear todas las cuestiones jurídicas que estime convenientes a su interés, pues no precluye su derecho para hacerlas valer en el recurso de reconsideración por no haberlas formulado durante alguna de las etapas del procedimiento relativo.</w:t>
      </w:r>
    </w:p>
    <w:p w:rsidR="00F44611" w:rsidRPr="007406F2" w:rsidRDefault="00F44611" w:rsidP="002C5DE4">
      <w:pPr>
        <w:spacing w:line="240" w:lineRule="auto"/>
        <w:ind w:left="567" w:right="567"/>
        <w:jc w:val="both"/>
        <w:rPr>
          <w:rFonts w:ascii="ITC Avant Garde" w:hAnsi="ITC Avant Garde"/>
          <w:b/>
          <w:i/>
          <w:sz w:val="20"/>
          <w:szCs w:val="20"/>
          <w:u w:val="single"/>
        </w:rPr>
      </w:pPr>
      <w:r w:rsidRPr="007406F2">
        <w:rPr>
          <w:rFonts w:ascii="ITC Avant Garde" w:hAnsi="ITC Avant Garde"/>
          <w:b/>
          <w:i/>
          <w:sz w:val="20"/>
          <w:szCs w:val="20"/>
          <w:u w:val="single"/>
        </w:rPr>
        <w:t>144. Además, en cuanto al agravio enunciado en el inciso d) ni siquiera se pronunció.</w:t>
      </w:r>
    </w:p>
    <w:p w:rsidR="00F44611" w:rsidRPr="00F44611" w:rsidRDefault="00F44611" w:rsidP="002C5DE4">
      <w:pPr>
        <w:spacing w:line="240" w:lineRule="auto"/>
        <w:ind w:left="567" w:right="567"/>
        <w:jc w:val="both"/>
        <w:rPr>
          <w:rFonts w:ascii="ITC Avant Garde" w:hAnsi="ITC Avant Garde"/>
          <w:i/>
          <w:sz w:val="20"/>
          <w:szCs w:val="20"/>
        </w:rPr>
      </w:pPr>
      <w:r w:rsidRPr="00F44611">
        <w:rPr>
          <w:rFonts w:ascii="ITC Avant Garde" w:hAnsi="ITC Avant Garde"/>
          <w:i/>
          <w:sz w:val="20"/>
          <w:szCs w:val="20"/>
        </w:rPr>
        <w:t xml:space="preserve">145. No escapa a la atención de este tribunal que en cuanto a los aspectos enunciados en los a) y b) la responsable señaló adicionalmente las cuestiones que quedaron relatadas; sin embargo, lo cierto es que con esas consideraciones no se dio respuesta los agravios puntuales planeados por la recurrente. </w:t>
      </w:r>
    </w:p>
    <w:p w:rsidR="002C5DE4" w:rsidRDefault="00F44611" w:rsidP="00B272C2">
      <w:pPr>
        <w:spacing w:line="240" w:lineRule="auto"/>
        <w:ind w:left="567" w:right="567"/>
        <w:jc w:val="both"/>
        <w:rPr>
          <w:rFonts w:ascii="ITC Avant Garde" w:hAnsi="ITC Avant Garde"/>
          <w:i/>
          <w:sz w:val="20"/>
          <w:szCs w:val="20"/>
        </w:rPr>
      </w:pPr>
      <w:r w:rsidRPr="00F44611">
        <w:rPr>
          <w:rFonts w:ascii="ITC Avant Garde" w:hAnsi="ITC Avant Garde"/>
          <w:i/>
          <w:sz w:val="20"/>
          <w:szCs w:val="20"/>
        </w:rPr>
        <w:t>146. Por ejemplo, en relación con el tema sintetizado en el inciso a), de la resolución re</w:t>
      </w:r>
      <w:r w:rsidR="003F1C9A">
        <w:rPr>
          <w:rFonts w:ascii="ITC Avant Garde" w:hAnsi="ITC Avant Garde"/>
          <w:i/>
          <w:sz w:val="20"/>
          <w:szCs w:val="20"/>
        </w:rPr>
        <w:t>cl</w:t>
      </w:r>
      <w:r w:rsidRPr="00F44611">
        <w:rPr>
          <w:rFonts w:ascii="ITC Avant Garde" w:hAnsi="ITC Avant Garde"/>
          <w:i/>
          <w:sz w:val="20"/>
          <w:szCs w:val="20"/>
        </w:rPr>
        <w:t>amada, se observa que se anotó que la recurrente señaló que eran ilegales ciertos numerales y anexos de la resolución recurrida, en los que se mencionaba el concepto de grupo de interés económico, sosteniendo que la quejosa era parte de uno, ya que esto carecía de fundamentación y motivación; sin embargo, de las</w:t>
      </w:r>
      <w:r w:rsidR="003F1C9A">
        <w:rPr>
          <w:rFonts w:ascii="ITC Avant Garde" w:hAnsi="ITC Avant Garde"/>
          <w:i/>
          <w:sz w:val="20"/>
          <w:szCs w:val="20"/>
        </w:rPr>
        <w:t xml:space="preserve"> </w:t>
      </w:r>
      <w:r w:rsidRPr="00F44611">
        <w:rPr>
          <w:rFonts w:ascii="ITC Avant Garde" w:hAnsi="ITC Avant Garde"/>
          <w:i/>
          <w:sz w:val="20"/>
          <w:szCs w:val="20"/>
        </w:rPr>
        <w:t xml:space="preserve">consideraciones adicionales que sostuvo la responsable se advierte </w:t>
      </w:r>
      <w:r w:rsidRPr="007406F2">
        <w:rPr>
          <w:rFonts w:ascii="ITC Avant Garde" w:hAnsi="ITC Avant Garde"/>
          <w:i/>
          <w:sz w:val="20"/>
          <w:szCs w:val="20"/>
        </w:rPr>
        <w:t>que no dio una respuesta concreta en torno a tal argumentación, sino que a partir de la premisa de que era un argumento novedoso se concretó a exponer a que obedecía el análisis sobre la existencia de un grupo de interés económico; que dicho concepto s</w:t>
      </w:r>
      <w:r w:rsidR="007406F2">
        <w:rPr>
          <w:rFonts w:ascii="ITC Avant Garde" w:hAnsi="ITC Avant Garde"/>
          <w:i/>
          <w:sz w:val="20"/>
          <w:szCs w:val="20"/>
        </w:rPr>
        <w:t>í</w:t>
      </w:r>
      <w:r w:rsidRPr="007406F2">
        <w:rPr>
          <w:rFonts w:ascii="ITC Avant Garde" w:hAnsi="ITC Avant Garde"/>
          <w:i/>
          <w:sz w:val="20"/>
          <w:szCs w:val="20"/>
        </w:rPr>
        <w:t xml:space="preserve"> existía y era aplicable; y que en concreto se concluyó que Telcel actualizaba diversos supuestos que se debían evaluar para determinar si los agentes económicos formaban parte de un grupo de interés económico</w:t>
      </w:r>
      <w:r w:rsidRPr="00F44611">
        <w:rPr>
          <w:rFonts w:ascii="ITC Avant Garde" w:hAnsi="ITC Avant Garde"/>
          <w:i/>
          <w:sz w:val="20"/>
          <w:szCs w:val="20"/>
        </w:rPr>
        <w:t>.</w:t>
      </w:r>
    </w:p>
    <w:p w:rsidR="00F44611" w:rsidRPr="00D77827" w:rsidRDefault="00F44611" w:rsidP="002C5DE4">
      <w:pPr>
        <w:spacing w:line="240" w:lineRule="auto"/>
        <w:ind w:left="567" w:right="567"/>
        <w:jc w:val="both"/>
        <w:rPr>
          <w:rFonts w:ascii="ITC Avant Garde" w:hAnsi="ITC Avant Garde"/>
          <w:i/>
          <w:sz w:val="20"/>
          <w:szCs w:val="20"/>
        </w:rPr>
      </w:pPr>
      <w:r w:rsidRPr="00F44611">
        <w:rPr>
          <w:rFonts w:ascii="ITC Avant Garde" w:hAnsi="ITC Avant Garde"/>
          <w:i/>
          <w:sz w:val="20"/>
          <w:szCs w:val="20"/>
        </w:rPr>
        <w:t xml:space="preserve">147. Lo mismo sucede con los agravios que formuló la quejosa enunciados en el inciso b) sobre la indebida definición de mercado relevante y poder sustancial, particularmente respecto a las diferencias de las tarifas off-net/on-net, ya que si bien adicionalmente la responsable señaló que uno de los tres argumentos que formulaba la recurrente aludía a un aspecto del dictamen preliminar que </w:t>
      </w:r>
      <w:r w:rsidR="007406F2">
        <w:rPr>
          <w:rFonts w:ascii="ITC Avant Garde" w:hAnsi="ITC Avant Garde"/>
          <w:i/>
          <w:sz w:val="20"/>
          <w:szCs w:val="20"/>
        </w:rPr>
        <w:t>había</w:t>
      </w:r>
      <w:r w:rsidRPr="00F44611">
        <w:rPr>
          <w:rFonts w:ascii="ITC Avant Garde" w:hAnsi="ITC Avant Garde"/>
          <w:i/>
          <w:sz w:val="20"/>
          <w:szCs w:val="20"/>
        </w:rPr>
        <w:t xml:space="preserve"> sido modificado en la resolución definitiva</w:t>
      </w:r>
      <w:r w:rsidR="007406F2">
        <w:rPr>
          <w:rFonts w:ascii="ITC Avant Garde" w:hAnsi="ITC Avant Garde"/>
          <w:i/>
          <w:sz w:val="20"/>
          <w:szCs w:val="20"/>
        </w:rPr>
        <w:t>,</w:t>
      </w:r>
      <w:r w:rsidRPr="00F44611">
        <w:rPr>
          <w:rFonts w:ascii="ITC Avant Garde" w:hAnsi="ITC Avant Garde"/>
          <w:i/>
          <w:sz w:val="20"/>
          <w:szCs w:val="20"/>
        </w:rPr>
        <w:t xml:space="preserve"> como constaba de la página doscientos dieciséis de ésta</w:t>
      </w:r>
      <w:r w:rsidR="007406F2">
        <w:rPr>
          <w:rFonts w:ascii="ITC Avant Garde" w:hAnsi="ITC Avant Garde"/>
          <w:i/>
          <w:sz w:val="20"/>
          <w:szCs w:val="20"/>
        </w:rPr>
        <w:t>,</w:t>
      </w:r>
      <w:r w:rsidRPr="00F44611">
        <w:rPr>
          <w:rFonts w:ascii="ITC Avant Garde" w:hAnsi="ITC Avant Garde"/>
          <w:i/>
          <w:sz w:val="20"/>
          <w:szCs w:val="20"/>
        </w:rPr>
        <w:t xml:space="preserve"> lo que </w:t>
      </w:r>
      <w:r w:rsidRPr="00F44611">
        <w:rPr>
          <w:rFonts w:ascii="ITC Avant Garde" w:hAnsi="ITC Avant Garde"/>
          <w:i/>
          <w:sz w:val="20"/>
          <w:szCs w:val="20"/>
        </w:rPr>
        <w:lastRenderedPageBreak/>
        <w:t xml:space="preserve">constituía un elemento agregado que confirmaba la inoperancia de las manifestaciones de la inconforme sobre el </w:t>
      </w:r>
      <w:r w:rsidR="003C7A6C">
        <w:rPr>
          <w:rFonts w:ascii="ITC Avant Garde" w:hAnsi="ITC Avant Garde"/>
          <w:i/>
          <w:sz w:val="20"/>
          <w:szCs w:val="20"/>
        </w:rPr>
        <w:t>tema</w:t>
      </w:r>
      <w:r w:rsidRPr="00F44611">
        <w:rPr>
          <w:rFonts w:ascii="ITC Avant Garde" w:hAnsi="ITC Avant Garde"/>
          <w:i/>
          <w:sz w:val="20"/>
          <w:szCs w:val="20"/>
        </w:rPr>
        <w:t xml:space="preserve"> on-net y off-net, lo cierto es que de la resolución recurrida en reconsideración concretamente del </w:t>
      </w:r>
      <w:r w:rsidRPr="00D77827">
        <w:rPr>
          <w:rFonts w:ascii="ITC Avant Garde" w:hAnsi="ITC Avant Garde"/>
          <w:i/>
          <w:sz w:val="20"/>
          <w:szCs w:val="20"/>
        </w:rPr>
        <w:t>apartado en el que se hizo el análisis del poder sustancial, particularmente el número “XIV.2.6 Distribución de precios” (páginas 215 y 216), la responsable concluyó: De lo señalado anteriormente se concluye que Telcel siendo el operador de la red más grande, tiene incentivos para dar una tarifa OFF-NET por encima de costos.</w:t>
      </w:r>
    </w:p>
    <w:p w:rsidR="00F44611" w:rsidRPr="003C7A6C" w:rsidRDefault="00F44611" w:rsidP="002C5DE4">
      <w:pPr>
        <w:spacing w:line="240" w:lineRule="auto"/>
        <w:ind w:left="567" w:right="567"/>
        <w:jc w:val="both"/>
        <w:rPr>
          <w:rFonts w:ascii="ITC Avant Garde" w:hAnsi="ITC Avant Garde"/>
          <w:i/>
          <w:sz w:val="20"/>
          <w:szCs w:val="20"/>
        </w:rPr>
      </w:pPr>
      <w:r w:rsidRPr="00F44611">
        <w:rPr>
          <w:rFonts w:ascii="ITC Avant Garde" w:hAnsi="ITC Avant Garde"/>
          <w:i/>
          <w:sz w:val="20"/>
          <w:szCs w:val="20"/>
        </w:rPr>
        <w:t xml:space="preserve">148. De acuerdo con lo anterior si la resolución recurrida en reconsideración contenía </w:t>
      </w:r>
      <w:r w:rsidRPr="003C7A6C">
        <w:rPr>
          <w:rFonts w:ascii="ITC Avant Garde" w:hAnsi="ITC Avant Garde"/>
          <w:i/>
          <w:sz w:val="20"/>
          <w:szCs w:val="20"/>
        </w:rPr>
        <w:t>referencias en torno a las tarifas off-net, la responsable estaba constreñida a examinar los agravios que sobre ese tópico planteaba la recurrente y no a obviar su estudio por envolver una temática novedosa no formulada en el escrito de manifestaciones que se presentó respecto del dictamen preliminar.</w:t>
      </w:r>
    </w:p>
    <w:p w:rsidR="00F44611" w:rsidRPr="00F44611" w:rsidRDefault="00F44611" w:rsidP="002C5DE4">
      <w:pPr>
        <w:spacing w:line="240" w:lineRule="auto"/>
        <w:ind w:left="567" w:right="567"/>
        <w:jc w:val="both"/>
        <w:rPr>
          <w:rFonts w:ascii="ITC Avant Garde" w:hAnsi="ITC Avant Garde"/>
          <w:i/>
          <w:sz w:val="20"/>
          <w:szCs w:val="20"/>
        </w:rPr>
      </w:pPr>
      <w:r w:rsidRPr="00F44611">
        <w:rPr>
          <w:rFonts w:ascii="ITC Avant Garde" w:hAnsi="ITC Avant Garde"/>
          <w:i/>
          <w:sz w:val="20"/>
          <w:szCs w:val="20"/>
        </w:rPr>
        <w:t xml:space="preserve">149. Atento lo expuesto, al resultar fundados y preferentes lo conceptos de violación examinados, lo procedente es </w:t>
      </w:r>
      <w:r w:rsidR="000623A3" w:rsidRPr="00F44611">
        <w:rPr>
          <w:rFonts w:ascii="ITC Avant Garde" w:hAnsi="ITC Avant Garde"/>
          <w:i/>
          <w:sz w:val="20"/>
          <w:szCs w:val="20"/>
        </w:rPr>
        <w:t>concede</w:t>
      </w:r>
      <w:r w:rsidR="000623A3">
        <w:rPr>
          <w:rFonts w:ascii="ITC Avant Garde" w:hAnsi="ITC Avant Garde"/>
          <w:i/>
          <w:sz w:val="20"/>
          <w:szCs w:val="20"/>
        </w:rPr>
        <w:t>rle</w:t>
      </w:r>
      <w:r w:rsidRPr="00F44611">
        <w:rPr>
          <w:rFonts w:ascii="ITC Avant Garde" w:hAnsi="ITC Avant Garde"/>
          <w:i/>
          <w:sz w:val="20"/>
          <w:szCs w:val="20"/>
        </w:rPr>
        <w:t xml:space="preserve"> amparo a la quejosa para efecto de que:</w:t>
      </w:r>
    </w:p>
    <w:p w:rsidR="00F44611" w:rsidRPr="00D77827" w:rsidRDefault="00F44611" w:rsidP="002C5DE4">
      <w:pPr>
        <w:numPr>
          <w:ilvl w:val="0"/>
          <w:numId w:val="5"/>
        </w:numPr>
        <w:spacing w:line="240" w:lineRule="auto"/>
        <w:ind w:left="567" w:right="567" w:firstLine="0"/>
        <w:jc w:val="both"/>
        <w:rPr>
          <w:rFonts w:ascii="ITC Avant Garde" w:hAnsi="ITC Avant Garde"/>
          <w:b/>
          <w:i/>
          <w:sz w:val="20"/>
          <w:szCs w:val="20"/>
          <w:u w:val="single"/>
        </w:rPr>
      </w:pPr>
      <w:r w:rsidRPr="00D77827">
        <w:rPr>
          <w:rFonts w:ascii="ITC Avant Garde" w:hAnsi="ITC Avant Garde"/>
          <w:b/>
          <w:i/>
          <w:sz w:val="20"/>
          <w:szCs w:val="20"/>
          <w:u w:val="single"/>
        </w:rPr>
        <w:t>Se dej</w:t>
      </w:r>
      <w:r w:rsidR="003A57B0">
        <w:rPr>
          <w:rFonts w:ascii="ITC Avant Garde" w:hAnsi="ITC Avant Garde"/>
          <w:b/>
          <w:i/>
          <w:sz w:val="20"/>
          <w:szCs w:val="20"/>
          <w:u w:val="single"/>
        </w:rPr>
        <w:t>e</w:t>
      </w:r>
      <w:r w:rsidRPr="00D77827">
        <w:rPr>
          <w:rFonts w:ascii="ITC Avant Garde" w:hAnsi="ITC Avant Garde"/>
          <w:b/>
          <w:i/>
          <w:sz w:val="20"/>
          <w:szCs w:val="20"/>
          <w:u w:val="single"/>
        </w:rPr>
        <w:t xml:space="preserve"> insubsistente la resolución de veintiocho de febrero de dos mil trece, dictada en el recurso de reconsideración RA-016-2010, mediante la cual se confirmó la diversa de veintiuno de enero de dos mil diez, en la que se determinó que Telcel tiene poder sustancial en el mercado relevante de servicios de telefonía móvil a nivel nacional. </w:t>
      </w:r>
    </w:p>
    <w:p w:rsidR="00F44611" w:rsidRPr="00D77827" w:rsidRDefault="00F44611" w:rsidP="002C5DE4">
      <w:pPr>
        <w:numPr>
          <w:ilvl w:val="0"/>
          <w:numId w:val="5"/>
        </w:numPr>
        <w:spacing w:line="240" w:lineRule="auto"/>
        <w:ind w:left="567" w:right="567" w:firstLine="0"/>
        <w:jc w:val="both"/>
        <w:rPr>
          <w:rFonts w:ascii="ITC Avant Garde" w:hAnsi="ITC Avant Garde"/>
          <w:b/>
          <w:i/>
          <w:sz w:val="20"/>
          <w:szCs w:val="20"/>
          <w:u w:val="single"/>
        </w:rPr>
      </w:pPr>
      <w:r w:rsidRPr="00D77827">
        <w:rPr>
          <w:rFonts w:ascii="ITC Avant Garde" w:hAnsi="ITC Avant Garde"/>
          <w:b/>
          <w:i/>
          <w:sz w:val="20"/>
          <w:szCs w:val="20"/>
          <w:u w:val="single"/>
        </w:rPr>
        <w:t xml:space="preserve">Con plenitud de jurisdicción se emita otra, en la que se analicen los argumentos que quedaron enunciados en esta ejecutoria. </w:t>
      </w:r>
    </w:p>
    <w:p w:rsidR="00D77827" w:rsidRPr="00D77827" w:rsidRDefault="00D77827" w:rsidP="002C5DE4">
      <w:pPr>
        <w:spacing w:line="240" w:lineRule="auto"/>
        <w:ind w:left="567" w:right="567"/>
        <w:jc w:val="both"/>
        <w:rPr>
          <w:rFonts w:ascii="ITC Avant Garde" w:hAnsi="ITC Avant Garde"/>
          <w:szCs w:val="20"/>
        </w:rPr>
      </w:pPr>
      <w:r w:rsidRPr="00D77827">
        <w:rPr>
          <w:rFonts w:ascii="ITC Avant Garde" w:hAnsi="ITC Avant Garde"/>
          <w:szCs w:val="20"/>
        </w:rPr>
        <w:t>[…]</w:t>
      </w:r>
    </w:p>
    <w:p w:rsidR="00F44611" w:rsidRPr="00F44611" w:rsidRDefault="00F44611" w:rsidP="002C5DE4">
      <w:pPr>
        <w:spacing w:line="240" w:lineRule="auto"/>
        <w:ind w:left="567" w:right="567"/>
        <w:jc w:val="both"/>
        <w:rPr>
          <w:rFonts w:ascii="ITC Avant Garde" w:hAnsi="ITC Avant Garde"/>
          <w:i/>
          <w:sz w:val="20"/>
          <w:szCs w:val="20"/>
        </w:rPr>
      </w:pPr>
      <w:r w:rsidRPr="00F44611">
        <w:rPr>
          <w:rFonts w:ascii="ITC Avant Garde" w:hAnsi="ITC Avant Garde"/>
          <w:i/>
          <w:sz w:val="20"/>
          <w:szCs w:val="20"/>
        </w:rPr>
        <w:t xml:space="preserve">152. Resta señalar que conforme a las reformas del artículo 28 de la Constitución Política de los Estados Unidos Mexicanos, publicada en el Diario Oficial de la Federación el once de junio de dos mil trece, </w:t>
      </w:r>
      <w:r w:rsidRPr="00D77827">
        <w:rPr>
          <w:rFonts w:ascii="ITC Avant Garde" w:hAnsi="ITC Avant Garde"/>
          <w:b/>
          <w:i/>
          <w:sz w:val="20"/>
          <w:szCs w:val="20"/>
          <w:u w:val="single"/>
        </w:rPr>
        <w:t>la autoridad que debe cumplir con la presente resolución es el Instituto Federal de Telecomunicaciones, al ser la autoridad sustituta de la extinta Comisión Federal de Competencia</w:t>
      </w:r>
      <w:r w:rsidRPr="00F44611">
        <w:rPr>
          <w:rFonts w:ascii="ITC Avant Garde" w:hAnsi="ITC Avant Garde"/>
          <w:i/>
          <w:sz w:val="20"/>
          <w:szCs w:val="20"/>
        </w:rPr>
        <w:t>.</w:t>
      </w:r>
    </w:p>
    <w:p w:rsidR="00D77827" w:rsidRPr="00D77827" w:rsidRDefault="00D77827" w:rsidP="002C5DE4">
      <w:pPr>
        <w:spacing w:line="240" w:lineRule="auto"/>
        <w:ind w:left="567" w:right="567"/>
        <w:jc w:val="both"/>
        <w:rPr>
          <w:rFonts w:ascii="ITC Avant Garde" w:hAnsi="ITC Avant Garde"/>
          <w:szCs w:val="20"/>
        </w:rPr>
      </w:pPr>
      <w:r w:rsidRPr="00D77827">
        <w:rPr>
          <w:rFonts w:ascii="ITC Avant Garde" w:hAnsi="ITC Avant Garde"/>
          <w:szCs w:val="20"/>
        </w:rPr>
        <w:t>[…]</w:t>
      </w:r>
    </w:p>
    <w:p w:rsidR="002C5DE4" w:rsidRPr="00B272C2" w:rsidRDefault="00F44611" w:rsidP="00B272C2">
      <w:pPr>
        <w:spacing w:line="240" w:lineRule="auto"/>
        <w:ind w:left="567" w:right="567"/>
        <w:jc w:val="both"/>
        <w:rPr>
          <w:rFonts w:ascii="ITC Avant Garde" w:hAnsi="ITC Avant Garde"/>
          <w:i/>
          <w:sz w:val="20"/>
          <w:szCs w:val="20"/>
        </w:rPr>
      </w:pPr>
      <w:r w:rsidRPr="00F44611">
        <w:rPr>
          <w:rFonts w:ascii="ITC Avant Garde" w:hAnsi="ITC Avant Garde"/>
          <w:i/>
          <w:sz w:val="20"/>
          <w:szCs w:val="20"/>
        </w:rPr>
        <w:t>154. En atención a lo resuelto y en cuanto a los actos reclamados que constituyen la materia de la litis en esta ejecutoria con apoyo además en los artículos 107, fracción VIII, inciso a, de la Constitución General de la República, 61 fracción I, inciso e, y 84 de la Ley de Amparo, y 10, fracción II, inciso a, de la Ley Orgánica del Poder Judicial de la Federación, se</w:t>
      </w:r>
      <w:r w:rsidR="00D77827">
        <w:rPr>
          <w:rFonts w:ascii="ITC Avant Garde" w:hAnsi="ITC Avant Garde"/>
          <w:i/>
          <w:sz w:val="20"/>
          <w:szCs w:val="20"/>
        </w:rPr>
        <w:t>:</w:t>
      </w:r>
    </w:p>
    <w:p w:rsidR="00F44611" w:rsidRPr="00F44611" w:rsidRDefault="00F44611" w:rsidP="002C5DE4">
      <w:pPr>
        <w:spacing w:line="240" w:lineRule="auto"/>
        <w:ind w:left="567" w:right="567"/>
        <w:jc w:val="both"/>
        <w:rPr>
          <w:rFonts w:ascii="ITC Avant Garde" w:hAnsi="ITC Avant Garde"/>
          <w:i/>
          <w:sz w:val="20"/>
          <w:szCs w:val="20"/>
        </w:rPr>
      </w:pPr>
      <w:r w:rsidRPr="00F44611">
        <w:rPr>
          <w:rFonts w:ascii="ITC Avant Garde" w:hAnsi="ITC Avant Garde"/>
          <w:b/>
          <w:i/>
          <w:sz w:val="20"/>
          <w:szCs w:val="20"/>
        </w:rPr>
        <w:t>RESUELVE</w:t>
      </w:r>
      <w:r w:rsidRPr="00F44611">
        <w:rPr>
          <w:rFonts w:ascii="ITC Avant Garde" w:hAnsi="ITC Avant Garde"/>
          <w:i/>
          <w:sz w:val="20"/>
          <w:szCs w:val="20"/>
        </w:rPr>
        <w:t>:</w:t>
      </w:r>
    </w:p>
    <w:p w:rsidR="00F44611" w:rsidRPr="00F44611" w:rsidRDefault="00F44611" w:rsidP="002C5DE4">
      <w:pPr>
        <w:spacing w:line="240" w:lineRule="auto"/>
        <w:ind w:left="567" w:right="567"/>
        <w:jc w:val="both"/>
        <w:rPr>
          <w:rFonts w:ascii="ITC Avant Garde" w:hAnsi="ITC Avant Garde"/>
          <w:i/>
          <w:sz w:val="20"/>
          <w:szCs w:val="20"/>
        </w:rPr>
      </w:pPr>
      <w:r w:rsidRPr="002E5DB4">
        <w:rPr>
          <w:rFonts w:ascii="ITC Avant Garde" w:hAnsi="ITC Avant Garde"/>
          <w:b/>
          <w:i/>
          <w:sz w:val="20"/>
          <w:szCs w:val="20"/>
        </w:rPr>
        <w:t>PRIMERO</w:t>
      </w:r>
      <w:r w:rsidRPr="00F44611">
        <w:rPr>
          <w:rFonts w:ascii="ITC Avant Garde" w:hAnsi="ITC Avant Garde"/>
          <w:i/>
          <w:sz w:val="20"/>
          <w:szCs w:val="20"/>
        </w:rPr>
        <w:t>.- Se modifica la sentencia recurrida.</w:t>
      </w:r>
    </w:p>
    <w:p w:rsidR="002E5DB4" w:rsidRPr="00D77827" w:rsidRDefault="002E5DB4" w:rsidP="002C5DE4">
      <w:pPr>
        <w:spacing w:line="240" w:lineRule="auto"/>
        <w:ind w:left="567" w:right="567"/>
        <w:jc w:val="both"/>
        <w:rPr>
          <w:rFonts w:ascii="ITC Avant Garde" w:hAnsi="ITC Avant Garde"/>
          <w:szCs w:val="20"/>
        </w:rPr>
      </w:pPr>
      <w:r w:rsidRPr="00D77827">
        <w:rPr>
          <w:rFonts w:ascii="ITC Avant Garde" w:hAnsi="ITC Avant Garde"/>
          <w:szCs w:val="20"/>
        </w:rPr>
        <w:t>[…]</w:t>
      </w:r>
    </w:p>
    <w:p w:rsidR="00F44611" w:rsidRPr="00F44611" w:rsidRDefault="00F44611" w:rsidP="002C5DE4">
      <w:pPr>
        <w:spacing w:line="240" w:lineRule="auto"/>
        <w:ind w:left="567" w:right="567"/>
        <w:jc w:val="both"/>
        <w:rPr>
          <w:rFonts w:ascii="ITC Avant Garde" w:hAnsi="ITC Avant Garde"/>
          <w:i/>
          <w:sz w:val="20"/>
          <w:szCs w:val="20"/>
        </w:rPr>
      </w:pPr>
      <w:r w:rsidRPr="002E5DB4">
        <w:rPr>
          <w:rFonts w:ascii="ITC Avant Garde" w:hAnsi="ITC Avant Garde"/>
          <w:b/>
          <w:i/>
          <w:sz w:val="20"/>
          <w:szCs w:val="20"/>
        </w:rPr>
        <w:t>CUARTO</w:t>
      </w:r>
      <w:r w:rsidRPr="00F44611">
        <w:rPr>
          <w:rFonts w:ascii="ITC Avant Garde" w:hAnsi="ITC Avant Garde"/>
          <w:i/>
          <w:sz w:val="20"/>
          <w:szCs w:val="20"/>
        </w:rPr>
        <w:t xml:space="preserve">.- La Justicia de la Unión ampara y protege a la quejosa Radiomóvil Dipsa, Sociedad Anónima de Capital Variable, en contra de la resolución de veintiocho de febrero de dos mil trece, dictada en el recurso de reconsideración RA-016-2010, </w:t>
      </w:r>
      <w:r w:rsidRPr="00F44611">
        <w:rPr>
          <w:rFonts w:ascii="ITC Avant Garde" w:hAnsi="ITC Avant Garde"/>
          <w:i/>
          <w:sz w:val="20"/>
          <w:szCs w:val="20"/>
        </w:rPr>
        <w:lastRenderedPageBreak/>
        <w:t>mediante la cual se confirmó la diversa de veintiuno de enero de dos  mil diez, en la que se determinó que Telcel tiene poder sustancial en el mercado relevante de servicios de telefonía móvil a nivel nacional, para lo efectos precisados en el fallo.</w:t>
      </w:r>
      <w:r w:rsidR="00D77827">
        <w:rPr>
          <w:rFonts w:ascii="ITC Avant Garde" w:hAnsi="ITC Avant Garde"/>
          <w:i/>
          <w:sz w:val="20"/>
          <w:szCs w:val="20"/>
        </w:rPr>
        <w:t xml:space="preserve"> </w:t>
      </w:r>
      <w:r w:rsidR="00D77827" w:rsidRPr="00D77827">
        <w:rPr>
          <w:rFonts w:ascii="ITC Avant Garde" w:hAnsi="ITC Avant Garde"/>
          <w:szCs w:val="20"/>
        </w:rPr>
        <w:t>[…]” [Énfasis añadido]</w:t>
      </w:r>
    </w:p>
    <w:p w:rsidR="002401B6" w:rsidRDefault="002401B6" w:rsidP="002C5DE4">
      <w:pPr>
        <w:spacing w:before="120" w:line="240" w:lineRule="auto"/>
        <w:jc w:val="both"/>
        <w:rPr>
          <w:rFonts w:ascii="ITC Avant Garde" w:eastAsia="Calibri" w:hAnsi="ITC Avant Garde" w:cs="Times New Roman"/>
        </w:rPr>
      </w:pPr>
      <w:r w:rsidRPr="00C95AD7">
        <w:rPr>
          <w:rFonts w:ascii="ITC Avant Garde" w:hAnsi="ITC Avant Garde"/>
          <w:b/>
        </w:rPr>
        <w:t>V.</w:t>
      </w:r>
      <w:r w:rsidRPr="00C95AD7">
        <w:rPr>
          <w:rFonts w:ascii="ITC Avant Garde" w:hAnsi="ITC Avant Garde"/>
        </w:rPr>
        <w:t xml:space="preserve"> El acuerdo de fecha </w:t>
      </w:r>
      <w:r w:rsidR="00666FE8">
        <w:rPr>
          <w:rFonts w:ascii="ITC Avant Garde" w:hAnsi="ITC Avant Garde"/>
        </w:rPr>
        <w:t>ocho de mayo de dos mil dieciocho</w:t>
      </w:r>
      <w:r w:rsidRPr="00C95AD7">
        <w:rPr>
          <w:rFonts w:ascii="ITC Avant Garde" w:hAnsi="ITC Avant Garde"/>
        </w:rPr>
        <w:t xml:space="preserve">, emitido por el Juzgado en el expediente del juicio de amparo número </w:t>
      </w:r>
      <w:r w:rsidR="00666FE8">
        <w:rPr>
          <w:rFonts w:ascii="ITC Avant Garde" w:hAnsi="ITC Avant Garde"/>
        </w:rPr>
        <w:t>212/2014</w:t>
      </w:r>
      <w:r w:rsidRPr="00C95AD7">
        <w:rPr>
          <w:rFonts w:ascii="ITC Avant Garde" w:hAnsi="ITC Avant Garde"/>
        </w:rPr>
        <w:t>,</w:t>
      </w:r>
      <w:r>
        <w:rPr>
          <w:rFonts w:ascii="ITC Avant Garde" w:hAnsi="ITC Avant Garde"/>
        </w:rPr>
        <w:t xml:space="preserve"> y</w:t>
      </w:r>
      <w:r w:rsidRPr="00C95AD7">
        <w:rPr>
          <w:rFonts w:ascii="ITC Avant Garde" w:hAnsi="ITC Avant Garde"/>
        </w:rPr>
        <w:t xml:space="preserve"> </w:t>
      </w:r>
      <w:r>
        <w:rPr>
          <w:rFonts w:ascii="ITC Avant Garde" w:hAnsi="ITC Avant Garde"/>
        </w:rPr>
        <w:t xml:space="preserve">recibido en la oficialía de partes de este Instituto el día </w:t>
      </w:r>
      <w:r w:rsidR="00666FE8">
        <w:rPr>
          <w:rFonts w:ascii="ITC Avant Garde" w:hAnsi="ITC Avant Garde"/>
        </w:rPr>
        <w:t>diez de mayo</w:t>
      </w:r>
      <w:r>
        <w:rPr>
          <w:rFonts w:ascii="ITC Avant Garde" w:hAnsi="ITC Avant Garde"/>
        </w:rPr>
        <w:t xml:space="preserve"> siguiente, </w:t>
      </w:r>
      <w:r w:rsidRPr="00C95AD7">
        <w:rPr>
          <w:rFonts w:ascii="ITC Avant Garde" w:eastAsia="Calibri" w:hAnsi="ITC Avant Garde" w:cs="Times New Roman"/>
        </w:rPr>
        <w:t xml:space="preserve">mediante el cual </w:t>
      </w:r>
      <w:r>
        <w:rPr>
          <w:rFonts w:ascii="ITC Avant Garde" w:eastAsia="Calibri" w:hAnsi="ITC Avant Garde" w:cs="Times New Roman"/>
        </w:rPr>
        <w:t xml:space="preserve">se </w:t>
      </w:r>
      <w:r w:rsidRPr="00C95AD7">
        <w:rPr>
          <w:rFonts w:ascii="ITC Avant Garde" w:eastAsia="Calibri" w:hAnsi="ITC Avant Garde" w:cs="Times New Roman"/>
        </w:rPr>
        <w:t xml:space="preserve">requiere </w:t>
      </w:r>
      <w:r>
        <w:rPr>
          <w:rFonts w:ascii="ITC Avant Garde" w:eastAsia="Calibri" w:hAnsi="ITC Avant Garde" w:cs="Times New Roman"/>
        </w:rPr>
        <w:t xml:space="preserve">a esta autoridad </w:t>
      </w:r>
      <w:r w:rsidRPr="00C95AD7">
        <w:rPr>
          <w:rFonts w:ascii="ITC Avant Garde" w:eastAsia="Calibri" w:hAnsi="ITC Avant Garde" w:cs="Times New Roman"/>
        </w:rPr>
        <w:t>el cumplimiento de la Ejecutoria en los siguientes términos</w:t>
      </w:r>
      <w:r>
        <w:rPr>
          <w:rFonts w:ascii="ITC Avant Garde" w:eastAsia="Calibri" w:hAnsi="ITC Avant Garde" w:cs="Times New Roman"/>
        </w:rPr>
        <w:t xml:space="preserve"> (Acuerdo del Juzgado)</w:t>
      </w:r>
      <w:r w:rsidRPr="00C95AD7">
        <w:rPr>
          <w:rFonts w:ascii="ITC Avant Garde" w:eastAsia="Calibri" w:hAnsi="ITC Avant Garde" w:cs="Times New Roman"/>
        </w:rPr>
        <w:t>:</w:t>
      </w:r>
    </w:p>
    <w:p w:rsidR="00666FE8" w:rsidRDefault="002401B6" w:rsidP="002C5DE4">
      <w:pPr>
        <w:spacing w:before="120" w:line="240" w:lineRule="auto"/>
        <w:ind w:left="567" w:right="567"/>
        <w:jc w:val="both"/>
        <w:rPr>
          <w:rFonts w:ascii="ITC Avant Garde" w:eastAsia="Calibri" w:hAnsi="ITC Avant Garde" w:cs="Times New Roman"/>
          <w:i/>
          <w:sz w:val="20"/>
          <w:szCs w:val="20"/>
        </w:rPr>
      </w:pPr>
      <w:r w:rsidRPr="00807D6E">
        <w:rPr>
          <w:rFonts w:ascii="ITC Avant Garde" w:eastAsia="Calibri" w:hAnsi="ITC Avant Garde" w:cs="Times New Roman"/>
          <w:szCs w:val="20"/>
        </w:rPr>
        <w:t>“</w:t>
      </w:r>
      <w:r w:rsidR="00335250" w:rsidRPr="00C615D4">
        <w:rPr>
          <w:rFonts w:ascii="ITC Avant Garde" w:eastAsia="Calibri" w:hAnsi="ITC Avant Garde" w:cs="Times New Roman"/>
          <w:szCs w:val="20"/>
        </w:rPr>
        <w:t>[…]</w:t>
      </w:r>
      <w:r w:rsidR="00335250">
        <w:rPr>
          <w:rFonts w:ascii="ITC Avant Garde" w:eastAsia="Calibri" w:hAnsi="ITC Avant Garde" w:cs="Times New Roman"/>
          <w:szCs w:val="20"/>
        </w:rPr>
        <w:t xml:space="preserve"> </w:t>
      </w:r>
      <w:r w:rsidR="00666FE8">
        <w:rPr>
          <w:rFonts w:ascii="ITC Avant Garde" w:eastAsia="Calibri" w:hAnsi="ITC Avant Garde" w:cs="Times New Roman"/>
          <w:i/>
          <w:sz w:val="20"/>
          <w:szCs w:val="20"/>
        </w:rPr>
        <w:t xml:space="preserve">I. </w:t>
      </w:r>
      <w:r w:rsidR="00666FE8" w:rsidRPr="00294C00">
        <w:rPr>
          <w:rFonts w:ascii="ITC Avant Garde" w:eastAsia="Calibri" w:hAnsi="ITC Avant Garde" w:cs="Times New Roman"/>
          <w:b/>
          <w:i/>
          <w:sz w:val="20"/>
          <w:szCs w:val="20"/>
          <w:u w:val="single"/>
        </w:rPr>
        <w:t>Deje insubsistente la resolución de veintiocho de febrero de dos mil trece, dictada en el recurso de reconsideración RA-016-2010</w:t>
      </w:r>
      <w:r w:rsidR="00666FE8">
        <w:rPr>
          <w:rFonts w:ascii="ITC Avant Garde" w:eastAsia="Calibri" w:hAnsi="ITC Avant Garde" w:cs="Times New Roman"/>
          <w:i/>
          <w:sz w:val="20"/>
          <w:szCs w:val="20"/>
        </w:rPr>
        <w:t>, mediante la cual se confirmó la diversa de vei</w:t>
      </w:r>
      <w:r w:rsidR="00ED1E88">
        <w:rPr>
          <w:rFonts w:ascii="ITC Avant Garde" w:eastAsia="Calibri" w:hAnsi="ITC Avant Garde" w:cs="Times New Roman"/>
          <w:i/>
          <w:sz w:val="20"/>
          <w:szCs w:val="20"/>
        </w:rPr>
        <w:t>n</w:t>
      </w:r>
      <w:r w:rsidR="00666FE8">
        <w:rPr>
          <w:rFonts w:ascii="ITC Avant Garde" w:eastAsia="Calibri" w:hAnsi="ITC Avant Garde" w:cs="Times New Roman"/>
          <w:i/>
          <w:sz w:val="20"/>
          <w:szCs w:val="20"/>
        </w:rPr>
        <w:t>tiuno de enero de dos mil diez, en la que se determinó que Telcel tiene poder sustancial en el mercado relevante de servicios de telefonía móvil a nivel nacional.</w:t>
      </w:r>
    </w:p>
    <w:p w:rsidR="002401B6" w:rsidRDefault="00666FE8" w:rsidP="002C5DE4">
      <w:pPr>
        <w:spacing w:before="120" w:line="240" w:lineRule="auto"/>
        <w:ind w:left="567" w:right="567"/>
        <w:jc w:val="both"/>
        <w:rPr>
          <w:rFonts w:ascii="ITC Avant Garde" w:eastAsia="Calibri" w:hAnsi="ITC Avant Garde" w:cs="Times New Roman"/>
          <w:szCs w:val="20"/>
        </w:rPr>
      </w:pPr>
      <w:r>
        <w:rPr>
          <w:rFonts w:ascii="ITC Avant Garde" w:eastAsia="Calibri" w:hAnsi="ITC Avant Garde" w:cs="Times New Roman"/>
          <w:i/>
          <w:sz w:val="20"/>
          <w:szCs w:val="20"/>
        </w:rPr>
        <w:t xml:space="preserve">II. Con plenitud de jurisdicción </w:t>
      </w:r>
      <w:r w:rsidRPr="00294C00">
        <w:rPr>
          <w:rFonts w:ascii="ITC Avant Garde" w:eastAsia="Calibri" w:hAnsi="ITC Avant Garde" w:cs="Times New Roman"/>
          <w:b/>
          <w:i/>
          <w:sz w:val="20"/>
          <w:szCs w:val="20"/>
          <w:u w:val="single"/>
        </w:rPr>
        <w:t>se emita otra, en la que se analicen los argumentos que quedaron enunciados en la ejecutoria de mérito</w:t>
      </w:r>
      <w:r w:rsidR="00335250">
        <w:rPr>
          <w:rFonts w:ascii="ITC Avant Garde" w:eastAsia="Calibri" w:hAnsi="ITC Avant Garde" w:cs="Times New Roman"/>
          <w:i/>
          <w:sz w:val="20"/>
          <w:szCs w:val="20"/>
        </w:rPr>
        <w:t>.</w:t>
      </w:r>
      <w:r w:rsidR="002401B6" w:rsidRPr="00C615D4">
        <w:rPr>
          <w:rFonts w:ascii="ITC Avant Garde" w:eastAsia="Calibri" w:hAnsi="ITC Avant Garde" w:cs="Times New Roman"/>
          <w:i/>
          <w:sz w:val="20"/>
          <w:szCs w:val="20"/>
        </w:rPr>
        <w:t xml:space="preserve"> </w:t>
      </w:r>
      <w:r w:rsidR="002401B6" w:rsidRPr="00C615D4">
        <w:rPr>
          <w:rFonts w:ascii="ITC Avant Garde" w:eastAsia="Calibri" w:hAnsi="ITC Avant Garde" w:cs="Times New Roman"/>
          <w:szCs w:val="20"/>
        </w:rPr>
        <w:t>[…]”</w:t>
      </w:r>
    </w:p>
    <w:p w:rsidR="002401B6" w:rsidRPr="001C16AE" w:rsidRDefault="002401B6" w:rsidP="002C5DE4">
      <w:pPr>
        <w:spacing w:before="120" w:line="240" w:lineRule="auto"/>
        <w:ind w:left="567" w:right="567"/>
        <w:jc w:val="both"/>
        <w:rPr>
          <w:rFonts w:ascii="ITC Avant Garde" w:eastAsia="Calibri" w:hAnsi="ITC Avant Garde" w:cs="Times New Roman"/>
          <w:i/>
          <w:szCs w:val="20"/>
        </w:rPr>
      </w:pPr>
      <w:r w:rsidRPr="001C16AE">
        <w:rPr>
          <w:rFonts w:ascii="ITC Avant Garde" w:eastAsia="Calibri" w:hAnsi="ITC Avant Garde" w:cs="Times New Roman"/>
          <w:szCs w:val="20"/>
        </w:rPr>
        <w:t>[Énfasis añadido]</w:t>
      </w:r>
    </w:p>
    <w:p w:rsidR="002401B6" w:rsidRPr="00A210FA" w:rsidRDefault="002401B6" w:rsidP="002C5DE4">
      <w:pPr>
        <w:spacing w:line="240" w:lineRule="auto"/>
        <w:jc w:val="both"/>
        <w:rPr>
          <w:rFonts w:ascii="ITC Avant Garde" w:hAnsi="ITC Avant Garde"/>
        </w:rPr>
      </w:pPr>
      <w:r>
        <w:rPr>
          <w:rFonts w:ascii="ITC Avant Garde" w:hAnsi="ITC Avant Garde"/>
          <w:b/>
        </w:rPr>
        <w:t xml:space="preserve">VI. </w:t>
      </w:r>
      <w:r w:rsidRPr="0096715E">
        <w:rPr>
          <w:rFonts w:ascii="ITC Avant Garde" w:hAnsi="ITC Avant Garde"/>
        </w:rPr>
        <w:t xml:space="preserve">Mediante acuerdo de fecha </w:t>
      </w:r>
      <w:r w:rsidR="00335250">
        <w:rPr>
          <w:rFonts w:ascii="ITC Avant Garde" w:hAnsi="ITC Avant Garde"/>
        </w:rPr>
        <w:t>veintidós de mayo de dos mil dieciocho</w:t>
      </w:r>
      <w:r w:rsidRPr="0096715E">
        <w:rPr>
          <w:rFonts w:ascii="ITC Avant Garde" w:hAnsi="ITC Avant Garde"/>
        </w:rPr>
        <w:t>,</w:t>
      </w:r>
      <w:r>
        <w:rPr>
          <w:rFonts w:ascii="ITC Avant Garde" w:hAnsi="ITC Avant Garde"/>
          <w:b/>
        </w:rPr>
        <w:t xml:space="preserve"> </w:t>
      </w:r>
      <w:r>
        <w:rPr>
          <w:rFonts w:ascii="ITC Avant Garde" w:hAnsi="ITC Avant Garde"/>
        </w:rPr>
        <w:t xml:space="preserve">este Instituto se declaró competente para conocer y tramitar lo relacionado con el expediente en que se actúa; se tuvieron por recibidas las constancias del expediente administrativo </w:t>
      </w:r>
      <w:r w:rsidRPr="00BF3E2F">
        <w:rPr>
          <w:rFonts w:ascii="ITC Avant Garde" w:hAnsi="ITC Avant Garde"/>
        </w:rPr>
        <w:t>RA-0</w:t>
      </w:r>
      <w:r w:rsidR="00335250">
        <w:rPr>
          <w:rFonts w:ascii="ITC Avant Garde" w:hAnsi="ITC Avant Garde"/>
        </w:rPr>
        <w:t>16-2010</w:t>
      </w:r>
      <w:r w:rsidRPr="004E635F">
        <w:rPr>
          <w:rFonts w:ascii="ITC Avant Garde" w:hAnsi="ITC Avant Garde"/>
        </w:rPr>
        <w:t>,</w:t>
      </w:r>
      <w:r>
        <w:rPr>
          <w:rFonts w:ascii="ITC Avant Garde" w:hAnsi="ITC Avant Garde"/>
        </w:rPr>
        <w:t xml:space="preserve"> del índice de la extinta CFC,</w:t>
      </w:r>
      <w:r w:rsidRPr="00D522F3">
        <w:rPr>
          <w:rFonts w:ascii="ITC Avant Garde" w:hAnsi="ITC Avant Garde"/>
        </w:rPr>
        <w:t xml:space="preserve"> </w:t>
      </w:r>
      <w:r>
        <w:rPr>
          <w:rFonts w:ascii="ITC Avant Garde" w:hAnsi="ITC Avant Garde"/>
        </w:rPr>
        <w:t>e</w:t>
      </w:r>
      <w:r w:rsidRPr="00D522F3">
        <w:rPr>
          <w:rFonts w:ascii="ITC Avant Garde" w:hAnsi="ITC Avant Garde"/>
        </w:rPr>
        <w:t>n consecuencia</w:t>
      </w:r>
      <w:r>
        <w:rPr>
          <w:rFonts w:ascii="ITC Avant Garde" w:hAnsi="ITC Avant Garde"/>
        </w:rPr>
        <w:t>, se registró el e</w:t>
      </w:r>
      <w:r w:rsidRPr="00D522F3">
        <w:rPr>
          <w:rFonts w:ascii="ITC Avant Garde" w:hAnsi="ITC Avant Garde"/>
        </w:rPr>
        <w:t xml:space="preserve">xpediente en el libro de gobierno de la Unidad de Competencia Económica del Instituto bajo el número </w:t>
      </w:r>
      <w:r w:rsidRPr="00E62582">
        <w:rPr>
          <w:rFonts w:ascii="ITC Avant Garde" w:hAnsi="ITC Avant Garde"/>
          <w:b/>
          <w:bCs/>
        </w:rPr>
        <w:t>E-IFT/UCE/RR</w:t>
      </w:r>
      <w:r>
        <w:rPr>
          <w:rFonts w:ascii="ITC Avant Garde" w:hAnsi="ITC Avant Garde"/>
          <w:b/>
          <w:bCs/>
        </w:rPr>
        <w:t>-</w:t>
      </w:r>
      <w:r w:rsidRPr="00E62582">
        <w:rPr>
          <w:rFonts w:ascii="ITC Avant Garde" w:hAnsi="ITC Avant Garde"/>
          <w:b/>
          <w:bCs/>
        </w:rPr>
        <w:t>001</w:t>
      </w:r>
      <w:r>
        <w:rPr>
          <w:rFonts w:ascii="ITC Avant Garde" w:hAnsi="ITC Avant Garde"/>
          <w:b/>
          <w:bCs/>
        </w:rPr>
        <w:t>-</w:t>
      </w:r>
      <w:r w:rsidRPr="00E62582">
        <w:rPr>
          <w:rFonts w:ascii="ITC Avant Garde" w:hAnsi="ITC Avant Garde"/>
          <w:b/>
          <w:bCs/>
        </w:rPr>
        <w:t>201</w:t>
      </w:r>
      <w:r w:rsidR="00A53E58">
        <w:rPr>
          <w:rFonts w:ascii="ITC Avant Garde" w:hAnsi="ITC Avant Garde"/>
          <w:b/>
          <w:bCs/>
        </w:rPr>
        <w:t>8</w:t>
      </w:r>
      <w:r w:rsidRPr="00E62582">
        <w:rPr>
          <w:rFonts w:ascii="ITC Avant Garde" w:hAnsi="ITC Avant Garde"/>
        </w:rPr>
        <w:t>,</w:t>
      </w:r>
      <w:r w:rsidRPr="00D522F3">
        <w:rPr>
          <w:rFonts w:ascii="ITC Avant Garde" w:hAnsi="ITC Avant Garde"/>
        </w:rPr>
        <w:t xml:space="preserve"> </w:t>
      </w:r>
      <w:r>
        <w:rPr>
          <w:rFonts w:ascii="ITC Avant Garde" w:hAnsi="ITC Avant Garde"/>
        </w:rPr>
        <w:t>para los efectos legales a que haya lugar.</w:t>
      </w:r>
    </w:p>
    <w:p w:rsidR="002C5DE4" w:rsidRPr="00B272C2" w:rsidRDefault="002401B6" w:rsidP="00B272C2">
      <w:pPr>
        <w:spacing w:line="240" w:lineRule="auto"/>
        <w:jc w:val="both"/>
        <w:rPr>
          <w:rFonts w:ascii="ITC Avant Garde" w:hAnsi="ITC Avant Garde"/>
          <w:bCs/>
          <w:color w:val="000000"/>
        </w:rPr>
      </w:pPr>
      <w:r>
        <w:rPr>
          <w:rFonts w:ascii="ITC Avant Garde" w:hAnsi="ITC Avant Garde"/>
          <w:bCs/>
          <w:color w:val="000000"/>
        </w:rPr>
        <w:t xml:space="preserve">En virtud de lo anterior, el Pleno de este Instituto Federal de Telecomunicaciones </w:t>
      </w:r>
      <w:r w:rsidRPr="00201A55">
        <w:rPr>
          <w:rFonts w:ascii="ITC Avant Garde" w:eastAsia="Times New Roman" w:hAnsi="ITC Avant Garde" w:cs="Courier New"/>
          <w:color w:val="000000" w:themeColor="text1"/>
          <w:lang w:eastAsia="es-MX"/>
        </w:rPr>
        <w:t xml:space="preserve">de </w:t>
      </w:r>
      <w:r w:rsidRPr="002C5DE4">
        <w:rPr>
          <w:rFonts w:ascii="ITC Avant Garde" w:eastAsia="Times New Roman" w:hAnsi="ITC Avant Garde" w:cs="Courier New"/>
          <w:color w:val="000000" w:themeColor="text1"/>
          <w:lang w:eastAsia="es-MX"/>
        </w:rPr>
        <w:t>conformidad con los artículos 28, párrafos décimo cuarto, décimo quinto</w:t>
      </w:r>
      <w:r w:rsidR="00ED1E88" w:rsidRPr="002C5DE4">
        <w:rPr>
          <w:rFonts w:ascii="ITC Avant Garde" w:eastAsia="Times New Roman" w:hAnsi="ITC Avant Garde" w:cs="Courier New"/>
          <w:color w:val="000000" w:themeColor="text1"/>
          <w:lang w:eastAsia="es-MX"/>
        </w:rPr>
        <w:t>,</w:t>
      </w:r>
      <w:r w:rsidRPr="002C5DE4" w:rsidDel="00ED1E88">
        <w:rPr>
          <w:rFonts w:ascii="ITC Avant Garde" w:eastAsia="Times New Roman" w:hAnsi="ITC Avant Garde" w:cs="Courier New"/>
          <w:color w:val="000000" w:themeColor="text1"/>
          <w:lang w:eastAsia="es-MX"/>
        </w:rPr>
        <w:t xml:space="preserve"> </w:t>
      </w:r>
      <w:r w:rsidRPr="002C5DE4">
        <w:rPr>
          <w:rFonts w:ascii="ITC Avant Garde" w:eastAsia="Times New Roman" w:hAnsi="ITC Avant Garde" w:cs="Courier New"/>
          <w:color w:val="000000" w:themeColor="text1"/>
          <w:lang w:eastAsia="es-MX"/>
        </w:rPr>
        <w:t>décimo sexto</w:t>
      </w:r>
      <w:r w:rsidR="003C7A6C" w:rsidRPr="002C5DE4">
        <w:rPr>
          <w:rFonts w:ascii="ITC Avant Garde" w:eastAsia="Times New Roman" w:hAnsi="ITC Avant Garde" w:cs="Courier New"/>
          <w:color w:val="000000" w:themeColor="text1"/>
          <w:lang w:eastAsia="es-MX"/>
        </w:rPr>
        <w:t xml:space="preserve"> y</w:t>
      </w:r>
      <w:r w:rsidR="00ED1E88" w:rsidRPr="002C5DE4">
        <w:rPr>
          <w:rFonts w:ascii="ITC Avant Garde" w:eastAsia="Times New Roman" w:hAnsi="ITC Avant Garde" w:cs="Courier New"/>
          <w:color w:val="000000" w:themeColor="text1"/>
          <w:lang w:eastAsia="es-MX"/>
        </w:rPr>
        <w:t xml:space="preserve"> vigésimo, fracción I,</w:t>
      </w:r>
      <w:r w:rsidRPr="002C5DE4">
        <w:rPr>
          <w:rFonts w:ascii="ITC Avant Garde" w:eastAsia="Times New Roman" w:hAnsi="ITC Avant Garde" w:cs="Courier New"/>
          <w:color w:val="000000" w:themeColor="text1"/>
          <w:lang w:eastAsia="es-MX"/>
        </w:rPr>
        <w:t xml:space="preserve"> de la Constitución Política de los Estados Unidos Mexicanos; 24, fracción IV, de la Ley Federal de Competencia Económica</w:t>
      </w:r>
      <w:r w:rsidRPr="002C5DE4">
        <w:rPr>
          <w:rStyle w:val="Refdenotaalpie"/>
          <w:rFonts w:ascii="ITC Avant Garde" w:eastAsia="Times New Roman" w:hAnsi="ITC Avant Garde" w:cs="Courier New"/>
          <w:color w:val="000000" w:themeColor="text1"/>
          <w:lang w:eastAsia="es-MX"/>
        </w:rPr>
        <w:footnoteReference w:id="4"/>
      </w:r>
      <w:r w:rsidRPr="002C5DE4">
        <w:rPr>
          <w:rFonts w:ascii="ITC Avant Garde" w:eastAsia="Times New Roman" w:hAnsi="ITC Avant Garde" w:cs="Courier New"/>
          <w:color w:val="000000" w:themeColor="text1"/>
          <w:lang w:eastAsia="es-MX"/>
        </w:rPr>
        <w:t xml:space="preserve"> 65, fracciones I y II, 66, fracción VIII, del Reglamento de la Ley Federal de Competencia Económica;</w:t>
      </w:r>
      <w:r w:rsidRPr="002C5DE4">
        <w:rPr>
          <w:rStyle w:val="Refdenotaalpie"/>
          <w:rFonts w:ascii="ITC Avant Garde" w:eastAsia="Times New Roman" w:hAnsi="ITC Avant Garde" w:cs="Courier New"/>
          <w:color w:val="000000" w:themeColor="text1"/>
          <w:lang w:eastAsia="es-MX"/>
        </w:rPr>
        <w:footnoteReference w:id="5"/>
      </w:r>
      <w:r w:rsidRPr="002C5DE4">
        <w:rPr>
          <w:rFonts w:ascii="ITC Avant Garde" w:eastAsia="Times New Roman" w:hAnsi="ITC Avant Garde" w:cs="Courier New"/>
          <w:color w:val="000000" w:themeColor="text1"/>
          <w:lang w:eastAsia="es-MX"/>
        </w:rPr>
        <w:t xml:space="preserve"> Sexto Transitorio, del “</w:t>
      </w:r>
      <w:r w:rsidRPr="002C5DE4">
        <w:rPr>
          <w:rFonts w:ascii="ITC Avant Garde" w:eastAsia="Times New Roman" w:hAnsi="ITC Avant Garde" w:cs="Courier New"/>
          <w:i/>
          <w:color w:val="000000" w:themeColor="text1"/>
          <w:lang w:eastAsia="es-MX"/>
        </w:rPr>
        <w:t>Decreto por el que se reforman, adicionan y derogan diversas disposiciones de la Ley Federal de Competencia Económica, de la Ley de la Comisión Nacional de los Derechos Humanos, de la Ley Federal de Telecomunicaciones y Radiodifusión, de la Ley del Sistema Nacional de Información Estadística y Geográfica, de la Ley General de Instituciones y Procedimientos Electorales, de la Ley del Instituto Nacional para la Evaluación de la Educación, de la Ley Federal de Transparencia y Acceso a la Información Pública, y de la Ley Orgánica del Congreso General de los Estados Unidos Mexicanos</w:t>
      </w:r>
      <w:r w:rsidRPr="002C5DE4">
        <w:rPr>
          <w:rFonts w:ascii="ITC Avant Garde" w:eastAsia="Times New Roman" w:hAnsi="ITC Avant Garde" w:cs="Courier New"/>
          <w:color w:val="000000" w:themeColor="text1"/>
          <w:lang w:eastAsia="es-MX"/>
        </w:rPr>
        <w:t>”;</w:t>
      </w:r>
      <w:r w:rsidRPr="002C5DE4">
        <w:rPr>
          <w:rStyle w:val="Refdenotaalpie"/>
          <w:rFonts w:ascii="ITC Avant Garde" w:eastAsia="Times New Roman" w:hAnsi="ITC Avant Garde" w:cs="Courier New"/>
          <w:color w:val="000000" w:themeColor="text1"/>
          <w:lang w:eastAsia="es-MX"/>
        </w:rPr>
        <w:footnoteReference w:id="6"/>
      </w:r>
      <w:r w:rsidRPr="002C5DE4">
        <w:rPr>
          <w:rFonts w:ascii="ITC Avant Garde" w:eastAsia="Times New Roman" w:hAnsi="ITC Avant Garde" w:cs="Courier New"/>
          <w:color w:val="000000" w:themeColor="text1"/>
          <w:lang w:eastAsia="es-MX"/>
        </w:rPr>
        <w:t xml:space="preserve"> Tercero Transitorio del “</w:t>
      </w:r>
      <w:r w:rsidRPr="002C5DE4">
        <w:rPr>
          <w:rFonts w:ascii="ITC Avant Garde" w:eastAsia="Times New Roman" w:hAnsi="ITC Avant Garde" w:cs="Courier New"/>
          <w:i/>
          <w:color w:val="000000" w:themeColor="text1"/>
          <w:lang w:eastAsia="es-MX"/>
        </w:rPr>
        <w:t xml:space="preserve">Acuerdo mediante el cual el Pleno del Instituto Federal de Telecomunicaciones expide </w:t>
      </w:r>
      <w:r w:rsidRPr="002C5DE4">
        <w:rPr>
          <w:rFonts w:ascii="ITC Avant Garde" w:eastAsia="Times New Roman" w:hAnsi="ITC Avant Garde" w:cs="Courier New"/>
          <w:i/>
          <w:color w:val="000000" w:themeColor="text1"/>
          <w:lang w:eastAsia="es-MX"/>
        </w:rPr>
        <w:lastRenderedPageBreak/>
        <w:t>las Disposiciones Regulatorias de la Ley Federal de Competencia Económica para los sectores de telecomunicaciones y radiodifusión</w:t>
      </w:r>
      <w:r w:rsidRPr="002C5DE4">
        <w:rPr>
          <w:rFonts w:ascii="ITC Avant Garde" w:eastAsia="Times New Roman" w:hAnsi="ITC Avant Garde" w:cs="Courier New"/>
          <w:color w:val="000000" w:themeColor="text1"/>
          <w:lang w:eastAsia="es-MX"/>
        </w:rPr>
        <w:t>”,</w:t>
      </w:r>
      <w:r w:rsidRPr="002C5DE4">
        <w:rPr>
          <w:rStyle w:val="Refdenotaalpie"/>
          <w:rFonts w:ascii="ITC Avant Garde" w:eastAsia="Times New Roman" w:hAnsi="ITC Avant Garde" w:cs="Courier New"/>
          <w:color w:val="000000" w:themeColor="text1"/>
          <w:lang w:eastAsia="es-MX"/>
        </w:rPr>
        <w:footnoteReference w:id="7"/>
      </w:r>
      <w:r w:rsidRPr="002C5DE4">
        <w:rPr>
          <w:rFonts w:ascii="ITC Avant Garde" w:eastAsia="Times New Roman" w:hAnsi="ITC Avant Garde" w:cs="Courier New"/>
          <w:color w:val="000000" w:themeColor="text1"/>
          <w:lang w:eastAsia="es-MX"/>
        </w:rPr>
        <w:t xml:space="preserve"> </w:t>
      </w:r>
      <w:r w:rsidRPr="002C5DE4">
        <w:rPr>
          <w:rFonts w:ascii="ITC Avant Garde" w:hAnsi="ITC Avant Garde"/>
          <w:color w:val="000000" w:themeColor="text1"/>
        </w:rPr>
        <w:t>y 1, 4, fracción I, del Estatuto Orgánico del Instituto Federal de Telecomunicaciones,</w:t>
      </w:r>
      <w:r w:rsidRPr="002C5DE4">
        <w:rPr>
          <w:rStyle w:val="Refdenotaalpie"/>
          <w:rFonts w:ascii="ITC Avant Garde" w:hAnsi="ITC Avant Garde"/>
          <w:color w:val="000000" w:themeColor="text1"/>
        </w:rPr>
        <w:footnoteReference w:id="8"/>
      </w:r>
    </w:p>
    <w:p w:rsidR="002C5DE4" w:rsidRPr="00B272C2" w:rsidRDefault="002401B6" w:rsidP="00601E45">
      <w:pPr>
        <w:pStyle w:val="Ttulo2"/>
        <w:jc w:val="center"/>
        <w:rPr>
          <w:rFonts w:ascii="ITC Avant Garde" w:hAnsi="ITC Avant Garde"/>
          <w:b/>
          <w:color w:val="auto"/>
          <w:sz w:val="22"/>
        </w:rPr>
      </w:pPr>
      <w:r w:rsidRPr="00751246">
        <w:rPr>
          <w:rFonts w:ascii="ITC Avant Garde" w:hAnsi="ITC Avant Garde"/>
          <w:b/>
          <w:color w:val="auto"/>
          <w:sz w:val="22"/>
        </w:rPr>
        <w:t>ACUERDA:</w:t>
      </w:r>
    </w:p>
    <w:p w:rsidR="002C5DE4" w:rsidRDefault="002401B6" w:rsidP="00B272C2">
      <w:pPr>
        <w:tabs>
          <w:tab w:val="left" w:pos="284"/>
        </w:tabs>
        <w:suppressAutoHyphens/>
        <w:overflowPunct w:val="0"/>
        <w:autoSpaceDE w:val="0"/>
        <w:autoSpaceDN w:val="0"/>
        <w:adjustRightInd w:val="0"/>
        <w:spacing w:before="120" w:line="240" w:lineRule="auto"/>
        <w:jc w:val="both"/>
        <w:textAlignment w:val="baseline"/>
        <w:rPr>
          <w:rFonts w:ascii="ITC Avant Garde" w:hAnsi="ITC Avant Garde"/>
          <w:bCs/>
          <w:color w:val="000000"/>
        </w:rPr>
      </w:pPr>
      <w:r w:rsidRPr="002C5DE4">
        <w:rPr>
          <w:rFonts w:ascii="ITC Avant Garde" w:hAnsi="ITC Avant Garde"/>
          <w:b/>
          <w:bCs/>
          <w:color w:val="000000"/>
        </w:rPr>
        <w:t xml:space="preserve">Primero.- </w:t>
      </w:r>
      <w:r w:rsidRPr="002C5DE4">
        <w:rPr>
          <w:rFonts w:ascii="ITC Avant Garde" w:hAnsi="ITC Avant Garde"/>
          <w:bCs/>
          <w:color w:val="000000"/>
        </w:rPr>
        <w:t xml:space="preserve">En cumplimiento a lo ordenado en la </w:t>
      </w:r>
      <w:r w:rsidR="00335250" w:rsidRPr="002C5DE4">
        <w:rPr>
          <w:rFonts w:ascii="ITC Avant Garde" w:hAnsi="ITC Avant Garde"/>
          <w:bCs/>
          <w:color w:val="000000"/>
        </w:rPr>
        <w:t>e</w:t>
      </w:r>
      <w:r w:rsidRPr="002C5DE4">
        <w:rPr>
          <w:rFonts w:ascii="ITC Avant Garde" w:hAnsi="ITC Avant Garde"/>
          <w:bCs/>
          <w:color w:val="000000"/>
        </w:rPr>
        <w:t xml:space="preserve">jecutoria emitida el </w:t>
      </w:r>
      <w:r w:rsidR="00335250" w:rsidRPr="002C5DE4">
        <w:rPr>
          <w:rFonts w:ascii="ITC Avant Garde" w:hAnsi="ITC Avant Garde"/>
          <w:bCs/>
          <w:color w:val="000000"/>
        </w:rPr>
        <w:t>veintiséis de abril de dos mil dieciocho</w:t>
      </w:r>
      <w:r w:rsidRPr="002C5DE4">
        <w:rPr>
          <w:rFonts w:ascii="ITC Avant Garde" w:hAnsi="ITC Avant Garde"/>
          <w:bCs/>
          <w:color w:val="000000"/>
        </w:rPr>
        <w:t xml:space="preserve"> por el </w:t>
      </w:r>
      <w:r w:rsidRPr="002C5DE4">
        <w:rPr>
          <w:rFonts w:ascii="ITC Avant Garde" w:hAnsi="ITC Avant Garde"/>
        </w:rPr>
        <w:t>Primer Tribunal Colegiado de Circuito</w:t>
      </w:r>
      <w:r w:rsidRPr="00CC489B">
        <w:rPr>
          <w:rFonts w:ascii="ITC Avant Garde" w:hAnsi="ITC Avant Garde"/>
        </w:rPr>
        <w:t xml:space="preserve"> en Materia Administrati</w:t>
      </w:r>
      <w:r>
        <w:rPr>
          <w:rFonts w:ascii="ITC Avant Garde" w:hAnsi="ITC Avant Garde"/>
        </w:rPr>
        <w:t xml:space="preserve">va Especializado en Competencia </w:t>
      </w:r>
      <w:r w:rsidRPr="00CC489B">
        <w:rPr>
          <w:rFonts w:ascii="ITC Avant Garde" w:hAnsi="ITC Avant Garde"/>
        </w:rPr>
        <w:t>Económica, Radiodifusión y Teleco</w:t>
      </w:r>
      <w:r>
        <w:rPr>
          <w:rFonts w:ascii="ITC Avant Garde" w:hAnsi="ITC Avant Garde"/>
        </w:rPr>
        <w:t xml:space="preserve">municaciones, con residencia en </w:t>
      </w:r>
      <w:r w:rsidRPr="00CC489B">
        <w:rPr>
          <w:rFonts w:ascii="ITC Avant Garde" w:hAnsi="ITC Avant Garde"/>
        </w:rPr>
        <w:t>la Ciudad de México y jurisdicción en toda la República</w:t>
      </w:r>
      <w:r>
        <w:rPr>
          <w:rFonts w:ascii="ITC Avant Garde" w:hAnsi="ITC Avant Garde"/>
        </w:rPr>
        <w:t xml:space="preserve"> en los autos del toca de amparo en revisión R.A. </w:t>
      </w:r>
      <w:r w:rsidR="00335250">
        <w:rPr>
          <w:rFonts w:ascii="ITC Avant Garde" w:hAnsi="ITC Avant Garde"/>
        </w:rPr>
        <w:t>153/2015</w:t>
      </w:r>
      <w:r>
        <w:rPr>
          <w:rFonts w:ascii="ITC Avant Garde" w:hAnsi="ITC Avant Garde"/>
        </w:rPr>
        <w:t xml:space="preserve"> de su índice; se toma conocimiento de la misma y en consecuencia </w:t>
      </w:r>
      <w:r w:rsidRPr="00DA296D">
        <w:rPr>
          <w:rFonts w:ascii="ITC Avant Garde" w:hAnsi="ITC Avant Garde"/>
          <w:b/>
          <w:bCs/>
          <w:color w:val="000000"/>
          <w:u w:val="single"/>
        </w:rPr>
        <w:t>se deja insubsistente</w:t>
      </w:r>
      <w:r>
        <w:rPr>
          <w:rFonts w:ascii="ITC Avant Garde" w:hAnsi="ITC Avant Garde"/>
          <w:bCs/>
          <w:color w:val="000000"/>
        </w:rPr>
        <w:t xml:space="preserve"> la </w:t>
      </w:r>
      <w:r>
        <w:rPr>
          <w:rFonts w:ascii="ITC Avant Garde" w:hAnsi="ITC Avant Garde"/>
        </w:rPr>
        <w:t>r</w:t>
      </w:r>
      <w:r w:rsidRPr="00DA53B6">
        <w:rPr>
          <w:rFonts w:ascii="ITC Avant Garde" w:hAnsi="ITC Avant Garde"/>
        </w:rPr>
        <w:t xml:space="preserve">esolución </w:t>
      </w:r>
      <w:r>
        <w:rPr>
          <w:rFonts w:ascii="ITC Avant Garde" w:hAnsi="ITC Avant Garde"/>
        </w:rPr>
        <w:t xml:space="preserve">de fecha </w:t>
      </w:r>
      <w:r w:rsidR="00335250">
        <w:rPr>
          <w:rFonts w:ascii="ITC Avant Garde" w:hAnsi="ITC Avant Garde"/>
        </w:rPr>
        <w:t>veintiocho de febrero de dos mil trece</w:t>
      </w:r>
      <w:r>
        <w:rPr>
          <w:rFonts w:ascii="ITC Avant Garde" w:hAnsi="ITC Avant Garde"/>
        </w:rPr>
        <w:t>, emitida por el Pleno de la extinta Comisión Federal de Competencia, dentro del recurso de reconsideración con número de expediente RA-0</w:t>
      </w:r>
      <w:r w:rsidR="00335250">
        <w:rPr>
          <w:rFonts w:ascii="ITC Avant Garde" w:hAnsi="ITC Avant Garde"/>
        </w:rPr>
        <w:t>16</w:t>
      </w:r>
      <w:r>
        <w:rPr>
          <w:rFonts w:ascii="ITC Avant Garde" w:hAnsi="ITC Avant Garde"/>
        </w:rPr>
        <w:t>-201</w:t>
      </w:r>
      <w:r w:rsidR="00335250">
        <w:rPr>
          <w:rFonts w:ascii="ITC Avant Garde" w:hAnsi="ITC Avant Garde"/>
        </w:rPr>
        <w:t>0</w:t>
      </w:r>
      <w:r>
        <w:rPr>
          <w:rFonts w:ascii="ITC Avant Garde" w:hAnsi="ITC Avant Garde"/>
        </w:rPr>
        <w:t xml:space="preserve"> de su índice, actualmente E-IFT/UCE/RR-001-201</w:t>
      </w:r>
      <w:r w:rsidR="00335250">
        <w:rPr>
          <w:rFonts w:ascii="ITC Avant Garde" w:hAnsi="ITC Avant Garde"/>
        </w:rPr>
        <w:t>8</w:t>
      </w:r>
      <w:r>
        <w:rPr>
          <w:rFonts w:ascii="ITC Avant Garde" w:hAnsi="ITC Avant Garde"/>
        </w:rPr>
        <w:t xml:space="preserve"> del índice de este Instituto</w:t>
      </w:r>
      <w:r>
        <w:rPr>
          <w:rFonts w:ascii="ITC Avant Garde" w:hAnsi="ITC Avant Garde"/>
          <w:bCs/>
          <w:color w:val="000000"/>
        </w:rPr>
        <w:t>.</w:t>
      </w:r>
    </w:p>
    <w:p w:rsidR="002C5DE4" w:rsidRPr="00B272C2" w:rsidRDefault="00EF6AC8" w:rsidP="00B272C2">
      <w:pPr>
        <w:spacing w:line="240" w:lineRule="auto"/>
        <w:jc w:val="both"/>
        <w:rPr>
          <w:rFonts w:ascii="ITC Avant Garde" w:eastAsia="Calibri" w:hAnsi="ITC Avant Garde" w:cs="Times New Roman"/>
        </w:rPr>
      </w:pPr>
      <w:r>
        <w:rPr>
          <w:rFonts w:ascii="ITC Avant Garde" w:hAnsi="ITC Avant Garde"/>
          <w:b/>
          <w:bCs/>
          <w:color w:val="000000"/>
        </w:rPr>
        <w:t>Segundo</w:t>
      </w:r>
      <w:r w:rsidRPr="009C3157">
        <w:rPr>
          <w:rFonts w:ascii="ITC Avant Garde" w:hAnsi="ITC Avant Garde"/>
          <w:b/>
          <w:bCs/>
          <w:color w:val="000000"/>
        </w:rPr>
        <w:t>. -</w:t>
      </w:r>
      <w:r w:rsidR="002401B6" w:rsidRPr="009C3157">
        <w:rPr>
          <w:rFonts w:ascii="ITC Avant Garde" w:hAnsi="ITC Avant Garde"/>
          <w:b/>
          <w:bCs/>
          <w:color w:val="000000"/>
        </w:rPr>
        <w:t xml:space="preserve"> </w:t>
      </w:r>
      <w:r w:rsidR="002401B6" w:rsidRPr="009C3157">
        <w:rPr>
          <w:rFonts w:ascii="ITC Avant Garde" w:hAnsi="ITC Avant Garde"/>
        </w:rPr>
        <w:t xml:space="preserve">Instruir a la Unidad de Competencia Económica de este Instituto a efecto de que realice las </w:t>
      </w:r>
      <w:r w:rsidR="002401B6">
        <w:rPr>
          <w:rFonts w:ascii="ITC Avant Garde" w:hAnsi="ITC Avant Garde"/>
        </w:rPr>
        <w:t xml:space="preserve">gestiones necesarias para continuar con el cumplimiento de la Ejecutoria y presente a este Pleno, un </w:t>
      </w:r>
      <w:r w:rsidR="002401B6" w:rsidRPr="007522D6">
        <w:rPr>
          <w:rFonts w:ascii="ITC Avant Garde" w:hAnsi="ITC Avant Garde"/>
        </w:rPr>
        <w:t xml:space="preserve">proyecto </w:t>
      </w:r>
      <w:r w:rsidR="002401B6">
        <w:rPr>
          <w:rFonts w:ascii="ITC Avant Garde" w:hAnsi="ITC Avant Garde"/>
        </w:rPr>
        <w:t>de resolución en donde se atiendan cabalmente</w:t>
      </w:r>
      <w:r w:rsidR="002401B6" w:rsidRPr="009C3157">
        <w:rPr>
          <w:rFonts w:ascii="ITC Avant Garde" w:hAnsi="ITC Avant Garde"/>
        </w:rPr>
        <w:t xml:space="preserve"> </w:t>
      </w:r>
      <w:r w:rsidR="002401B6" w:rsidRPr="009C3157">
        <w:rPr>
          <w:rFonts w:ascii="ITC Avant Garde" w:eastAsia="Calibri" w:hAnsi="ITC Avant Garde" w:cs="Times New Roman"/>
        </w:rPr>
        <w:t xml:space="preserve">todos y cada uno de los puntos </w:t>
      </w:r>
      <w:r w:rsidR="002401B6">
        <w:rPr>
          <w:rFonts w:ascii="ITC Avant Garde" w:eastAsia="Calibri" w:hAnsi="ITC Avant Garde" w:cs="Times New Roman"/>
        </w:rPr>
        <w:t xml:space="preserve">indicados en el numeral </w:t>
      </w:r>
      <w:r w:rsidR="002E5DB4">
        <w:rPr>
          <w:rFonts w:ascii="ITC Avant Garde" w:eastAsia="Calibri" w:hAnsi="ITC Avant Garde" w:cs="Times New Roman"/>
        </w:rPr>
        <w:t>I</w:t>
      </w:r>
      <w:r w:rsidR="002401B6">
        <w:rPr>
          <w:rFonts w:ascii="ITC Avant Garde" w:eastAsia="Calibri" w:hAnsi="ITC Avant Garde" w:cs="Times New Roman"/>
        </w:rPr>
        <w:t xml:space="preserve">V del proemio del presente acuerdo. </w:t>
      </w:r>
    </w:p>
    <w:p w:rsidR="002401B6" w:rsidRPr="00C72AAC" w:rsidRDefault="002401B6" w:rsidP="002C5DE4">
      <w:pPr>
        <w:tabs>
          <w:tab w:val="left" w:pos="284"/>
        </w:tabs>
        <w:suppressAutoHyphens/>
        <w:overflowPunct w:val="0"/>
        <w:autoSpaceDE w:val="0"/>
        <w:autoSpaceDN w:val="0"/>
        <w:adjustRightInd w:val="0"/>
        <w:spacing w:before="120" w:line="240" w:lineRule="auto"/>
        <w:jc w:val="both"/>
        <w:textAlignment w:val="baseline"/>
        <w:rPr>
          <w:rFonts w:ascii="ITC Avant Garde" w:hAnsi="ITC Avant Garde"/>
          <w:bCs/>
          <w:color w:val="000000"/>
        </w:rPr>
      </w:pPr>
      <w:r>
        <w:rPr>
          <w:rFonts w:ascii="ITC Avant Garde" w:hAnsi="ITC Avant Garde"/>
          <w:b/>
          <w:color w:val="000000" w:themeColor="text1"/>
        </w:rPr>
        <w:t xml:space="preserve">Tercero.- </w:t>
      </w:r>
      <w:r w:rsidRPr="00617ED7">
        <w:rPr>
          <w:rFonts w:ascii="ITC Avant Garde" w:hAnsi="ITC Avant Garde"/>
          <w:bCs/>
          <w:color w:val="000000"/>
        </w:rPr>
        <w:t xml:space="preserve">Instruir a la Unidad de Asuntos Jurídicos de este Instituto a efecto de que </w:t>
      </w:r>
      <w:r>
        <w:rPr>
          <w:rFonts w:ascii="ITC Avant Garde" w:hAnsi="ITC Avant Garde"/>
          <w:bCs/>
          <w:color w:val="000000"/>
        </w:rPr>
        <w:t xml:space="preserve">exhiba este Acuerdo al </w:t>
      </w:r>
      <w:r w:rsidRPr="00617ED7">
        <w:rPr>
          <w:rFonts w:ascii="ITC Avant Garde" w:hAnsi="ITC Avant Garde"/>
          <w:bCs/>
          <w:color w:val="000000"/>
        </w:rPr>
        <w:t>Juzgado</w:t>
      </w:r>
      <w:r>
        <w:rPr>
          <w:rFonts w:ascii="ITC Avant Garde" w:hAnsi="ITC Avant Garde"/>
          <w:bCs/>
          <w:color w:val="000000"/>
        </w:rPr>
        <w:t xml:space="preserve"> </w:t>
      </w:r>
      <w:r w:rsidR="00335250">
        <w:rPr>
          <w:rFonts w:ascii="ITC Avant Garde" w:hAnsi="ITC Avant Garde"/>
          <w:bCs/>
          <w:color w:val="000000"/>
        </w:rPr>
        <w:t xml:space="preserve">Primero </w:t>
      </w:r>
      <w:r w:rsidR="00335250">
        <w:rPr>
          <w:rFonts w:ascii="ITC Avant Garde" w:hAnsi="ITC Avant Garde"/>
        </w:rPr>
        <w:t xml:space="preserve">de Distrito en Materia Administrativa Especializada en Competencia Económica, Radiodifusión y Telecomunicaciones, con residencia en la Ciudad de México y jurisdicción en toda la República </w:t>
      </w:r>
      <w:r w:rsidRPr="00617ED7">
        <w:rPr>
          <w:rFonts w:ascii="ITC Avant Garde" w:hAnsi="ITC Avant Garde"/>
          <w:bCs/>
          <w:color w:val="000000"/>
        </w:rPr>
        <w:t xml:space="preserve">y gestione una prórroga </w:t>
      </w:r>
      <w:r>
        <w:rPr>
          <w:rFonts w:ascii="ITC Avant Garde" w:hAnsi="ITC Avant Garde"/>
          <w:bCs/>
          <w:color w:val="000000"/>
        </w:rPr>
        <w:t>para</w:t>
      </w:r>
      <w:r w:rsidRPr="00617ED7">
        <w:rPr>
          <w:rFonts w:ascii="ITC Avant Garde" w:hAnsi="ITC Avant Garde"/>
          <w:bCs/>
          <w:color w:val="000000"/>
        </w:rPr>
        <w:t xml:space="preserve"> dar cumplimiento a lo ordenado</w:t>
      </w:r>
      <w:r>
        <w:rPr>
          <w:rFonts w:ascii="ITC Avant Garde" w:hAnsi="ITC Avant Garde"/>
          <w:bCs/>
          <w:color w:val="000000"/>
        </w:rPr>
        <w:t xml:space="preserve"> en el resolutivo </w:t>
      </w:r>
      <w:r w:rsidR="002E5DB4">
        <w:rPr>
          <w:rFonts w:ascii="ITC Avant Garde" w:hAnsi="ITC Avant Garde"/>
          <w:bCs/>
          <w:color w:val="000000"/>
        </w:rPr>
        <w:t>cuarto</w:t>
      </w:r>
      <w:r>
        <w:rPr>
          <w:rFonts w:ascii="ITC Avant Garde" w:hAnsi="ITC Avant Garde"/>
          <w:bCs/>
          <w:color w:val="000000"/>
        </w:rPr>
        <w:t xml:space="preserve"> de la Ejecutoria emitida por el </w:t>
      </w:r>
      <w:r>
        <w:rPr>
          <w:rFonts w:ascii="ITC Avant Garde" w:hAnsi="ITC Avant Garde"/>
        </w:rPr>
        <w:t xml:space="preserve">Primer Tribunal Colegiado de </w:t>
      </w:r>
      <w:r w:rsidRPr="00CC489B">
        <w:rPr>
          <w:rFonts w:ascii="ITC Avant Garde" w:hAnsi="ITC Avant Garde"/>
        </w:rPr>
        <w:t>Circuito en Materia Administrati</w:t>
      </w:r>
      <w:r>
        <w:rPr>
          <w:rFonts w:ascii="ITC Avant Garde" w:hAnsi="ITC Avant Garde"/>
        </w:rPr>
        <w:t xml:space="preserve">va Especializado en Competencia </w:t>
      </w:r>
      <w:r w:rsidRPr="00CC489B">
        <w:rPr>
          <w:rFonts w:ascii="ITC Avant Garde" w:hAnsi="ITC Avant Garde"/>
        </w:rPr>
        <w:t>Económica, Radiodifusión y Teleco</w:t>
      </w:r>
      <w:r>
        <w:rPr>
          <w:rFonts w:ascii="ITC Avant Garde" w:hAnsi="ITC Avant Garde"/>
        </w:rPr>
        <w:t xml:space="preserve">municaciones, con residencia en </w:t>
      </w:r>
      <w:r w:rsidRPr="00CC489B">
        <w:rPr>
          <w:rFonts w:ascii="ITC Avant Garde" w:hAnsi="ITC Avant Garde"/>
        </w:rPr>
        <w:t>la Ciudad de México y jurisdicción en toda la República</w:t>
      </w:r>
      <w:r>
        <w:rPr>
          <w:rFonts w:ascii="ITC Avant Garde" w:hAnsi="ITC Avant Garde"/>
        </w:rPr>
        <w:t>.</w:t>
      </w:r>
    </w:p>
    <w:p w:rsidR="00B52923" w:rsidRPr="00751246" w:rsidRDefault="002C5DE4" w:rsidP="00751246">
      <w:pPr>
        <w:spacing w:line="240" w:lineRule="auto"/>
        <w:jc w:val="both"/>
        <w:rPr>
          <w:rFonts w:ascii="ITC Avant Garde" w:hAnsi="ITC Avant Garde"/>
          <w:b/>
          <w:color w:val="000000" w:themeColor="text1"/>
        </w:rPr>
      </w:pPr>
      <w:r>
        <w:rPr>
          <w:rFonts w:ascii="ITC Avant Garde" w:hAnsi="ITC Avant Garde"/>
          <w:b/>
          <w:color w:val="000000" w:themeColor="text1"/>
        </w:rPr>
        <w:t>Cuarto. -</w:t>
      </w:r>
      <w:r w:rsidR="002401B6">
        <w:rPr>
          <w:rFonts w:ascii="ITC Avant Garde" w:hAnsi="ITC Avant Garde"/>
          <w:b/>
          <w:color w:val="000000" w:themeColor="text1"/>
        </w:rPr>
        <w:t xml:space="preserve"> </w:t>
      </w:r>
      <w:r w:rsidR="002401B6" w:rsidRPr="00643996">
        <w:rPr>
          <w:rFonts w:ascii="ITC Avant Garde" w:hAnsi="ITC Avant Garde"/>
          <w:color w:val="000000" w:themeColor="text1"/>
        </w:rPr>
        <w:t>Notifíquese</w:t>
      </w:r>
      <w:r w:rsidR="002401B6">
        <w:rPr>
          <w:rFonts w:ascii="ITC Avant Garde" w:hAnsi="ITC Avant Garde"/>
          <w:b/>
          <w:color w:val="000000" w:themeColor="text1"/>
        </w:rPr>
        <w:t>.</w:t>
      </w:r>
    </w:p>
    <w:p w:rsidR="00EF1749" w:rsidRPr="00EF1749" w:rsidRDefault="00EF1749" w:rsidP="003C5059">
      <w:pPr>
        <w:spacing w:after="240" w:line="240" w:lineRule="auto"/>
        <w:jc w:val="both"/>
        <w:rPr>
          <w:rFonts w:ascii="ITC Avant Garde" w:hAnsi="ITC Avant Garde"/>
          <w:sz w:val="14"/>
          <w:lang w:eastAsia="es-MX"/>
        </w:rPr>
      </w:pPr>
      <w:r w:rsidRPr="00EF1749">
        <w:rPr>
          <w:rFonts w:ascii="ITC Avant Garde" w:hAnsi="ITC Avant Garde"/>
          <w:sz w:val="14"/>
          <w:lang w:val="es-ES" w:eastAsia="es-ES"/>
        </w:rPr>
        <w:t xml:space="preserve">El presente Acuerdo fue aprobado por el Pleno del Instituto Federal de Telecomunicaciones en su XX Sesión Ordinaria celebrada el 6 de junio de 2018, por </w:t>
      </w:r>
      <w:r w:rsidRPr="00EF1749">
        <w:rPr>
          <w:rFonts w:ascii="ITC Avant Garde" w:hAnsi="ITC Avant Garde"/>
          <w:bCs/>
          <w:sz w:val="14"/>
          <w:lang w:val="es-ES" w:eastAsia="es-ES"/>
        </w:rPr>
        <w:t>unanimidad</w:t>
      </w:r>
      <w:r w:rsidRPr="00EF1749">
        <w:rPr>
          <w:rFonts w:ascii="ITC Avant Garde" w:hAnsi="ITC Avant Garde"/>
          <w:sz w:val="14"/>
          <w:lang w:val="es-ES" w:eastAsia="es-ES"/>
        </w:rPr>
        <w:t xml:space="preserve"> de votos de los Comisionados Gabriel Oswaldo Contreras Saldívar, </w:t>
      </w:r>
      <w:r w:rsidRPr="00EF1749">
        <w:rPr>
          <w:rFonts w:ascii="ITC Avant Garde" w:hAnsi="ITC Avant Garde"/>
          <w:sz w:val="14"/>
          <w:lang w:eastAsia="es-MX"/>
        </w:rPr>
        <w:t>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P/IFT/060618/423.</w:t>
      </w:r>
    </w:p>
    <w:p w:rsidR="00EF1749" w:rsidRDefault="00EF1749" w:rsidP="003C5059">
      <w:pPr>
        <w:spacing w:after="240" w:line="240" w:lineRule="auto"/>
        <w:jc w:val="both"/>
        <w:rPr>
          <w:rFonts w:ascii="ITC Avant Garde" w:hAnsi="ITC Avant Garde"/>
          <w:b/>
          <w:color w:val="000000" w:themeColor="text1"/>
        </w:rPr>
      </w:pPr>
      <w:r w:rsidRPr="00EF1749">
        <w:rPr>
          <w:rFonts w:ascii="ITC Avant Garde" w:hAnsi="ITC Avant Garde"/>
          <w:sz w:val="14"/>
          <w:lang w:val="es-ES"/>
        </w:rPr>
        <w:t>La Comisionada María Elena Estavillo Flores manifestó su impedimento legal para conocer del presente asunto, y el Pleno calificó su excusa como procedente, conforme a lo establecido en los artículos 24 fracción IV de la Ley Federal de Competencia Económica, y 6 fracción XXIII del Estatuto Orgánico del Instituto Federal de Telecomunicaciones.</w:t>
      </w:r>
      <w:bookmarkStart w:id="0" w:name="_GoBack"/>
      <w:bookmarkEnd w:id="0"/>
    </w:p>
    <w:sectPr w:rsidR="00EF1749" w:rsidSect="002C5DE4">
      <w:headerReference w:type="even" r:id="rId11"/>
      <w:headerReference w:type="default" r:id="rId12"/>
      <w:footerReference w:type="default" r:id="rId13"/>
      <w:headerReference w:type="first" r:id="rId14"/>
      <w:pgSz w:w="12240" w:h="15840"/>
      <w:pgMar w:top="2268" w:right="1304" w:bottom="1418" w:left="1304"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83" w:rsidRDefault="00D46C83" w:rsidP="002401B6">
      <w:pPr>
        <w:spacing w:after="0" w:line="240" w:lineRule="auto"/>
      </w:pPr>
      <w:r>
        <w:separator/>
      </w:r>
    </w:p>
  </w:endnote>
  <w:endnote w:type="continuationSeparator" w:id="0">
    <w:p w:rsidR="00D46C83" w:rsidRDefault="00D46C83" w:rsidP="002401B6">
      <w:pPr>
        <w:spacing w:after="0" w:line="240" w:lineRule="auto"/>
      </w:pPr>
      <w:r>
        <w:continuationSeparator/>
      </w:r>
    </w:p>
  </w:endnote>
  <w:endnote w:type="continuationNotice" w:id="1">
    <w:p w:rsidR="00D46C83" w:rsidRDefault="00D46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rPr>
      <w:id w:val="-2051525118"/>
      <w:docPartObj>
        <w:docPartGallery w:val="Page Numbers (Bottom of Page)"/>
        <w:docPartUnique/>
      </w:docPartObj>
    </w:sdtPr>
    <w:sdtEndPr/>
    <w:sdtContent>
      <w:p w:rsidR="00D2767F" w:rsidRPr="00F53605" w:rsidRDefault="00D2767F">
        <w:pPr>
          <w:pStyle w:val="Piedepgina"/>
          <w:jc w:val="right"/>
          <w:rPr>
            <w:rFonts w:ascii="ITC Avant Garde" w:hAnsi="ITC Avant Garde"/>
            <w:sz w:val="20"/>
          </w:rPr>
        </w:pPr>
        <w:r w:rsidRPr="00F53605">
          <w:rPr>
            <w:rFonts w:ascii="ITC Avant Garde" w:hAnsi="ITC Avant Garde"/>
            <w:sz w:val="20"/>
          </w:rPr>
          <w:fldChar w:fldCharType="begin"/>
        </w:r>
        <w:r w:rsidRPr="00F53605">
          <w:rPr>
            <w:rFonts w:ascii="ITC Avant Garde" w:hAnsi="ITC Avant Garde"/>
            <w:sz w:val="20"/>
          </w:rPr>
          <w:instrText>PAGE   \* MERGEFORMAT</w:instrText>
        </w:r>
        <w:r w:rsidRPr="00F53605">
          <w:rPr>
            <w:rFonts w:ascii="ITC Avant Garde" w:hAnsi="ITC Avant Garde"/>
            <w:sz w:val="20"/>
          </w:rPr>
          <w:fldChar w:fldCharType="separate"/>
        </w:r>
        <w:r w:rsidR="003C5059" w:rsidRPr="003C5059">
          <w:rPr>
            <w:rFonts w:ascii="ITC Avant Garde" w:hAnsi="ITC Avant Garde"/>
            <w:noProof/>
            <w:sz w:val="20"/>
            <w:lang w:val="es-ES"/>
          </w:rPr>
          <w:t>1</w:t>
        </w:r>
        <w:r w:rsidRPr="00F53605">
          <w:rPr>
            <w:rFonts w:ascii="ITC Avant Garde" w:hAnsi="ITC Avant Garde"/>
            <w:sz w:val="20"/>
          </w:rPr>
          <w:fldChar w:fldCharType="end"/>
        </w:r>
      </w:p>
    </w:sdtContent>
  </w:sdt>
  <w:p w:rsidR="00D2767F" w:rsidRDefault="00D276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83" w:rsidRDefault="00D46C83" w:rsidP="002401B6">
      <w:pPr>
        <w:spacing w:after="0" w:line="240" w:lineRule="auto"/>
      </w:pPr>
      <w:r>
        <w:separator/>
      </w:r>
    </w:p>
  </w:footnote>
  <w:footnote w:type="continuationSeparator" w:id="0">
    <w:p w:rsidR="00D46C83" w:rsidRDefault="00D46C83" w:rsidP="002401B6">
      <w:pPr>
        <w:spacing w:after="0" w:line="240" w:lineRule="auto"/>
      </w:pPr>
      <w:r>
        <w:continuationSeparator/>
      </w:r>
    </w:p>
  </w:footnote>
  <w:footnote w:type="continuationNotice" w:id="1">
    <w:p w:rsidR="00D46C83" w:rsidRDefault="00D46C83">
      <w:pPr>
        <w:spacing w:after="0" w:line="240" w:lineRule="auto"/>
      </w:pPr>
    </w:p>
  </w:footnote>
  <w:footnote w:id="2">
    <w:p w:rsidR="00D2767F" w:rsidRPr="004A4291" w:rsidRDefault="00D2767F" w:rsidP="002401B6">
      <w:pPr>
        <w:pStyle w:val="Textonotapie"/>
        <w:rPr>
          <w:rFonts w:ascii="ITC Avant Garde" w:hAnsi="ITC Avant Garde"/>
          <w:sz w:val="18"/>
          <w:szCs w:val="18"/>
        </w:rPr>
      </w:pPr>
      <w:r w:rsidRPr="004A4291">
        <w:rPr>
          <w:rStyle w:val="Refdenotaalpie"/>
          <w:rFonts w:ascii="ITC Avant Garde" w:hAnsi="ITC Avant Garde"/>
          <w:sz w:val="18"/>
          <w:szCs w:val="18"/>
        </w:rPr>
        <w:footnoteRef/>
      </w:r>
      <w:r>
        <w:rPr>
          <w:rFonts w:ascii="ITC Avant Garde" w:hAnsi="ITC Avant Garde"/>
          <w:sz w:val="18"/>
          <w:szCs w:val="18"/>
        </w:rPr>
        <w:t xml:space="preserve"> Actualmente E-IFT/UCE/DC-</w:t>
      </w:r>
      <w:r w:rsidRPr="004A4291">
        <w:rPr>
          <w:rFonts w:ascii="ITC Avant Garde" w:hAnsi="ITC Avant Garde"/>
          <w:sz w:val="18"/>
          <w:szCs w:val="18"/>
        </w:rPr>
        <w:t>001-201</w:t>
      </w:r>
      <w:r>
        <w:rPr>
          <w:rFonts w:ascii="ITC Avant Garde" w:hAnsi="ITC Avant Garde"/>
          <w:sz w:val="18"/>
          <w:szCs w:val="18"/>
        </w:rPr>
        <w:t>8</w:t>
      </w:r>
      <w:r w:rsidRPr="004A4291">
        <w:rPr>
          <w:rFonts w:ascii="ITC Avant Garde" w:hAnsi="ITC Avant Garde"/>
          <w:sz w:val="18"/>
          <w:szCs w:val="18"/>
        </w:rPr>
        <w:t xml:space="preserve"> del índice de este Instituto Federal de Telecomunicaciones (Instituto).</w:t>
      </w:r>
    </w:p>
  </w:footnote>
  <w:footnote w:id="3">
    <w:p w:rsidR="00D2767F" w:rsidRPr="004A4291" w:rsidRDefault="00D2767F" w:rsidP="002401B6">
      <w:pPr>
        <w:pStyle w:val="Textonotapie"/>
        <w:rPr>
          <w:rFonts w:ascii="ITC Avant Garde" w:hAnsi="ITC Avant Garde"/>
          <w:sz w:val="18"/>
          <w:szCs w:val="18"/>
        </w:rPr>
      </w:pPr>
      <w:r w:rsidRPr="004A4291">
        <w:rPr>
          <w:rStyle w:val="Refdenotaalpie"/>
          <w:rFonts w:ascii="ITC Avant Garde" w:hAnsi="ITC Avant Garde"/>
          <w:sz w:val="18"/>
          <w:szCs w:val="18"/>
        </w:rPr>
        <w:footnoteRef/>
      </w:r>
      <w:r w:rsidRPr="004A4291">
        <w:rPr>
          <w:rFonts w:ascii="ITC Avant Garde" w:hAnsi="ITC Avant Garde"/>
          <w:sz w:val="18"/>
          <w:szCs w:val="18"/>
        </w:rPr>
        <w:t xml:space="preserve"> Expediente en que se actúa, actualmente</w:t>
      </w:r>
      <w:r>
        <w:rPr>
          <w:rFonts w:ascii="ITC Avant Garde" w:hAnsi="ITC Avant Garde"/>
          <w:sz w:val="18"/>
          <w:szCs w:val="18"/>
        </w:rPr>
        <w:t xml:space="preserve"> registrado bajo el número E-IFT/UCE/RR-0</w:t>
      </w:r>
      <w:r w:rsidRPr="004A4291">
        <w:rPr>
          <w:rFonts w:ascii="ITC Avant Garde" w:hAnsi="ITC Avant Garde"/>
          <w:sz w:val="18"/>
          <w:szCs w:val="18"/>
        </w:rPr>
        <w:t>01-201</w:t>
      </w:r>
      <w:r>
        <w:rPr>
          <w:rFonts w:ascii="ITC Avant Garde" w:hAnsi="ITC Avant Garde"/>
          <w:sz w:val="18"/>
          <w:szCs w:val="18"/>
        </w:rPr>
        <w:t>8</w:t>
      </w:r>
      <w:r w:rsidRPr="004A4291">
        <w:rPr>
          <w:rFonts w:ascii="ITC Avant Garde" w:hAnsi="ITC Avant Garde"/>
          <w:sz w:val="18"/>
          <w:szCs w:val="18"/>
        </w:rPr>
        <w:t xml:space="preserve"> del índice de este </w:t>
      </w:r>
      <w:r>
        <w:rPr>
          <w:rFonts w:ascii="ITC Avant Garde" w:hAnsi="ITC Avant Garde"/>
          <w:sz w:val="18"/>
          <w:szCs w:val="18"/>
        </w:rPr>
        <w:t>Instituto.</w:t>
      </w:r>
    </w:p>
  </w:footnote>
  <w:footnote w:id="4">
    <w:p w:rsidR="00D2767F" w:rsidRPr="00497AF4" w:rsidRDefault="00D2767F" w:rsidP="002401B6">
      <w:pPr>
        <w:pStyle w:val="Textonotapie"/>
        <w:rPr>
          <w:rFonts w:ascii="ITC Avant Garde" w:hAnsi="ITC Avant Garde"/>
          <w:sz w:val="18"/>
          <w:szCs w:val="18"/>
        </w:rPr>
      </w:pPr>
      <w:r w:rsidRPr="00497AF4">
        <w:rPr>
          <w:rStyle w:val="Refdenotaalpie"/>
          <w:rFonts w:ascii="ITC Avant Garde" w:hAnsi="ITC Avant Garde"/>
          <w:sz w:val="18"/>
          <w:szCs w:val="18"/>
        </w:rPr>
        <w:footnoteRef/>
      </w:r>
      <w:r w:rsidRPr="00497AF4">
        <w:rPr>
          <w:rFonts w:ascii="ITC Avant Garde" w:hAnsi="ITC Avant Garde"/>
          <w:sz w:val="18"/>
          <w:szCs w:val="18"/>
        </w:rPr>
        <w:t xml:space="preserve"> Publicada en el Diario Oficial de la Federación (DOF) el veinticuatro de diciembre de mil novecientos noventa y dos y reformada mediante decreto publicado en el DOF veintiocho de junio de dos mil seis. </w:t>
      </w:r>
    </w:p>
  </w:footnote>
  <w:footnote w:id="5">
    <w:p w:rsidR="00D2767F" w:rsidRPr="00CA381F" w:rsidRDefault="00D2767F" w:rsidP="002401B6">
      <w:pPr>
        <w:pStyle w:val="Textonotapie"/>
        <w:rPr>
          <w:rFonts w:ascii="ITC Avant Garde" w:hAnsi="ITC Avant Garde"/>
          <w:sz w:val="18"/>
          <w:szCs w:val="18"/>
        </w:rPr>
      </w:pPr>
      <w:r w:rsidRPr="00CA381F">
        <w:rPr>
          <w:rStyle w:val="Refdenotaalpie"/>
          <w:rFonts w:ascii="ITC Avant Garde" w:hAnsi="ITC Avant Garde"/>
          <w:sz w:val="18"/>
          <w:szCs w:val="18"/>
        </w:rPr>
        <w:footnoteRef/>
      </w:r>
      <w:r w:rsidRPr="00CA381F">
        <w:rPr>
          <w:rFonts w:ascii="ITC Avant Garde" w:hAnsi="ITC Avant Garde"/>
          <w:sz w:val="18"/>
          <w:szCs w:val="18"/>
        </w:rPr>
        <w:t xml:space="preserve"> Publicado en el </w:t>
      </w:r>
      <w:r>
        <w:rPr>
          <w:rFonts w:ascii="ITC Avant Garde" w:hAnsi="ITC Avant Garde"/>
          <w:sz w:val="18"/>
          <w:szCs w:val="18"/>
        </w:rPr>
        <w:t>DOF</w:t>
      </w:r>
      <w:r w:rsidRPr="00CA381F">
        <w:rPr>
          <w:rFonts w:ascii="ITC Avant Garde" w:hAnsi="ITC Avant Garde"/>
          <w:sz w:val="18"/>
          <w:szCs w:val="18"/>
        </w:rPr>
        <w:t xml:space="preserve"> el doce de octubre de dos mil siete.</w:t>
      </w:r>
    </w:p>
  </w:footnote>
  <w:footnote w:id="6">
    <w:p w:rsidR="00D2767F" w:rsidRPr="00CA381F" w:rsidRDefault="00D2767F" w:rsidP="002401B6">
      <w:pPr>
        <w:pStyle w:val="Textonotapie"/>
        <w:rPr>
          <w:rFonts w:ascii="ITC Avant Garde" w:hAnsi="ITC Avant Garde"/>
          <w:sz w:val="18"/>
          <w:szCs w:val="18"/>
        </w:rPr>
      </w:pPr>
      <w:r w:rsidRPr="00CA381F">
        <w:rPr>
          <w:rFonts w:ascii="ITC Avant Garde" w:hAnsi="ITC Avant Garde"/>
          <w:sz w:val="18"/>
          <w:szCs w:val="18"/>
          <w:vertAlign w:val="superscript"/>
        </w:rPr>
        <w:footnoteRef/>
      </w:r>
      <w:r w:rsidRPr="00CA381F">
        <w:rPr>
          <w:rFonts w:ascii="ITC Avant Garde" w:hAnsi="ITC Avant Garde"/>
          <w:sz w:val="18"/>
          <w:szCs w:val="18"/>
          <w:vertAlign w:val="superscript"/>
        </w:rPr>
        <w:t xml:space="preserve"> </w:t>
      </w:r>
      <w:r w:rsidRPr="00CA381F">
        <w:rPr>
          <w:rFonts w:ascii="ITC Avant Garde" w:hAnsi="ITC Avant Garde"/>
          <w:sz w:val="18"/>
          <w:szCs w:val="18"/>
        </w:rPr>
        <w:t>Publicado en el DOF el veintisiete de enero de dos mil diecisiete.</w:t>
      </w:r>
    </w:p>
  </w:footnote>
  <w:footnote w:id="7">
    <w:p w:rsidR="00D2767F" w:rsidRPr="00CA381F" w:rsidRDefault="00D2767F" w:rsidP="002401B6">
      <w:pPr>
        <w:pStyle w:val="Textonotapie"/>
        <w:rPr>
          <w:rFonts w:ascii="ITC Avant Garde" w:hAnsi="ITC Avant Garde"/>
          <w:sz w:val="18"/>
          <w:szCs w:val="18"/>
        </w:rPr>
      </w:pPr>
      <w:r w:rsidRPr="00CA381F">
        <w:rPr>
          <w:rFonts w:ascii="ITC Avant Garde" w:hAnsi="ITC Avant Garde"/>
          <w:sz w:val="18"/>
          <w:szCs w:val="18"/>
          <w:vertAlign w:val="superscript"/>
        </w:rPr>
        <w:footnoteRef/>
      </w:r>
      <w:r w:rsidRPr="00CA381F">
        <w:rPr>
          <w:rFonts w:ascii="ITC Avant Garde" w:hAnsi="ITC Avant Garde"/>
          <w:sz w:val="18"/>
          <w:szCs w:val="18"/>
        </w:rPr>
        <w:t xml:space="preserve"> Publicado en el DOF el doce de enero de dos mil quince.</w:t>
      </w:r>
    </w:p>
  </w:footnote>
  <w:footnote w:id="8">
    <w:p w:rsidR="00D2767F" w:rsidRPr="00CA381F" w:rsidRDefault="00D2767F" w:rsidP="002401B6">
      <w:pPr>
        <w:pStyle w:val="Textonotapie"/>
        <w:rPr>
          <w:rFonts w:ascii="ITC Avant Garde" w:hAnsi="ITC Avant Garde" w:cs="Arial"/>
          <w:sz w:val="18"/>
          <w:szCs w:val="18"/>
        </w:rPr>
      </w:pPr>
      <w:r w:rsidRPr="00CA381F">
        <w:rPr>
          <w:rStyle w:val="Refdenotaalpie"/>
          <w:rFonts w:ascii="ITC Avant Garde" w:hAnsi="ITC Avant Garde" w:cs="Arial"/>
          <w:sz w:val="18"/>
          <w:szCs w:val="18"/>
        </w:rPr>
        <w:footnoteRef/>
      </w:r>
      <w:r w:rsidRPr="00CA381F">
        <w:rPr>
          <w:rFonts w:ascii="ITC Avant Garde" w:hAnsi="ITC Avant Garde" w:cs="Arial"/>
          <w:sz w:val="18"/>
          <w:szCs w:val="18"/>
        </w:rPr>
        <w:t xml:space="preserve"> Publicado en el DOF el cuatro de septiembre de dos mil catorce y modificado mediante Acuerdo publicado en el DOF el diecisiete de octubre del mismo año.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7F" w:rsidRDefault="00D46C83">
    <w:pPr>
      <w:pStyle w:val="Encabezado"/>
    </w:pPr>
    <w:r>
      <w:rPr>
        <w:noProof/>
        <w:lang w:eastAsia="es-MX"/>
      </w:rPr>
      <w:pict w14:anchorId="450C9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887907" o:spid="_x0000_s2050" type="#_x0000_t75" style="position:absolute;margin-left:0;margin-top:0;width:612pt;height:11in;z-index:-251658239;mso-position-horizontal:center;mso-position-horizontal-relative:margin;mso-position-vertical:center;mso-position-vertical-relative:margin" o:allowincell="f">
          <v:imagedata r:id="rId1" o:title="Constitución2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7F" w:rsidRDefault="00D2767F" w:rsidP="00D2767F">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7F" w:rsidRDefault="00D46C83">
    <w:pPr>
      <w:pStyle w:val="Encabezado"/>
    </w:pPr>
    <w:r>
      <w:rPr>
        <w:noProof/>
        <w:lang w:eastAsia="es-MX"/>
      </w:rPr>
      <w:pict w14:anchorId="0E820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887906" o:spid="_x0000_s2049" type="#_x0000_t75" style="position:absolute;margin-left:0;margin-top:0;width:612pt;height:11in;z-index:-251658240;mso-position-horizontal:center;mso-position-horizontal-relative:margin;mso-position-vertical:center;mso-position-vertical-relative:margin" o:allowincell="f">
          <v:imagedata r:id="rId1" o:title="Constitución2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DD4"/>
    <w:multiLevelType w:val="hybridMultilevel"/>
    <w:tmpl w:val="FA983A94"/>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2DE30B07"/>
    <w:multiLevelType w:val="hybridMultilevel"/>
    <w:tmpl w:val="A3F80136"/>
    <w:lvl w:ilvl="0" w:tplc="080A0017">
      <w:start w:val="1"/>
      <w:numFmt w:val="lowerLetter"/>
      <w:lvlText w:val="%1)"/>
      <w:lvlJc w:val="left"/>
      <w:pPr>
        <w:ind w:left="6314" w:hanging="360"/>
      </w:pPr>
      <w:rPr>
        <w:rFonts w:hint="default"/>
      </w:rPr>
    </w:lvl>
    <w:lvl w:ilvl="1" w:tplc="080A0019" w:tentative="1">
      <w:start w:val="1"/>
      <w:numFmt w:val="lowerLetter"/>
      <w:lvlText w:val="%2."/>
      <w:lvlJc w:val="left"/>
      <w:pPr>
        <w:ind w:left="7034" w:hanging="360"/>
      </w:pPr>
    </w:lvl>
    <w:lvl w:ilvl="2" w:tplc="080A001B" w:tentative="1">
      <w:start w:val="1"/>
      <w:numFmt w:val="lowerRoman"/>
      <w:lvlText w:val="%3."/>
      <w:lvlJc w:val="right"/>
      <w:pPr>
        <w:ind w:left="7754" w:hanging="180"/>
      </w:pPr>
    </w:lvl>
    <w:lvl w:ilvl="3" w:tplc="080A000F" w:tentative="1">
      <w:start w:val="1"/>
      <w:numFmt w:val="decimal"/>
      <w:lvlText w:val="%4."/>
      <w:lvlJc w:val="left"/>
      <w:pPr>
        <w:ind w:left="8474" w:hanging="360"/>
      </w:pPr>
    </w:lvl>
    <w:lvl w:ilvl="4" w:tplc="080A0019" w:tentative="1">
      <w:start w:val="1"/>
      <w:numFmt w:val="lowerLetter"/>
      <w:lvlText w:val="%5."/>
      <w:lvlJc w:val="left"/>
      <w:pPr>
        <w:ind w:left="9194" w:hanging="360"/>
      </w:pPr>
    </w:lvl>
    <w:lvl w:ilvl="5" w:tplc="080A001B" w:tentative="1">
      <w:start w:val="1"/>
      <w:numFmt w:val="lowerRoman"/>
      <w:lvlText w:val="%6."/>
      <w:lvlJc w:val="right"/>
      <w:pPr>
        <w:ind w:left="9914" w:hanging="180"/>
      </w:pPr>
    </w:lvl>
    <w:lvl w:ilvl="6" w:tplc="080A000F" w:tentative="1">
      <w:start w:val="1"/>
      <w:numFmt w:val="decimal"/>
      <w:lvlText w:val="%7."/>
      <w:lvlJc w:val="left"/>
      <w:pPr>
        <w:ind w:left="10634" w:hanging="360"/>
      </w:pPr>
    </w:lvl>
    <w:lvl w:ilvl="7" w:tplc="080A0019" w:tentative="1">
      <w:start w:val="1"/>
      <w:numFmt w:val="lowerLetter"/>
      <w:lvlText w:val="%8."/>
      <w:lvlJc w:val="left"/>
      <w:pPr>
        <w:ind w:left="11354" w:hanging="360"/>
      </w:pPr>
    </w:lvl>
    <w:lvl w:ilvl="8" w:tplc="080A001B" w:tentative="1">
      <w:start w:val="1"/>
      <w:numFmt w:val="lowerRoman"/>
      <w:lvlText w:val="%9."/>
      <w:lvlJc w:val="right"/>
      <w:pPr>
        <w:ind w:left="12074" w:hanging="180"/>
      </w:pPr>
    </w:lvl>
  </w:abstractNum>
  <w:abstractNum w:abstractNumId="2" w15:restartNumberingAfterBreak="0">
    <w:nsid w:val="433B70C8"/>
    <w:multiLevelType w:val="hybridMultilevel"/>
    <w:tmpl w:val="7F5C7BC4"/>
    <w:lvl w:ilvl="0" w:tplc="2678461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44D85446"/>
    <w:multiLevelType w:val="hybridMultilevel"/>
    <w:tmpl w:val="22E8A5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E30DA0"/>
    <w:multiLevelType w:val="hybridMultilevel"/>
    <w:tmpl w:val="FEF83804"/>
    <w:lvl w:ilvl="0" w:tplc="B16AE01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B6"/>
    <w:rsid w:val="0000100D"/>
    <w:rsid w:val="00007AB9"/>
    <w:rsid w:val="000623A3"/>
    <w:rsid w:val="00092270"/>
    <w:rsid w:val="000B7EF2"/>
    <w:rsid w:val="000C560C"/>
    <w:rsid w:val="000D2A40"/>
    <w:rsid w:val="00127BB7"/>
    <w:rsid w:val="00140E4B"/>
    <w:rsid w:val="001449C4"/>
    <w:rsid w:val="0015238B"/>
    <w:rsid w:val="00196FF4"/>
    <w:rsid w:val="001B3085"/>
    <w:rsid w:val="001B79B6"/>
    <w:rsid w:val="001F080E"/>
    <w:rsid w:val="001F1FEB"/>
    <w:rsid w:val="001F2826"/>
    <w:rsid w:val="00221D3F"/>
    <w:rsid w:val="00222965"/>
    <w:rsid w:val="002401B6"/>
    <w:rsid w:val="002878F8"/>
    <w:rsid w:val="00294C00"/>
    <w:rsid w:val="002C3131"/>
    <w:rsid w:val="002C5DE4"/>
    <w:rsid w:val="002D12E5"/>
    <w:rsid w:val="002E5DB4"/>
    <w:rsid w:val="00335250"/>
    <w:rsid w:val="00354319"/>
    <w:rsid w:val="003848CD"/>
    <w:rsid w:val="00390D56"/>
    <w:rsid w:val="003A57B0"/>
    <w:rsid w:val="003A745F"/>
    <w:rsid w:val="003C5059"/>
    <w:rsid w:val="003C7A6C"/>
    <w:rsid w:val="003D0439"/>
    <w:rsid w:val="003F1C9A"/>
    <w:rsid w:val="003F3964"/>
    <w:rsid w:val="00415ADF"/>
    <w:rsid w:val="00471706"/>
    <w:rsid w:val="00482FFE"/>
    <w:rsid w:val="004C1403"/>
    <w:rsid w:val="004D01FD"/>
    <w:rsid w:val="004F48FA"/>
    <w:rsid w:val="0051091A"/>
    <w:rsid w:val="00517F92"/>
    <w:rsid w:val="00535979"/>
    <w:rsid w:val="0054517D"/>
    <w:rsid w:val="0056506F"/>
    <w:rsid w:val="00566BFC"/>
    <w:rsid w:val="00570EDF"/>
    <w:rsid w:val="005A4094"/>
    <w:rsid w:val="005D74EF"/>
    <w:rsid w:val="005F5A8C"/>
    <w:rsid w:val="00601E45"/>
    <w:rsid w:val="0060684B"/>
    <w:rsid w:val="006224B3"/>
    <w:rsid w:val="006269F1"/>
    <w:rsid w:val="006311C2"/>
    <w:rsid w:val="00635D2C"/>
    <w:rsid w:val="00642FEC"/>
    <w:rsid w:val="006471EA"/>
    <w:rsid w:val="00666FE8"/>
    <w:rsid w:val="006A6B5A"/>
    <w:rsid w:val="006B36DC"/>
    <w:rsid w:val="006B6D01"/>
    <w:rsid w:val="006E1480"/>
    <w:rsid w:val="006F076A"/>
    <w:rsid w:val="006F367B"/>
    <w:rsid w:val="006F475C"/>
    <w:rsid w:val="00702EA6"/>
    <w:rsid w:val="00715212"/>
    <w:rsid w:val="007277ED"/>
    <w:rsid w:val="007406F2"/>
    <w:rsid w:val="00751246"/>
    <w:rsid w:val="00774A0F"/>
    <w:rsid w:val="00777262"/>
    <w:rsid w:val="007B3B0E"/>
    <w:rsid w:val="007D0921"/>
    <w:rsid w:val="007D1E7D"/>
    <w:rsid w:val="007D5832"/>
    <w:rsid w:val="007E2E94"/>
    <w:rsid w:val="007F20D3"/>
    <w:rsid w:val="00857801"/>
    <w:rsid w:val="00881016"/>
    <w:rsid w:val="00886CA3"/>
    <w:rsid w:val="008A143E"/>
    <w:rsid w:val="008D43AC"/>
    <w:rsid w:val="008F7AEF"/>
    <w:rsid w:val="009370D5"/>
    <w:rsid w:val="0095172A"/>
    <w:rsid w:val="00953DE2"/>
    <w:rsid w:val="009573CA"/>
    <w:rsid w:val="009B6E0A"/>
    <w:rsid w:val="009B6E1D"/>
    <w:rsid w:val="009C2AF5"/>
    <w:rsid w:val="009E6FA3"/>
    <w:rsid w:val="00A167AF"/>
    <w:rsid w:val="00A4766C"/>
    <w:rsid w:val="00A53E58"/>
    <w:rsid w:val="00A62C03"/>
    <w:rsid w:val="00A8582D"/>
    <w:rsid w:val="00AB0BA7"/>
    <w:rsid w:val="00AE3590"/>
    <w:rsid w:val="00B102C2"/>
    <w:rsid w:val="00B272C2"/>
    <w:rsid w:val="00B278A4"/>
    <w:rsid w:val="00B312F8"/>
    <w:rsid w:val="00B46C38"/>
    <w:rsid w:val="00B52923"/>
    <w:rsid w:val="00B53620"/>
    <w:rsid w:val="00B53EC5"/>
    <w:rsid w:val="00B7347E"/>
    <w:rsid w:val="00B741FD"/>
    <w:rsid w:val="00B80E88"/>
    <w:rsid w:val="00B9253E"/>
    <w:rsid w:val="00B940E8"/>
    <w:rsid w:val="00BD3D67"/>
    <w:rsid w:val="00C102E7"/>
    <w:rsid w:val="00C72272"/>
    <w:rsid w:val="00C80BEA"/>
    <w:rsid w:val="00C849FA"/>
    <w:rsid w:val="00C95B16"/>
    <w:rsid w:val="00CB4B17"/>
    <w:rsid w:val="00CB5C3F"/>
    <w:rsid w:val="00CE3985"/>
    <w:rsid w:val="00CE5658"/>
    <w:rsid w:val="00CF6A32"/>
    <w:rsid w:val="00D24170"/>
    <w:rsid w:val="00D2767F"/>
    <w:rsid w:val="00D46C83"/>
    <w:rsid w:val="00D77827"/>
    <w:rsid w:val="00DB6E21"/>
    <w:rsid w:val="00DD208D"/>
    <w:rsid w:val="00E16D52"/>
    <w:rsid w:val="00E17DE7"/>
    <w:rsid w:val="00E91475"/>
    <w:rsid w:val="00ED1E88"/>
    <w:rsid w:val="00ED58BA"/>
    <w:rsid w:val="00EF1749"/>
    <w:rsid w:val="00EF6AC8"/>
    <w:rsid w:val="00F44611"/>
    <w:rsid w:val="00F65DA4"/>
    <w:rsid w:val="00FA09F2"/>
    <w:rsid w:val="00FB014A"/>
    <w:rsid w:val="00FD4948"/>
    <w:rsid w:val="00FE65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FC44A32-5889-4BC5-ABEC-21E7E03F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B6"/>
    <w:pPr>
      <w:spacing w:after="200" w:line="276" w:lineRule="auto"/>
    </w:pPr>
  </w:style>
  <w:style w:type="paragraph" w:styleId="Ttulo1">
    <w:name w:val="heading 1"/>
    <w:basedOn w:val="Normal"/>
    <w:next w:val="Normal"/>
    <w:link w:val="Ttulo1Car"/>
    <w:uiPriority w:val="9"/>
    <w:qFormat/>
    <w:rsid w:val="00751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01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01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1B6"/>
  </w:style>
  <w:style w:type="paragraph" w:styleId="Piedepgina">
    <w:name w:val="footer"/>
    <w:basedOn w:val="Normal"/>
    <w:link w:val="PiedepginaCar"/>
    <w:uiPriority w:val="99"/>
    <w:unhideWhenUsed/>
    <w:rsid w:val="002401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1B6"/>
  </w:style>
  <w:style w:type="table" w:customStyle="1" w:styleId="Tablaconcuadrcula1">
    <w:name w:val="Tabla con cuadrícula1"/>
    <w:basedOn w:val="Tablanormal"/>
    <w:next w:val="Tablaconcuadrcula"/>
    <w:uiPriority w:val="39"/>
    <w:rsid w:val="0024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2401B6"/>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2401B6"/>
    <w:rPr>
      <w:rFonts w:ascii="Times New Roman" w:eastAsia="Calibri" w:hAnsi="Times New Roman" w:cs="Times New Roman"/>
      <w:sz w:val="20"/>
      <w:szCs w:val="20"/>
    </w:rPr>
  </w:style>
  <w:style w:type="character" w:styleId="Refdenotaalpie">
    <w:name w:val="footnote reference"/>
    <w:aliases w:val="Ref,de nota al pie"/>
    <w:uiPriority w:val="99"/>
    <w:unhideWhenUsed/>
    <w:qFormat/>
    <w:rsid w:val="002401B6"/>
    <w:rPr>
      <w:vertAlign w:val="superscript"/>
    </w:rPr>
  </w:style>
  <w:style w:type="paragraph" w:styleId="Prrafodelista">
    <w:name w:val="List Paragraph"/>
    <w:basedOn w:val="Normal"/>
    <w:uiPriority w:val="34"/>
    <w:qFormat/>
    <w:rsid w:val="002401B6"/>
    <w:pPr>
      <w:ind w:left="720"/>
      <w:contextualSpacing/>
    </w:pPr>
  </w:style>
  <w:style w:type="table" w:styleId="Tablaconcuadrcula">
    <w:name w:val="Table Grid"/>
    <w:basedOn w:val="Tablanormal"/>
    <w:uiPriority w:val="39"/>
    <w:rsid w:val="0024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E6FA3"/>
    <w:rPr>
      <w:sz w:val="16"/>
      <w:szCs w:val="16"/>
    </w:rPr>
  </w:style>
  <w:style w:type="paragraph" w:styleId="Textocomentario">
    <w:name w:val="annotation text"/>
    <w:basedOn w:val="Normal"/>
    <w:link w:val="TextocomentarioCar"/>
    <w:uiPriority w:val="99"/>
    <w:semiHidden/>
    <w:unhideWhenUsed/>
    <w:rsid w:val="009E6F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FA3"/>
    <w:rPr>
      <w:sz w:val="20"/>
      <w:szCs w:val="20"/>
    </w:rPr>
  </w:style>
  <w:style w:type="paragraph" w:styleId="Asuntodelcomentario">
    <w:name w:val="annotation subject"/>
    <w:basedOn w:val="Textocomentario"/>
    <w:next w:val="Textocomentario"/>
    <w:link w:val="AsuntodelcomentarioCar"/>
    <w:uiPriority w:val="99"/>
    <w:semiHidden/>
    <w:unhideWhenUsed/>
    <w:rsid w:val="009E6FA3"/>
    <w:rPr>
      <w:b/>
      <w:bCs/>
    </w:rPr>
  </w:style>
  <w:style w:type="character" w:customStyle="1" w:styleId="AsuntodelcomentarioCar">
    <w:name w:val="Asunto del comentario Car"/>
    <w:basedOn w:val="TextocomentarioCar"/>
    <w:link w:val="Asuntodelcomentario"/>
    <w:uiPriority w:val="99"/>
    <w:semiHidden/>
    <w:rsid w:val="009E6FA3"/>
    <w:rPr>
      <w:b/>
      <w:bCs/>
      <w:sz w:val="20"/>
      <w:szCs w:val="20"/>
    </w:rPr>
  </w:style>
  <w:style w:type="paragraph" w:styleId="Textodeglobo">
    <w:name w:val="Balloon Text"/>
    <w:basedOn w:val="Normal"/>
    <w:link w:val="TextodegloboCar"/>
    <w:uiPriority w:val="99"/>
    <w:semiHidden/>
    <w:unhideWhenUsed/>
    <w:rsid w:val="009E6F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6FA3"/>
    <w:rPr>
      <w:rFonts w:ascii="Segoe UI" w:hAnsi="Segoe UI" w:cs="Segoe UI"/>
      <w:sz w:val="18"/>
      <w:szCs w:val="18"/>
    </w:rPr>
  </w:style>
  <w:style w:type="character" w:customStyle="1" w:styleId="Ttulo1Car">
    <w:name w:val="Título 1 Car"/>
    <w:basedOn w:val="Fuentedeprrafopredeter"/>
    <w:link w:val="Ttulo1"/>
    <w:uiPriority w:val="9"/>
    <w:rsid w:val="0075124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01E4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5C674-3040-4AB1-A9CF-8ED3CF5D9A79}">
  <ds:schemaRefs>
    <ds:schemaRef ds:uri="http://schemas.microsoft.com/sharepoint/v3/contenttype/forms"/>
  </ds:schemaRefs>
</ds:datastoreItem>
</file>

<file path=customXml/itemProps2.xml><?xml version="1.0" encoding="utf-8"?>
<ds:datastoreItem xmlns:ds="http://schemas.openxmlformats.org/officeDocument/2006/customXml" ds:itemID="{2C78C5CD-3471-4899-AEB7-D5738EC44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121523-0B76-4CF0-A191-C155E84ED3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F76980-645F-40BB-9899-B2FEA095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3675</Words>
  <Characters>20215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DGPC 21</dc:creator>
  <cp:keywords/>
  <dc:description/>
  <cp:lastModifiedBy>Cesar Vicente Perez Gaytan</cp:lastModifiedBy>
  <cp:revision>2</cp:revision>
  <cp:lastPrinted>2018-06-07T22:37:00Z</cp:lastPrinted>
  <dcterms:created xsi:type="dcterms:W3CDTF">2018-06-13T22:48:00Z</dcterms:created>
  <dcterms:modified xsi:type="dcterms:W3CDTF">2018-06-13T22:48:00Z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