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D32" w:rsidRPr="007A1854" w:rsidRDefault="006F12F7" w:rsidP="007A1854">
      <w:pPr>
        <w:pStyle w:val="Ttulo1"/>
        <w:spacing w:after="240"/>
        <w:jc w:val="both"/>
        <w:rPr>
          <w:rFonts w:ascii="ITC Avant Garde" w:hAnsi="ITC Avant Garde"/>
          <w:b/>
          <w:color w:val="auto"/>
          <w:sz w:val="22"/>
          <w:szCs w:val="22"/>
          <w:lang w:val="es-ES_tradnl" w:eastAsia="es-MX"/>
        </w:rPr>
      </w:pPr>
      <w:r w:rsidRPr="007A1854">
        <w:rPr>
          <w:rFonts w:ascii="ITC Avant Garde" w:hAnsi="ITC Avant Garde"/>
          <w:b/>
          <w:color w:val="auto"/>
          <w:sz w:val="22"/>
          <w:szCs w:val="22"/>
          <w:lang w:val="es-ES_tradnl" w:eastAsia="es-MX"/>
        </w:rPr>
        <w:t xml:space="preserve">ACUERDO MEDIANTE EL CUAL </w:t>
      </w:r>
      <w:r w:rsidRPr="007A1854">
        <w:rPr>
          <w:rFonts w:ascii="ITC Avant Garde" w:hAnsi="ITC Avant Garde"/>
          <w:b/>
          <w:color w:val="auto"/>
          <w:sz w:val="22"/>
          <w:szCs w:val="22"/>
          <w:lang w:eastAsia="es-MX"/>
        </w:rPr>
        <w:t>EL PLENO DEL INSTITUTO FEDERAL DE TELECOMUNICACIONES DETERMINA SOMETER A CONSULTA PÚBLICA EL ANTEPROYECTO</w:t>
      </w:r>
      <w:r w:rsidR="00F40E23" w:rsidRPr="007A1854">
        <w:rPr>
          <w:rFonts w:ascii="ITC Avant Garde" w:hAnsi="ITC Avant Garde"/>
          <w:b/>
          <w:color w:val="auto"/>
          <w:sz w:val="22"/>
          <w:szCs w:val="22"/>
          <w:lang w:eastAsia="es-MX"/>
        </w:rPr>
        <w:t xml:space="preserve"> DE </w:t>
      </w:r>
      <w:r w:rsidR="0079594F" w:rsidRPr="007A1854">
        <w:rPr>
          <w:rFonts w:ascii="ITC Avant Garde" w:hAnsi="ITC Avant Garde"/>
          <w:b/>
          <w:color w:val="auto"/>
          <w:sz w:val="22"/>
          <w:szCs w:val="22"/>
          <w:lang w:val="es-ES_tradnl" w:eastAsia="es-MX"/>
        </w:rPr>
        <w:t>ACUERDO MEDIANTE EL CUAL SE DAN A CONOCER LOS FORMATOS QUE SE EMPLEARÁN PARA REALIZAR LOS TRÁMITES CORRESPONDIENTES A LA SOLICITUD DE AUTORIZACIÓN PARA LA INSTALACIÓN O MODIFICACIÓN TÉCNICA DE ESTACIONES DE RADIODIFUSIÓN</w:t>
      </w:r>
      <w:r w:rsidR="002C25EE" w:rsidRPr="007A1854">
        <w:rPr>
          <w:rFonts w:ascii="ITC Avant Garde" w:hAnsi="ITC Avant Garde"/>
          <w:b/>
          <w:color w:val="auto"/>
          <w:sz w:val="22"/>
          <w:szCs w:val="22"/>
          <w:lang w:val="es-ES_tradnl" w:eastAsia="es-MX"/>
        </w:rPr>
        <w:t>,</w:t>
      </w:r>
      <w:r w:rsidR="0079594F" w:rsidRPr="007A1854">
        <w:rPr>
          <w:rFonts w:ascii="ITC Avant Garde" w:hAnsi="ITC Avant Garde"/>
          <w:b/>
          <w:color w:val="auto"/>
          <w:sz w:val="22"/>
          <w:szCs w:val="22"/>
          <w:lang w:val="es-ES_tradnl" w:eastAsia="es-MX"/>
        </w:rPr>
        <w:t xml:space="preserve"> Y A LA SOLICITUD DE AUTORIZACIÓN PARA LA INSTALACIÓN O MODIFICACIÓN TÉCNICA DE SERVICIOS AUXILIARES A LA RADIODIFUSIÓN, </w:t>
      </w:r>
      <w:r w:rsidR="002C25EE" w:rsidRPr="007A1854">
        <w:rPr>
          <w:rFonts w:ascii="ITC Avant Garde" w:hAnsi="ITC Avant Garde"/>
          <w:b/>
          <w:color w:val="auto"/>
          <w:sz w:val="22"/>
          <w:szCs w:val="22"/>
          <w:lang w:val="es-ES_tradnl" w:eastAsia="es-MX"/>
        </w:rPr>
        <w:t xml:space="preserve">Y SE </w:t>
      </w:r>
      <w:r w:rsidR="0079594F" w:rsidRPr="007A1854">
        <w:rPr>
          <w:rFonts w:ascii="ITC Avant Garde" w:hAnsi="ITC Avant Garde"/>
          <w:b/>
          <w:color w:val="auto"/>
          <w:sz w:val="22"/>
          <w:szCs w:val="22"/>
          <w:lang w:val="es-ES_tradnl" w:eastAsia="es-MX"/>
        </w:rPr>
        <w:t xml:space="preserve"> MODIFICA</w:t>
      </w:r>
      <w:r w:rsidR="002C25EE" w:rsidRPr="007A1854">
        <w:rPr>
          <w:rFonts w:ascii="ITC Avant Garde" w:hAnsi="ITC Avant Garde"/>
          <w:b/>
          <w:color w:val="auto"/>
          <w:sz w:val="22"/>
          <w:szCs w:val="22"/>
          <w:lang w:val="es-ES_tradnl" w:eastAsia="es-MX"/>
        </w:rPr>
        <w:t>N</w:t>
      </w:r>
      <w:r w:rsidR="0079594F" w:rsidRPr="007A1854">
        <w:rPr>
          <w:rFonts w:ascii="ITC Avant Garde" w:hAnsi="ITC Avant Garde"/>
          <w:b/>
          <w:color w:val="auto"/>
          <w:sz w:val="22"/>
          <w:szCs w:val="22"/>
          <w:lang w:val="es-ES_tradnl" w:eastAsia="es-MX"/>
        </w:rPr>
        <w:t xml:space="preserve"> DIVERSAS DISPOSICIONES TÉCNICAS</w:t>
      </w:r>
      <w:r w:rsidR="002C25EE" w:rsidRPr="007A1854">
        <w:rPr>
          <w:rFonts w:ascii="ITC Avant Garde" w:hAnsi="ITC Avant Garde"/>
          <w:b/>
          <w:color w:val="auto"/>
          <w:sz w:val="22"/>
          <w:szCs w:val="22"/>
          <w:lang w:val="es-ES_tradnl" w:eastAsia="es-MX"/>
        </w:rPr>
        <w:t xml:space="preserve"> EN MATERIA DE RADIODIFUSIÓN</w:t>
      </w:r>
      <w:r w:rsidR="0079594F" w:rsidRPr="007A1854">
        <w:rPr>
          <w:rFonts w:ascii="ITC Avant Garde" w:hAnsi="ITC Avant Garde"/>
          <w:b/>
          <w:color w:val="auto"/>
          <w:sz w:val="22"/>
          <w:szCs w:val="22"/>
          <w:lang w:val="es-ES_tradnl" w:eastAsia="es-MX"/>
        </w:rPr>
        <w:t xml:space="preserve"> PARA LA DES</w:t>
      </w:r>
      <w:r w:rsidR="002C25EE" w:rsidRPr="007A1854">
        <w:rPr>
          <w:rFonts w:ascii="ITC Avant Garde" w:hAnsi="ITC Avant Garde"/>
          <w:b/>
          <w:color w:val="auto"/>
          <w:sz w:val="22"/>
          <w:szCs w:val="22"/>
          <w:lang w:val="es-ES_tradnl" w:eastAsia="es-MX"/>
        </w:rPr>
        <w:t>REGULACIÓN Y SIMPLIFICACIÓN DE ÉSTOS</w:t>
      </w:r>
      <w:r w:rsidR="0079594F" w:rsidRPr="007A1854">
        <w:rPr>
          <w:rFonts w:ascii="ITC Avant Garde" w:hAnsi="ITC Avant Garde"/>
          <w:b/>
          <w:color w:val="auto"/>
          <w:sz w:val="22"/>
          <w:szCs w:val="22"/>
          <w:lang w:val="es-ES_tradnl" w:eastAsia="es-MX"/>
        </w:rPr>
        <w:t>.</w:t>
      </w:r>
    </w:p>
    <w:p w:rsidR="00AD55DE" w:rsidRPr="002A3E1D" w:rsidRDefault="00AD55DE"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t>ANTECEDENTES</w:t>
      </w:r>
    </w:p>
    <w:p w:rsidR="008E1DAC" w:rsidRPr="00044BBD" w:rsidRDefault="008E1DAC"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7 de mayo de 1999, se publicó en el Diario Oficial de la Federación (en lo sucesivo, el "DOF") el </w:t>
      </w:r>
      <w:r w:rsidRPr="0066360E">
        <w:rPr>
          <w:rFonts w:ascii="ITC Avant Garde" w:hAnsi="ITC Avant Garde"/>
          <w:bCs/>
          <w:i/>
          <w:sz w:val="22"/>
          <w:szCs w:val="22"/>
          <w:lang w:val="es-ES_tradnl" w:eastAsia="es-MX"/>
        </w:rPr>
        <w:t>“Acuerdo por el que se atribuyen frecuencias del espectro radioeléctrico para prestar servicios auxiliares a la radiodifusión, y se establece el procedimiento para autorizar el uso de las mismas”</w:t>
      </w:r>
      <w:r w:rsidR="00A536CF" w:rsidRPr="00044BBD">
        <w:rPr>
          <w:rFonts w:ascii="ITC Avant Garde" w:hAnsi="ITC Avant Garde"/>
          <w:bCs/>
          <w:sz w:val="22"/>
          <w:szCs w:val="22"/>
          <w:lang w:val="es-ES_tradnl" w:eastAsia="es-MX"/>
        </w:rPr>
        <w:t xml:space="preserve"> (en lo sucesivo, el “</w:t>
      </w:r>
      <w:r w:rsidR="00A536CF" w:rsidRPr="00044BBD">
        <w:rPr>
          <w:rFonts w:ascii="ITC Avant Garde" w:eastAsia="MS Mincho" w:hAnsi="ITC Avant Garde"/>
          <w:color w:val="000000"/>
          <w:sz w:val="22"/>
          <w:szCs w:val="22"/>
          <w:lang w:eastAsia="es-MX"/>
        </w:rPr>
        <w:t>Acuerdo de servicios auxiliares a la radiodifusión”)</w:t>
      </w:r>
      <w:r w:rsidR="0066360E">
        <w:rPr>
          <w:rFonts w:ascii="ITC Avant Garde" w:hAnsi="ITC Avant Garde"/>
          <w:bCs/>
          <w:sz w:val="22"/>
          <w:szCs w:val="22"/>
          <w:lang w:val="es-ES_tradnl" w:eastAsia="es-MX"/>
        </w:rPr>
        <w:t>, el cual</w:t>
      </w:r>
      <w:r w:rsidRPr="00044BBD">
        <w:rPr>
          <w:rFonts w:ascii="ITC Avant Garde" w:hAnsi="ITC Avant Garde"/>
          <w:bCs/>
          <w:sz w:val="22"/>
          <w:szCs w:val="22"/>
          <w:lang w:val="es-ES_tradnl" w:eastAsia="es-MX"/>
        </w:rPr>
        <w:t xml:space="preserve"> conforme a su artículo PRIMERO Transitorio entró en vigor al </w:t>
      </w:r>
      <w:r w:rsidR="0066360E">
        <w:rPr>
          <w:rFonts w:ascii="ITC Avant Garde" w:hAnsi="ITC Avant Garde"/>
          <w:bCs/>
          <w:sz w:val="22"/>
          <w:szCs w:val="22"/>
          <w:lang w:val="es-ES_tradnl" w:eastAsia="es-MX"/>
        </w:rPr>
        <w:t>día siguiente de su publicación;</w:t>
      </w:r>
      <w:r w:rsidRPr="00044BBD">
        <w:rPr>
          <w:rFonts w:ascii="ITC Avant Garde" w:hAnsi="ITC Avant Garde"/>
          <w:bCs/>
          <w:sz w:val="22"/>
          <w:szCs w:val="22"/>
          <w:lang w:val="es-ES_tradnl" w:eastAsia="es-MX"/>
        </w:rPr>
        <w:t xml:space="preserve"> es decir</w:t>
      </w:r>
      <w:r w:rsidR="0066360E">
        <w:rPr>
          <w:rFonts w:ascii="ITC Avant Garde" w:hAnsi="ITC Avant Garde"/>
          <w:bCs/>
          <w:sz w:val="22"/>
          <w:szCs w:val="22"/>
          <w:lang w:val="es-ES_tradnl" w:eastAsia="es-MX"/>
        </w:rPr>
        <w:t>,</w:t>
      </w:r>
      <w:r w:rsidRPr="00044BBD">
        <w:rPr>
          <w:rFonts w:ascii="ITC Avant Garde" w:hAnsi="ITC Avant Garde"/>
          <w:bCs/>
          <w:sz w:val="22"/>
          <w:szCs w:val="22"/>
          <w:lang w:val="es-ES_tradnl" w:eastAsia="es-MX"/>
        </w:rPr>
        <w:t xml:space="preserve"> el 10 de mayo de 1999, siendo modificado mediante publicación en el DOF</w:t>
      </w:r>
      <w:r w:rsidR="0066360E">
        <w:rPr>
          <w:rFonts w:ascii="ITC Avant Garde" w:hAnsi="ITC Avant Garde"/>
          <w:bCs/>
          <w:sz w:val="22"/>
          <w:szCs w:val="22"/>
          <w:lang w:val="es-ES_tradnl" w:eastAsia="es-MX"/>
        </w:rPr>
        <w:t>,</w:t>
      </w:r>
      <w:r w:rsidRPr="00044BBD">
        <w:rPr>
          <w:rFonts w:ascii="ITC Avant Garde" w:hAnsi="ITC Avant Garde"/>
          <w:bCs/>
          <w:sz w:val="22"/>
          <w:szCs w:val="22"/>
          <w:lang w:val="es-ES_tradnl" w:eastAsia="es-MX"/>
        </w:rPr>
        <w:t xml:space="preserve"> el 19 de noviembre de 2015.</w:t>
      </w:r>
    </w:p>
    <w:p w:rsidR="00D00E71" w:rsidRPr="00044BBD" w:rsidRDefault="00D00E71"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w:t>
      </w:r>
      <w:r w:rsidR="000C3691" w:rsidRPr="00044BBD">
        <w:rPr>
          <w:rFonts w:ascii="ITC Avant Garde" w:hAnsi="ITC Avant Garde"/>
          <w:bCs/>
          <w:sz w:val="22"/>
          <w:szCs w:val="22"/>
          <w:lang w:val="es-ES_tradnl" w:eastAsia="es-MX"/>
        </w:rPr>
        <w:t>11 de junio de 2013, se publicó</w:t>
      </w:r>
      <w:r w:rsidR="000368FB" w:rsidRPr="00044BBD">
        <w:rPr>
          <w:rFonts w:ascii="ITC Avant Garde" w:hAnsi="ITC Avant Garde"/>
          <w:bCs/>
          <w:sz w:val="22"/>
          <w:szCs w:val="22"/>
          <w:lang w:val="es-ES_tradnl" w:eastAsia="es-MX"/>
        </w:rPr>
        <w:t xml:space="preserve"> en el DOF </w:t>
      </w:r>
      <w:r w:rsidR="000C3691" w:rsidRPr="00044BBD">
        <w:rPr>
          <w:rFonts w:ascii="ITC Avant Garde" w:hAnsi="ITC Avant Garde"/>
          <w:bCs/>
          <w:sz w:val="22"/>
          <w:szCs w:val="22"/>
          <w:lang w:val="es-ES_tradnl" w:eastAsia="es-MX"/>
        </w:rPr>
        <w:t xml:space="preserve">el </w:t>
      </w:r>
      <w:r w:rsidR="000C3691" w:rsidRPr="0066360E">
        <w:rPr>
          <w:rFonts w:ascii="ITC Avant Garde" w:hAnsi="ITC Avant Garde"/>
          <w:bCs/>
          <w:i/>
          <w:sz w:val="22"/>
          <w:szCs w:val="22"/>
          <w:lang w:val="es-ES_tradnl" w:eastAsia="es-MX"/>
        </w:rPr>
        <w:t>"Decreto por el que se reforman y adicionan diversas disposiciones de los artículos 6o., 7o., 27, 28, 73, 78, 94 y 105 de la Constitución Política de los Estados Unidos Mexicanos, en materia de telecomunicaciones"</w:t>
      </w:r>
      <w:r w:rsidR="000C3691" w:rsidRPr="00044BBD">
        <w:rPr>
          <w:rFonts w:ascii="ITC Avant Garde" w:hAnsi="ITC Avant Garde"/>
          <w:bCs/>
          <w:sz w:val="22"/>
          <w:szCs w:val="22"/>
          <w:lang w:val="es-ES_tradnl" w:eastAsia="es-MX"/>
        </w:rPr>
        <w:t>, mediante el cual se creó el Instituto Federal de Telecomunicaciones (en lo sucesivo, el "Instituto"), como un órgano autónomo con personalidad</w:t>
      </w:r>
      <w:r w:rsidR="00B66BE7" w:rsidRPr="00044BBD">
        <w:rPr>
          <w:rFonts w:ascii="ITC Avant Garde" w:hAnsi="ITC Avant Garde"/>
          <w:bCs/>
          <w:sz w:val="22"/>
          <w:szCs w:val="22"/>
          <w:lang w:val="es-ES_tradnl" w:eastAsia="es-MX"/>
        </w:rPr>
        <w:t xml:space="preserve"> jurídica y patrimonio propios.</w:t>
      </w:r>
    </w:p>
    <w:p w:rsidR="000C3691" w:rsidRPr="00044BBD" w:rsidRDefault="00253346" w:rsidP="00246F45">
      <w:pPr>
        <w:pStyle w:val="Prrafodelista"/>
        <w:numPr>
          <w:ilvl w:val="0"/>
          <w:numId w:val="10"/>
        </w:numPr>
        <w:spacing w:after="320"/>
        <w:jc w:val="both"/>
        <w:rPr>
          <w:rFonts w:ascii="ITC Avant Garde" w:hAnsi="ITC Avant Garde" w:cs="Arial"/>
          <w:bCs/>
          <w:sz w:val="22"/>
          <w:szCs w:val="22"/>
          <w:lang w:val="es-ES_tradnl" w:eastAsia="es-MX"/>
        </w:rPr>
      </w:pPr>
      <w:r w:rsidRPr="00044BBD">
        <w:rPr>
          <w:rFonts w:ascii="ITC Avant Garde" w:hAnsi="ITC Avant Garde" w:cs="Arial"/>
          <w:bCs/>
          <w:sz w:val="22"/>
          <w:szCs w:val="22"/>
          <w:lang w:val="es-ES_tradnl" w:eastAsia="es-MX"/>
        </w:rPr>
        <w:t xml:space="preserve">El 23 de mayo de 2014, se publicó en el DOF la </w:t>
      </w:r>
      <w:r w:rsidR="0066360E" w:rsidRPr="0066360E">
        <w:rPr>
          <w:rFonts w:ascii="ITC Avant Garde" w:hAnsi="ITC Avant Garde" w:cs="Arial"/>
          <w:bCs/>
          <w:i/>
          <w:sz w:val="22"/>
          <w:szCs w:val="22"/>
          <w:lang w:val="es-ES_tradnl" w:eastAsia="es-MX"/>
        </w:rPr>
        <w:t>“</w:t>
      </w:r>
      <w:r w:rsidRPr="0066360E">
        <w:rPr>
          <w:rFonts w:ascii="ITC Avant Garde" w:hAnsi="ITC Avant Garde" w:cs="Arial"/>
          <w:bCs/>
          <w:i/>
          <w:sz w:val="22"/>
          <w:szCs w:val="22"/>
          <w:lang w:val="es-ES_tradnl" w:eastAsia="es-MX"/>
        </w:rPr>
        <w:t>Ley Federal de Competencia Económica</w:t>
      </w:r>
      <w:r w:rsidR="0066360E" w:rsidRPr="0066360E">
        <w:rPr>
          <w:rFonts w:ascii="ITC Avant Garde" w:hAnsi="ITC Avant Garde" w:cs="Arial"/>
          <w:bCs/>
          <w:i/>
          <w:sz w:val="22"/>
          <w:szCs w:val="22"/>
          <w:lang w:val="es-ES_tradnl" w:eastAsia="es-MX"/>
        </w:rPr>
        <w:t>”</w:t>
      </w:r>
      <w:r w:rsidRPr="00044BBD">
        <w:rPr>
          <w:rFonts w:ascii="ITC Avant Garde" w:hAnsi="ITC Avant Garde" w:cs="Arial"/>
          <w:bCs/>
          <w:sz w:val="22"/>
          <w:szCs w:val="22"/>
          <w:lang w:val="es-ES_tradnl" w:eastAsia="es-MX"/>
        </w:rPr>
        <w:t xml:space="preserve"> (en lo sucesivo, la “LFCE”), la cual señala en su artículo 5 que el Instituto será la autoridad en materia de competencia económica de los sectores de radiodifusión y telecomunicaciones, por lo que en éstos ejercerá en forma exclusiva las facultades que el artículo 28 de la Constitución Política de los Estados Unidos Mexicanos (en lo sucesivo, la “Constitución”) y las leyes establecen para la Comisión Federal de Competencia Económ</w:t>
      </w:r>
      <w:bookmarkStart w:id="0" w:name="_GoBack"/>
      <w:bookmarkEnd w:id="0"/>
      <w:r w:rsidRPr="00044BBD">
        <w:rPr>
          <w:rFonts w:ascii="ITC Avant Garde" w:hAnsi="ITC Avant Garde" w:cs="Arial"/>
          <w:bCs/>
          <w:sz w:val="22"/>
          <w:szCs w:val="22"/>
          <w:lang w:val="es-ES_tradnl" w:eastAsia="es-MX"/>
        </w:rPr>
        <w:t>ica.</w:t>
      </w:r>
    </w:p>
    <w:p w:rsidR="00D00E71" w:rsidRPr="00044BBD" w:rsidRDefault="000C3691"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14 de julio de 2014, fue publicado en el DOF el </w:t>
      </w:r>
      <w:r w:rsidRPr="0066360E">
        <w:rPr>
          <w:rFonts w:ascii="ITC Avant Garde" w:hAnsi="ITC Avant Garde"/>
          <w:bCs/>
          <w:i/>
          <w:sz w:val="22"/>
          <w:szCs w:val="22"/>
          <w:lang w:val="es-ES_tradnl" w:eastAsia="es-MX"/>
        </w:rPr>
        <w:t>"Decreto por el que se expiden la Ley Federal de Telecomunicaciones y Radiodifusión, y la Ley del Sistema Público de Radiodifusión del Estado Mexicano; y se reforman, adicionan y derogan diversas disposiciones en materia de telec</w:t>
      </w:r>
      <w:r w:rsidR="00884F22" w:rsidRPr="0066360E">
        <w:rPr>
          <w:rFonts w:ascii="ITC Avant Garde" w:hAnsi="ITC Avant Garde"/>
          <w:bCs/>
          <w:i/>
          <w:sz w:val="22"/>
          <w:szCs w:val="22"/>
          <w:lang w:val="es-ES_tradnl" w:eastAsia="es-MX"/>
        </w:rPr>
        <w:t>omunicaciones y radiodifusión"</w:t>
      </w:r>
      <w:r w:rsidR="00884F22" w:rsidRPr="00044BBD">
        <w:rPr>
          <w:rFonts w:ascii="ITC Avant Garde" w:hAnsi="ITC Avant Garde"/>
          <w:bCs/>
          <w:sz w:val="22"/>
          <w:szCs w:val="22"/>
          <w:lang w:val="es-ES_tradnl" w:eastAsia="es-MX"/>
        </w:rPr>
        <w:t>,</w:t>
      </w:r>
      <w:r w:rsidR="0066360E">
        <w:rPr>
          <w:rFonts w:ascii="ITC Avant Garde" w:hAnsi="ITC Avant Garde"/>
          <w:bCs/>
          <w:sz w:val="22"/>
          <w:szCs w:val="22"/>
          <w:lang w:val="es-ES_tradnl" w:eastAsia="es-MX"/>
        </w:rPr>
        <w:t xml:space="preserve"> el cual</w:t>
      </w:r>
      <w:r w:rsidRPr="00044BBD">
        <w:rPr>
          <w:rFonts w:ascii="ITC Avant Garde" w:hAnsi="ITC Avant Garde"/>
          <w:bCs/>
          <w:sz w:val="22"/>
          <w:szCs w:val="22"/>
          <w:lang w:val="es-ES_tradnl" w:eastAsia="es-MX"/>
        </w:rPr>
        <w:t xml:space="preserve"> en t</w:t>
      </w:r>
      <w:r w:rsidR="00976AA6" w:rsidRPr="00044BBD">
        <w:rPr>
          <w:rFonts w:ascii="ITC Avant Garde" w:hAnsi="ITC Avant Garde"/>
          <w:bCs/>
          <w:sz w:val="22"/>
          <w:szCs w:val="22"/>
          <w:lang w:val="es-ES_tradnl" w:eastAsia="es-MX"/>
        </w:rPr>
        <w:t>érminos de lo dispuesto por su a</w:t>
      </w:r>
      <w:r w:rsidRPr="00044BBD">
        <w:rPr>
          <w:rFonts w:ascii="ITC Avant Garde" w:hAnsi="ITC Avant Garde"/>
          <w:bCs/>
          <w:sz w:val="22"/>
          <w:szCs w:val="22"/>
          <w:lang w:val="es-ES_tradnl" w:eastAsia="es-MX"/>
        </w:rPr>
        <w:t xml:space="preserve">rtículo </w:t>
      </w:r>
      <w:r w:rsidR="00976AA6" w:rsidRPr="00044BBD">
        <w:rPr>
          <w:rFonts w:ascii="ITC Avant Garde" w:hAnsi="ITC Avant Garde"/>
          <w:bCs/>
          <w:sz w:val="22"/>
          <w:szCs w:val="22"/>
          <w:lang w:val="es-ES_tradnl" w:eastAsia="es-MX"/>
        </w:rPr>
        <w:t>P</w:t>
      </w:r>
      <w:r w:rsidR="0066360E">
        <w:rPr>
          <w:rFonts w:ascii="ITC Avant Garde" w:hAnsi="ITC Avant Garde"/>
          <w:bCs/>
          <w:sz w:val="22"/>
          <w:szCs w:val="22"/>
          <w:lang w:val="es-ES_tradnl" w:eastAsia="es-MX"/>
        </w:rPr>
        <w:t>rimero</w:t>
      </w:r>
      <w:r w:rsidR="00976AA6" w:rsidRPr="00044BBD">
        <w:rPr>
          <w:rFonts w:ascii="ITC Avant Garde" w:hAnsi="ITC Avant Garde"/>
          <w:bCs/>
          <w:sz w:val="22"/>
          <w:szCs w:val="22"/>
          <w:lang w:val="es-ES_tradnl" w:eastAsia="es-MX"/>
        </w:rPr>
        <w:t xml:space="preserve"> </w:t>
      </w:r>
      <w:r w:rsidRPr="00044BBD">
        <w:rPr>
          <w:rFonts w:ascii="ITC Avant Garde" w:hAnsi="ITC Avant Garde"/>
          <w:bCs/>
          <w:sz w:val="22"/>
          <w:szCs w:val="22"/>
          <w:lang w:val="es-ES_tradnl" w:eastAsia="es-MX"/>
        </w:rPr>
        <w:t>Transitorio, entró en vigor a los 30 (treinta) días naturales siguientes a su publicación en el DOF, esto es el 13 de agosto de 2014</w:t>
      </w:r>
      <w:r w:rsidR="00D00E71" w:rsidRPr="00044BBD">
        <w:rPr>
          <w:rFonts w:ascii="ITC Avant Garde" w:hAnsi="ITC Avant Garde"/>
          <w:bCs/>
          <w:sz w:val="22"/>
          <w:szCs w:val="22"/>
          <w:lang w:val="es-ES_tradnl" w:eastAsia="es-MX"/>
        </w:rPr>
        <w:t xml:space="preserve">. </w:t>
      </w:r>
    </w:p>
    <w:p w:rsidR="00A84308" w:rsidRPr="00044BBD" w:rsidRDefault="000C3691"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lastRenderedPageBreak/>
        <w:t xml:space="preserve">El 4 de septiembre de 2014, se publicó en el DOF el </w:t>
      </w:r>
      <w:r w:rsidRPr="0066360E">
        <w:rPr>
          <w:rFonts w:ascii="ITC Avant Garde" w:hAnsi="ITC Avant Garde"/>
          <w:bCs/>
          <w:i/>
          <w:sz w:val="22"/>
          <w:szCs w:val="22"/>
          <w:lang w:val="es-ES_tradnl" w:eastAsia="es-MX"/>
        </w:rPr>
        <w:t>"Estatuto Orgánico del Instituto Federal de Telecomunicaciones"</w:t>
      </w:r>
      <w:r w:rsidRPr="00044BBD">
        <w:rPr>
          <w:rFonts w:ascii="ITC Avant Garde" w:hAnsi="ITC Avant Garde"/>
          <w:bCs/>
          <w:sz w:val="22"/>
          <w:szCs w:val="22"/>
          <w:lang w:val="es-ES_tradnl" w:eastAsia="es-MX"/>
        </w:rPr>
        <w:t xml:space="preserve"> (en lo sucesivo, el "Estatuto"), mismo que entró en vigor el 26 de septiembre de 2014, siendo modificado mediante publicación en el mismo medio de difusión los días 17 de octubre del 2014, 17 de octubre de 2016, 20 de julio de 2017 y 13 de julio de 2018, respectivamente</w:t>
      </w:r>
      <w:r w:rsidR="00D00E71" w:rsidRPr="00044BBD">
        <w:rPr>
          <w:rFonts w:ascii="ITC Avant Garde" w:hAnsi="ITC Avant Garde"/>
          <w:bCs/>
          <w:sz w:val="22"/>
          <w:szCs w:val="22"/>
          <w:lang w:val="es-ES_tradnl" w:eastAsia="es-MX"/>
        </w:rPr>
        <w:t>.</w:t>
      </w:r>
    </w:p>
    <w:p w:rsidR="00562ABD" w:rsidRPr="00044BBD" w:rsidRDefault="00B66BE7"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31 de agosto de 2015, se publicó en le DOF el </w:t>
      </w:r>
      <w:r w:rsidRPr="0066360E">
        <w:rPr>
          <w:rFonts w:ascii="ITC Avant Garde" w:hAnsi="ITC Avant Garde"/>
          <w:bCs/>
          <w:i/>
          <w:sz w:val="22"/>
          <w:szCs w:val="22"/>
          <w:lang w:val="es-ES_tradnl" w:eastAsia="es-MX"/>
        </w:rPr>
        <w:t>“A</w:t>
      </w:r>
      <w:r w:rsidR="0066360E" w:rsidRPr="0066360E">
        <w:rPr>
          <w:rFonts w:ascii="ITC Avant Garde" w:hAnsi="ITC Avant Garde"/>
          <w:bCs/>
          <w:i/>
          <w:sz w:val="22"/>
          <w:szCs w:val="22"/>
          <w:lang w:val="es-ES_tradnl" w:eastAsia="es-MX"/>
        </w:rPr>
        <w:t>cuerdo</w:t>
      </w:r>
      <w:r w:rsidRPr="0066360E">
        <w:rPr>
          <w:rFonts w:ascii="ITC Avant Garde" w:hAnsi="ITC Avant Garde"/>
          <w:bCs/>
          <w:i/>
          <w:sz w:val="22"/>
          <w:szCs w:val="22"/>
          <w:lang w:val="es-ES_tradnl" w:eastAsia="es-MX"/>
        </w:rPr>
        <w:t xml:space="preserve"> por el cual se expide la Disposición Técnica IFT-001-2015: Especifica</w:t>
      </w:r>
      <w:r w:rsidR="007C2290">
        <w:rPr>
          <w:rFonts w:ascii="ITC Avant Garde" w:hAnsi="ITC Avant Garde"/>
          <w:bCs/>
          <w:i/>
          <w:sz w:val="22"/>
          <w:szCs w:val="22"/>
          <w:lang w:val="es-ES_tradnl" w:eastAsia="es-MX"/>
        </w:rPr>
        <w:t xml:space="preserve">ciones y requerimientos para la </w:t>
      </w:r>
      <w:r w:rsidRPr="0066360E">
        <w:rPr>
          <w:rFonts w:ascii="ITC Avant Garde" w:hAnsi="ITC Avant Garde"/>
          <w:bCs/>
          <w:i/>
          <w:sz w:val="22"/>
          <w:szCs w:val="22"/>
          <w:lang w:val="es-ES_tradnl" w:eastAsia="es-MX"/>
        </w:rPr>
        <w:t>instalación y operación de las estaciones de radiodifusión sonora en amplitud</w:t>
      </w:r>
      <w:r w:rsidR="0066360E">
        <w:rPr>
          <w:rFonts w:ascii="ITC Avant Garde" w:hAnsi="ITC Avant Garde"/>
          <w:bCs/>
          <w:i/>
          <w:sz w:val="22"/>
          <w:szCs w:val="22"/>
          <w:lang w:val="es-ES_tradnl" w:eastAsia="es-MX"/>
        </w:rPr>
        <w:t xml:space="preserve"> modulada en </w:t>
      </w:r>
      <w:r w:rsidR="007C2290">
        <w:rPr>
          <w:rFonts w:ascii="ITC Avant Garde" w:hAnsi="ITC Avant Garde"/>
          <w:bCs/>
          <w:i/>
          <w:sz w:val="22"/>
          <w:szCs w:val="22"/>
          <w:lang w:val="es-ES_tradnl" w:eastAsia="es-MX"/>
        </w:rPr>
        <w:t xml:space="preserve">la banda de 535 kHz a </w:t>
      </w:r>
      <w:r w:rsidR="00562ABD" w:rsidRPr="0066360E">
        <w:rPr>
          <w:rFonts w:ascii="ITC Avant Garde" w:hAnsi="ITC Avant Garde"/>
          <w:bCs/>
          <w:i/>
          <w:sz w:val="22"/>
          <w:szCs w:val="22"/>
          <w:lang w:val="es-ES_tradnl" w:eastAsia="es-MX"/>
        </w:rPr>
        <w:t>1705 kHz”</w:t>
      </w:r>
      <w:r w:rsidR="0066360E">
        <w:rPr>
          <w:rFonts w:ascii="ITC Avant Garde" w:hAnsi="ITC Avant Garde"/>
          <w:bCs/>
          <w:sz w:val="22"/>
          <w:szCs w:val="22"/>
          <w:lang w:val="es-ES_tradnl" w:eastAsia="es-MX"/>
        </w:rPr>
        <w:t>, el cual</w:t>
      </w:r>
      <w:r w:rsidR="00562ABD" w:rsidRPr="00044BBD">
        <w:rPr>
          <w:rFonts w:ascii="ITC Avant Garde" w:hAnsi="ITC Avant Garde"/>
          <w:bCs/>
          <w:sz w:val="22"/>
          <w:szCs w:val="22"/>
          <w:lang w:val="es-ES_tradnl" w:eastAsia="es-MX"/>
        </w:rPr>
        <w:t xml:space="preserve"> en términos de su artículo </w:t>
      </w:r>
      <w:r w:rsidR="00E207D1" w:rsidRPr="00044BBD">
        <w:rPr>
          <w:rFonts w:ascii="ITC Avant Garde" w:hAnsi="ITC Avant Garde"/>
          <w:bCs/>
          <w:sz w:val="22"/>
          <w:szCs w:val="22"/>
          <w:lang w:val="es-ES_tradnl" w:eastAsia="es-MX"/>
        </w:rPr>
        <w:t>P</w:t>
      </w:r>
      <w:r w:rsidR="0066360E">
        <w:rPr>
          <w:rFonts w:ascii="ITC Avant Garde" w:hAnsi="ITC Avant Garde"/>
          <w:bCs/>
          <w:sz w:val="22"/>
          <w:szCs w:val="22"/>
          <w:lang w:val="es-ES_tradnl" w:eastAsia="es-MX"/>
        </w:rPr>
        <w:t>rimero</w:t>
      </w:r>
      <w:r w:rsidR="00E207D1" w:rsidRPr="00044BBD">
        <w:rPr>
          <w:rFonts w:ascii="ITC Avant Garde" w:hAnsi="ITC Avant Garde"/>
          <w:bCs/>
          <w:sz w:val="22"/>
          <w:szCs w:val="22"/>
          <w:lang w:val="es-ES_tradnl" w:eastAsia="es-MX"/>
        </w:rPr>
        <w:t xml:space="preserve"> T</w:t>
      </w:r>
      <w:r w:rsidR="00562ABD" w:rsidRPr="00044BBD">
        <w:rPr>
          <w:rFonts w:ascii="ITC Avant Garde" w:hAnsi="ITC Avant Garde"/>
          <w:bCs/>
          <w:sz w:val="22"/>
          <w:szCs w:val="22"/>
          <w:lang w:val="es-ES_tradnl" w:eastAsia="es-MX"/>
        </w:rPr>
        <w:t xml:space="preserve">ransitorio entró en vigor </w:t>
      </w:r>
      <w:r w:rsidR="00CB5469">
        <w:rPr>
          <w:rFonts w:ascii="ITC Avant Garde" w:hAnsi="ITC Avant Garde"/>
          <w:bCs/>
          <w:sz w:val="22"/>
          <w:szCs w:val="22"/>
          <w:lang w:val="es-ES_tradnl" w:eastAsia="es-MX"/>
        </w:rPr>
        <w:t>el mismo día de su publicación</w:t>
      </w:r>
      <w:r w:rsidR="00562ABD" w:rsidRPr="00044BBD">
        <w:rPr>
          <w:rFonts w:ascii="ITC Avant Garde" w:hAnsi="ITC Avant Garde"/>
          <w:bCs/>
          <w:sz w:val="22"/>
          <w:szCs w:val="22"/>
          <w:lang w:val="es-ES_tradnl" w:eastAsia="es-MX"/>
        </w:rPr>
        <w:t>.</w:t>
      </w:r>
    </w:p>
    <w:p w:rsidR="00562ABD" w:rsidRPr="00044BBD" w:rsidRDefault="00562ABD"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5 de abril de 2016, se publicó en el DOF el </w:t>
      </w:r>
      <w:r w:rsidRPr="007C2290">
        <w:rPr>
          <w:rFonts w:ascii="ITC Avant Garde" w:hAnsi="ITC Avant Garde"/>
          <w:bCs/>
          <w:i/>
          <w:sz w:val="22"/>
          <w:szCs w:val="22"/>
          <w:lang w:val="es-ES_tradnl" w:eastAsia="es-MX"/>
        </w:rPr>
        <w:t>“</w:t>
      </w:r>
      <w:r w:rsidRPr="007C2290">
        <w:rPr>
          <w:rFonts w:ascii="ITC Avant Garde" w:hAnsi="ITC Avant Garde"/>
          <w:bCs/>
          <w:i/>
          <w:sz w:val="22"/>
          <w:szCs w:val="22"/>
          <w:lang w:eastAsia="es-MX"/>
        </w:rPr>
        <w:t>A</w:t>
      </w:r>
      <w:r w:rsidR="007C2290" w:rsidRPr="007C2290">
        <w:rPr>
          <w:rFonts w:ascii="ITC Avant Garde" w:hAnsi="ITC Avant Garde"/>
          <w:bCs/>
          <w:i/>
          <w:sz w:val="22"/>
          <w:szCs w:val="22"/>
          <w:lang w:eastAsia="es-MX"/>
        </w:rPr>
        <w:t>cuerdo</w:t>
      </w:r>
      <w:r w:rsidRPr="007C2290">
        <w:rPr>
          <w:rFonts w:ascii="ITC Avant Garde" w:hAnsi="ITC Avant Garde"/>
          <w:bCs/>
          <w:i/>
          <w:sz w:val="22"/>
          <w:szCs w:val="22"/>
          <w:lang w:eastAsia="es-MX"/>
        </w:rPr>
        <w:t xml:space="preserve"> mediante el cual el Pleno del Instituto Federal de Telecomunicaciones expide la Disposición Técnica IFT-002-2016, Especificaciones y requerimientos para la instalación y operación de las estaciones de radiodifusión sonora en frecuencia modulada en la banda de 88 MHz a 108 MHz”</w:t>
      </w:r>
      <w:r w:rsidR="007C2290">
        <w:rPr>
          <w:rFonts w:ascii="ITC Avant Garde" w:hAnsi="ITC Avant Garde"/>
          <w:bCs/>
          <w:sz w:val="22"/>
          <w:szCs w:val="22"/>
          <w:lang w:eastAsia="es-MX"/>
        </w:rPr>
        <w:t>, el cual</w:t>
      </w:r>
      <w:r w:rsidRPr="00044BBD">
        <w:rPr>
          <w:rFonts w:ascii="ITC Avant Garde" w:hAnsi="ITC Avant Garde"/>
          <w:bCs/>
          <w:sz w:val="22"/>
          <w:szCs w:val="22"/>
          <w:lang w:eastAsia="es-MX"/>
        </w:rPr>
        <w:t xml:space="preserve"> en términos su art</w:t>
      </w:r>
      <w:r w:rsidR="00E207D1" w:rsidRPr="00044BBD">
        <w:rPr>
          <w:rFonts w:ascii="ITC Avant Garde" w:hAnsi="ITC Avant Garde"/>
          <w:bCs/>
          <w:sz w:val="22"/>
          <w:szCs w:val="22"/>
          <w:lang w:eastAsia="es-MX"/>
        </w:rPr>
        <w:t>ículo P</w:t>
      </w:r>
      <w:r w:rsidR="007C2290">
        <w:rPr>
          <w:rFonts w:ascii="ITC Avant Garde" w:hAnsi="ITC Avant Garde"/>
          <w:bCs/>
          <w:sz w:val="22"/>
          <w:szCs w:val="22"/>
          <w:lang w:eastAsia="es-MX"/>
        </w:rPr>
        <w:t>rimero</w:t>
      </w:r>
      <w:r w:rsidR="00E207D1" w:rsidRPr="00044BBD">
        <w:rPr>
          <w:rFonts w:ascii="ITC Avant Garde" w:hAnsi="ITC Avant Garde"/>
          <w:bCs/>
          <w:sz w:val="22"/>
          <w:szCs w:val="22"/>
          <w:lang w:eastAsia="es-MX"/>
        </w:rPr>
        <w:t xml:space="preserve"> T</w:t>
      </w:r>
      <w:r w:rsidRPr="00044BBD">
        <w:rPr>
          <w:rFonts w:ascii="ITC Avant Garde" w:hAnsi="ITC Avant Garde"/>
          <w:bCs/>
          <w:sz w:val="22"/>
          <w:szCs w:val="22"/>
          <w:lang w:eastAsia="es-MX"/>
        </w:rPr>
        <w:t>ransitorio</w:t>
      </w:r>
      <w:r w:rsidR="00E207D1" w:rsidRPr="00044BBD">
        <w:rPr>
          <w:rFonts w:ascii="ITC Avant Garde" w:hAnsi="ITC Avant Garde"/>
          <w:bCs/>
          <w:sz w:val="22"/>
          <w:szCs w:val="22"/>
          <w:lang w:eastAsia="es-MX"/>
        </w:rPr>
        <w:t xml:space="preserve"> entró en vigor a los 30</w:t>
      </w:r>
      <w:r w:rsidR="00617040">
        <w:rPr>
          <w:rFonts w:ascii="ITC Avant Garde" w:hAnsi="ITC Avant Garde"/>
          <w:bCs/>
          <w:sz w:val="22"/>
          <w:szCs w:val="22"/>
          <w:lang w:eastAsia="es-MX"/>
        </w:rPr>
        <w:t xml:space="preserve"> (treinta)</w:t>
      </w:r>
      <w:r w:rsidR="00E207D1" w:rsidRPr="00044BBD">
        <w:rPr>
          <w:rFonts w:ascii="ITC Avant Garde" w:hAnsi="ITC Avant Garde"/>
          <w:bCs/>
          <w:sz w:val="22"/>
          <w:szCs w:val="22"/>
          <w:lang w:eastAsia="es-MX"/>
        </w:rPr>
        <w:t xml:space="preserve"> días natura</w:t>
      </w:r>
      <w:r w:rsidR="007C2290">
        <w:rPr>
          <w:rFonts w:ascii="ITC Avant Garde" w:hAnsi="ITC Avant Garde"/>
          <w:bCs/>
          <w:sz w:val="22"/>
          <w:szCs w:val="22"/>
          <w:lang w:eastAsia="es-MX"/>
        </w:rPr>
        <w:t>les siguientes a su publicación;</w:t>
      </w:r>
      <w:r w:rsidR="00976AA6" w:rsidRPr="00044BBD">
        <w:rPr>
          <w:rFonts w:ascii="ITC Avant Garde" w:hAnsi="ITC Avant Garde"/>
          <w:bCs/>
          <w:sz w:val="22"/>
          <w:szCs w:val="22"/>
          <w:lang w:eastAsia="es-MX"/>
        </w:rPr>
        <w:t xml:space="preserve"> es decir</w:t>
      </w:r>
      <w:r w:rsidR="007C2290">
        <w:rPr>
          <w:rFonts w:ascii="ITC Avant Garde" w:hAnsi="ITC Avant Garde"/>
          <w:bCs/>
          <w:sz w:val="22"/>
          <w:szCs w:val="22"/>
          <w:lang w:eastAsia="es-MX"/>
        </w:rPr>
        <w:t>,</w:t>
      </w:r>
      <w:r w:rsidR="00E207D1" w:rsidRPr="00044BBD">
        <w:rPr>
          <w:rFonts w:ascii="ITC Avant Garde" w:hAnsi="ITC Avant Garde"/>
          <w:bCs/>
          <w:sz w:val="22"/>
          <w:szCs w:val="22"/>
          <w:lang w:eastAsia="es-MX"/>
        </w:rPr>
        <w:t xml:space="preserve"> </w:t>
      </w:r>
      <w:r w:rsidR="00B96F0B" w:rsidRPr="00044BBD">
        <w:rPr>
          <w:rFonts w:ascii="ITC Avant Garde" w:hAnsi="ITC Avant Garde"/>
          <w:bCs/>
          <w:sz w:val="22"/>
          <w:szCs w:val="22"/>
          <w:lang w:eastAsia="es-MX"/>
        </w:rPr>
        <w:t xml:space="preserve">el </w:t>
      </w:r>
      <w:r w:rsidR="00B96F0B">
        <w:rPr>
          <w:rFonts w:ascii="ITC Avant Garde" w:hAnsi="ITC Avant Garde"/>
          <w:bCs/>
          <w:sz w:val="22"/>
          <w:szCs w:val="22"/>
          <w:lang w:eastAsia="es-MX"/>
        </w:rPr>
        <w:t xml:space="preserve">5 </w:t>
      </w:r>
      <w:r w:rsidR="00B96F0B" w:rsidRPr="00860F12">
        <w:rPr>
          <w:rFonts w:ascii="ITC Avant Garde" w:hAnsi="ITC Avant Garde"/>
          <w:bCs/>
          <w:sz w:val="22"/>
          <w:szCs w:val="22"/>
          <w:lang w:eastAsia="es-MX"/>
        </w:rPr>
        <w:t xml:space="preserve">de </w:t>
      </w:r>
      <w:r w:rsidR="00E207D1" w:rsidRPr="00044BBD">
        <w:rPr>
          <w:rFonts w:ascii="ITC Avant Garde" w:hAnsi="ITC Avant Garde"/>
          <w:bCs/>
          <w:sz w:val="22"/>
          <w:szCs w:val="22"/>
          <w:lang w:eastAsia="es-MX"/>
        </w:rPr>
        <w:t xml:space="preserve">mayo de 2016, mismo que fue modificado mediante </w:t>
      </w:r>
      <w:r w:rsidR="007C2290">
        <w:rPr>
          <w:rFonts w:ascii="ITC Avant Garde" w:hAnsi="ITC Avant Garde"/>
          <w:bCs/>
          <w:sz w:val="22"/>
          <w:szCs w:val="22"/>
          <w:lang w:eastAsia="es-MX"/>
        </w:rPr>
        <w:t>similar</w:t>
      </w:r>
      <w:r w:rsidR="00E207D1" w:rsidRPr="00044BBD">
        <w:rPr>
          <w:rFonts w:ascii="ITC Avant Garde" w:hAnsi="ITC Avant Garde"/>
          <w:bCs/>
          <w:sz w:val="22"/>
          <w:szCs w:val="22"/>
          <w:lang w:eastAsia="es-MX"/>
        </w:rPr>
        <w:t xml:space="preserve"> publicado en el DOF</w:t>
      </w:r>
      <w:r w:rsidR="007C2290">
        <w:rPr>
          <w:rFonts w:ascii="ITC Avant Garde" w:hAnsi="ITC Avant Garde"/>
          <w:bCs/>
          <w:sz w:val="22"/>
          <w:szCs w:val="22"/>
          <w:lang w:eastAsia="es-MX"/>
        </w:rPr>
        <w:t>,</w:t>
      </w:r>
      <w:r w:rsidR="00E207D1" w:rsidRPr="00044BBD">
        <w:rPr>
          <w:rFonts w:ascii="ITC Avant Garde" w:hAnsi="ITC Avant Garde"/>
          <w:bCs/>
          <w:sz w:val="22"/>
          <w:szCs w:val="22"/>
          <w:lang w:eastAsia="es-MX"/>
        </w:rPr>
        <w:t xml:space="preserve"> el día 13 de abril de 2016.</w:t>
      </w:r>
    </w:p>
    <w:p w:rsidR="00562ABD" w:rsidRPr="00044BBD" w:rsidRDefault="00562ABD"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 xml:space="preserve">El 30 de diciembre de 2016, se publicó en el DOF el </w:t>
      </w:r>
      <w:r w:rsidRPr="007C2290">
        <w:rPr>
          <w:rFonts w:ascii="ITC Avant Garde" w:hAnsi="ITC Avant Garde"/>
          <w:bCs/>
          <w:i/>
          <w:sz w:val="22"/>
          <w:szCs w:val="22"/>
          <w:lang w:val="es-ES_tradnl" w:eastAsia="es-MX"/>
        </w:rPr>
        <w:t>“</w:t>
      </w:r>
      <w:r w:rsidRPr="007C2290">
        <w:rPr>
          <w:rFonts w:ascii="ITC Avant Garde" w:hAnsi="ITC Avant Garde"/>
          <w:bCs/>
          <w:i/>
          <w:sz w:val="22"/>
          <w:szCs w:val="22"/>
          <w:lang w:eastAsia="es-MX"/>
        </w:rPr>
        <w:t>A</w:t>
      </w:r>
      <w:r w:rsidR="007C2290" w:rsidRPr="007C2290">
        <w:rPr>
          <w:rFonts w:ascii="ITC Avant Garde" w:hAnsi="ITC Avant Garde"/>
          <w:bCs/>
          <w:i/>
          <w:sz w:val="22"/>
          <w:szCs w:val="22"/>
          <w:lang w:eastAsia="es-MX"/>
        </w:rPr>
        <w:t>cuerdo</w:t>
      </w:r>
      <w:r w:rsidRPr="007C2290">
        <w:rPr>
          <w:rFonts w:ascii="ITC Avant Garde" w:hAnsi="ITC Avant Garde"/>
          <w:bCs/>
          <w:i/>
          <w:sz w:val="22"/>
          <w:szCs w:val="22"/>
          <w:lang w:eastAsia="es-MX"/>
        </w:rPr>
        <w:t xml:space="preserve"> mediante el cual el Pleno del Instituto Federal de Telecomunicaciones expide la Disposición Técnica IFT-013-2016: Especificaciones y requerimientos mínimos para la instalación y operación de estaciones de televisión, equipos auxiliares y equipos complementarios</w:t>
      </w:r>
      <w:r w:rsidR="00E207D1" w:rsidRPr="007C2290">
        <w:rPr>
          <w:rFonts w:ascii="ITC Avant Garde" w:hAnsi="ITC Avant Garde"/>
          <w:bCs/>
          <w:i/>
          <w:sz w:val="22"/>
          <w:szCs w:val="22"/>
          <w:lang w:eastAsia="es-MX"/>
        </w:rPr>
        <w:t>”</w:t>
      </w:r>
      <w:r w:rsidR="007C2290">
        <w:rPr>
          <w:rFonts w:ascii="ITC Avant Garde" w:hAnsi="ITC Avant Garde"/>
          <w:bCs/>
          <w:sz w:val="22"/>
          <w:szCs w:val="22"/>
          <w:lang w:eastAsia="es-MX"/>
        </w:rPr>
        <w:t>, el cual</w:t>
      </w:r>
      <w:r w:rsidR="00E207D1" w:rsidRPr="00044BBD">
        <w:rPr>
          <w:rFonts w:ascii="ITC Avant Garde" w:hAnsi="ITC Avant Garde"/>
          <w:bCs/>
          <w:sz w:val="22"/>
          <w:szCs w:val="22"/>
          <w:lang w:eastAsia="es-MX"/>
        </w:rPr>
        <w:t xml:space="preserve"> en términos de su artículo P</w:t>
      </w:r>
      <w:r w:rsidR="007C2290">
        <w:rPr>
          <w:rFonts w:ascii="ITC Avant Garde" w:hAnsi="ITC Avant Garde"/>
          <w:bCs/>
          <w:sz w:val="22"/>
          <w:szCs w:val="22"/>
          <w:lang w:eastAsia="es-MX"/>
        </w:rPr>
        <w:t>rimero</w:t>
      </w:r>
      <w:r w:rsidR="00E207D1" w:rsidRPr="00044BBD">
        <w:rPr>
          <w:rFonts w:ascii="ITC Avant Garde" w:hAnsi="ITC Avant Garde"/>
          <w:bCs/>
          <w:sz w:val="22"/>
          <w:szCs w:val="22"/>
          <w:lang w:eastAsia="es-MX"/>
        </w:rPr>
        <w:t xml:space="preserve"> Transitorio entró en vigor el 1 de enero de 2017.</w:t>
      </w:r>
    </w:p>
    <w:p w:rsidR="00884F22" w:rsidRPr="00044BBD" w:rsidRDefault="00884F22" w:rsidP="00246F45">
      <w:pPr>
        <w:pStyle w:val="Prrafodelista"/>
        <w:numPr>
          <w:ilvl w:val="0"/>
          <w:numId w:val="10"/>
        </w:numPr>
        <w:spacing w:after="320"/>
        <w:jc w:val="both"/>
        <w:rPr>
          <w:rFonts w:ascii="ITC Avant Garde" w:hAnsi="ITC Avant Garde" w:cs="Arial"/>
          <w:bCs/>
          <w:sz w:val="22"/>
          <w:szCs w:val="22"/>
          <w:lang w:val="es-ES_tradnl" w:eastAsia="es-MX"/>
        </w:rPr>
      </w:pPr>
      <w:r w:rsidRPr="00044BBD">
        <w:rPr>
          <w:rFonts w:ascii="ITC Avant Garde" w:hAnsi="ITC Avant Garde" w:cs="Arial"/>
          <w:bCs/>
          <w:sz w:val="22"/>
          <w:szCs w:val="22"/>
          <w:lang w:val="es-ES_tradnl" w:eastAsia="es-MX"/>
        </w:rPr>
        <w:t xml:space="preserve">El 8 de noviembre de 2017, se publicó en el DOF el </w:t>
      </w:r>
      <w:r w:rsidRPr="007C2290">
        <w:rPr>
          <w:rFonts w:ascii="ITC Avant Garde" w:hAnsi="ITC Avant Garde" w:cs="Arial"/>
          <w:bCs/>
          <w:i/>
          <w:sz w:val="22"/>
          <w:szCs w:val="22"/>
          <w:lang w:val="es-ES_tradnl" w:eastAsia="es-MX"/>
        </w:rPr>
        <w:t>“Acuerdo mediante el cual el Pleno del Instituto Federal de Telecomunicaciones aprueba y emite los Lineamientos de Consulta Pública y Análisis de Impacto Regulatorio del Instituto Federal de Telecomunicaciones”</w:t>
      </w:r>
      <w:r w:rsidR="008A436B" w:rsidRPr="00044BBD">
        <w:rPr>
          <w:rFonts w:ascii="ITC Avant Garde" w:hAnsi="ITC Avant Garde" w:cs="Arial"/>
          <w:bCs/>
          <w:sz w:val="22"/>
          <w:szCs w:val="22"/>
          <w:lang w:val="es-ES_tradnl" w:eastAsia="es-MX"/>
        </w:rPr>
        <w:t xml:space="preserve"> (en lo sucesivo, los “Lineamientos de Consulta Pública”)</w:t>
      </w:r>
      <w:r w:rsidR="007C2290">
        <w:rPr>
          <w:rFonts w:ascii="ITC Avant Garde" w:hAnsi="ITC Avant Garde" w:cs="Arial"/>
          <w:bCs/>
          <w:sz w:val="22"/>
          <w:szCs w:val="22"/>
          <w:lang w:val="es-ES_tradnl" w:eastAsia="es-MX"/>
        </w:rPr>
        <w:t>, el cual</w:t>
      </w:r>
      <w:r w:rsidR="00BC7269">
        <w:rPr>
          <w:rFonts w:ascii="ITC Avant Garde" w:hAnsi="ITC Avant Garde" w:cs="Arial"/>
          <w:bCs/>
          <w:sz w:val="22"/>
          <w:szCs w:val="22"/>
          <w:lang w:val="es-ES_tradnl" w:eastAsia="es-MX"/>
        </w:rPr>
        <w:t>,</w:t>
      </w:r>
      <w:r w:rsidRPr="00044BBD">
        <w:rPr>
          <w:rFonts w:ascii="ITC Avant Garde" w:hAnsi="ITC Avant Garde" w:cs="Arial"/>
          <w:bCs/>
          <w:sz w:val="22"/>
          <w:szCs w:val="22"/>
          <w:lang w:val="es-ES_tradnl" w:eastAsia="es-MX"/>
        </w:rPr>
        <w:t xml:space="preserve"> en términos de lo dispuesto por el artículo </w:t>
      </w:r>
      <w:r w:rsidR="00976AA6" w:rsidRPr="00044BBD">
        <w:rPr>
          <w:rFonts w:ascii="ITC Avant Garde" w:hAnsi="ITC Avant Garde" w:cs="Arial"/>
          <w:bCs/>
          <w:sz w:val="22"/>
          <w:szCs w:val="22"/>
          <w:lang w:val="es-ES_tradnl" w:eastAsia="es-MX"/>
        </w:rPr>
        <w:t>P</w:t>
      </w:r>
      <w:r w:rsidR="007C2290">
        <w:rPr>
          <w:rFonts w:ascii="ITC Avant Garde" w:hAnsi="ITC Avant Garde" w:cs="Arial"/>
          <w:bCs/>
          <w:sz w:val="22"/>
          <w:szCs w:val="22"/>
          <w:lang w:val="es-ES_tradnl" w:eastAsia="es-MX"/>
        </w:rPr>
        <w:t>rimero</w:t>
      </w:r>
      <w:r w:rsidR="00976AA6" w:rsidRPr="00044BBD">
        <w:rPr>
          <w:rFonts w:ascii="ITC Avant Garde" w:hAnsi="ITC Avant Garde" w:cs="Arial"/>
          <w:bCs/>
          <w:sz w:val="22"/>
          <w:szCs w:val="22"/>
          <w:lang w:val="es-ES_tradnl" w:eastAsia="es-MX"/>
        </w:rPr>
        <w:t xml:space="preserve"> </w:t>
      </w:r>
      <w:r w:rsidRPr="00044BBD">
        <w:rPr>
          <w:rFonts w:ascii="ITC Avant Garde" w:hAnsi="ITC Avant Garde" w:cs="Arial"/>
          <w:bCs/>
          <w:sz w:val="22"/>
          <w:szCs w:val="22"/>
          <w:lang w:val="es-ES_tradnl" w:eastAsia="es-MX"/>
        </w:rPr>
        <w:t>Transitorio, entró en vigor el 1 de enero de 2018.</w:t>
      </w:r>
    </w:p>
    <w:p w:rsidR="007C2290" w:rsidRDefault="00457420" w:rsidP="00246F45">
      <w:pPr>
        <w:pStyle w:val="ROMANOS"/>
        <w:numPr>
          <w:ilvl w:val="0"/>
          <w:numId w:val="10"/>
        </w:numPr>
        <w:spacing w:after="320" w:line="240" w:lineRule="auto"/>
        <w:rPr>
          <w:rFonts w:ascii="ITC Avant Garde" w:hAnsi="ITC Avant Garde"/>
          <w:bCs/>
          <w:sz w:val="22"/>
          <w:szCs w:val="22"/>
          <w:lang w:val="es-ES_tradnl" w:eastAsia="es-MX"/>
        </w:rPr>
      </w:pPr>
      <w:r w:rsidRPr="00044BBD">
        <w:rPr>
          <w:rFonts w:ascii="ITC Avant Garde" w:hAnsi="ITC Avant Garde"/>
          <w:bCs/>
          <w:sz w:val="22"/>
          <w:szCs w:val="22"/>
          <w:lang w:val="es-ES_tradnl" w:eastAsia="es-MX"/>
        </w:rPr>
        <w:t>El 25 de mayo de 2018</w:t>
      </w:r>
      <w:r w:rsidR="00E07178"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este órgano constitucional autónomo</w:t>
      </w:r>
      <w:r w:rsidR="000475A9"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inició</w:t>
      </w:r>
      <w:r w:rsidR="000475A9" w:rsidRPr="00044BBD">
        <w:rPr>
          <w:rFonts w:ascii="ITC Avant Garde" w:hAnsi="ITC Avant Garde"/>
          <w:bCs/>
          <w:sz w:val="22"/>
          <w:szCs w:val="22"/>
          <w:lang w:val="es-ES_tradnl" w:eastAsia="es-MX"/>
        </w:rPr>
        <w:t xml:space="preserve"> el </w:t>
      </w:r>
      <w:r w:rsidR="007C2290" w:rsidRPr="007C2290">
        <w:rPr>
          <w:rFonts w:ascii="ITC Avant Garde" w:hAnsi="ITC Avant Garde"/>
          <w:bCs/>
          <w:i/>
          <w:sz w:val="22"/>
          <w:szCs w:val="22"/>
          <w:lang w:val="es-ES_tradnl" w:eastAsia="es-MX"/>
        </w:rPr>
        <w:t>“</w:t>
      </w:r>
      <w:r w:rsidR="000475A9" w:rsidRPr="007C2290">
        <w:rPr>
          <w:rFonts w:ascii="ITC Avant Garde" w:hAnsi="ITC Avant Garde"/>
          <w:bCs/>
          <w:i/>
          <w:sz w:val="22"/>
          <w:szCs w:val="22"/>
          <w:lang w:val="es-ES_tradnl" w:eastAsia="es-MX"/>
        </w:rPr>
        <w:t>Programa de Mejora Administrativa</w:t>
      </w:r>
      <w:r w:rsidR="00976AA6" w:rsidRPr="007C2290">
        <w:rPr>
          <w:rFonts w:ascii="ITC Avant Garde" w:hAnsi="ITC Avant Garde"/>
          <w:bCs/>
          <w:i/>
          <w:sz w:val="22"/>
          <w:szCs w:val="22"/>
          <w:lang w:val="es-ES_tradnl" w:eastAsia="es-MX"/>
        </w:rPr>
        <w:t xml:space="preserve"> del Instituto Federal de Telecomunicaciones</w:t>
      </w:r>
      <w:r w:rsidR="007C2290" w:rsidRPr="007C2290">
        <w:rPr>
          <w:rFonts w:ascii="ITC Avant Garde" w:hAnsi="ITC Avant Garde"/>
          <w:bCs/>
          <w:i/>
          <w:sz w:val="22"/>
          <w:szCs w:val="22"/>
          <w:lang w:val="es-ES_tradnl" w:eastAsia="es-MX"/>
        </w:rPr>
        <w:t>”</w:t>
      </w:r>
      <w:r w:rsidR="003B6565" w:rsidRPr="00044BBD">
        <w:rPr>
          <w:rFonts w:ascii="ITC Avant Garde" w:hAnsi="ITC Avant Garde"/>
          <w:bCs/>
          <w:sz w:val="22"/>
          <w:szCs w:val="22"/>
          <w:lang w:val="es-ES_tradnl" w:eastAsia="es-MX"/>
        </w:rPr>
        <w:t xml:space="preserve"> (en lo sucesivo, el “PMA”)</w:t>
      </w:r>
      <w:r w:rsidR="001C3F03"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por conducto de su Coordinación General de Mejora Regulatoria, cuyo objetivo es</w:t>
      </w:r>
      <w:r w:rsidR="00976AA6" w:rsidRPr="00044BBD">
        <w:rPr>
          <w:rFonts w:ascii="ITC Avant Garde" w:hAnsi="ITC Avant Garde"/>
          <w:bCs/>
          <w:sz w:val="22"/>
          <w:szCs w:val="22"/>
          <w:lang w:val="es-ES_tradnl" w:eastAsia="es-MX"/>
        </w:rPr>
        <w:t xml:space="preserve"> </w:t>
      </w:r>
      <w:r w:rsidR="00884F22" w:rsidRPr="00044BBD">
        <w:rPr>
          <w:rFonts w:ascii="ITC Avant Garde" w:hAnsi="ITC Avant Garde"/>
          <w:bCs/>
          <w:sz w:val="22"/>
          <w:szCs w:val="22"/>
          <w:lang w:val="es-ES_tradnl" w:eastAsia="es-MX"/>
        </w:rPr>
        <w:t>disminu</w:t>
      </w:r>
      <w:r w:rsidR="007C2290">
        <w:rPr>
          <w:rFonts w:ascii="ITC Avant Garde" w:hAnsi="ITC Avant Garde"/>
          <w:bCs/>
          <w:sz w:val="22"/>
          <w:szCs w:val="22"/>
          <w:lang w:val="es-ES_tradnl" w:eastAsia="es-MX"/>
        </w:rPr>
        <w:t>ir</w:t>
      </w:r>
      <w:r w:rsidR="00884F22"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la carga administrativa</w:t>
      </w:r>
      <w:r w:rsidR="00884F22" w:rsidRPr="00044BBD">
        <w:rPr>
          <w:rFonts w:ascii="ITC Avant Garde" w:hAnsi="ITC Avant Garde"/>
          <w:bCs/>
          <w:sz w:val="22"/>
          <w:szCs w:val="22"/>
          <w:lang w:val="es-ES_tradnl" w:eastAsia="es-MX"/>
        </w:rPr>
        <w:t xml:space="preserve"> </w:t>
      </w:r>
      <w:r w:rsidR="00976AA6" w:rsidRPr="00044BBD">
        <w:rPr>
          <w:rFonts w:ascii="ITC Avant Garde" w:hAnsi="ITC Avant Garde"/>
          <w:bCs/>
          <w:sz w:val="22"/>
          <w:szCs w:val="22"/>
          <w:lang w:val="es-ES_tradnl" w:eastAsia="es-MX"/>
        </w:rPr>
        <w:t xml:space="preserve">a </w:t>
      </w:r>
      <w:r w:rsidR="007C2290">
        <w:rPr>
          <w:rFonts w:ascii="ITC Avant Garde" w:hAnsi="ITC Avant Garde"/>
          <w:bCs/>
          <w:sz w:val="22"/>
          <w:szCs w:val="22"/>
          <w:lang w:val="es-ES_tradnl" w:eastAsia="es-MX"/>
        </w:rPr>
        <w:t>sus regulados mediante la eliminación de trámites, r</w:t>
      </w:r>
      <w:r w:rsidR="00884F22" w:rsidRPr="00044BBD">
        <w:rPr>
          <w:rFonts w:ascii="ITC Avant Garde" w:hAnsi="ITC Avant Garde"/>
          <w:bCs/>
          <w:sz w:val="22"/>
          <w:szCs w:val="22"/>
          <w:lang w:val="es-ES_tradnl" w:eastAsia="es-MX"/>
        </w:rPr>
        <w:t>equisitos</w:t>
      </w:r>
      <w:r w:rsidR="007C2290">
        <w:rPr>
          <w:rFonts w:ascii="ITC Avant Garde" w:hAnsi="ITC Avant Garde"/>
          <w:bCs/>
          <w:sz w:val="22"/>
          <w:szCs w:val="22"/>
          <w:lang w:val="es-ES_tradnl" w:eastAsia="es-MX"/>
        </w:rPr>
        <w:t xml:space="preserve"> innecesarios u</w:t>
      </w:r>
      <w:r w:rsidR="00976AA6" w:rsidRPr="00044BBD">
        <w:rPr>
          <w:rFonts w:ascii="ITC Avant Garde" w:hAnsi="ITC Avant Garde"/>
          <w:bCs/>
          <w:sz w:val="22"/>
          <w:szCs w:val="22"/>
          <w:lang w:val="es-ES_tradnl" w:eastAsia="es-MX"/>
        </w:rPr>
        <w:t xml:space="preserve"> obsoletos, el</w:t>
      </w:r>
      <w:r w:rsidR="00884F22" w:rsidRPr="00044BBD">
        <w:rPr>
          <w:rFonts w:ascii="ITC Avant Garde" w:hAnsi="ITC Avant Garde"/>
          <w:bCs/>
          <w:sz w:val="22"/>
          <w:szCs w:val="22"/>
          <w:lang w:val="es-ES_tradnl" w:eastAsia="es-MX"/>
        </w:rPr>
        <w:t xml:space="preserve"> </w:t>
      </w:r>
      <w:r w:rsidR="007C2290">
        <w:rPr>
          <w:rFonts w:ascii="ITC Avant Garde" w:hAnsi="ITC Avant Garde"/>
          <w:bCs/>
          <w:sz w:val="22"/>
          <w:szCs w:val="22"/>
          <w:lang w:val="es-ES_tradnl" w:eastAsia="es-MX"/>
        </w:rPr>
        <w:t xml:space="preserve">empleo de formatos y el empleo intensivo de las </w:t>
      </w:r>
      <w:r w:rsidR="007C2290" w:rsidRPr="00044BBD">
        <w:rPr>
          <w:rFonts w:ascii="ITC Avant Garde" w:hAnsi="ITC Avant Garde"/>
          <w:bCs/>
          <w:sz w:val="22"/>
          <w:szCs w:val="22"/>
          <w:lang w:val="es-ES_tradnl" w:eastAsia="es-MX"/>
        </w:rPr>
        <w:t>tecnologías de la información y comunicación para la recepción y gestión de los trámites y servicios</w:t>
      </w:r>
      <w:r w:rsidR="007C2290">
        <w:rPr>
          <w:rFonts w:ascii="ITC Avant Garde" w:hAnsi="ITC Avant Garde"/>
          <w:bCs/>
          <w:sz w:val="22"/>
          <w:szCs w:val="22"/>
          <w:lang w:val="es-ES_tradnl" w:eastAsia="es-MX"/>
        </w:rPr>
        <w:t xml:space="preserve"> a su cargo.</w:t>
      </w:r>
    </w:p>
    <w:p w:rsidR="001211C1" w:rsidRDefault="00D00E71" w:rsidP="00246F45">
      <w:pPr>
        <w:pStyle w:val="Default"/>
        <w:tabs>
          <w:tab w:val="left" w:pos="0"/>
        </w:tabs>
        <w:spacing w:after="320"/>
        <w:rPr>
          <w:rFonts w:ascii="ITC Avant Garde" w:hAnsi="ITC Avant Garde"/>
          <w:bCs/>
          <w:sz w:val="22"/>
          <w:szCs w:val="22"/>
        </w:rPr>
      </w:pPr>
      <w:r w:rsidRPr="00044BBD">
        <w:rPr>
          <w:rFonts w:ascii="ITC Avant Garde" w:hAnsi="ITC Avant Garde"/>
          <w:bCs/>
          <w:sz w:val="22"/>
          <w:szCs w:val="22"/>
        </w:rPr>
        <w:t xml:space="preserve">En atención a los </w:t>
      </w:r>
      <w:r w:rsidR="001211C1" w:rsidRPr="00044BBD">
        <w:rPr>
          <w:rFonts w:ascii="ITC Avant Garde" w:hAnsi="ITC Avant Garde"/>
          <w:bCs/>
          <w:sz w:val="22"/>
          <w:szCs w:val="22"/>
        </w:rPr>
        <w:t xml:space="preserve">antecedentes anteriores y, </w:t>
      </w:r>
    </w:p>
    <w:p w:rsidR="00AD55DE" w:rsidRPr="002A3E1D" w:rsidRDefault="00AD55DE"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CONSIDERANDO</w:t>
      </w:r>
    </w:p>
    <w:p w:rsidR="00CF25CB" w:rsidRPr="00044BBD" w:rsidRDefault="00AD55DE" w:rsidP="00C55070">
      <w:pPr>
        <w:spacing w:after="240"/>
        <w:jc w:val="both"/>
        <w:rPr>
          <w:rFonts w:ascii="ITC Avant Garde" w:hAnsi="ITC Avant Garde"/>
          <w:bCs/>
          <w:sz w:val="22"/>
          <w:szCs w:val="22"/>
          <w:lang w:val="es-ES_tradnl" w:eastAsia="es-MX"/>
        </w:rPr>
      </w:pPr>
      <w:r w:rsidRPr="00044BBD">
        <w:rPr>
          <w:rFonts w:ascii="ITC Avant Garde" w:hAnsi="ITC Avant Garde"/>
          <w:b/>
          <w:bCs/>
          <w:sz w:val="22"/>
          <w:szCs w:val="22"/>
          <w:lang w:val="es-ES_tradnl" w:eastAsia="es-MX"/>
        </w:rPr>
        <w:t>PRIMERO.</w:t>
      </w:r>
      <w:r w:rsidR="007C2290">
        <w:rPr>
          <w:rFonts w:ascii="ITC Avant Garde" w:hAnsi="ITC Avant Garde"/>
          <w:b/>
          <w:bCs/>
          <w:sz w:val="22"/>
          <w:szCs w:val="22"/>
          <w:lang w:val="es-ES_tradnl" w:eastAsia="es-MX"/>
        </w:rPr>
        <w:t xml:space="preserve"> </w:t>
      </w:r>
      <w:r w:rsidR="00D357BF">
        <w:rPr>
          <w:rFonts w:ascii="ITC Avant Garde" w:hAnsi="ITC Avant Garde"/>
          <w:b/>
          <w:bCs/>
          <w:sz w:val="22"/>
          <w:szCs w:val="22"/>
          <w:lang w:val="es-ES_tradnl" w:eastAsia="es-MX"/>
        </w:rPr>
        <w:t>–</w:t>
      </w:r>
      <w:r w:rsidRPr="00044BBD">
        <w:rPr>
          <w:rFonts w:ascii="ITC Avant Garde" w:hAnsi="ITC Avant Garde"/>
          <w:b/>
          <w:bCs/>
          <w:sz w:val="22"/>
          <w:szCs w:val="22"/>
          <w:lang w:val="es-ES_tradnl" w:eastAsia="es-MX"/>
        </w:rPr>
        <w:t xml:space="preserve"> </w:t>
      </w:r>
      <w:r w:rsidR="00B96F0B">
        <w:rPr>
          <w:rFonts w:ascii="ITC Avant Garde" w:hAnsi="ITC Avant Garde"/>
          <w:b/>
          <w:bCs/>
          <w:sz w:val="22"/>
          <w:szCs w:val="22"/>
          <w:lang w:val="es-ES_tradnl" w:eastAsia="es-MX"/>
        </w:rPr>
        <w:t>C</w:t>
      </w:r>
      <w:r w:rsidR="00D357BF">
        <w:rPr>
          <w:rFonts w:ascii="ITC Avant Garde" w:hAnsi="ITC Avant Garde"/>
          <w:b/>
          <w:bCs/>
          <w:sz w:val="22"/>
          <w:szCs w:val="22"/>
          <w:lang w:val="es-ES_tradnl" w:eastAsia="es-MX"/>
        </w:rPr>
        <w:t xml:space="preserve">ompetencia del Instituto. </w:t>
      </w:r>
      <w:r w:rsidR="00CF25CB" w:rsidRPr="00044BBD">
        <w:rPr>
          <w:rFonts w:ascii="ITC Avant Garde" w:hAnsi="ITC Avant Garde"/>
          <w:bCs/>
          <w:sz w:val="22"/>
          <w:szCs w:val="22"/>
          <w:lang w:val="es-ES_tradnl" w:eastAsia="es-MX"/>
        </w:rPr>
        <w:t xml:space="preserve">De conformidad con el artículo 28, párrafo décimo quinto de la Constitución, el Instituto es un órgano autónomo con personalidad jurídica y patrimonio propio, que tiene por objeto el desarrollo eficiente de la radiodifusión y las telecomunicaciones, conforme a lo dispuesto en la propia Constitución y en los términos que fijen las leyes. </w:t>
      </w:r>
    </w:p>
    <w:p w:rsidR="00CF25CB" w:rsidRPr="00044BBD" w:rsidRDefault="00AD37F0" w:rsidP="00C55070">
      <w:pPr>
        <w:spacing w:after="240"/>
        <w:jc w:val="both"/>
        <w:rPr>
          <w:rFonts w:ascii="ITC Avant Garde" w:hAnsi="ITC Avant Garde"/>
          <w:bCs/>
          <w:sz w:val="22"/>
          <w:szCs w:val="22"/>
          <w:lang w:eastAsia="es-MX"/>
        </w:rPr>
      </w:pPr>
      <w:r w:rsidRPr="00044BBD">
        <w:rPr>
          <w:rFonts w:ascii="ITC Avant Garde" w:hAnsi="ITC Avant Garde"/>
          <w:bCs/>
          <w:sz w:val="22"/>
          <w:szCs w:val="22"/>
          <w:lang w:eastAsia="es-MX"/>
        </w:rPr>
        <w:t>Para tal efecto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 en términos del precepto de la Constitución invocado, así como del artículo 7 de la Ley Federal de Telecomunicaciones y Radiodifusión (“LFTR”), garantizando lo establecido en los artículos 6° y 7° de la Constitución.</w:t>
      </w:r>
    </w:p>
    <w:p w:rsidR="007C2290" w:rsidRDefault="00445B2D" w:rsidP="00C55070">
      <w:pPr>
        <w:spacing w:after="240"/>
        <w:jc w:val="both"/>
        <w:rPr>
          <w:rFonts w:ascii="ITC Avant Garde" w:hAnsi="ITC Avant Garde"/>
          <w:bCs/>
          <w:sz w:val="22"/>
          <w:szCs w:val="22"/>
          <w:lang w:eastAsia="es-MX"/>
        </w:rPr>
      </w:pPr>
      <w:r w:rsidRPr="00044BBD">
        <w:rPr>
          <w:rFonts w:ascii="ITC Avant Garde" w:hAnsi="ITC Avant Garde"/>
          <w:bCs/>
          <w:sz w:val="22"/>
          <w:szCs w:val="22"/>
          <w:lang w:eastAsia="es-MX"/>
        </w:rPr>
        <w:t xml:space="preserve">Asimismo, el párrafo décimo sexto del artículo 28 de la Constitución establece que el Instituto es también la autoridad en materia de competencia económica de los sectores de radiodifusión y telecomunicaciones, </w:t>
      </w:r>
      <w:r w:rsidR="002169A0">
        <w:rPr>
          <w:rFonts w:ascii="ITC Avant Garde" w:hAnsi="ITC Avant Garde"/>
          <w:bCs/>
          <w:sz w:val="22"/>
          <w:szCs w:val="22"/>
          <w:lang w:eastAsia="es-MX"/>
        </w:rPr>
        <w:t>por lo que el artículo 5 de la LFCE prevé que el Instituto</w:t>
      </w:r>
      <w:r w:rsidRPr="00044BBD">
        <w:rPr>
          <w:rFonts w:ascii="ITC Avant Garde" w:hAnsi="ITC Avant Garde"/>
          <w:bCs/>
          <w:sz w:val="22"/>
          <w:szCs w:val="22"/>
          <w:lang w:eastAsia="es-MX"/>
        </w:rPr>
        <w:t xml:space="preserve"> ejercerá en forma exclusiva las facultades </w:t>
      </w:r>
      <w:r w:rsidR="002169A0">
        <w:rPr>
          <w:rFonts w:ascii="ITC Avant Garde" w:hAnsi="ITC Avant Garde"/>
          <w:bCs/>
          <w:sz w:val="22"/>
          <w:szCs w:val="22"/>
          <w:lang w:eastAsia="es-MX"/>
        </w:rPr>
        <w:t>que e</w:t>
      </w:r>
      <w:r w:rsidR="002169A0" w:rsidRPr="00044BBD">
        <w:rPr>
          <w:rFonts w:ascii="ITC Avant Garde" w:hAnsi="ITC Avant Garde"/>
          <w:bCs/>
          <w:sz w:val="22"/>
          <w:szCs w:val="22"/>
          <w:lang w:eastAsia="es-MX"/>
        </w:rPr>
        <w:t xml:space="preserve">l </w:t>
      </w:r>
      <w:r w:rsidRPr="00044BBD">
        <w:rPr>
          <w:rFonts w:ascii="ITC Avant Garde" w:hAnsi="ITC Avant Garde"/>
          <w:bCs/>
          <w:sz w:val="22"/>
          <w:szCs w:val="22"/>
          <w:lang w:eastAsia="es-MX"/>
        </w:rPr>
        <w:t>artículo 28 de la Constitución, y la</w:t>
      </w:r>
      <w:r w:rsidR="002169A0">
        <w:rPr>
          <w:rFonts w:ascii="ITC Avant Garde" w:hAnsi="ITC Avant Garde"/>
          <w:bCs/>
          <w:sz w:val="22"/>
          <w:szCs w:val="22"/>
          <w:lang w:eastAsia="es-MX"/>
        </w:rPr>
        <w:t>s leyes establecen para la Comisión Federal de Competencia Económica</w:t>
      </w:r>
      <w:r w:rsidRPr="00044BBD">
        <w:rPr>
          <w:rFonts w:ascii="ITC Avant Garde" w:hAnsi="ITC Avant Garde"/>
          <w:bCs/>
          <w:sz w:val="22"/>
          <w:szCs w:val="22"/>
          <w:lang w:eastAsia="es-MX"/>
        </w:rPr>
        <w:t>.</w:t>
      </w:r>
    </w:p>
    <w:p w:rsidR="00445B2D" w:rsidRPr="00044BBD" w:rsidRDefault="00445B2D" w:rsidP="00C55070">
      <w:pPr>
        <w:spacing w:after="240"/>
        <w:jc w:val="both"/>
        <w:rPr>
          <w:rFonts w:ascii="ITC Avant Garde" w:hAnsi="ITC Avant Garde"/>
          <w:bCs/>
          <w:sz w:val="22"/>
          <w:szCs w:val="22"/>
          <w:lang w:eastAsia="es-MX"/>
        </w:rPr>
      </w:pPr>
      <w:r w:rsidRPr="00044BBD">
        <w:rPr>
          <w:rFonts w:ascii="ITC Avant Garde" w:hAnsi="ITC Avant Garde"/>
          <w:bCs/>
          <w:sz w:val="22"/>
          <w:szCs w:val="22"/>
          <w:lang w:eastAsia="es-MX"/>
        </w:rPr>
        <w:t xml:space="preserve">El vigésimo párrafo, fracción IV, del artículo 28 de la Constitución señala que el Instituto podrá emitir disposiciones administrativas de carácter general exclusivamente para el cumplimiento de su función regulatoria en el sector de su competencia. En ese orden de ideas, </w:t>
      </w:r>
      <w:r w:rsidR="002169A0">
        <w:rPr>
          <w:rFonts w:ascii="ITC Avant Garde" w:hAnsi="ITC Avant Garde"/>
          <w:bCs/>
          <w:sz w:val="22"/>
          <w:szCs w:val="22"/>
          <w:lang w:eastAsia="es-MX"/>
        </w:rPr>
        <w:t>el artículo</w:t>
      </w:r>
      <w:r w:rsidRPr="00044BBD">
        <w:rPr>
          <w:rFonts w:ascii="ITC Avant Garde" w:hAnsi="ITC Avant Garde"/>
          <w:bCs/>
          <w:sz w:val="22"/>
          <w:szCs w:val="22"/>
          <w:lang w:eastAsia="es-MX"/>
        </w:rPr>
        <w:t xml:space="preserve"> 15, fracciones I</w:t>
      </w:r>
      <w:r w:rsidR="00F07B65">
        <w:rPr>
          <w:rFonts w:ascii="ITC Avant Garde" w:hAnsi="ITC Avant Garde"/>
          <w:bCs/>
          <w:sz w:val="22"/>
          <w:szCs w:val="22"/>
          <w:lang w:eastAsia="es-MX"/>
        </w:rPr>
        <w:t>,</w:t>
      </w:r>
      <w:r w:rsidRPr="00044BBD">
        <w:rPr>
          <w:rFonts w:ascii="ITC Avant Garde" w:hAnsi="ITC Avant Garde"/>
          <w:bCs/>
          <w:sz w:val="22"/>
          <w:szCs w:val="22"/>
          <w:lang w:eastAsia="es-MX"/>
        </w:rPr>
        <w:t xml:space="preserve"> LVI</w:t>
      </w:r>
      <w:r w:rsidR="00F07B65">
        <w:rPr>
          <w:rFonts w:ascii="ITC Avant Garde" w:hAnsi="ITC Avant Garde"/>
          <w:bCs/>
          <w:sz w:val="22"/>
          <w:szCs w:val="22"/>
          <w:lang w:eastAsia="es-MX"/>
        </w:rPr>
        <w:t xml:space="preserve"> y XLI</w:t>
      </w:r>
      <w:r w:rsidRPr="00044BBD">
        <w:rPr>
          <w:rFonts w:ascii="ITC Avant Garde" w:hAnsi="ITC Avant Garde"/>
          <w:bCs/>
          <w:sz w:val="22"/>
          <w:szCs w:val="22"/>
          <w:lang w:eastAsia="es-MX"/>
        </w:rPr>
        <w:t>, señala que el Inst</w:t>
      </w:r>
      <w:r w:rsidR="001F4B41" w:rsidRPr="00044BBD">
        <w:rPr>
          <w:rFonts w:ascii="ITC Avant Garde" w:hAnsi="ITC Avant Garde"/>
          <w:bCs/>
          <w:sz w:val="22"/>
          <w:szCs w:val="22"/>
          <w:lang w:eastAsia="es-MX"/>
        </w:rPr>
        <w:t>ituto podrá expedir disposiciones administrativas de carácter general</w:t>
      </w:r>
      <w:r w:rsidRPr="00044BBD">
        <w:rPr>
          <w:rFonts w:ascii="ITC Avant Garde" w:hAnsi="ITC Avant Garde"/>
          <w:bCs/>
          <w:sz w:val="22"/>
          <w:szCs w:val="22"/>
          <w:lang w:eastAsia="es-MX"/>
        </w:rPr>
        <w:t xml:space="preserve"> en materia de telecomunicaciones y radiodifusión y </w:t>
      </w:r>
      <w:r w:rsidR="00F07B65">
        <w:rPr>
          <w:rFonts w:ascii="ITC Avant Garde" w:hAnsi="ITC Avant Garde"/>
          <w:bCs/>
          <w:sz w:val="22"/>
          <w:szCs w:val="22"/>
          <w:lang w:eastAsia="es-MX"/>
        </w:rPr>
        <w:t>establecer las disposiciones para sus procesos de mejora regulatoria</w:t>
      </w:r>
      <w:r w:rsidRPr="00044BBD">
        <w:rPr>
          <w:rFonts w:ascii="ITC Avant Garde" w:hAnsi="ITC Avant Garde"/>
          <w:bCs/>
          <w:sz w:val="22"/>
          <w:szCs w:val="22"/>
          <w:lang w:eastAsia="es-MX"/>
        </w:rPr>
        <w:t>.</w:t>
      </w:r>
    </w:p>
    <w:p w:rsidR="004A5297" w:rsidRDefault="008A436B" w:rsidP="00C55070">
      <w:pPr>
        <w:pStyle w:val="Default"/>
        <w:tabs>
          <w:tab w:val="left" w:pos="0"/>
        </w:tabs>
        <w:spacing w:after="240"/>
        <w:jc w:val="both"/>
        <w:rPr>
          <w:rFonts w:ascii="ITC Avant Garde" w:hAnsi="ITC Avant Garde"/>
          <w:sz w:val="22"/>
          <w:szCs w:val="22"/>
        </w:rPr>
      </w:pPr>
      <w:r w:rsidRPr="00044BBD">
        <w:rPr>
          <w:rFonts w:ascii="ITC Avant Garde" w:hAnsi="ITC Avant Garde"/>
          <w:b/>
          <w:sz w:val="22"/>
          <w:szCs w:val="22"/>
        </w:rPr>
        <w:t>SEGUNDO</w:t>
      </w:r>
      <w:r w:rsidR="00AD55DE" w:rsidRPr="00044BBD">
        <w:rPr>
          <w:rFonts w:ascii="ITC Avant Garde" w:hAnsi="ITC Avant Garde"/>
          <w:sz w:val="22"/>
          <w:szCs w:val="22"/>
        </w:rPr>
        <w:t>.</w:t>
      </w:r>
      <w:r w:rsidR="001751F2">
        <w:rPr>
          <w:rFonts w:ascii="ITC Avant Garde" w:hAnsi="ITC Avant Garde"/>
          <w:sz w:val="22"/>
          <w:szCs w:val="22"/>
        </w:rPr>
        <w:t xml:space="preserve"> </w:t>
      </w:r>
      <w:r w:rsidR="004A5297">
        <w:rPr>
          <w:rFonts w:ascii="ITC Avant Garde" w:hAnsi="ITC Avant Garde"/>
          <w:sz w:val="22"/>
          <w:szCs w:val="22"/>
        </w:rPr>
        <w:t xml:space="preserve"> </w:t>
      </w:r>
      <w:r w:rsidR="004A5297">
        <w:rPr>
          <w:rFonts w:ascii="ITC Avant Garde" w:hAnsi="ITC Avant Garde"/>
          <w:b/>
          <w:bCs/>
          <w:sz w:val="22"/>
          <w:szCs w:val="22"/>
        </w:rPr>
        <w:t xml:space="preserve">Contenido </w:t>
      </w:r>
      <w:r w:rsidR="00865C7A">
        <w:rPr>
          <w:rFonts w:ascii="ITC Avant Garde" w:hAnsi="ITC Avant Garde"/>
          <w:b/>
          <w:bCs/>
          <w:sz w:val="22"/>
          <w:szCs w:val="22"/>
        </w:rPr>
        <w:t xml:space="preserve">y </w:t>
      </w:r>
      <w:r w:rsidR="004A5297">
        <w:rPr>
          <w:rFonts w:ascii="ITC Avant Garde" w:hAnsi="ITC Avant Garde"/>
          <w:b/>
          <w:bCs/>
          <w:sz w:val="22"/>
          <w:szCs w:val="22"/>
        </w:rPr>
        <w:t>Objeto del Anteproyecto.</w:t>
      </w:r>
      <w:r w:rsidR="004A5297" w:rsidRPr="00044BBD">
        <w:rPr>
          <w:rFonts w:ascii="ITC Avant Garde" w:hAnsi="ITC Avant Garde"/>
          <w:b/>
          <w:bCs/>
          <w:sz w:val="22"/>
          <w:szCs w:val="22"/>
        </w:rPr>
        <w:t xml:space="preserve"> - </w:t>
      </w:r>
      <w:r w:rsidR="004A5297">
        <w:rPr>
          <w:rFonts w:ascii="ITC Avant Garde" w:hAnsi="ITC Avant Garde"/>
          <w:sz w:val="22"/>
          <w:szCs w:val="22"/>
        </w:rPr>
        <w:t xml:space="preserve">El presente Anteproyecto, </w:t>
      </w:r>
      <w:r w:rsidR="004A5297" w:rsidRPr="00044BBD">
        <w:rPr>
          <w:rFonts w:ascii="ITC Avant Garde" w:hAnsi="ITC Avant Garde"/>
          <w:sz w:val="22"/>
          <w:szCs w:val="22"/>
        </w:rPr>
        <w:t xml:space="preserve">como disposición administrativa de carácter general </w:t>
      </w:r>
      <w:r w:rsidR="009B2F66">
        <w:rPr>
          <w:rFonts w:ascii="ITC Avant Garde" w:hAnsi="ITC Avant Garde"/>
          <w:sz w:val="22"/>
          <w:szCs w:val="22"/>
        </w:rPr>
        <w:t>será aplicable</w:t>
      </w:r>
      <w:r w:rsidR="004A5297" w:rsidRPr="00044BBD">
        <w:rPr>
          <w:rFonts w:ascii="ITC Avant Garde" w:hAnsi="ITC Avant Garde"/>
          <w:sz w:val="22"/>
          <w:szCs w:val="22"/>
        </w:rPr>
        <w:t xml:space="preserve"> a cualquier persona física, moral, ente público o comunidad indígena que pretendan realizar cualquier tipo de modificación a las características técnicas de sus estaciones </w:t>
      </w:r>
      <w:r w:rsidR="002B7800" w:rsidRPr="00044BBD">
        <w:rPr>
          <w:rFonts w:ascii="ITC Avant Garde" w:hAnsi="ITC Avant Garde"/>
          <w:sz w:val="22"/>
          <w:szCs w:val="22"/>
        </w:rPr>
        <w:t>radiodifusoras, equipos</w:t>
      </w:r>
      <w:r w:rsidR="004A5297" w:rsidRPr="00044BBD">
        <w:rPr>
          <w:rFonts w:ascii="ITC Avant Garde" w:hAnsi="ITC Avant Garde"/>
          <w:sz w:val="22"/>
          <w:szCs w:val="22"/>
        </w:rPr>
        <w:t xml:space="preserve"> complementarios y/o auxiliares en términos de lo dispuesto </w:t>
      </w:r>
      <w:r w:rsidR="004A5297">
        <w:rPr>
          <w:rFonts w:ascii="ITC Avant Garde" w:hAnsi="ITC Avant Garde"/>
          <w:sz w:val="22"/>
          <w:szCs w:val="22"/>
        </w:rPr>
        <w:t>por</w:t>
      </w:r>
      <w:r w:rsidR="004A5297" w:rsidRPr="00044BBD">
        <w:rPr>
          <w:rFonts w:ascii="ITC Avant Garde" w:hAnsi="ITC Avant Garde"/>
          <w:sz w:val="22"/>
          <w:szCs w:val="22"/>
        </w:rPr>
        <w:t xml:space="preserve"> el artículo 155 de la LFTR</w:t>
      </w:r>
      <w:r w:rsidR="004A5297">
        <w:rPr>
          <w:rFonts w:ascii="ITC Avant Garde" w:hAnsi="ITC Avant Garde"/>
          <w:sz w:val="22"/>
          <w:szCs w:val="22"/>
        </w:rPr>
        <w:t xml:space="preserve"> y el</w:t>
      </w:r>
      <w:r w:rsidR="004A5297" w:rsidRPr="00044BBD">
        <w:rPr>
          <w:rFonts w:ascii="ITC Avant Garde" w:hAnsi="ITC Avant Garde"/>
          <w:sz w:val="22"/>
          <w:szCs w:val="22"/>
        </w:rPr>
        <w:t xml:space="preserve"> Acuerdo de servicios auxiliares a la radiodifusión</w:t>
      </w:r>
      <w:r w:rsidR="004A5297">
        <w:rPr>
          <w:rFonts w:ascii="ITC Avant Garde" w:hAnsi="ITC Avant Garde"/>
          <w:sz w:val="22"/>
          <w:szCs w:val="22"/>
        </w:rPr>
        <w:t>.</w:t>
      </w:r>
    </w:p>
    <w:p w:rsidR="004A5297" w:rsidRDefault="004A5297" w:rsidP="00C55070">
      <w:pPr>
        <w:pStyle w:val="Default"/>
        <w:tabs>
          <w:tab w:val="left" w:pos="0"/>
        </w:tabs>
        <w:spacing w:after="240"/>
        <w:jc w:val="both"/>
        <w:rPr>
          <w:rFonts w:ascii="ITC Avant Garde" w:hAnsi="ITC Avant Garde"/>
          <w:sz w:val="22"/>
          <w:szCs w:val="22"/>
        </w:rPr>
      </w:pPr>
      <w:r>
        <w:rPr>
          <w:rFonts w:ascii="ITC Avant Garde" w:hAnsi="ITC Avant Garde"/>
          <w:sz w:val="22"/>
          <w:szCs w:val="22"/>
        </w:rPr>
        <w:t>El Anteproyecto, tiene por objeto</w:t>
      </w:r>
      <w:r w:rsidRPr="00044BBD">
        <w:rPr>
          <w:rFonts w:ascii="ITC Avant Garde" w:hAnsi="ITC Avant Garde"/>
          <w:sz w:val="22"/>
          <w:szCs w:val="22"/>
        </w:rPr>
        <w:t xml:space="preserve">:  (i) </w:t>
      </w:r>
      <w:r>
        <w:rPr>
          <w:rFonts w:ascii="ITC Avant Garde" w:hAnsi="ITC Avant Garde"/>
          <w:sz w:val="22"/>
          <w:szCs w:val="22"/>
        </w:rPr>
        <w:t xml:space="preserve">dar a conocer los formatos que se emplearán para tramitar ante el Instituto las </w:t>
      </w:r>
      <w:r w:rsidRPr="001751F2">
        <w:rPr>
          <w:rFonts w:ascii="ITC Avant Garde" w:hAnsi="ITC Avant Garde"/>
          <w:sz w:val="22"/>
          <w:szCs w:val="22"/>
        </w:rPr>
        <w:t>solicitud</w:t>
      </w:r>
      <w:r>
        <w:rPr>
          <w:rFonts w:ascii="ITC Avant Garde" w:hAnsi="ITC Avant Garde"/>
          <w:sz w:val="22"/>
          <w:szCs w:val="22"/>
        </w:rPr>
        <w:t>es</w:t>
      </w:r>
      <w:r w:rsidRPr="001751F2">
        <w:rPr>
          <w:rFonts w:ascii="ITC Avant Garde" w:hAnsi="ITC Avant Garde"/>
          <w:sz w:val="22"/>
          <w:szCs w:val="22"/>
        </w:rPr>
        <w:t xml:space="preserve"> de autorización para la instalación o modificación técnica de estaciones de radiodifusión</w:t>
      </w:r>
      <w:r>
        <w:rPr>
          <w:rFonts w:ascii="ITC Avant Garde" w:hAnsi="ITC Avant Garde"/>
          <w:sz w:val="22"/>
          <w:szCs w:val="22"/>
        </w:rPr>
        <w:t>, y así como la</w:t>
      </w:r>
      <w:r w:rsidRPr="001751F2">
        <w:rPr>
          <w:rFonts w:ascii="ITC Avant Garde" w:hAnsi="ITC Avant Garde"/>
          <w:sz w:val="22"/>
          <w:szCs w:val="22"/>
        </w:rPr>
        <w:t xml:space="preserve"> autorización para la instalación o modificación técnica de servicios auxiliares a la radiodifusión</w:t>
      </w:r>
      <w:r w:rsidRPr="00044BBD">
        <w:rPr>
          <w:rFonts w:ascii="ITC Avant Garde" w:hAnsi="ITC Avant Garde"/>
          <w:sz w:val="22"/>
          <w:szCs w:val="22"/>
        </w:rPr>
        <w:t xml:space="preserve">;  (ii) </w:t>
      </w:r>
      <w:r w:rsidRPr="00044BBD">
        <w:rPr>
          <w:rFonts w:ascii="ITC Avant Garde" w:hAnsi="ITC Avant Garde"/>
          <w:bCs/>
          <w:sz w:val="22"/>
          <w:szCs w:val="22"/>
        </w:rPr>
        <w:t>elimina</w:t>
      </w:r>
      <w:r>
        <w:rPr>
          <w:rFonts w:ascii="ITC Avant Garde" w:hAnsi="ITC Avant Garde"/>
          <w:bCs/>
          <w:sz w:val="22"/>
          <w:szCs w:val="22"/>
        </w:rPr>
        <w:t>r</w:t>
      </w:r>
      <w:r w:rsidRPr="00044BBD">
        <w:rPr>
          <w:rFonts w:ascii="ITC Avant Garde" w:hAnsi="ITC Avant Garde"/>
          <w:bCs/>
          <w:sz w:val="22"/>
          <w:szCs w:val="22"/>
        </w:rPr>
        <w:t xml:space="preserve"> </w:t>
      </w:r>
      <w:r>
        <w:rPr>
          <w:rFonts w:ascii="ITC Avant Garde" w:hAnsi="ITC Avant Garde"/>
          <w:bCs/>
          <w:sz w:val="22"/>
          <w:szCs w:val="22"/>
        </w:rPr>
        <w:t>la presentación de diversos documentos de carácter técnico</w:t>
      </w:r>
      <w:r w:rsidRPr="00044BBD">
        <w:rPr>
          <w:rFonts w:ascii="ITC Avant Garde" w:hAnsi="ITC Avant Garde"/>
          <w:bCs/>
          <w:sz w:val="22"/>
          <w:szCs w:val="22"/>
        </w:rPr>
        <w:t xml:space="preserve"> </w:t>
      </w:r>
      <w:r>
        <w:rPr>
          <w:rFonts w:ascii="ITC Avant Garde" w:hAnsi="ITC Avant Garde"/>
          <w:sz w:val="22"/>
          <w:szCs w:val="22"/>
        </w:rPr>
        <w:t xml:space="preserve">en los trámites previstos en las Disposiciones Técnicas relacionados a los servicios de radiodifusión, </w:t>
      </w:r>
      <w:r w:rsidRPr="00044BBD">
        <w:rPr>
          <w:rFonts w:ascii="ITC Avant Garde" w:hAnsi="ITC Avant Garde"/>
          <w:bCs/>
          <w:sz w:val="22"/>
          <w:szCs w:val="22"/>
        </w:rPr>
        <w:t xml:space="preserve">que generan costos onerosos </w:t>
      </w:r>
      <w:r>
        <w:rPr>
          <w:rFonts w:ascii="ITC Avant Garde" w:hAnsi="ITC Avant Garde"/>
          <w:bCs/>
          <w:sz w:val="22"/>
          <w:szCs w:val="22"/>
        </w:rPr>
        <w:t xml:space="preserve">e innecesarios </w:t>
      </w:r>
      <w:r w:rsidRPr="00044BBD">
        <w:rPr>
          <w:rFonts w:ascii="ITC Avant Garde" w:hAnsi="ITC Avant Garde"/>
          <w:bCs/>
          <w:sz w:val="22"/>
          <w:szCs w:val="22"/>
        </w:rPr>
        <w:t>para los regulados, como lo es la eliminación de</w:t>
      </w:r>
      <w:r>
        <w:rPr>
          <w:rFonts w:ascii="ITC Avant Garde" w:hAnsi="ITC Avant Garde"/>
          <w:bCs/>
          <w:sz w:val="22"/>
          <w:szCs w:val="22"/>
        </w:rPr>
        <w:t xml:space="preserve"> la obligación de presentar un aval técnico por parte de un perito en telecomunicaciones </w:t>
      </w:r>
      <w:r>
        <w:rPr>
          <w:rFonts w:ascii="ITC Avant Garde" w:hAnsi="ITC Avant Garde"/>
          <w:bCs/>
          <w:sz w:val="22"/>
          <w:szCs w:val="22"/>
        </w:rPr>
        <w:lastRenderedPageBreak/>
        <w:t xml:space="preserve">y/o radiodifusión a propósito de diversos requisitos, entre otros, y </w:t>
      </w:r>
      <w:r>
        <w:rPr>
          <w:rFonts w:ascii="ITC Avant Garde" w:hAnsi="ITC Avant Garde"/>
          <w:sz w:val="22"/>
          <w:szCs w:val="22"/>
        </w:rPr>
        <w:t>(iii) reducir la carga administrativa asociada a los trámites del Instituto</w:t>
      </w:r>
      <w:r w:rsidRPr="00044BBD">
        <w:rPr>
          <w:rFonts w:ascii="ITC Avant Garde" w:hAnsi="ITC Avant Garde"/>
          <w:sz w:val="22"/>
          <w:szCs w:val="22"/>
        </w:rPr>
        <w:t>.</w:t>
      </w:r>
    </w:p>
    <w:p w:rsidR="00971A34" w:rsidRDefault="00971A34" w:rsidP="00C55070">
      <w:pPr>
        <w:pStyle w:val="Default"/>
        <w:tabs>
          <w:tab w:val="left" w:pos="0"/>
        </w:tabs>
        <w:spacing w:after="240"/>
        <w:jc w:val="both"/>
        <w:rPr>
          <w:rFonts w:ascii="ITC Avant Garde" w:hAnsi="ITC Avant Garde"/>
          <w:bCs/>
          <w:sz w:val="22"/>
          <w:szCs w:val="22"/>
        </w:rPr>
      </w:pPr>
      <w:r w:rsidRPr="00971A34">
        <w:rPr>
          <w:rFonts w:ascii="ITC Avant Garde" w:hAnsi="ITC Avant Garde"/>
          <w:bCs/>
          <w:sz w:val="22"/>
          <w:szCs w:val="22"/>
        </w:rPr>
        <w:t xml:space="preserve">En ese sentido, con la publicación de </w:t>
      </w:r>
      <w:r>
        <w:rPr>
          <w:rFonts w:ascii="ITC Avant Garde" w:hAnsi="ITC Avant Garde"/>
          <w:bCs/>
          <w:sz w:val="22"/>
          <w:szCs w:val="22"/>
        </w:rPr>
        <w:t>los</w:t>
      </w:r>
      <w:r w:rsidRPr="00971A34">
        <w:rPr>
          <w:rFonts w:ascii="ITC Avant Garde" w:hAnsi="ITC Avant Garde"/>
          <w:bCs/>
          <w:sz w:val="22"/>
          <w:szCs w:val="22"/>
        </w:rPr>
        <w:t xml:space="preserve"> formatos</w:t>
      </w:r>
      <w:r>
        <w:rPr>
          <w:rFonts w:ascii="ITC Avant Garde" w:hAnsi="ITC Avant Garde"/>
          <w:bCs/>
          <w:sz w:val="22"/>
          <w:szCs w:val="22"/>
        </w:rPr>
        <w:t xml:space="preserve"> y la eliminación de documentación técnica</w:t>
      </w:r>
      <w:r w:rsidRPr="00971A34">
        <w:rPr>
          <w:rFonts w:ascii="ITC Avant Garde" w:hAnsi="ITC Avant Garde"/>
          <w:bCs/>
          <w:sz w:val="22"/>
          <w:szCs w:val="22"/>
        </w:rPr>
        <w:t>, el presente Anteproyecto también actualiza las Disposiciones Técnicas relacionadas con la autorización de modificaciones técnicas a las que se ref</w:t>
      </w:r>
      <w:r>
        <w:rPr>
          <w:rFonts w:ascii="ITC Avant Garde" w:hAnsi="ITC Avant Garde"/>
          <w:bCs/>
          <w:sz w:val="22"/>
          <w:szCs w:val="22"/>
        </w:rPr>
        <w:t>iere el artículo 155 de la LFTR.</w:t>
      </w:r>
    </w:p>
    <w:p w:rsidR="004A5297" w:rsidRPr="00044BBD" w:rsidRDefault="004A5297" w:rsidP="00C55070">
      <w:pPr>
        <w:pStyle w:val="Default"/>
        <w:tabs>
          <w:tab w:val="left" w:pos="0"/>
        </w:tabs>
        <w:spacing w:after="240"/>
        <w:jc w:val="both"/>
        <w:rPr>
          <w:rFonts w:ascii="ITC Avant Garde" w:hAnsi="ITC Avant Garde"/>
          <w:bCs/>
          <w:sz w:val="22"/>
          <w:szCs w:val="22"/>
        </w:rPr>
      </w:pPr>
      <w:r w:rsidRPr="00044BBD">
        <w:rPr>
          <w:rFonts w:ascii="ITC Avant Garde" w:hAnsi="ITC Avant Garde"/>
          <w:bCs/>
          <w:sz w:val="22"/>
          <w:szCs w:val="22"/>
        </w:rPr>
        <w:t xml:space="preserve">Por último, con la finalidad de homologar la entrega de información ante el Instituto, se sustituyen los formatos </w:t>
      </w:r>
      <w:r w:rsidRPr="00044BBD">
        <w:rPr>
          <w:rFonts w:ascii="ITC Avant Garde" w:hAnsi="ITC Avant Garde" w:cs="Arial"/>
          <w:color w:val="auto"/>
          <w:sz w:val="22"/>
          <w:szCs w:val="22"/>
        </w:rPr>
        <w:t xml:space="preserve">publicados como Anexo B del </w:t>
      </w:r>
      <w:r w:rsidRPr="00044BBD">
        <w:rPr>
          <w:rFonts w:ascii="ITC Avant Garde" w:hAnsi="ITC Avant Garde"/>
          <w:sz w:val="22"/>
          <w:szCs w:val="22"/>
        </w:rPr>
        <w:t>Acuerdo de servicios auxiliares a la radiodifusión</w:t>
      </w:r>
      <w:r w:rsidRPr="00044BBD">
        <w:rPr>
          <w:rFonts w:ascii="ITC Avant Garde" w:hAnsi="ITC Avant Garde" w:cs="Arial"/>
          <w:color w:val="auto"/>
          <w:sz w:val="22"/>
          <w:szCs w:val="22"/>
        </w:rPr>
        <w:t>.</w:t>
      </w:r>
    </w:p>
    <w:p w:rsidR="004A5297" w:rsidRPr="00044BBD" w:rsidRDefault="009C6847" w:rsidP="00C55070">
      <w:pPr>
        <w:spacing w:after="240"/>
        <w:ind w:right="48"/>
        <w:jc w:val="both"/>
        <w:rPr>
          <w:rFonts w:ascii="ITC Avant Garde" w:hAnsi="ITC Avant Garde"/>
          <w:sz w:val="22"/>
          <w:szCs w:val="22"/>
        </w:rPr>
      </w:pPr>
      <w:r w:rsidRPr="00044BBD">
        <w:rPr>
          <w:rFonts w:ascii="ITC Avant Garde" w:hAnsi="ITC Avant Garde"/>
          <w:b/>
          <w:bCs/>
          <w:sz w:val="22"/>
          <w:szCs w:val="22"/>
        </w:rPr>
        <w:t>TERCERO.</w:t>
      </w:r>
      <w:r w:rsidR="00894243">
        <w:rPr>
          <w:rFonts w:ascii="ITC Avant Garde" w:hAnsi="ITC Avant Garde"/>
          <w:b/>
          <w:bCs/>
          <w:sz w:val="22"/>
          <w:szCs w:val="22"/>
        </w:rPr>
        <w:t xml:space="preserve"> </w:t>
      </w:r>
      <w:r w:rsidR="004A5297">
        <w:rPr>
          <w:rFonts w:ascii="ITC Avant Garde" w:hAnsi="ITC Avant Garde"/>
          <w:b/>
          <w:sz w:val="22"/>
          <w:szCs w:val="22"/>
        </w:rPr>
        <w:t>Importancia del Anteproyecto y la mejora administrativa.</w:t>
      </w:r>
      <w:r w:rsidR="004A5297" w:rsidRPr="00044BBD">
        <w:rPr>
          <w:rFonts w:ascii="ITC Avant Garde" w:hAnsi="ITC Avant Garde"/>
          <w:b/>
          <w:sz w:val="22"/>
          <w:szCs w:val="22"/>
        </w:rPr>
        <w:t xml:space="preserve"> </w:t>
      </w:r>
      <w:r w:rsidR="004A5297" w:rsidRPr="00044BBD">
        <w:rPr>
          <w:rFonts w:ascii="ITC Avant Garde" w:hAnsi="ITC Avant Garde"/>
          <w:sz w:val="22"/>
          <w:szCs w:val="22"/>
        </w:rPr>
        <w:t xml:space="preserve">Que el presente Anteproyecto de modificación a diversas Disposiciones Técnicas en materia de radiodifusión, tiene por objeto </w:t>
      </w:r>
      <w:r w:rsidR="004A5297">
        <w:rPr>
          <w:rFonts w:ascii="ITC Avant Garde" w:hAnsi="ITC Avant Garde"/>
          <w:sz w:val="22"/>
          <w:szCs w:val="22"/>
        </w:rPr>
        <w:t>emplear la desregulación y la simplificación</w:t>
      </w:r>
      <w:r w:rsidR="004A5297" w:rsidRPr="00044BBD">
        <w:rPr>
          <w:rFonts w:ascii="ITC Avant Garde" w:hAnsi="ITC Avant Garde"/>
          <w:sz w:val="22"/>
          <w:szCs w:val="22"/>
        </w:rPr>
        <w:t xml:space="preserve"> administrativa como </w:t>
      </w:r>
      <w:r w:rsidR="004A5297">
        <w:rPr>
          <w:rFonts w:ascii="ITC Avant Garde" w:hAnsi="ITC Avant Garde"/>
          <w:sz w:val="22"/>
          <w:szCs w:val="22"/>
        </w:rPr>
        <w:t>herramientas</w:t>
      </w:r>
      <w:r w:rsidR="004A5297" w:rsidRPr="00044BBD">
        <w:rPr>
          <w:rFonts w:ascii="ITC Avant Garde" w:hAnsi="ITC Avant Garde"/>
          <w:sz w:val="22"/>
          <w:szCs w:val="22"/>
        </w:rPr>
        <w:t xml:space="preserve"> para eficientar los trámites y servicios </w:t>
      </w:r>
      <w:r w:rsidR="004A5297">
        <w:rPr>
          <w:rFonts w:ascii="ITC Avant Garde" w:hAnsi="ITC Avant Garde"/>
          <w:sz w:val="22"/>
          <w:szCs w:val="22"/>
        </w:rPr>
        <w:t>a cargo</w:t>
      </w:r>
      <w:r w:rsidR="004A5297" w:rsidRPr="00044BBD">
        <w:rPr>
          <w:rFonts w:ascii="ITC Avant Garde" w:hAnsi="ITC Avant Garde"/>
          <w:sz w:val="22"/>
          <w:szCs w:val="22"/>
        </w:rPr>
        <w:t xml:space="preserve"> </w:t>
      </w:r>
      <w:r w:rsidR="004A5297">
        <w:rPr>
          <w:rFonts w:ascii="ITC Avant Garde" w:hAnsi="ITC Avant Garde"/>
          <w:sz w:val="22"/>
          <w:szCs w:val="22"/>
        </w:rPr>
        <w:t>d</w:t>
      </w:r>
      <w:r w:rsidR="004A5297" w:rsidRPr="00044BBD">
        <w:rPr>
          <w:rFonts w:ascii="ITC Avant Garde" w:hAnsi="ITC Avant Garde"/>
          <w:sz w:val="22"/>
          <w:szCs w:val="22"/>
        </w:rPr>
        <w:t xml:space="preserve">el Instituto, facilitar </w:t>
      </w:r>
      <w:r w:rsidR="004A5297">
        <w:rPr>
          <w:rFonts w:ascii="ITC Avant Garde" w:hAnsi="ITC Avant Garde"/>
          <w:sz w:val="22"/>
          <w:szCs w:val="22"/>
        </w:rPr>
        <w:t>su</w:t>
      </w:r>
      <w:r w:rsidR="004A5297" w:rsidRPr="00044BBD">
        <w:rPr>
          <w:rFonts w:ascii="ITC Avant Garde" w:hAnsi="ITC Avant Garde"/>
          <w:sz w:val="22"/>
          <w:szCs w:val="22"/>
        </w:rPr>
        <w:t xml:space="preserve"> presentación</w:t>
      </w:r>
      <w:r w:rsidR="004A5297">
        <w:rPr>
          <w:rFonts w:ascii="ITC Avant Garde" w:hAnsi="ITC Avant Garde"/>
          <w:sz w:val="22"/>
          <w:szCs w:val="22"/>
        </w:rPr>
        <w:t xml:space="preserve"> y </w:t>
      </w:r>
      <w:r w:rsidR="004A5297" w:rsidRPr="00044BBD">
        <w:rPr>
          <w:rFonts w:ascii="ITC Avant Garde" w:hAnsi="ITC Avant Garde"/>
          <w:sz w:val="22"/>
          <w:szCs w:val="22"/>
        </w:rPr>
        <w:t>disminuir las cargas administrativas a</w:t>
      </w:r>
      <w:r w:rsidR="004A5297">
        <w:rPr>
          <w:rFonts w:ascii="ITC Avant Garde" w:hAnsi="ITC Avant Garde"/>
          <w:sz w:val="22"/>
          <w:szCs w:val="22"/>
        </w:rPr>
        <w:t xml:space="preserve"> sus regulados como una política pública continua</w:t>
      </w:r>
      <w:r w:rsidR="004A5297" w:rsidRPr="00044BBD">
        <w:rPr>
          <w:rFonts w:ascii="ITC Avant Garde" w:hAnsi="ITC Avant Garde"/>
          <w:sz w:val="22"/>
          <w:szCs w:val="22"/>
        </w:rPr>
        <w:t>.</w:t>
      </w:r>
    </w:p>
    <w:p w:rsidR="00B674B1" w:rsidRPr="00044BBD" w:rsidRDefault="004A5297" w:rsidP="00C55070">
      <w:pPr>
        <w:pStyle w:val="Default"/>
        <w:tabs>
          <w:tab w:val="left" w:pos="0"/>
        </w:tabs>
        <w:spacing w:after="240"/>
        <w:jc w:val="both"/>
        <w:rPr>
          <w:rFonts w:ascii="ITC Avant Garde" w:hAnsi="ITC Avant Garde"/>
          <w:bCs/>
          <w:sz w:val="22"/>
          <w:szCs w:val="22"/>
        </w:rPr>
      </w:pPr>
      <w:r w:rsidRPr="00044BBD">
        <w:rPr>
          <w:rFonts w:ascii="ITC Avant Garde" w:hAnsi="ITC Avant Garde"/>
          <w:sz w:val="22"/>
          <w:szCs w:val="22"/>
        </w:rPr>
        <w:t xml:space="preserve">La tarea de mejorar y simplificar trámites </w:t>
      </w:r>
      <w:r>
        <w:rPr>
          <w:rFonts w:ascii="ITC Avant Garde" w:hAnsi="ITC Avant Garde"/>
          <w:sz w:val="22"/>
          <w:szCs w:val="22"/>
        </w:rPr>
        <w:t>es</w:t>
      </w:r>
      <w:r w:rsidRPr="00044BBD">
        <w:rPr>
          <w:rFonts w:ascii="ITC Avant Garde" w:hAnsi="ITC Avant Garde"/>
          <w:sz w:val="22"/>
          <w:szCs w:val="22"/>
        </w:rPr>
        <w:t xml:space="preserve"> parte de una estrategia</w:t>
      </w:r>
      <w:r>
        <w:rPr>
          <w:rFonts w:ascii="ITC Avant Garde" w:hAnsi="ITC Avant Garde"/>
          <w:sz w:val="22"/>
          <w:szCs w:val="22"/>
        </w:rPr>
        <w:t xml:space="preserve"> amplia de política regulatoria,</w:t>
      </w:r>
      <w:r w:rsidRPr="00044BBD">
        <w:rPr>
          <w:rFonts w:ascii="ITC Avant Garde" w:hAnsi="ITC Avant Garde"/>
          <w:sz w:val="22"/>
          <w:szCs w:val="22"/>
        </w:rPr>
        <w:t xml:space="preserve"> </w:t>
      </w:r>
      <w:r>
        <w:rPr>
          <w:rFonts w:ascii="ITC Avant Garde" w:hAnsi="ITC Avant Garde"/>
          <w:sz w:val="22"/>
          <w:szCs w:val="22"/>
        </w:rPr>
        <w:t>la forma en la</w:t>
      </w:r>
      <w:r w:rsidRPr="00044BBD">
        <w:rPr>
          <w:rFonts w:ascii="ITC Avant Garde" w:hAnsi="ITC Avant Garde"/>
          <w:sz w:val="22"/>
          <w:szCs w:val="22"/>
        </w:rPr>
        <w:t xml:space="preserve"> que </w:t>
      </w:r>
      <w:r>
        <w:rPr>
          <w:rFonts w:ascii="ITC Avant Garde" w:hAnsi="ITC Avant Garde"/>
          <w:sz w:val="22"/>
          <w:szCs w:val="22"/>
        </w:rPr>
        <w:t>éstos</w:t>
      </w:r>
      <w:r w:rsidRPr="00044BBD">
        <w:rPr>
          <w:rFonts w:ascii="ITC Avant Garde" w:hAnsi="ITC Avant Garde"/>
          <w:sz w:val="22"/>
          <w:szCs w:val="22"/>
        </w:rPr>
        <w:t xml:space="preserve"> se diseñan, implementar, y hacen cumplir tiene una incidencia directa en la efectividad de la regulación y, por tanto, en su capacidad para cumplir con su objetivo primario de política pública. Así que </w:t>
      </w:r>
      <w:r>
        <w:rPr>
          <w:rFonts w:ascii="ITC Avant Garde" w:hAnsi="ITC Avant Garde"/>
          <w:sz w:val="22"/>
          <w:szCs w:val="22"/>
        </w:rPr>
        <w:t>la reducción de</w:t>
      </w:r>
      <w:r w:rsidRPr="00044BBD">
        <w:rPr>
          <w:rFonts w:ascii="ITC Avant Garde" w:hAnsi="ITC Avant Garde"/>
          <w:sz w:val="22"/>
          <w:szCs w:val="22"/>
        </w:rPr>
        <w:t xml:space="preserve"> la carga administrativa de las regulaciones gubernamentales en los ciudadanos, las empresas y el sector público </w:t>
      </w:r>
      <w:r>
        <w:rPr>
          <w:rFonts w:ascii="ITC Avant Garde" w:hAnsi="ITC Avant Garde"/>
          <w:sz w:val="22"/>
          <w:szCs w:val="22"/>
        </w:rPr>
        <w:t>es</w:t>
      </w:r>
      <w:r w:rsidRPr="00044BBD">
        <w:rPr>
          <w:rFonts w:ascii="ITC Avant Garde" w:hAnsi="ITC Avant Garde"/>
          <w:sz w:val="22"/>
          <w:szCs w:val="22"/>
        </w:rPr>
        <w:t xml:space="preserve"> parte de la estrategia </w:t>
      </w:r>
      <w:r>
        <w:rPr>
          <w:rFonts w:ascii="ITC Avant Garde" w:hAnsi="ITC Avant Garde"/>
          <w:sz w:val="22"/>
          <w:szCs w:val="22"/>
        </w:rPr>
        <w:t xml:space="preserve">de la mejora administrativa a cargo de este órgano constitucional autónomo </w:t>
      </w:r>
      <w:r w:rsidRPr="00044BBD">
        <w:rPr>
          <w:rFonts w:ascii="ITC Avant Garde" w:hAnsi="ITC Avant Garde"/>
          <w:sz w:val="22"/>
          <w:szCs w:val="22"/>
        </w:rPr>
        <w:t>para mejorar el desempeño económico y la productividad</w:t>
      </w:r>
      <w:r>
        <w:rPr>
          <w:rFonts w:ascii="ITC Avant Garde" w:hAnsi="ITC Avant Garde"/>
          <w:sz w:val="22"/>
          <w:szCs w:val="22"/>
        </w:rPr>
        <w:t xml:space="preserve"> de los sectores de las telecomunicaciones y la radiodifusión</w:t>
      </w:r>
      <w:r w:rsidRPr="00044BBD">
        <w:rPr>
          <w:rFonts w:ascii="ITC Avant Garde" w:hAnsi="ITC Avant Garde"/>
          <w:sz w:val="22"/>
          <w:szCs w:val="22"/>
        </w:rPr>
        <w:t>.</w:t>
      </w:r>
    </w:p>
    <w:p w:rsidR="004A5297" w:rsidRDefault="009C6847" w:rsidP="00C55070">
      <w:pPr>
        <w:autoSpaceDE w:val="0"/>
        <w:autoSpaceDN w:val="0"/>
        <w:adjustRightInd w:val="0"/>
        <w:spacing w:after="240"/>
        <w:jc w:val="both"/>
        <w:rPr>
          <w:rFonts w:ascii="ITC Avant Garde" w:hAnsi="ITC Avant Garde"/>
          <w:sz w:val="22"/>
          <w:szCs w:val="22"/>
        </w:rPr>
      </w:pPr>
      <w:r w:rsidRPr="00044BBD">
        <w:rPr>
          <w:rFonts w:ascii="ITC Avant Garde" w:eastAsia="MS Mincho" w:hAnsi="ITC Avant Garde"/>
          <w:b/>
          <w:bCs/>
          <w:color w:val="000000"/>
          <w:sz w:val="22"/>
          <w:szCs w:val="22"/>
          <w:lang w:val="es-ES_tradnl" w:eastAsia="es-MX"/>
        </w:rPr>
        <w:t>CUARTO</w:t>
      </w:r>
      <w:r w:rsidR="00AF7C9B" w:rsidRPr="00044BBD">
        <w:rPr>
          <w:rFonts w:ascii="ITC Avant Garde" w:hAnsi="ITC Avant Garde"/>
          <w:b/>
          <w:sz w:val="22"/>
          <w:szCs w:val="22"/>
        </w:rPr>
        <w:t>.</w:t>
      </w:r>
      <w:r w:rsidR="00F91BDF">
        <w:rPr>
          <w:rFonts w:ascii="ITC Avant Garde" w:hAnsi="ITC Avant Garde"/>
          <w:b/>
          <w:sz w:val="22"/>
          <w:szCs w:val="22"/>
        </w:rPr>
        <w:t xml:space="preserve"> </w:t>
      </w:r>
      <w:r w:rsidR="004A5297">
        <w:rPr>
          <w:rFonts w:ascii="ITC Avant Garde" w:hAnsi="ITC Avant Garde"/>
          <w:b/>
          <w:sz w:val="22"/>
          <w:szCs w:val="22"/>
        </w:rPr>
        <w:t>Consultas Públicas.</w:t>
      </w:r>
      <w:r w:rsidR="004A5297" w:rsidRPr="00044BBD">
        <w:rPr>
          <w:rFonts w:ascii="ITC Avant Garde" w:hAnsi="ITC Avant Garde"/>
          <w:sz w:val="22"/>
          <w:szCs w:val="22"/>
          <w:lang w:val="es-ES_tradnl"/>
        </w:rPr>
        <w:t xml:space="preserve"> </w:t>
      </w:r>
      <w:r w:rsidR="004A5297" w:rsidRPr="00044BBD">
        <w:rPr>
          <w:rFonts w:ascii="ITC Avant Garde" w:hAnsi="ITC Avant Garde"/>
          <w:sz w:val="22"/>
          <w:szCs w:val="22"/>
        </w:rPr>
        <w:t>El artículo 51 de la LFTR señala que</w:t>
      </w:r>
      <w:r w:rsidR="004A5297">
        <w:rPr>
          <w:rFonts w:ascii="ITC Avant Garde" w:hAnsi="ITC Avant Garde"/>
          <w:sz w:val="22"/>
          <w:szCs w:val="22"/>
        </w:rPr>
        <w:t>,</w:t>
      </w:r>
      <w:r w:rsidR="004A5297" w:rsidRPr="00044BBD">
        <w:rPr>
          <w:rFonts w:ascii="ITC Avant Garde" w:hAnsi="ITC Avant Garde"/>
          <w:sz w:val="22"/>
          <w:szCs w:val="22"/>
        </w:rPr>
        <w:t xml:space="preserve"> para la emisión y modificación de reglas, lineamientos o disposiciones administrativas de carácter general, así como en cualquier caso que determine el Pleno, el Instituto deberá realizar consultas públicas bajo los principios de transparencia y participación ciudadana</w:t>
      </w:r>
      <w:r w:rsidR="004A5297">
        <w:rPr>
          <w:rFonts w:ascii="ITC Avant Garde" w:hAnsi="ITC Avant Garde"/>
          <w:sz w:val="22"/>
          <w:szCs w:val="22"/>
        </w:rPr>
        <w:t>, salvo que la publicidad pudiera comprometer los efectos que se pretenden resolver o prevenir en una situación de emergencia</w:t>
      </w:r>
      <w:r w:rsidR="004A5297" w:rsidRPr="00044BBD">
        <w:rPr>
          <w:rFonts w:ascii="ITC Avant Garde" w:hAnsi="ITC Avant Garde"/>
          <w:sz w:val="22"/>
          <w:szCs w:val="22"/>
        </w:rPr>
        <w:t xml:space="preserve">. </w:t>
      </w:r>
    </w:p>
    <w:p w:rsidR="004A5297" w:rsidRPr="00044BBD" w:rsidRDefault="004A5297" w:rsidP="00C55070">
      <w:pPr>
        <w:autoSpaceDE w:val="0"/>
        <w:autoSpaceDN w:val="0"/>
        <w:adjustRightInd w:val="0"/>
        <w:spacing w:after="240"/>
        <w:jc w:val="both"/>
        <w:rPr>
          <w:rFonts w:ascii="ITC Avant Garde" w:hAnsi="ITC Avant Garde"/>
          <w:sz w:val="22"/>
          <w:szCs w:val="22"/>
        </w:rPr>
      </w:pPr>
      <w:r>
        <w:rPr>
          <w:rFonts w:ascii="ITC Avant Garde" w:hAnsi="ITC Avant Garde"/>
          <w:sz w:val="22"/>
          <w:szCs w:val="22"/>
        </w:rPr>
        <w:t xml:space="preserve">Por su parte, </w:t>
      </w:r>
      <w:r w:rsidRPr="00044BBD">
        <w:rPr>
          <w:rFonts w:ascii="ITC Avant Garde" w:hAnsi="ITC Avant Garde"/>
          <w:sz w:val="22"/>
          <w:szCs w:val="22"/>
        </w:rPr>
        <w:t>los Lineamientos de Consulta Pública, precisa</w:t>
      </w:r>
      <w:r>
        <w:rPr>
          <w:rFonts w:ascii="ITC Avant Garde" w:hAnsi="ITC Avant Garde"/>
          <w:sz w:val="22"/>
          <w:szCs w:val="22"/>
        </w:rPr>
        <w:t>n en su</w:t>
      </w:r>
      <w:r w:rsidRPr="00044BBD">
        <w:rPr>
          <w:rFonts w:ascii="ITC Avant Garde" w:hAnsi="ITC Avant Garde"/>
          <w:sz w:val="22"/>
          <w:szCs w:val="22"/>
        </w:rPr>
        <w:t xml:space="preserve"> </w:t>
      </w:r>
      <w:r>
        <w:rPr>
          <w:rFonts w:ascii="ITC Avant Garde" w:hAnsi="ITC Avant Garde"/>
          <w:sz w:val="22"/>
          <w:szCs w:val="22"/>
        </w:rPr>
        <w:t>Lineamiento</w:t>
      </w:r>
      <w:r w:rsidRPr="00044BBD">
        <w:rPr>
          <w:rFonts w:ascii="ITC Avant Garde" w:hAnsi="ITC Avant Garde"/>
          <w:sz w:val="22"/>
          <w:szCs w:val="22"/>
        </w:rPr>
        <w:t xml:space="preserve"> Tercero</w:t>
      </w:r>
      <w:r>
        <w:rPr>
          <w:rFonts w:ascii="ITC Avant Garde" w:hAnsi="ITC Avant Garde"/>
          <w:sz w:val="22"/>
          <w:szCs w:val="22"/>
        </w:rPr>
        <w:t>, fracción II,</w:t>
      </w:r>
      <w:r w:rsidRPr="00044BBD">
        <w:rPr>
          <w:rFonts w:ascii="ITC Avant Garde" w:hAnsi="ITC Avant Garde"/>
          <w:sz w:val="22"/>
          <w:szCs w:val="22"/>
        </w:rPr>
        <w:t xml:space="preserve"> la facultad del Instituto </w:t>
      </w:r>
      <w:r>
        <w:rPr>
          <w:rFonts w:ascii="ITC Avant Garde" w:hAnsi="ITC Avant Garde"/>
          <w:sz w:val="22"/>
          <w:szCs w:val="22"/>
        </w:rPr>
        <w:t>para realizar Consultas Públicas de un</w:t>
      </w:r>
      <w:r w:rsidRPr="00044BBD">
        <w:rPr>
          <w:rFonts w:ascii="ITC Avant Garde" w:hAnsi="ITC Avant Garde"/>
          <w:sz w:val="22"/>
          <w:szCs w:val="22"/>
        </w:rPr>
        <w:t xml:space="preserve"> </w:t>
      </w:r>
      <w:r>
        <w:rPr>
          <w:rFonts w:ascii="ITC Avant Garde" w:hAnsi="ITC Avant Garde"/>
          <w:sz w:val="22"/>
          <w:szCs w:val="22"/>
        </w:rPr>
        <w:t>a</w:t>
      </w:r>
      <w:r w:rsidRPr="00044BBD">
        <w:rPr>
          <w:rFonts w:ascii="ITC Avant Garde" w:hAnsi="ITC Avant Garde"/>
          <w:sz w:val="22"/>
          <w:szCs w:val="22"/>
        </w:rPr>
        <w:t>nteproyecto</w:t>
      </w:r>
      <w:r>
        <w:rPr>
          <w:rFonts w:ascii="ITC Avant Garde" w:hAnsi="ITC Avant Garde"/>
          <w:sz w:val="22"/>
          <w:szCs w:val="22"/>
        </w:rPr>
        <w:t xml:space="preserve"> de regulación, acompañado de </w:t>
      </w:r>
      <w:r w:rsidRPr="00044BBD">
        <w:rPr>
          <w:rFonts w:ascii="ITC Avant Garde" w:hAnsi="ITC Avant Garde"/>
          <w:sz w:val="22"/>
          <w:szCs w:val="22"/>
        </w:rPr>
        <w:t xml:space="preserve">su </w:t>
      </w:r>
      <w:r>
        <w:rPr>
          <w:rFonts w:ascii="ITC Avant Garde" w:hAnsi="ITC Avant Garde"/>
          <w:sz w:val="22"/>
          <w:szCs w:val="22"/>
        </w:rPr>
        <w:t xml:space="preserve">respectivo </w:t>
      </w:r>
      <w:r w:rsidRPr="00044BBD">
        <w:rPr>
          <w:rFonts w:ascii="ITC Avant Garde" w:hAnsi="ITC Avant Garde"/>
          <w:sz w:val="22"/>
          <w:szCs w:val="22"/>
        </w:rPr>
        <w:t>Análisis de Impacto Regulatorio con la finalidad de obtener información, comentarios, opiniones, aportaciones u otros elementos de análisis por parte de cualquier persona</w:t>
      </w:r>
      <w:r>
        <w:rPr>
          <w:rFonts w:ascii="ITC Avant Garde" w:hAnsi="ITC Avant Garde"/>
          <w:sz w:val="22"/>
          <w:szCs w:val="22"/>
        </w:rPr>
        <w:t xml:space="preserve"> a efecto de enriquecer la calidad regulatoria de dicho instrumento normativo</w:t>
      </w:r>
      <w:r w:rsidRPr="00044BBD">
        <w:rPr>
          <w:rFonts w:ascii="ITC Avant Garde" w:hAnsi="ITC Avant Garde"/>
          <w:sz w:val="22"/>
          <w:szCs w:val="22"/>
        </w:rPr>
        <w:t>.</w:t>
      </w:r>
      <w:r>
        <w:rPr>
          <w:rFonts w:ascii="ITC Avant Garde" w:hAnsi="ITC Avant Garde"/>
          <w:sz w:val="22"/>
          <w:szCs w:val="22"/>
        </w:rPr>
        <w:t xml:space="preserve"> Asimismo, el Lineamiento Décimo Cuarto de los Lineamientos de Consulta Pública, establece que el Pleno del Instituto podrá exceptuar la realización de una consulta pública.</w:t>
      </w:r>
    </w:p>
    <w:p w:rsidR="004A5297" w:rsidRPr="00044BBD" w:rsidRDefault="004A5297" w:rsidP="00C55070">
      <w:pPr>
        <w:pStyle w:val="Default"/>
        <w:tabs>
          <w:tab w:val="left" w:pos="0"/>
        </w:tabs>
        <w:spacing w:after="240"/>
        <w:jc w:val="both"/>
        <w:rPr>
          <w:rFonts w:ascii="ITC Avant Garde" w:hAnsi="ITC Avant Garde"/>
          <w:bCs/>
          <w:sz w:val="22"/>
          <w:szCs w:val="22"/>
        </w:rPr>
      </w:pPr>
      <w:r>
        <w:rPr>
          <w:rFonts w:ascii="ITC Avant Garde" w:hAnsi="ITC Avant Garde"/>
          <w:bCs/>
          <w:sz w:val="22"/>
          <w:szCs w:val="22"/>
        </w:rPr>
        <w:t>El L</w:t>
      </w:r>
      <w:r w:rsidRPr="00044BBD">
        <w:rPr>
          <w:rFonts w:ascii="ITC Avant Garde" w:hAnsi="ITC Avant Garde"/>
          <w:bCs/>
          <w:sz w:val="22"/>
          <w:szCs w:val="22"/>
        </w:rPr>
        <w:t>ineamiento Vigésimo Primero</w:t>
      </w:r>
      <w:r w:rsidR="009B2F66">
        <w:rPr>
          <w:rFonts w:ascii="ITC Avant Garde" w:hAnsi="ITC Avant Garde"/>
          <w:bCs/>
          <w:sz w:val="22"/>
          <w:szCs w:val="22"/>
        </w:rPr>
        <w:t>, último párrafo,</w:t>
      </w:r>
      <w:r w:rsidRPr="00044BBD">
        <w:rPr>
          <w:rFonts w:ascii="ITC Avant Garde" w:hAnsi="ITC Avant Garde"/>
          <w:bCs/>
          <w:sz w:val="22"/>
          <w:szCs w:val="22"/>
        </w:rPr>
        <w:t xml:space="preserve"> </w:t>
      </w:r>
      <w:r>
        <w:rPr>
          <w:rFonts w:ascii="ITC Avant Garde" w:hAnsi="ITC Avant Garde"/>
          <w:bCs/>
          <w:sz w:val="22"/>
          <w:szCs w:val="22"/>
        </w:rPr>
        <w:t>de los Lineamientos de Consulta Pública refieren</w:t>
      </w:r>
      <w:r w:rsidRPr="00044BBD">
        <w:rPr>
          <w:rFonts w:ascii="ITC Avant Garde" w:hAnsi="ITC Avant Garde"/>
          <w:bCs/>
          <w:sz w:val="22"/>
          <w:szCs w:val="22"/>
        </w:rPr>
        <w:t xml:space="preserve"> que </w:t>
      </w:r>
      <w:r>
        <w:rPr>
          <w:rFonts w:ascii="ITC Avant Garde" w:hAnsi="ITC Avant Garde"/>
          <w:bCs/>
          <w:sz w:val="22"/>
          <w:szCs w:val="22"/>
        </w:rPr>
        <w:t>si a la entrada en vigor de un a</w:t>
      </w:r>
      <w:r w:rsidRPr="00044BBD">
        <w:rPr>
          <w:rFonts w:ascii="ITC Avant Garde" w:hAnsi="ITC Avant Garde"/>
          <w:bCs/>
          <w:sz w:val="22"/>
          <w:szCs w:val="22"/>
        </w:rPr>
        <w:t>nteproyecto</w:t>
      </w:r>
      <w:r>
        <w:rPr>
          <w:rFonts w:ascii="ITC Avant Garde" w:hAnsi="ITC Avant Garde"/>
          <w:bCs/>
          <w:sz w:val="22"/>
          <w:szCs w:val="22"/>
        </w:rPr>
        <w:t xml:space="preserve"> regulatorio</w:t>
      </w:r>
      <w:r w:rsidRPr="00044BBD">
        <w:rPr>
          <w:rFonts w:ascii="ITC Avant Garde" w:hAnsi="ITC Avant Garde"/>
          <w:bCs/>
          <w:sz w:val="22"/>
          <w:szCs w:val="22"/>
        </w:rPr>
        <w:t xml:space="preserve">, no se generan </w:t>
      </w:r>
      <w:r w:rsidRPr="00044BBD">
        <w:rPr>
          <w:rFonts w:ascii="ITC Avant Garde" w:hAnsi="ITC Avant Garde"/>
          <w:bCs/>
          <w:sz w:val="22"/>
          <w:szCs w:val="22"/>
        </w:rPr>
        <w:lastRenderedPageBreak/>
        <w:t xml:space="preserve">nuevos costos de cumplimiento, éste </w:t>
      </w:r>
      <w:r>
        <w:rPr>
          <w:rFonts w:ascii="ITC Avant Garde" w:hAnsi="ITC Avant Garde"/>
          <w:bCs/>
          <w:sz w:val="22"/>
          <w:szCs w:val="22"/>
        </w:rPr>
        <w:t>deberá</w:t>
      </w:r>
      <w:r w:rsidRPr="00044BBD">
        <w:rPr>
          <w:rFonts w:ascii="ITC Avant Garde" w:hAnsi="ITC Avant Garde"/>
          <w:bCs/>
          <w:sz w:val="22"/>
          <w:szCs w:val="22"/>
        </w:rPr>
        <w:t xml:space="preserve"> </w:t>
      </w:r>
      <w:r>
        <w:rPr>
          <w:rFonts w:ascii="ITC Avant Garde" w:hAnsi="ITC Avant Garde"/>
          <w:bCs/>
          <w:sz w:val="22"/>
          <w:szCs w:val="22"/>
        </w:rPr>
        <w:t>ir</w:t>
      </w:r>
      <w:r w:rsidRPr="00044BBD">
        <w:rPr>
          <w:rFonts w:ascii="ITC Avant Garde" w:hAnsi="ITC Avant Garde"/>
          <w:bCs/>
          <w:sz w:val="22"/>
          <w:szCs w:val="22"/>
        </w:rPr>
        <w:t xml:space="preserve"> acompañado de un Análisis de Nulo Impacto Regulatorio</w:t>
      </w:r>
      <w:r>
        <w:rPr>
          <w:rFonts w:ascii="ITC Avant Garde" w:hAnsi="ITC Avant Garde"/>
          <w:bCs/>
          <w:sz w:val="22"/>
          <w:szCs w:val="22"/>
        </w:rPr>
        <w:t xml:space="preserve"> (en lo sucesivo, el “ANIR”). </w:t>
      </w:r>
      <w:r w:rsidRPr="00044BBD">
        <w:rPr>
          <w:rFonts w:ascii="ITC Avant Garde" w:hAnsi="ITC Avant Garde"/>
          <w:sz w:val="22"/>
          <w:szCs w:val="22"/>
        </w:rPr>
        <w:t xml:space="preserve">En este sentido, el Pleno del Instituto estima </w:t>
      </w:r>
      <w:r>
        <w:rPr>
          <w:rFonts w:ascii="ITC Avant Garde" w:hAnsi="ITC Avant Garde"/>
          <w:sz w:val="22"/>
          <w:szCs w:val="22"/>
        </w:rPr>
        <w:t>que</w:t>
      </w:r>
      <w:r w:rsidRPr="00044BBD">
        <w:rPr>
          <w:rFonts w:ascii="ITC Avant Garde" w:hAnsi="ITC Avant Garde"/>
          <w:sz w:val="22"/>
          <w:szCs w:val="22"/>
        </w:rPr>
        <w:t xml:space="preserve"> el </w:t>
      </w:r>
      <w:r>
        <w:rPr>
          <w:rFonts w:ascii="ITC Avant Garde" w:hAnsi="ITC Avant Garde"/>
          <w:sz w:val="22"/>
          <w:szCs w:val="22"/>
        </w:rPr>
        <w:t xml:space="preserve">anteproyecto de </w:t>
      </w:r>
      <w:r w:rsidRPr="004F1FDD">
        <w:rPr>
          <w:rFonts w:ascii="ITC Avant Garde" w:hAnsi="ITC Avant Garde"/>
          <w:b/>
          <w:sz w:val="22"/>
          <w:szCs w:val="22"/>
        </w:rPr>
        <w:t>“</w:t>
      </w:r>
      <w:r>
        <w:rPr>
          <w:rFonts w:ascii="ITC Avant Garde" w:hAnsi="ITC Avant Garde"/>
          <w:b/>
          <w:sz w:val="22"/>
          <w:szCs w:val="22"/>
        </w:rPr>
        <w:t>A</w:t>
      </w:r>
      <w:r w:rsidRPr="001751F2">
        <w:rPr>
          <w:rFonts w:ascii="ITC Avant Garde" w:hAnsi="ITC Avant Garde"/>
          <w:b/>
          <w:sz w:val="22"/>
          <w:szCs w:val="22"/>
        </w:rPr>
        <w:t>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auxiliares a la radiodifusión, y se  modifican diversas disposiciones técnicas en materia de radiodifusión para la desregulación y simplificación de éstos</w:t>
      </w:r>
      <w:r w:rsidRPr="00044BBD">
        <w:rPr>
          <w:rFonts w:ascii="ITC Avant Garde" w:hAnsi="ITC Avant Garde"/>
          <w:b/>
          <w:sz w:val="22"/>
          <w:szCs w:val="22"/>
        </w:rPr>
        <w:t>”</w:t>
      </w:r>
      <w:r w:rsidRPr="00044BBD">
        <w:rPr>
          <w:rFonts w:ascii="ITC Avant Garde" w:hAnsi="ITC Avant Garde"/>
          <w:sz w:val="22"/>
          <w:szCs w:val="22"/>
        </w:rPr>
        <w:t xml:space="preserve"> (en lo sucesivo, el “Anteproyecto”), </w:t>
      </w:r>
      <w:r>
        <w:rPr>
          <w:rFonts w:ascii="ITC Avant Garde" w:hAnsi="ITC Avant Garde"/>
          <w:sz w:val="22"/>
          <w:szCs w:val="22"/>
        </w:rPr>
        <w:t xml:space="preserve">al </w:t>
      </w:r>
      <w:r>
        <w:rPr>
          <w:rFonts w:ascii="ITC Avant Garde" w:hAnsi="ITC Avant Garde"/>
          <w:bCs/>
          <w:sz w:val="22"/>
          <w:szCs w:val="22"/>
        </w:rPr>
        <w:t xml:space="preserve">no actualizar ninguna de las causales de excepción, </w:t>
      </w:r>
      <w:r w:rsidRPr="00044BBD">
        <w:rPr>
          <w:rFonts w:ascii="ITC Avant Garde" w:hAnsi="ITC Avant Garde"/>
          <w:bCs/>
          <w:sz w:val="22"/>
          <w:szCs w:val="22"/>
        </w:rPr>
        <w:t>debe</w:t>
      </w:r>
      <w:r>
        <w:rPr>
          <w:rFonts w:ascii="ITC Avant Garde" w:hAnsi="ITC Avant Garde"/>
          <w:bCs/>
          <w:sz w:val="22"/>
          <w:szCs w:val="22"/>
        </w:rPr>
        <w:t>rá</w:t>
      </w:r>
      <w:r w:rsidRPr="00044BBD">
        <w:rPr>
          <w:rFonts w:ascii="ITC Avant Garde" w:hAnsi="ITC Avant Garde"/>
          <w:bCs/>
          <w:sz w:val="22"/>
          <w:szCs w:val="22"/>
        </w:rPr>
        <w:t xml:space="preserve"> estar sujeto a</w:t>
      </w:r>
      <w:r>
        <w:rPr>
          <w:rFonts w:ascii="ITC Avant Garde" w:hAnsi="ITC Avant Garde"/>
          <w:bCs/>
          <w:sz w:val="22"/>
          <w:szCs w:val="22"/>
        </w:rPr>
        <w:t>l</w:t>
      </w:r>
      <w:r w:rsidRPr="00044BBD">
        <w:rPr>
          <w:rFonts w:ascii="ITC Avant Garde" w:hAnsi="ITC Avant Garde"/>
          <w:bCs/>
          <w:sz w:val="22"/>
          <w:szCs w:val="22"/>
        </w:rPr>
        <w:t xml:space="preserve"> proceso de consulta pública </w:t>
      </w:r>
      <w:r>
        <w:rPr>
          <w:rFonts w:ascii="ITC Avant Garde" w:hAnsi="ITC Avant Garde"/>
          <w:bCs/>
          <w:sz w:val="22"/>
          <w:szCs w:val="22"/>
        </w:rPr>
        <w:t xml:space="preserve">referido tanto por la LFTR como por los Lineamientos de Consulta Pública, </w:t>
      </w:r>
      <w:r w:rsidRPr="00044BBD">
        <w:rPr>
          <w:rFonts w:ascii="ITC Avant Garde" w:hAnsi="ITC Avant Garde"/>
          <w:bCs/>
          <w:sz w:val="22"/>
          <w:szCs w:val="22"/>
        </w:rPr>
        <w:t xml:space="preserve">por un periodo razonable a fin de transparentar y promover la participación ciudadana en </w:t>
      </w:r>
      <w:r>
        <w:rPr>
          <w:rFonts w:ascii="ITC Avant Garde" w:hAnsi="ITC Avant Garde"/>
          <w:bCs/>
          <w:sz w:val="22"/>
          <w:szCs w:val="22"/>
        </w:rPr>
        <w:t>el proceso</w:t>
      </w:r>
      <w:r w:rsidRPr="00044BBD">
        <w:rPr>
          <w:rFonts w:ascii="ITC Avant Garde" w:hAnsi="ITC Avant Garde"/>
          <w:bCs/>
          <w:sz w:val="22"/>
          <w:szCs w:val="22"/>
        </w:rPr>
        <w:t xml:space="preserve"> de emisión de disposiciones de carácter general </w:t>
      </w:r>
      <w:r>
        <w:rPr>
          <w:rFonts w:ascii="ITC Avant Garde" w:hAnsi="ITC Avant Garde"/>
          <w:bCs/>
          <w:sz w:val="22"/>
          <w:szCs w:val="22"/>
        </w:rPr>
        <w:t>a cargo d</w:t>
      </w:r>
      <w:r w:rsidRPr="00044BBD">
        <w:rPr>
          <w:rFonts w:ascii="ITC Avant Garde" w:hAnsi="ITC Avant Garde"/>
          <w:bCs/>
          <w:sz w:val="22"/>
          <w:szCs w:val="22"/>
        </w:rPr>
        <w:t>el Instituto</w:t>
      </w:r>
      <w:r>
        <w:rPr>
          <w:rFonts w:ascii="ITC Avant Garde" w:hAnsi="ITC Avant Garde"/>
          <w:bCs/>
          <w:sz w:val="22"/>
          <w:szCs w:val="22"/>
        </w:rPr>
        <w:t>, a efecto de dar cabal cumplimiento al marco jurídico aplicable</w:t>
      </w:r>
      <w:r w:rsidRPr="00044BBD">
        <w:rPr>
          <w:rFonts w:ascii="ITC Avant Garde" w:hAnsi="ITC Avant Garde"/>
          <w:bCs/>
          <w:sz w:val="22"/>
          <w:szCs w:val="22"/>
        </w:rPr>
        <w:t>.</w:t>
      </w:r>
    </w:p>
    <w:p w:rsidR="004A5297" w:rsidRPr="00A738B0" w:rsidRDefault="004A5297" w:rsidP="00C55070">
      <w:pPr>
        <w:pStyle w:val="Default"/>
        <w:tabs>
          <w:tab w:val="left" w:pos="0"/>
        </w:tabs>
        <w:spacing w:after="240"/>
        <w:jc w:val="both"/>
        <w:rPr>
          <w:rFonts w:ascii="ITC Avant Garde" w:hAnsi="ITC Avant Garde"/>
          <w:bCs/>
          <w:sz w:val="22"/>
          <w:szCs w:val="22"/>
        </w:rPr>
      </w:pPr>
      <w:r>
        <w:rPr>
          <w:rFonts w:ascii="ITC Avant Garde" w:hAnsi="ITC Avant Garde"/>
          <w:bCs/>
          <w:sz w:val="22"/>
          <w:szCs w:val="22"/>
        </w:rPr>
        <w:t>Asimismo, se considera que</w:t>
      </w:r>
      <w:r w:rsidRPr="00A738B0">
        <w:rPr>
          <w:rFonts w:ascii="ITC Avant Garde" w:hAnsi="ITC Avant Garde"/>
          <w:bCs/>
          <w:sz w:val="22"/>
          <w:szCs w:val="22"/>
        </w:rPr>
        <w:t xml:space="preserve"> el presente Anteproyecto </w:t>
      </w:r>
      <w:r>
        <w:rPr>
          <w:rFonts w:ascii="ITC Avant Garde" w:hAnsi="ITC Avant Garde"/>
          <w:bCs/>
          <w:sz w:val="22"/>
          <w:szCs w:val="22"/>
        </w:rPr>
        <w:t xml:space="preserve">debe ser publicado para consulta pública, acompañado de un ANIR, toda vez que </w:t>
      </w:r>
      <w:r w:rsidRPr="00A738B0">
        <w:rPr>
          <w:rFonts w:ascii="ITC Avant Garde" w:hAnsi="ITC Avant Garde"/>
          <w:bCs/>
          <w:sz w:val="22"/>
          <w:szCs w:val="22"/>
        </w:rPr>
        <w:t>tiene como finalidad dar a conocer los formatos aplicables a los trámites en comento, simplificar y mejorar la regulación aplicable para efecto de reducir la carga administrativa que se le impone a los sujetos regulados del sector de la radiodifusión.</w:t>
      </w:r>
    </w:p>
    <w:p w:rsidR="00F529BA" w:rsidRPr="00024543" w:rsidRDefault="006E0437" w:rsidP="00C55070">
      <w:pPr>
        <w:spacing w:after="240"/>
        <w:jc w:val="both"/>
        <w:rPr>
          <w:rFonts w:ascii="ITC Avant Garde" w:hAnsi="ITC Avant Garde"/>
          <w:kern w:val="2"/>
          <w:sz w:val="22"/>
          <w:szCs w:val="22"/>
          <w:lang w:eastAsia="ar-SA"/>
        </w:rPr>
      </w:pPr>
      <w:r w:rsidRPr="00044BBD">
        <w:rPr>
          <w:rFonts w:ascii="ITC Avant Garde" w:hAnsi="ITC Avant Garde"/>
          <w:kern w:val="2"/>
          <w:sz w:val="22"/>
          <w:szCs w:val="22"/>
          <w:lang w:val="es-ES" w:eastAsia="ar-SA"/>
        </w:rPr>
        <w:t xml:space="preserve">Por </w:t>
      </w:r>
      <w:r w:rsidR="00510E8B">
        <w:rPr>
          <w:rFonts w:ascii="ITC Avant Garde" w:hAnsi="ITC Avant Garde"/>
          <w:kern w:val="2"/>
          <w:sz w:val="22"/>
          <w:szCs w:val="22"/>
          <w:lang w:val="es-ES" w:eastAsia="ar-SA"/>
        </w:rPr>
        <w:t xml:space="preserve">lo anterior, </w:t>
      </w:r>
      <w:r w:rsidRPr="00044BBD">
        <w:rPr>
          <w:rFonts w:ascii="ITC Avant Garde" w:hAnsi="ITC Avant Garde"/>
          <w:kern w:val="2"/>
          <w:sz w:val="22"/>
          <w:szCs w:val="22"/>
          <w:lang w:val="es-ES" w:eastAsia="ar-SA"/>
        </w:rPr>
        <w:t>con fundamento en los artículos 6o</w:t>
      </w:r>
      <w:r w:rsidR="00882E9E" w:rsidRPr="00044BBD">
        <w:rPr>
          <w:rFonts w:ascii="ITC Avant Garde" w:hAnsi="ITC Avant Garde"/>
          <w:kern w:val="2"/>
          <w:sz w:val="22"/>
          <w:szCs w:val="22"/>
          <w:lang w:val="es-ES" w:eastAsia="ar-SA"/>
        </w:rPr>
        <w:t>.</w:t>
      </w:r>
      <w:r w:rsidRPr="00044BBD">
        <w:rPr>
          <w:rFonts w:ascii="ITC Avant Garde" w:hAnsi="ITC Avant Garde"/>
          <w:kern w:val="2"/>
          <w:sz w:val="22"/>
          <w:szCs w:val="22"/>
          <w:lang w:val="es-ES" w:eastAsia="ar-SA"/>
        </w:rPr>
        <w:t xml:space="preserve"> y 28, párrafos décimo quinto</w:t>
      </w:r>
      <w:r w:rsidR="00617040">
        <w:rPr>
          <w:rFonts w:ascii="ITC Avant Garde" w:hAnsi="ITC Avant Garde"/>
          <w:kern w:val="2"/>
          <w:sz w:val="22"/>
          <w:szCs w:val="22"/>
          <w:lang w:val="es-ES" w:eastAsia="ar-SA"/>
        </w:rPr>
        <w:t>, décimo sexto</w:t>
      </w:r>
      <w:r w:rsidRPr="00044BBD">
        <w:rPr>
          <w:rFonts w:ascii="ITC Avant Garde" w:hAnsi="ITC Avant Garde"/>
          <w:kern w:val="2"/>
          <w:sz w:val="22"/>
          <w:szCs w:val="22"/>
          <w:lang w:val="es-ES" w:eastAsia="ar-SA"/>
        </w:rPr>
        <w:t xml:space="preserve"> y vigésimo, fracción IV, de la Constitución Política de los Estados Unidos Mexicanos; 1, 2, 7, 15, fracciones I,</w:t>
      </w:r>
      <w:r w:rsidR="00935532" w:rsidRPr="00044BBD">
        <w:rPr>
          <w:rFonts w:ascii="ITC Avant Garde" w:hAnsi="ITC Avant Garde"/>
          <w:kern w:val="2"/>
          <w:sz w:val="22"/>
          <w:szCs w:val="22"/>
          <w:lang w:val="es-ES" w:eastAsia="ar-SA"/>
        </w:rPr>
        <w:t xml:space="preserve"> </w:t>
      </w:r>
      <w:r w:rsidR="001E7E83" w:rsidRPr="00044BBD">
        <w:rPr>
          <w:rFonts w:ascii="ITC Avant Garde" w:hAnsi="ITC Avant Garde"/>
          <w:kern w:val="2"/>
          <w:sz w:val="22"/>
          <w:szCs w:val="22"/>
          <w:lang w:val="es-ES" w:eastAsia="ar-SA"/>
        </w:rPr>
        <w:t>XXVI</w:t>
      </w:r>
      <w:r w:rsidR="00617040">
        <w:rPr>
          <w:rFonts w:ascii="ITC Avant Garde" w:hAnsi="ITC Avant Garde"/>
          <w:kern w:val="2"/>
          <w:sz w:val="22"/>
          <w:szCs w:val="22"/>
          <w:lang w:val="es-ES" w:eastAsia="ar-SA"/>
        </w:rPr>
        <w:t xml:space="preserve"> y LVI 16, 17, fracción I</w:t>
      </w:r>
      <w:r w:rsidR="007313BE">
        <w:rPr>
          <w:rFonts w:ascii="ITC Avant Garde" w:hAnsi="ITC Avant Garde"/>
          <w:kern w:val="2"/>
          <w:sz w:val="22"/>
          <w:szCs w:val="22"/>
          <w:lang w:val="es-ES" w:eastAsia="ar-SA"/>
        </w:rPr>
        <w:t>,</w:t>
      </w:r>
      <w:r w:rsidRPr="00044BBD">
        <w:rPr>
          <w:rFonts w:ascii="ITC Avant Garde" w:hAnsi="ITC Avant Garde"/>
          <w:kern w:val="2"/>
          <w:sz w:val="22"/>
          <w:szCs w:val="22"/>
          <w:lang w:val="es-ES" w:eastAsia="ar-SA"/>
        </w:rPr>
        <w:t xml:space="preserve"> 51</w:t>
      </w:r>
      <w:r w:rsidR="00A43C36">
        <w:rPr>
          <w:rFonts w:ascii="ITC Avant Garde" w:hAnsi="ITC Avant Garde"/>
          <w:kern w:val="2"/>
          <w:sz w:val="22"/>
          <w:szCs w:val="22"/>
          <w:lang w:val="es-ES" w:eastAsia="ar-SA"/>
        </w:rPr>
        <w:t>, 52</w:t>
      </w:r>
      <w:r w:rsidR="00510E8B">
        <w:rPr>
          <w:rFonts w:ascii="ITC Avant Garde" w:hAnsi="ITC Avant Garde"/>
          <w:kern w:val="2"/>
          <w:sz w:val="22"/>
          <w:szCs w:val="22"/>
          <w:lang w:val="es-ES" w:eastAsia="ar-SA"/>
        </w:rPr>
        <w:t xml:space="preserve"> y</w:t>
      </w:r>
      <w:r w:rsidR="001E7E83" w:rsidRPr="00044BBD">
        <w:rPr>
          <w:rFonts w:ascii="ITC Avant Garde" w:hAnsi="ITC Avant Garde"/>
          <w:kern w:val="2"/>
          <w:sz w:val="22"/>
          <w:szCs w:val="22"/>
          <w:lang w:val="es-ES" w:eastAsia="ar-SA"/>
        </w:rPr>
        <w:t xml:space="preserve"> </w:t>
      </w:r>
      <w:r w:rsidR="00510E8B">
        <w:rPr>
          <w:rFonts w:ascii="ITC Avant Garde" w:hAnsi="ITC Avant Garde"/>
          <w:kern w:val="2"/>
          <w:sz w:val="22"/>
          <w:szCs w:val="22"/>
          <w:lang w:val="es-ES" w:eastAsia="ar-SA"/>
        </w:rPr>
        <w:t>155</w:t>
      </w:r>
      <w:r w:rsidR="001E7E83" w:rsidRPr="00044BBD">
        <w:rPr>
          <w:rFonts w:ascii="ITC Avant Garde" w:hAnsi="ITC Avant Garde"/>
          <w:kern w:val="2"/>
          <w:sz w:val="22"/>
          <w:szCs w:val="22"/>
          <w:lang w:val="es-ES" w:eastAsia="ar-SA"/>
        </w:rPr>
        <w:t xml:space="preserve"> </w:t>
      </w:r>
      <w:r w:rsidRPr="00044BBD">
        <w:rPr>
          <w:rFonts w:ascii="ITC Avant Garde" w:hAnsi="ITC Avant Garde"/>
          <w:kern w:val="2"/>
          <w:sz w:val="22"/>
          <w:szCs w:val="22"/>
          <w:lang w:val="es-ES" w:eastAsia="ar-SA"/>
        </w:rPr>
        <w:t xml:space="preserve">de la </w:t>
      </w:r>
      <w:r w:rsidR="002367EE" w:rsidRPr="00044BBD">
        <w:rPr>
          <w:rFonts w:ascii="ITC Avant Garde" w:hAnsi="ITC Avant Garde"/>
          <w:kern w:val="2"/>
          <w:sz w:val="22"/>
          <w:szCs w:val="22"/>
          <w:lang w:val="es-ES" w:eastAsia="ar-SA"/>
        </w:rPr>
        <w:t>Ley Federal de Telecomunicaciones y Radiodifusión</w:t>
      </w:r>
      <w:r w:rsidR="00A96447" w:rsidRPr="00044BBD">
        <w:rPr>
          <w:rFonts w:ascii="ITC Avant Garde" w:hAnsi="ITC Avant Garde"/>
          <w:kern w:val="2"/>
          <w:sz w:val="22"/>
          <w:szCs w:val="22"/>
          <w:lang w:val="es-ES" w:eastAsia="ar-SA"/>
        </w:rPr>
        <w:t>;</w:t>
      </w:r>
      <w:r w:rsidR="00A43C36">
        <w:rPr>
          <w:rFonts w:ascii="ITC Avant Garde" w:hAnsi="ITC Avant Garde" w:cs="Arial"/>
          <w:sz w:val="22"/>
          <w:szCs w:val="22"/>
          <w:lang w:val="es-ES"/>
        </w:rPr>
        <w:t xml:space="preserve"> </w:t>
      </w:r>
      <w:r w:rsidR="00A76E99">
        <w:rPr>
          <w:rFonts w:ascii="ITC Avant Garde" w:hAnsi="ITC Avant Garde" w:cs="Arial"/>
          <w:sz w:val="22"/>
          <w:szCs w:val="22"/>
          <w:lang w:val="es-ES"/>
        </w:rPr>
        <w:t>L</w:t>
      </w:r>
      <w:r w:rsidR="00A76E99" w:rsidRPr="00044BBD">
        <w:rPr>
          <w:rFonts w:ascii="ITC Avant Garde" w:hAnsi="ITC Avant Garde" w:cs="Arial"/>
          <w:sz w:val="22"/>
          <w:szCs w:val="22"/>
        </w:rPr>
        <w:t xml:space="preserve">ineamientos </w:t>
      </w:r>
      <w:r w:rsidR="00A76E99">
        <w:rPr>
          <w:rFonts w:ascii="ITC Avant Garde" w:hAnsi="ITC Avant Garde" w:cs="Arial"/>
          <w:sz w:val="22"/>
          <w:szCs w:val="22"/>
        </w:rPr>
        <w:t xml:space="preserve">Primero, </w:t>
      </w:r>
      <w:r w:rsidR="00A76E99" w:rsidRPr="00044BBD">
        <w:rPr>
          <w:rFonts w:ascii="ITC Avant Garde" w:hAnsi="ITC Avant Garde" w:cs="Arial"/>
          <w:sz w:val="22"/>
          <w:szCs w:val="22"/>
        </w:rPr>
        <w:t>Tercero, fracción II,</w:t>
      </w:r>
      <w:r w:rsidR="00A76E99">
        <w:rPr>
          <w:rFonts w:ascii="ITC Avant Garde" w:hAnsi="ITC Avant Garde" w:cs="Arial"/>
          <w:sz w:val="22"/>
          <w:szCs w:val="22"/>
        </w:rPr>
        <w:t xml:space="preserve"> Décimo Tercero</w:t>
      </w:r>
      <w:r w:rsidR="00A43C36">
        <w:rPr>
          <w:rFonts w:ascii="ITC Avant Garde" w:hAnsi="ITC Avant Garde" w:cs="Arial"/>
          <w:sz w:val="22"/>
          <w:szCs w:val="22"/>
        </w:rPr>
        <w:t xml:space="preserve">, Vigésimo </w:t>
      </w:r>
      <w:r w:rsidR="00A76E99">
        <w:rPr>
          <w:rFonts w:ascii="ITC Avant Garde" w:hAnsi="ITC Avant Garde" w:cs="Arial"/>
          <w:sz w:val="22"/>
          <w:szCs w:val="22"/>
        </w:rPr>
        <w:t xml:space="preserve">y Vigésimo </w:t>
      </w:r>
      <w:r w:rsidR="00A43C36">
        <w:rPr>
          <w:rFonts w:ascii="ITC Avant Garde" w:hAnsi="ITC Avant Garde" w:cs="Arial"/>
          <w:sz w:val="22"/>
          <w:szCs w:val="22"/>
        </w:rPr>
        <w:t>Primero</w:t>
      </w:r>
      <w:r w:rsidR="00A76E99">
        <w:rPr>
          <w:rFonts w:ascii="ITC Avant Garde" w:hAnsi="ITC Avant Garde" w:cs="Arial"/>
          <w:sz w:val="22"/>
          <w:szCs w:val="22"/>
        </w:rPr>
        <w:t xml:space="preserve"> </w:t>
      </w:r>
      <w:r w:rsidR="00A76E99" w:rsidRPr="00044BBD">
        <w:rPr>
          <w:rFonts w:ascii="ITC Avant Garde" w:hAnsi="ITC Avant Garde" w:cs="Arial"/>
          <w:sz w:val="22"/>
          <w:szCs w:val="22"/>
        </w:rPr>
        <w:t>de los Lineamientos de Consulta Pública</w:t>
      </w:r>
      <w:r w:rsidR="00A76E99">
        <w:rPr>
          <w:rFonts w:ascii="ITC Avant Garde" w:hAnsi="ITC Avant Garde" w:cs="Arial"/>
          <w:sz w:val="22"/>
          <w:szCs w:val="22"/>
        </w:rPr>
        <w:t xml:space="preserve">, y </w:t>
      </w:r>
      <w:r w:rsidR="00A43C36">
        <w:rPr>
          <w:rFonts w:ascii="ITC Avant Garde" w:hAnsi="ITC Avant Garde" w:cs="Arial"/>
          <w:sz w:val="22"/>
          <w:szCs w:val="22"/>
        </w:rPr>
        <w:t xml:space="preserve"> artículos </w:t>
      </w:r>
      <w:r w:rsidR="00A76E99" w:rsidRPr="00A76E99">
        <w:rPr>
          <w:rFonts w:ascii="ITC Avant Garde" w:hAnsi="ITC Avant Garde"/>
          <w:kern w:val="2"/>
          <w:sz w:val="22"/>
          <w:szCs w:val="22"/>
          <w:lang w:val="es-ES" w:eastAsia="ar-SA"/>
        </w:rPr>
        <w:t>1, 4, fracción I y 6, fracciones I</w:t>
      </w:r>
      <w:r w:rsidR="007313BE">
        <w:rPr>
          <w:rFonts w:ascii="ITC Avant Garde" w:hAnsi="ITC Avant Garde"/>
          <w:kern w:val="2"/>
          <w:sz w:val="22"/>
          <w:szCs w:val="22"/>
          <w:lang w:val="es-ES" w:eastAsia="ar-SA"/>
        </w:rPr>
        <w:t>, XX</w:t>
      </w:r>
      <w:r w:rsidR="00A76E99" w:rsidRPr="00A76E99">
        <w:rPr>
          <w:rFonts w:ascii="ITC Avant Garde" w:hAnsi="ITC Avant Garde"/>
          <w:kern w:val="2"/>
          <w:sz w:val="22"/>
          <w:szCs w:val="22"/>
          <w:lang w:val="es-ES" w:eastAsia="ar-SA"/>
        </w:rPr>
        <w:t xml:space="preserve"> y XXXVII</w:t>
      </w:r>
      <w:r w:rsidR="00A76E99">
        <w:rPr>
          <w:rFonts w:ascii="ITC Avant Garde" w:hAnsi="ITC Avant Garde"/>
          <w:kern w:val="2"/>
          <w:sz w:val="22"/>
          <w:szCs w:val="22"/>
          <w:lang w:val="es-ES" w:eastAsia="ar-SA"/>
        </w:rPr>
        <w:t xml:space="preserve"> </w:t>
      </w:r>
      <w:r w:rsidR="00170158" w:rsidRPr="00044BBD">
        <w:rPr>
          <w:rFonts w:ascii="ITC Avant Garde" w:hAnsi="ITC Avant Garde" w:cs="Arial"/>
          <w:sz w:val="22"/>
          <w:szCs w:val="22"/>
        </w:rPr>
        <w:t>del Estatuto</w:t>
      </w:r>
      <w:r w:rsidR="00A96447" w:rsidRPr="00044BBD">
        <w:rPr>
          <w:rFonts w:ascii="ITC Avant Garde" w:hAnsi="ITC Avant Garde" w:cs="Arial"/>
          <w:sz w:val="22"/>
          <w:szCs w:val="22"/>
        </w:rPr>
        <w:t>,</w:t>
      </w:r>
      <w:r w:rsidR="00170158" w:rsidRPr="00044BBD">
        <w:rPr>
          <w:rFonts w:ascii="ITC Avant Garde" w:hAnsi="ITC Avant Garde" w:cs="Arial"/>
          <w:sz w:val="22"/>
          <w:szCs w:val="22"/>
        </w:rPr>
        <w:t xml:space="preserve"> </w:t>
      </w:r>
      <w:r w:rsidRPr="00044BBD">
        <w:rPr>
          <w:rFonts w:ascii="ITC Avant Garde" w:hAnsi="ITC Avant Garde"/>
          <w:kern w:val="2"/>
          <w:sz w:val="22"/>
          <w:szCs w:val="22"/>
          <w:lang w:val="es-ES" w:eastAsia="ar-SA"/>
        </w:rPr>
        <w:t>el Pleno del Instituto</w:t>
      </w:r>
      <w:r w:rsidR="005C369E" w:rsidRPr="00044BBD">
        <w:rPr>
          <w:rFonts w:ascii="ITC Avant Garde" w:hAnsi="ITC Avant Garde"/>
          <w:kern w:val="2"/>
          <w:sz w:val="22"/>
          <w:szCs w:val="22"/>
          <w:lang w:val="es-ES" w:eastAsia="ar-SA"/>
        </w:rPr>
        <w:t>,</w:t>
      </w:r>
      <w:r w:rsidR="002367EE" w:rsidRPr="00044BBD">
        <w:rPr>
          <w:rFonts w:ascii="ITC Avant Garde" w:hAnsi="ITC Avant Garde"/>
          <w:kern w:val="2"/>
          <w:sz w:val="22"/>
          <w:szCs w:val="22"/>
          <w:lang w:val="es-ES" w:eastAsia="ar-SA"/>
        </w:rPr>
        <w:t xml:space="preserve"> </w:t>
      </w:r>
      <w:r w:rsidR="005C369E" w:rsidRPr="00044BBD">
        <w:rPr>
          <w:rFonts w:ascii="ITC Avant Garde" w:hAnsi="ITC Avant Garde"/>
          <w:kern w:val="2"/>
          <w:sz w:val="22"/>
          <w:szCs w:val="22"/>
          <w:lang w:val="es-ES" w:eastAsia="ar-SA"/>
        </w:rPr>
        <w:t>en su carácter de órgano máximo de gobierno y decisión,</w:t>
      </w:r>
      <w:r w:rsidR="007313BE" w:rsidRPr="007313BE">
        <w:rPr>
          <w:rFonts w:ascii="Segoe UI" w:hAnsi="Segoe UI" w:cs="Segoe UI"/>
          <w:color w:val="1A1A1A"/>
          <w:sz w:val="20"/>
          <w:szCs w:val="20"/>
          <w:lang w:eastAsia="es-MX"/>
        </w:rPr>
        <w:t xml:space="preserve"> </w:t>
      </w:r>
      <w:r w:rsidR="007313BE" w:rsidRPr="007313BE">
        <w:rPr>
          <w:rFonts w:ascii="ITC Avant Garde" w:hAnsi="ITC Avant Garde"/>
          <w:kern w:val="2"/>
          <w:sz w:val="22"/>
          <w:szCs w:val="22"/>
          <w:lang w:eastAsia="ar-SA"/>
        </w:rPr>
        <w:t>es competente para llevar a cabo consultas públicas para modificar disposiciones administrativas de carácter general, así  como para emitir el</w:t>
      </w:r>
      <w:r w:rsidR="005C369E" w:rsidRPr="00044BBD">
        <w:rPr>
          <w:rFonts w:ascii="ITC Avant Garde" w:hAnsi="ITC Avant Garde"/>
          <w:kern w:val="2"/>
          <w:sz w:val="22"/>
          <w:szCs w:val="22"/>
          <w:lang w:val="es-ES" w:eastAsia="ar-SA"/>
        </w:rPr>
        <w:t xml:space="preserve"> siguiente</w:t>
      </w:r>
      <w:r w:rsidRPr="00044BBD">
        <w:rPr>
          <w:rFonts w:ascii="ITC Avant Garde" w:hAnsi="ITC Avant Garde"/>
          <w:kern w:val="2"/>
          <w:sz w:val="22"/>
          <w:szCs w:val="22"/>
          <w:lang w:val="es-ES" w:eastAsia="ar-SA"/>
        </w:rPr>
        <w:t>:</w:t>
      </w:r>
    </w:p>
    <w:p w:rsidR="00AD55DE" w:rsidRPr="002A3E1D" w:rsidRDefault="004475AB"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t>ACUERDO</w:t>
      </w:r>
    </w:p>
    <w:p w:rsidR="00E571A1" w:rsidRPr="00044BBD" w:rsidRDefault="00AD55DE" w:rsidP="00C55070">
      <w:pPr>
        <w:pStyle w:val="Texto"/>
        <w:spacing w:after="240" w:line="240" w:lineRule="auto"/>
        <w:ind w:firstLine="0"/>
        <w:rPr>
          <w:rFonts w:ascii="ITC Avant Garde" w:hAnsi="ITC Avant Garde"/>
          <w:sz w:val="22"/>
          <w:szCs w:val="22"/>
        </w:rPr>
      </w:pPr>
      <w:r w:rsidRPr="00044BBD">
        <w:rPr>
          <w:rFonts w:ascii="ITC Avant Garde" w:hAnsi="ITC Avant Garde"/>
          <w:b/>
          <w:sz w:val="22"/>
          <w:szCs w:val="22"/>
        </w:rPr>
        <w:t>PRIMERO</w:t>
      </w:r>
      <w:r w:rsidRPr="00044BBD">
        <w:rPr>
          <w:rFonts w:ascii="ITC Avant Garde" w:hAnsi="ITC Avant Garde"/>
          <w:sz w:val="22"/>
          <w:szCs w:val="22"/>
        </w:rPr>
        <w:t xml:space="preserve">.- Se </w:t>
      </w:r>
      <w:r w:rsidR="006909B8" w:rsidRPr="00044BBD">
        <w:rPr>
          <w:rFonts w:ascii="ITC Avant Garde" w:hAnsi="ITC Avant Garde"/>
          <w:sz w:val="22"/>
          <w:szCs w:val="22"/>
        </w:rPr>
        <w:t xml:space="preserve">determina </w:t>
      </w:r>
      <w:r w:rsidR="00FD0F65" w:rsidRPr="00044BBD">
        <w:rPr>
          <w:rFonts w:ascii="ITC Avant Garde" w:hAnsi="ITC Avant Garde"/>
          <w:sz w:val="22"/>
          <w:szCs w:val="22"/>
        </w:rPr>
        <w:t xml:space="preserve">someter a consulta </w:t>
      </w:r>
      <w:r w:rsidR="001E7E83" w:rsidRPr="00044BBD">
        <w:rPr>
          <w:rFonts w:ascii="ITC Avant Garde" w:hAnsi="ITC Avant Garde"/>
          <w:sz w:val="22"/>
          <w:szCs w:val="22"/>
        </w:rPr>
        <w:t>pública</w:t>
      </w:r>
      <w:r w:rsidR="00E571A1" w:rsidRPr="00044BBD">
        <w:rPr>
          <w:rFonts w:ascii="ITC Avant Garde" w:hAnsi="ITC Avant Garde"/>
          <w:sz w:val="22"/>
          <w:szCs w:val="22"/>
        </w:rPr>
        <w:t xml:space="preserve"> por un plazo de 20 (veinte) días hábiles</w:t>
      </w:r>
      <w:r w:rsidR="0047195D" w:rsidRPr="00044BBD">
        <w:rPr>
          <w:rFonts w:ascii="ITC Avant Garde" w:hAnsi="ITC Avant Garde"/>
          <w:sz w:val="22"/>
          <w:szCs w:val="22"/>
        </w:rPr>
        <w:t>,</w:t>
      </w:r>
      <w:r w:rsidR="00E571A1" w:rsidRPr="00044BBD">
        <w:rPr>
          <w:rFonts w:ascii="ITC Avant Garde" w:hAnsi="ITC Avant Garde"/>
          <w:sz w:val="22"/>
          <w:szCs w:val="22"/>
        </w:rPr>
        <w:t xml:space="preserve"> contados a partir del día hábil siguiente al de su publicación en el portal de Internet del Instituto Federal de Telecomunicaciones,</w:t>
      </w:r>
      <w:r w:rsidR="001E7E83" w:rsidRPr="00044BBD">
        <w:rPr>
          <w:rFonts w:ascii="ITC Avant Garde" w:hAnsi="ITC Avant Garde"/>
          <w:sz w:val="22"/>
          <w:szCs w:val="22"/>
        </w:rPr>
        <w:t xml:space="preserve"> el</w:t>
      </w:r>
      <w:r w:rsidR="00F40E23" w:rsidRPr="00044BBD">
        <w:rPr>
          <w:rFonts w:ascii="ITC Avant Garde" w:hAnsi="ITC Avant Garde"/>
          <w:sz w:val="22"/>
          <w:szCs w:val="22"/>
        </w:rPr>
        <w:t xml:space="preserve"> </w:t>
      </w:r>
      <w:r w:rsidR="004F1FDD">
        <w:rPr>
          <w:rFonts w:ascii="ITC Avant Garde" w:hAnsi="ITC Avant Garde"/>
          <w:sz w:val="22"/>
          <w:szCs w:val="22"/>
        </w:rPr>
        <w:t xml:space="preserve">anteproyecto de </w:t>
      </w:r>
      <w:r w:rsidR="0047195D" w:rsidRPr="004F1FDD">
        <w:rPr>
          <w:rFonts w:ascii="ITC Avant Garde" w:hAnsi="ITC Avant Garde"/>
          <w:b/>
          <w:sz w:val="22"/>
          <w:szCs w:val="22"/>
        </w:rPr>
        <w:t>“</w:t>
      </w:r>
      <w:r w:rsidR="004F1FDD" w:rsidRPr="004F1FDD">
        <w:rPr>
          <w:rFonts w:ascii="ITC Avant Garde" w:hAnsi="ITC Avant Garde"/>
          <w:b/>
          <w:sz w:val="22"/>
          <w:szCs w:val="22"/>
        </w:rPr>
        <w:t>Acuerdo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auxiliares a la radiodifusión, y se  modifican diversas disposiciones técnicas en materia de radiodifusión para la desregulación y simplificación de éstos</w:t>
      </w:r>
      <w:r w:rsidR="00E571A1" w:rsidRPr="004F1FDD">
        <w:rPr>
          <w:rFonts w:ascii="ITC Avant Garde" w:hAnsi="ITC Avant Garde"/>
          <w:b/>
          <w:sz w:val="22"/>
          <w:szCs w:val="22"/>
        </w:rPr>
        <w:t>”</w:t>
      </w:r>
      <w:r w:rsidR="00E571A1" w:rsidRPr="00044BBD">
        <w:rPr>
          <w:rFonts w:ascii="ITC Avant Garde" w:hAnsi="ITC Avant Garde"/>
          <w:sz w:val="22"/>
          <w:szCs w:val="22"/>
        </w:rPr>
        <w:t xml:space="preserve">, mismo que se acompaña </w:t>
      </w:r>
      <w:r w:rsidR="004F1FDD">
        <w:rPr>
          <w:rFonts w:ascii="ITC Avant Garde" w:hAnsi="ITC Avant Garde"/>
          <w:sz w:val="22"/>
          <w:szCs w:val="22"/>
        </w:rPr>
        <w:t xml:space="preserve">al presente </w:t>
      </w:r>
      <w:r w:rsidR="00E571A1" w:rsidRPr="00044BBD">
        <w:rPr>
          <w:rFonts w:ascii="ITC Avant Garde" w:hAnsi="ITC Avant Garde"/>
          <w:sz w:val="22"/>
          <w:szCs w:val="22"/>
        </w:rPr>
        <w:t xml:space="preserve">como </w:t>
      </w:r>
      <w:r w:rsidR="00906C71" w:rsidRPr="00044BBD">
        <w:rPr>
          <w:rFonts w:ascii="ITC Avant Garde" w:hAnsi="ITC Avant Garde"/>
          <w:b/>
          <w:sz w:val="22"/>
          <w:szCs w:val="22"/>
        </w:rPr>
        <w:t>Anexo Único</w:t>
      </w:r>
      <w:r w:rsidR="00267A18">
        <w:rPr>
          <w:rFonts w:ascii="ITC Avant Garde" w:hAnsi="ITC Avant Garde"/>
          <w:b/>
          <w:sz w:val="22"/>
          <w:szCs w:val="22"/>
        </w:rPr>
        <w:t xml:space="preserve"> y de su respectivo ANIR,</w:t>
      </w:r>
      <w:r w:rsidR="00E571A1" w:rsidRPr="00044BBD">
        <w:rPr>
          <w:rFonts w:ascii="ITC Avant Garde" w:hAnsi="ITC Avant Garde"/>
          <w:sz w:val="22"/>
          <w:szCs w:val="22"/>
        </w:rPr>
        <w:t xml:space="preserve"> a fin de que cualquier interesado </w:t>
      </w:r>
      <w:r w:rsidR="004F1FDD">
        <w:rPr>
          <w:rFonts w:ascii="ITC Avant Garde" w:hAnsi="ITC Avant Garde"/>
          <w:sz w:val="22"/>
          <w:szCs w:val="22"/>
        </w:rPr>
        <w:t xml:space="preserve">conozca las medidas que el Instituto propone y </w:t>
      </w:r>
      <w:r w:rsidR="00E571A1" w:rsidRPr="00044BBD">
        <w:rPr>
          <w:rFonts w:ascii="ITC Avant Garde" w:hAnsi="ITC Avant Garde"/>
          <w:sz w:val="22"/>
          <w:szCs w:val="22"/>
        </w:rPr>
        <w:t xml:space="preserve">presente comentarios, </w:t>
      </w:r>
      <w:r w:rsidR="00041429">
        <w:rPr>
          <w:rFonts w:ascii="ITC Avant Garde" w:hAnsi="ITC Avant Garde"/>
          <w:sz w:val="22"/>
          <w:szCs w:val="22"/>
        </w:rPr>
        <w:t>opiniones</w:t>
      </w:r>
      <w:r w:rsidR="000006CA">
        <w:rPr>
          <w:rFonts w:ascii="ITC Avant Garde" w:hAnsi="ITC Avant Garde"/>
          <w:sz w:val="22"/>
          <w:szCs w:val="22"/>
        </w:rPr>
        <w:t>,</w:t>
      </w:r>
      <w:r w:rsidR="00E571A1" w:rsidRPr="00044BBD">
        <w:rPr>
          <w:rFonts w:ascii="ITC Avant Garde" w:hAnsi="ITC Avant Garde"/>
          <w:sz w:val="22"/>
          <w:szCs w:val="22"/>
        </w:rPr>
        <w:t xml:space="preserve"> propuestas </w:t>
      </w:r>
      <w:r w:rsidR="004F1FDD">
        <w:rPr>
          <w:rFonts w:ascii="ITC Avant Garde" w:hAnsi="ITC Avant Garde"/>
          <w:sz w:val="22"/>
          <w:szCs w:val="22"/>
        </w:rPr>
        <w:t>a las mismas</w:t>
      </w:r>
      <w:r w:rsidR="000006CA">
        <w:rPr>
          <w:rFonts w:ascii="ITC Avant Garde" w:hAnsi="ITC Avant Garde"/>
          <w:sz w:val="22"/>
          <w:szCs w:val="22"/>
        </w:rPr>
        <w:t xml:space="preserve"> y otros elementos de análisis</w:t>
      </w:r>
      <w:r w:rsidR="00E571A1" w:rsidRPr="00044BBD">
        <w:rPr>
          <w:rFonts w:ascii="ITC Avant Garde" w:hAnsi="ITC Avant Garde"/>
          <w:sz w:val="22"/>
          <w:szCs w:val="22"/>
        </w:rPr>
        <w:t xml:space="preserve">. </w:t>
      </w:r>
    </w:p>
    <w:p w:rsidR="00F51400" w:rsidRPr="00044BBD" w:rsidRDefault="00A84A8A" w:rsidP="00C55070">
      <w:pPr>
        <w:autoSpaceDE w:val="0"/>
        <w:autoSpaceDN w:val="0"/>
        <w:adjustRightInd w:val="0"/>
        <w:spacing w:after="240"/>
        <w:jc w:val="both"/>
        <w:rPr>
          <w:rFonts w:ascii="ITC Avant Garde" w:hAnsi="ITC Avant Garde" w:cs="Arial"/>
          <w:sz w:val="22"/>
          <w:szCs w:val="22"/>
        </w:rPr>
      </w:pPr>
      <w:r w:rsidRPr="00044BBD">
        <w:rPr>
          <w:rFonts w:ascii="ITC Avant Garde" w:hAnsi="ITC Avant Garde" w:cs="Arial"/>
          <w:b/>
          <w:sz w:val="22"/>
          <w:szCs w:val="22"/>
        </w:rPr>
        <w:lastRenderedPageBreak/>
        <w:t>SEGUNDO</w:t>
      </w:r>
      <w:r w:rsidR="00AD55DE" w:rsidRPr="00044BBD">
        <w:rPr>
          <w:rFonts w:ascii="ITC Avant Garde" w:hAnsi="ITC Avant Garde" w:cs="Arial"/>
          <w:sz w:val="22"/>
          <w:szCs w:val="22"/>
        </w:rPr>
        <w:t>.</w:t>
      </w:r>
      <w:r w:rsidR="00041429">
        <w:rPr>
          <w:rFonts w:ascii="ITC Avant Garde" w:hAnsi="ITC Avant Garde" w:cs="Arial"/>
          <w:sz w:val="22"/>
          <w:szCs w:val="22"/>
        </w:rPr>
        <w:t xml:space="preserve"> </w:t>
      </w:r>
      <w:r w:rsidR="00AD55DE" w:rsidRPr="00044BBD">
        <w:rPr>
          <w:rFonts w:ascii="ITC Avant Garde" w:hAnsi="ITC Avant Garde" w:cs="Arial"/>
          <w:sz w:val="22"/>
          <w:szCs w:val="22"/>
        </w:rPr>
        <w:t xml:space="preserve">- </w:t>
      </w:r>
      <w:r w:rsidR="00F51400" w:rsidRPr="00044BBD">
        <w:rPr>
          <w:rFonts w:ascii="ITC Avant Garde" w:hAnsi="ITC Avant Garde" w:cs="Arial"/>
          <w:sz w:val="22"/>
          <w:szCs w:val="22"/>
        </w:rPr>
        <w:t xml:space="preserve">Se instruye a la </w:t>
      </w:r>
      <w:r w:rsidR="0024007A" w:rsidRPr="00044BBD">
        <w:rPr>
          <w:rFonts w:ascii="ITC Avant Garde" w:hAnsi="ITC Avant Garde" w:cs="Arial"/>
          <w:sz w:val="22"/>
          <w:szCs w:val="22"/>
        </w:rPr>
        <w:t>Coordinación General de Mejora Regulatoria</w:t>
      </w:r>
      <w:r w:rsidR="00953B2C" w:rsidRPr="00044BBD">
        <w:rPr>
          <w:rFonts w:ascii="ITC Avant Garde" w:hAnsi="ITC Avant Garde" w:cs="Arial"/>
          <w:sz w:val="22"/>
          <w:szCs w:val="22"/>
        </w:rPr>
        <w:t xml:space="preserve">, </w:t>
      </w:r>
      <w:r w:rsidR="00E571A1" w:rsidRPr="00044BBD">
        <w:rPr>
          <w:rFonts w:ascii="ITC Avant Garde" w:hAnsi="ITC Avant Garde" w:cs="Arial"/>
          <w:sz w:val="22"/>
          <w:szCs w:val="22"/>
        </w:rPr>
        <w:t>a recibir y dar</w:t>
      </w:r>
      <w:r w:rsidR="00953B2C" w:rsidRPr="00044BBD">
        <w:rPr>
          <w:rFonts w:ascii="ITC Avant Garde" w:hAnsi="ITC Avant Garde" w:cs="Arial"/>
          <w:sz w:val="22"/>
          <w:szCs w:val="22"/>
        </w:rPr>
        <w:t xml:space="preserve"> </w:t>
      </w:r>
      <w:r w:rsidR="004A3C25" w:rsidRPr="00044BBD">
        <w:rPr>
          <w:rFonts w:ascii="ITC Avant Garde" w:hAnsi="ITC Avant Garde" w:cs="Arial"/>
          <w:sz w:val="22"/>
          <w:szCs w:val="22"/>
        </w:rPr>
        <w:t>la atención que corresponda, en el ámbito de sus atribuciones</w:t>
      </w:r>
      <w:r w:rsidR="00041429">
        <w:rPr>
          <w:rFonts w:ascii="ITC Avant Garde" w:hAnsi="ITC Avant Garde" w:cs="Arial"/>
          <w:sz w:val="22"/>
          <w:szCs w:val="22"/>
        </w:rPr>
        <w:t xml:space="preserve"> y con el apoyo de las Unidades de Concesiones y Servicios, y de Espectro Radioeléctrico, a lo</w:t>
      </w:r>
      <w:r w:rsidR="004A3C25" w:rsidRPr="00044BBD">
        <w:rPr>
          <w:rFonts w:ascii="ITC Avant Garde" w:hAnsi="ITC Avant Garde" w:cs="Arial"/>
          <w:sz w:val="22"/>
          <w:szCs w:val="22"/>
        </w:rPr>
        <w:t xml:space="preserve">s </w:t>
      </w:r>
      <w:r w:rsidR="00041429">
        <w:rPr>
          <w:rFonts w:ascii="ITC Avant Garde" w:hAnsi="ITC Avant Garde" w:cs="Arial"/>
          <w:sz w:val="22"/>
          <w:szCs w:val="22"/>
        </w:rPr>
        <w:t xml:space="preserve">comentarios, </w:t>
      </w:r>
      <w:r w:rsidR="004A3C25" w:rsidRPr="00044BBD">
        <w:rPr>
          <w:rFonts w:ascii="ITC Avant Garde" w:hAnsi="ITC Avant Garde" w:cs="Arial"/>
          <w:sz w:val="22"/>
          <w:szCs w:val="22"/>
        </w:rPr>
        <w:t>opiniones</w:t>
      </w:r>
      <w:r w:rsidR="00041429">
        <w:rPr>
          <w:rFonts w:ascii="ITC Avant Garde" w:hAnsi="ITC Avant Garde" w:cs="Arial"/>
          <w:sz w:val="22"/>
          <w:szCs w:val="22"/>
        </w:rPr>
        <w:t xml:space="preserve"> y/o propuestas</w:t>
      </w:r>
      <w:r w:rsidR="004A3C25" w:rsidRPr="00044BBD">
        <w:rPr>
          <w:rFonts w:ascii="ITC Avant Garde" w:hAnsi="ITC Avant Garde" w:cs="Arial"/>
          <w:sz w:val="22"/>
          <w:szCs w:val="22"/>
        </w:rPr>
        <w:t xml:space="preserve"> que sean vertidas </w:t>
      </w:r>
      <w:r w:rsidR="00041429">
        <w:rPr>
          <w:rFonts w:ascii="ITC Avant Garde" w:hAnsi="ITC Avant Garde" w:cs="Arial"/>
          <w:sz w:val="22"/>
          <w:szCs w:val="22"/>
        </w:rPr>
        <w:t xml:space="preserve">por los interesados, </w:t>
      </w:r>
      <w:r w:rsidR="004A3C25" w:rsidRPr="00044BBD">
        <w:rPr>
          <w:rFonts w:ascii="ITC Avant Garde" w:hAnsi="ITC Avant Garde" w:cs="Arial"/>
          <w:sz w:val="22"/>
          <w:szCs w:val="22"/>
        </w:rPr>
        <w:t xml:space="preserve">en virtud de la consulta pública materia del presente </w:t>
      </w:r>
      <w:r w:rsidR="00906C71" w:rsidRPr="00044BBD">
        <w:rPr>
          <w:rFonts w:ascii="ITC Avant Garde" w:hAnsi="ITC Avant Garde" w:cs="Arial"/>
          <w:sz w:val="22"/>
          <w:szCs w:val="22"/>
        </w:rPr>
        <w:t>Acuerdo</w:t>
      </w:r>
      <w:r w:rsidR="004A3C25" w:rsidRPr="00044BBD">
        <w:rPr>
          <w:rFonts w:ascii="ITC Avant Garde" w:hAnsi="ITC Avant Garde" w:cs="Arial"/>
          <w:sz w:val="22"/>
          <w:szCs w:val="22"/>
        </w:rPr>
        <w:t>.</w:t>
      </w:r>
    </w:p>
    <w:p w:rsidR="004A3C25" w:rsidRPr="00041429" w:rsidRDefault="00F51400" w:rsidP="00C55070">
      <w:pPr>
        <w:autoSpaceDE w:val="0"/>
        <w:autoSpaceDN w:val="0"/>
        <w:adjustRightInd w:val="0"/>
        <w:spacing w:after="240"/>
        <w:jc w:val="both"/>
        <w:rPr>
          <w:rFonts w:ascii="ITC Avant Garde" w:hAnsi="ITC Avant Garde" w:cs="Arial"/>
          <w:sz w:val="22"/>
          <w:szCs w:val="22"/>
        </w:rPr>
      </w:pPr>
      <w:r w:rsidRPr="00044BBD">
        <w:rPr>
          <w:rFonts w:ascii="ITC Avant Garde" w:hAnsi="ITC Avant Garde" w:cs="Arial"/>
          <w:b/>
          <w:sz w:val="22"/>
          <w:szCs w:val="22"/>
        </w:rPr>
        <w:t>TERCERO.</w:t>
      </w:r>
      <w:r w:rsidR="00041429">
        <w:rPr>
          <w:rFonts w:ascii="ITC Avant Garde" w:hAnsi="ITC Avant Garde" w:cs="Arial"/>
          <w:b/>
          <w:sz w:val="22"/>
          <w:szCs w:val="22"/>
        </w:rPr>
        <w:t xml:space="preserve"> </w:t>
      </w:r>
      <w:r w:rsidRPr="00044BBD">
        <w:rPr>
          <w:rFonts w:ascii="ITC Avant Garde" w:hAnsi="ITC Avant Garde" w:cs="Arial"/>
          <w:b/>
          <w:sz w:val="22"/>
          <w:szCs w:val="22"/>
        </w:rPr>
        <w:t xml:space="preserve">- </w:t>
      </w:r>
      <w:r w:rsidR="00DB3D67" w:rsidRPr="00044BBD">
        <w:rPr>
          <w:rFonts w:ascii="ITC Avant Garde" w:hAnsi="ITC Avant Garde" w:cs="Arial"/>
          <w:sz w:val="22"/>
          <w:szCs w:val="22"/>
        </w:rPr>
        <w:t>Publíquese</w:t>
      </w:r>
      <w:r w:rsidR="00DB3D67">
        <w:rPr>
          <w:rFonts w:ascii="ITC Avant Garde" w:hAnsi="ITC Avant Garde" w:cs="Arial"/>
          <w:sz w:val="22"/>
          <w:szCs w:val="22"/>
        </w:rPr>
        <w:t xml:space="preserve"> el presente Acuerdo y el correspondiente ANEXO ÚNICO</w:t>
      </w:r>
      <w:r w:rsidR="00DB3D67" w:rsidRPr="00044BBD">
        <w:rPr>
          <w:rFonts w:ascii="ITC Avant Garde" w:hAnsi="ITC Avant Garde" w:cs="Arial"/>
          <w:sz w:val="22"/>
          <w:szCs w:val="22"/>
        </w:rPr>
        <w:t xml:space="preserve"> en </w:t>
      </w:r>
      <w:r w:rsidR="00DB3D67">
        <w:rPr>
          <w:rFonts w:ascii="ITC Avant Garde" w:hAnsi="ITC Avant Garde" w:cs="Arial"/>
          <w:sz w:val="22"/>
          <w:szCs w:val="22"/>
        </w:rPr>
        <w:t>el portal</w:t>
      </w:r>
      <w:r w:rsidR="00DB3D67" w:rsidRPr="00044BBD">
        <w:rPr>
          <w:rFonts w:ascii="ITC Avant Garde" w:hAnsi="ITC Avant Garde" w:cs="Arial"/>
          <w:sz w:val="22"/>
          <w:szCs w:val="22"/>
        </w:rPr>
        <w:t xml:space="preserve"> de Internet del Institut</w:t>
      </w:r>
      <w:r w:rsidR="00DB3D67">
        <w:rPr>
          <w:rFonts w:ascii="ITC Avant Garde" w:hAnsi="ITC Avant Garde" w:cs="Arial"/>
          <w:sz w:val="22"/>
          <w:szCs w:val="22"/>
        </w:rPr>
        <w:t>o Federal de Telecomunicaciones</w:t>
      </w:r>
      <w:r w:rsidRPr="00044BBD">
        <w:rPr>
          <w:rFonts w:ascii="ITC Avant Garde" w:hAnsi="ITC Avant Garde" w:cs="Arial"/>
          <w:sz w:val="22"/>
          <w:szCs w:val="22"/>
        </w:rPr>
        <w:t>.</w:t>
      </w:r>
    </w:p>
    <w:p w:rsidR="00A46EE2" w:rsidRPr="00A46EE2" w:rsidRDefault="00A46EE2" w:rsidP="00C55070">
      <w:pPr>
        <w:pStyle w:val="Prrafodelista"/>
        <w:spacing w:after="240"/>
        <w:ind w:left="0"/>
        <w:jc w:val="both"/>
        <w:rPr>
          <w:rFonts w:ascii="ITC Avant Garde" w:hAnsi="ITC Avant Garde"/>
          <w:sz w:val="8"/>
          <w:szCs w:val="20"/>
        </w:rPr>
      </w:pPr>
      <w:r w:rsidRPr="00A46EE2">
        <w:rPr>
          <w:rFonts w:ascii="ITC Avant Garde" w:hAnsi="ITC Avant Garde"/>
          <w:sz w:val="12"/>
        </w:rPr>
        <w:t xml:space="preserve">El presente Acuerdo fue aprobado por el Pleno del Instituto Federal de Telecomunicaciones en su XXXVI Sesión Ordinaria celebrada el 5 de diciembre de 2018, </w:t>
      </w:r>
      <w:r w:rsidRPr="00A46EE2">
        <w:rPr>
          <w:rFonts w:ascii="ITC Avant Garde" w:hAnsi="ITC Avant Garde"/>
          <w:bCs/>
          <w:sz w:val="12"/>
        </w:rPr>
        <w:t>por</w:t>
      </w:r>
      <w:r w:rsidRPr="00A46EE2">
        <w:rPr>
          <w:rFonts w:ascii="ITC Avant Garde" w:hAnsi="ITC Avant Garde"/>
          <w:sz w:val="12"/>
        </w:rPr>
        <w:t xml:space="preserve"> </w:t>
      </w:r>
      <w:r w:rsidRPr="00A46EE2">
        <w:rPr>
          <w:rFonts w:ascii="ITC Avant Garde" w:hAnsi="ITC Avant Garde"/>
          <w:bCs/>
          <w:sz w:val="12"/>
        </w:rPr>
        <w:t>unanimidad</w:t>
      </w:r>
      <w:r w:rsidRPr="00A46EE2">
        <w:rPr>
          <w:rFonts w:ascii="ITC Avant Garde" w:hAnsi="ITC Avant Garde"/>
          <w:sz w:val="12"/>
        </w:rPr>
        <w:t xml:space="preserve"> de votos de los Comisionados Gabriel Oswaldo Contreras Saldívar, María Elena Estavillo Flores, Mario Germán Fromow Rangel, Adolfo Cuevas Teja, Javier Juárez Mojica, Arturo Robles Rovalo y Sóstenes Díaz González;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P/IFT/051218/880.</w:t>
      </w:r>
    </w:p>
    <w:p w:rsidR="007A1854" w:rsidRDefault="00A46EE2" w:rsidP="00C55070">
      <w:pPr>
        <w:spacing w:after="240"/>
        <w:jc w:val="both"/>
        <w:rPr>
          <w:rFonts w:ascii="ITC Avant Garde" w:hAnsi="ITC Avant Garde"/>
          <w:sz w:val="12"/>
        </w:rPr>
        <w:sectPr w:rsidR="007A1854" w:rsidSect="00F27D1E">
          <w:footerReference w:type="default" r:id="rId11"/>
          <w:pgSz w:w="12240" w:h="15840"/>
          <w:pgMar w:top="1985" w:right="1418" w:bottom="1418" w:left="1418" w:header="709" w:footer="992" w:gutter="0"/>
          <w:pgNumType w:start="1"/>
          <w:cols w:space="720"/>
          <w:docGrid w:linePitch="326"/>
        </w:sectPr>
      </w:pPr>
      <w:r w:rsidRPr="00A46EE2">
        <w:rPr>
          <w:rFonts w:ascii="ITC Avant Garde" w:hAnsi="ITC Avant Garde"/>
          <w:sz w:val="12"/>
        </w:rPr>
        <w:t>El Comisionado Mario Germán Fromow Rangel asistió, participó y emitió su voto razonado en la Sesión, mediante comunicación electrónica a distancia, en términos de los artículos 45 cuarto párrafo de la Ley Federal de Telecomunicaciones y Radiodifusión, y 8 tercer párrafo del Estatuto Orgánico del Instituto Federal de Telecomunicaciones.</w:t>
      </w:r>
    </w:p>
    <w:p w:rsidR="004A3C25" w:rsidRPr="002A3E1D" w:rsidRDefault="00906C71"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w:t>
      </w:r>
      <w:r w:rsidR="002A3E1D">
        <w:rPr>
          <w:rFonts w:ascii="ITC Avant Garde" w:hAnsi="ITC Avant Garde" w:cs="Arial"/>
          <w:b/>
          <w:bCs/>
          <w:sz w:val="22"/>
          <w:szCs w:val="22"/>
          <w:lang w:val="uz-Cyrl-UZ" w:eastAsia="en-US"/>
        </w:rPr>
        <w:t>O</w:t>
      </w:r>
      <w:r w:rsidR="00842F5C" w:rsidRPr="002A3E1D">
        <w:rPr>
          <w:rFonts w:ascii="ITC Avant Garde" w:hAnsi="ITC Avant Garde" w:cs="Arial"/>
          <w:b/>
          <w:bCs/>
          <w:sz w:val="22"/>
          <w:szCs w:val="22"/>
          <w:lang w:val="uz-Cyrl-UZ" w:eastAsia="en-US"/>
        </w:rPr>
        <w:t xml:space="preserve"> </w:t>
      </w:r>
      <w:r w:rsidRPr="002A3E1D">
        <w:rPr>
          <w:rFonts w:ascii="ITC Avant Garde" w:hAnsi="ITC Avant Garde" w:cs="Arial"/>
          <w:b/>
          <w:bCs/>
          <w:sz w:val="22"/>
          <w:szCs w:val="22"/>
          <w:lang w:val="uz-Cyrl-UZ" w:eastAsia="en-US"/>
        </w:rPr>
        <w:t>ÚNICO</w:t>
      </w:r>
    </w:p>
    <w:p w:rsidR="0047195D" w:rsidRDefault="00842F5C" w:rsidP="00C55070">
      <w:pPr>
        <w:spacing w:after="240"/>
        <w:jc w:val="both"/>
        <w:rPr>
          <w:rFonts w:ascii="ITC Avant Garde" w:hAnsi="ITC Avant Garde" w:cs="Tahoma"/>
          <w:b/>
          <w:bCs/>
          <w:color w:val="000000"/>
          <w:sz w:val="22"/>
          <w:szCs w:val="22"/>
          <w:lang w:val="es-ES_tradnl" w:eastAsia="es-MX"/>
        </w:rPr>
      </w:pPr>
      <w:r w:rsidRPr="00842F5C">
        <w:rPr>
          <w:rFonts w:ascii="ITC Avant Garde" w:hAnsi="ITC Avant Garde" w:cs="Tahoma"/>
          <w:b/>
          <w:bCs/>
          <w:color w:val="000000"/>
          <w:sz w:val="22"/>
          <w:szCs w:val="22"/>
          <w:lang w:val="es-ES_tradnl" w:eastAsia="es-MX"/>
        </w:rPr>
        <w:t>ACUERDO MEDIANTE EL CUAL SE DAN A CONOCER LOS FORMATOS QUE SE EMPLEARÁN PARA REALIZAR LOS TRÁMITES CORRESPONDIENTES A LA SOLICITUD DE AUTORIZACIÓN PARA LA INSTALACIÓN O MODIFICACIÓN TÉCNICA DE ESTACIONES DE RADIODIFUSIÓN, Y A LA SOLICITUD DE AUTORIZACIÓN PARA LA INSTALACIÓN O MODIFICACIÓN TÉCNICA DE SERVICIOS AUXIL</w:t>
      </w:r>
      <w:r>
        <w:rPr>
          <w:rFonts w:ascii="ITC Avant Garde" w:hAnsi="ITC Avant Garde" w:cs="Tahoma"/>
          <w:b/>
          <w:bCs/>
          <w:color w:val="000000"/>
          <w:sz w:val="22"/>
          <w:szCs w:val="22"/>
          <w:lang w:val="es-ES_tradnl" w:eastAsia="es-MX"/>
        </w:rPr>
        <w:t xml:space="preserve">IARES A LA RADIODIFUSIÓN, Y SE </w:t>
      </w:r>
      <w:r w:rsidRPr="00842F5C">
        <w:rPr>
          <w:rFonts w:ascii="ITC Avant Garde" w:hAnsi="ITC Avant Garde" w:cs="Tahoma"/>
          <w:b/>
          <w:bCs/>
          <w:color w:val="000000"/>
          <w:sz w:val="22"/>
          <w:szCs w:val="22"/>
          <w:lang w:val="es-ES_tradnl" w:eastAsia="es-MX"/>
        </w:rPr>
        <w:t>MODIFICAN DIVERSAS DISPOSICIONES TÉCNICAS EN MATERIA DE RADIODIFUSIÓN PARA LA DESREGULACIÓN Y SIMPLIFICACIÓN DE ÉSTOS</w:t>
      </w:r>
    </w:p>
    <w:p w:rsidR="00DB3D67" w:rsidRDefault="00DB3D67" w:rsidP="00C55070">
      <w:pPr>
        <w:spacing w:after="240"/>
        <w:jc w:val="both"/>
        <w:rPr>
          <w:rFonts w:ascii="ITC Avant Garde" w:hAnsi="ITC Avant Garde" w:cs="Arial"/>
          <w:sz w:val="22"/>
          <w:szCs w:val="22"/>
        </w:rPr>
      </w:pPr>
      <w:r w:rsidRPr="00044BBD">
        <w:rPr>
          <w:rFonts w:ascii="ITC Avant Garde" w:hAnsi="ITC Avant Garde" w:cs="Arial"/>
          <w:b/>
          <w:sz w:val="22"/>
          <w:szCs w:val="22"/>
        </w:rPr>
        <w:t>PRIMERO</w:t>
      </w:r>
      <w:r>
        <w:rPr>
          <w:rFonts w:ascii="ITC Avant Garde" w:hAnsi="ITC Avant Garde" w:cs="Arial"/>
          <w:sz w:val="22"/>
          <w:szCs w:val="22"/>
        </w:rPr>
        <w:t>.</w:t>
      </w:r>
      <w:r w:rsidRPr="008F7ECB">
        <w:t xml:space="preserve"> </w:t>
      </w:r>
      <w:r w:rsidRPr="008F7ECB">
        <w:rPr>
          <w:rFonts w:ascii="ITC Avant Garde" w:hAnsi="ITC Avant Garde" w:cs="Arial"/>
          <w:sz w:val="22"/>
          <w:szCs w:val="22"/>
        </w:rPr>
        <w:t>Las presentes medidas tienen por objeto emplear la desregulación y la simplificación administrativa como herramientas para eficientar los trámites y servicios a cargo del Instituto, facilitar su presentación y disminuir las cargas administrativas a sus regulados como una política pública continua.</w:t>
      </w:r>
    </w:p>
    <w:p w:rsidR="00DB3D67" w:rsidRPr="00044BBD" w:rsidRDefault="00DB3D67" w:rsidP="00C55070">
      <w:pPr>
        <w:spacing w:after="240"/>
        <w:jc w:val="both"/>
        <w:rPr>
          <w:rFonts w:ascii="ITC Avant Garde" w:hAnsi="ITC Avant Garde" w:cs="Arial"/>
          <w:sz w:val="22"/>
          <w:szCs w:val="22"/>
        </w:rPr>
      </w:pPr>
      <w:r w:rsidRPr="00024543">
        <w:rPr>
          <w:rFonts w:ascii="ITC Avant Garde" w:hAnsi="ITC Avant Garde" w:cs="Arial"/>
          <w:b/>
          <w:sz w:val="22"/>
          <w:szCs w:val="22"/>
        </w:rPr>
        <w:t>SEGUNDO</w:t>
      </w:r>
      <w:r>
        <w:rPr>
          <w:rFonts w:ascii="ITC Avant Garde" w:hAnsi="ITC Avant Garde" w:cs="Arial"/>
          <w:sz w:val="22"/>
          <w:szCs w:val="22"/>
        </w:rPr>
        <w:t xml:space="preserve">.  Se da a conocer el formato para la presentación del trámite de </w:t>
      </w:r>
      <w:r w:rsidRPr="00044BBD">
        <w:rPr>
          <w:rFonts w:ascii="ITC Avant Garde" w:hAnsi="ITC Avant Garde" w:cs="Arial"/>
          <w:sz w:val="22"/>
          <w:szCs w:val="22"/>
        </w:rPr>
        <w:t xml:space="preserve">“Solicitud de autorización para la instalación o modificación técnica de estaciones de radiodifusión (Estaciones principales, plantas emergentes y, en su caso, equipos complementarios)”, </w:t>
      </w:r>
      <w:r>
        <w:rPr>
          <w:rFonts w:ascii="ITC Avant Garde" w:hAnsi="ITC Avant Garde" w:cs="Arial"/>
          <w:sz w:val="22"/>
          <w:szCs w:val="22"/>
        </w:rPr>
        <w:t>previsto por el</w:t>
      </w:r>
      <w:r w:rsidRPr="00044BBD">
        <w:rPr>
          <w:rFonts w:ascii="ITC Avant Garde" w:hAnsi="ITC Avant Garde" w:cs="Arial"/>
          <w:sz w:val="22"/>
          <w:szCs w:val="22"/>
        </w:rPr>
        <w:t xml:space="preserve"> artículo 155 de la Ley Federal de Telecomunicaciones y Radiodifusión, y que como Anexo A</w:t>
      </w:r>
      <w:r>
        <w:rPr>
          <w:rFonts w:ascii="ITC Avant Garde" w:hAnsi="ITC Avant Garde" w:cs="Arial"/>
          <w:sz w:val="22"/>
          <w:szCs w:val="22"/>
        </w:rPr>
        <w:t>,</w:t>
      </w:r>
      <w:r w:rsidRPr="00044BBD">
        <w:rPr>
          <w:rFonts w:ascii="ITC Avant Garde" w:hAnsi="ITC Avant Garde" w:cs="Arial"/>
          <w:sz w:val="22"/>
          <w:szCs w:val="22"/>
        </w:rPr>
        <w:t xml:space="preserve"> </w:t>
      </w:r>
      <w:r>
        <w:rPr>
          <w:rFonts w:ascii="ITC Avant Garde" w:hAnsi="ITC Avant Garde" w:cs="Arial"/>
          <w:sz w:val="22"/>
          <w:szCs w:val="22"/>
        </w:rPr>
        <w:t xml:space="preserve">es </w:t>
      </w:r>
      <w:r w:rsidRPr="00044BBD">
        <w:rPr>
          <w:rFonts w:ascii="ITC Avant Garde" w:hAnsi="ITC Avant Garde" w:cs="Arial"/>
          <w:sz w:val="22"/>
          <w:szCs w:val="22"/>
        </w:rPr>
        <w:t>parte integral de</w:t>
      </w:r>
      <w:r>
        <w:rPr>
          <w:rFonts w:ascii="ITC Avant Garde" w:hAnsi="ITC Avant Garde" w:cs="Arial"/>
          <w:sz w:val="22"/>
          <w:szCs w:val="22"/>
        </w:rPr>
        <w:t>l</w:t>
      </w:r>
      <w:r w:rsidRPr="00044BBD">
        <w:rPr>
          <w:rFonts w:ascii="ITC Avant Garde" w:hAnsi="ITC Avant Garde" w:cs="Arial"/>
          <w:sz w:val="22"/>
          <w:szCs w:val="22"/>
        </w:rPr>
        <w:t xml:space="preserve"> presente </w:t>
      </w:r>
      <w:r>
        <w:rPr>
          <w:rFonts w:ascii="ITC Avant Garde" w:hAnsi="ITC Avant Garde" w:cs="Arial"/>
          <w:sz w:val="22"/>
          <w:szCs w:val="22"/>
        </w:rPr>
        <w:t>Acuerdo</w:t>
      </w:r>
      <w:r w:rsidRPr="00044BBD">
        <w:rPr>
          <w:rFonts w:ascii="ITC Avant Garde" w:hAnsi="ITC Avant Garde" w:cs="Arial"/>
          <w:sz w:val="22"/>
          <w:szCs w:val="22"/>
        </w:rPr>
        <w:t>.</w:t>
      </w:r>
    </w:p>
    <w:p w:rsidR="00DB3D67" w:rsidRPr="00044BBD" w:rsidRDefault="00DB3D67" w:rsidP="00C55070">
      <w:pPr>
        <w:spacing w:after="240"/>
        <w:jc w:val="both"/>
        <w:rPr>
          <w:rFonts w:ascii="ITC Avant Garde" w:hAnsi="ITC Avant Garde" w:cs="Arial"/>
          <w:sz w:val="22"/>
          <w:szCs w:val="22"/>
        </w:rPr>
      </w:pPr>
      <w:r>
        <w:rPr>
          <w:rFonts w:ascii="ITC Avant Garde" w:hAnsi="ITC Avant Garde" w:cs="Arial"/>
          <w:b/>
          <w:sz w:val="22"/>
          <w:szCs w:val="22"/>
        </w:rPr>
        <w:t>TERCERO</w:t>
      </w:r>
      <w:r w:rsidRPr="00044BBD">
        <w:rPr>
          <w:rFonts w:ascii="ITC Avant Garde" w:hAnsi="ITC Avant Garde" w:cs="Arial"/>
          <w:sz w:val="22"/>
          <w:szCs w:val="22"/>
        </w:rPr>
        <w:t xml:space="preserve">. Se sustituyen los formatos contenidos en el Anexo B del </w:t>
      </w:r>
      <w:r w:rsidRPr="00D05DB1">
        <w:rPr>
          <w:rFonts w:ascii="ITC Avant Garde" w:hAnsi="ITC Avant Garde" w:cs="Arial"/>
          <w:i/>
          <w:sz w:val="22"/>
          <w:szCs w:val="22"/>
        </w:rPr>
        <w:t>“</w:t>
      </w:r>
      <w:bookmarkStart w:id="1" w:name="OLE_LINK1"/>
      <w:bookmarkStart w:id="2" w:name="OLE_LINK2"/>
      <w:r w:rsidRPr="00D05DB1">
        <w:rPr>
          <w:rFonts w:ascii="ITC Avant Garde" w:hAnsi="ITC Avant Garde" w:cs="Arial"/>
          <w:i/>
          <w:sz w:val="22"/>
          <w:szCs w:val="22"/>
        </w:rPr>
        <w:t>Acuerdo mediante el cual el Pleno del Instituto Federal de Telecomunicaciones modifica el diverso por el que se atribuyen frecuencias del espectro radioeléctrico para prestar servicios auxiliares a la radiodifusión, y se establece el procedimiento para autorizar el uso de las mismas</w:t>
      </w:r>
      <w:bookmarkEnd w:id="1"/>
      <w:bookmarkEnd w:id="2"/>
      <w:r w:rsidRPr="00D05DB1">
        <w:rPr>
          <w:rFonts w:ascii="ITC Avant Garde" w:hAnsi="ITC Avant Garde" w:cs="Arial"/>
          <w:i/>
          <w:sz w:val="22"/>
          <w:szCs w:val="22"/>
        </w:rPr>
        <w:t>”</w:t>
      </w:r>
      <w:r w:rsidRPr="00044BBD">
        <w:rPr>
          <w:rFonts w:ascii="ITC Avant Garde" w:hAnsi="ITC Avant Garde" w:cs="Arial"/>
          <w:sz w:val="22"/>
          <w:szCs w:val="22"/>
        </w:rPr>
        <w:t xml:space="preserve">, publicado en el Diario Oficial de la Federación el 19 de noviembre de 2015, para quedar </w:t>
      </w:r>
      <w:r>
        <w:rPr>
          <w:rFonts w:ascii="ITC Avant Garde" w:hAnsi="ITC Avant Garde" w:cs="Arial"/>
          <w:sz w:val="22"/>
          <w:szCs w:val="22"/>
        </w:rPr>
        <w:t>bajo las siguientes denominaciones:</w:t>
      </w:r>
      <w:r w:rsidRPr="00044BBD">
        <w:rPr>
          <w:rFonts w:ascii="ITC Avant Garde" w:hAnsi="ITC Avant Garde" w:cs="Arial"/>
          <w:sz w:val="22"/>
          <w:szCs w:val="22"/>
        </w:rPr>
        <w:t xml:space="preserve"> “Solicitud de autorización para la instalación o modificación técnica de servicios auxiliares a la radiodifusión (Modalidad A: Sistema Control Remoto)” y “Solicitud de autorización para la instalación o modificación técnica de servicios auxiliares a la radiodifusión (Modalidad B: Enlace Estudio-Planta)”, establecidos </w:t>
      </w:r>
      <w:r>
        <w:rPr>
          <w:rFonts w:ascii="ITC Avant Garde" w:hAnsi="ITC Avant Garde" w:cs="Arial"/>
          <w:sz w:val="22"/>
          <w:szCs w:val="22"/>
        </w:rPr>
        <w:t>como</w:t>
      </w:r>
      <w:r w:rsidRPr="00044BBD">
        <w:rPr>
          <w:rFonts w:ascii="ITC Avant Garde" w:hAnsi="ITC Avant Garde" w:cs="Arial"/>
          <w:sz w:val="22"/>
          <w:szCs w:val="22"/>
        </w:rPr>
        <w:t xml:space="preserve"> Anexo</w:t>
      </w:r>
      <w:r>
        <w:rPr>
          <w:rFonts w:ascii="ITC Avant Garde" w:hAnsi="ITC Avant Garde" w:cs="Arial"/>
          <w:sz w:val="22"/>
          <w:szCs w:val="22"/>
        </w:rPr>
        <w:t>s</w:t>
      </w:r>
      <w:r w:rsidRPr="00044BBD">
        <w:rPr>
          <w:rFonts w:ascii="ITC Avant Garde" w:hAnsi="ITC Avant Garde" w:cs="Arial"/>
          <w:sz w:val="22"/>
          <w:szCs w:val="22"/>
        </w:rPr>
        <w:t xml:space="preserve"> B</w:t>
      </w:r>
      <w:r>
        <w:rPr>
          <w:rFonts w:ascii="ITC Avant Garde" w:hAnsi="ITC Avant Garde" w:cs="Arial"/>
          <w:sz w:val="22"/>
          <w:szCs w:val="22"/>
        </w:rPr>
        <w:t xml:space="preserve"> y C, respectivamente,</w:t>
      </w:r>
      <w:r w:rsidRPr="00044BBD">
        <w:rPr>
          <w:rFonts w:ascii="ITC Avant Garde" w:hAnsi="ITC Avant Garde" w:cs="Arial"/>
          <w:sz w:val="22"/>
          <w:szCs w:val="22"/>
        </w:rPr>
        <w:t xml:space="preserve"> de</w:t>
      </w:r>
      <w:r>
        <w:rPr>
          <w:rFonts w:ascii="ITC Avant Garde" w:hAnsi="ITC Avant Garde" w:cs="Arial"/>
          <w:sz w:val="22"/>
          <w:szCs w:val="22"/>
        </w:rPr>
        <w:t>l presente Acuerdo.</w:t>
      </w:r>
    </w:p>
    <w:p w:rsidR="00DB3D67" w:rsidRPr="00024543" w:rsidRDefault="00DB3D67" w:rsidP="00C55070">
      <w:pPr>
        <w:spacing w:after="240"/>
        <w:jc w:val="both"/>
        <w:rPr>
          <w:rFonts w:ascii="ITC Avant Garde Std Bk" w:hAnsi="ITC Avant Garde Std Bk" w:cs="Arial"/>
          <w:sz w:val="22"/>
          <w:szCs w:val="22"/>
        </w:rPr>
      </w:pPr>
      <w:r w:rsidRPr="00024543">
        <w:rPr>
          <w:rFonts w:ascii="ITC Avant Garde" w:hAnsi="ITC Avant Garde" w:cs="Arial"/>
          <w:b/>
          <w:sz w:val="22"/>
          <w:szCs w:val="22"/>
        </w:rPr>
        <w:t>CUARTO</w:t>
      </w:r>
      <w:r w:rsidRPr="00024543">
        <w:rPr>
          <w:rFonts w:ascii="ITC Avant Garde Std Bk" w:hAnsi="ITC Avant Garde Std Bk" w:cs="Arial"/>
          <w:b/>
          <w:sz w:val="22"/>
          <w:szCs w:val="22"/>
        </w:rPr>
        <w:t>.</w:t>
      </w:r>
      <w:r w:rsidRPr="00024543">
        <w:rPr>
          <w:rFonts w:ascii="ITC Avant Garde Std Bk" w:hAnsi="ITC Avant Garde Std Bk" w:cs="Arial"/>
          <w:sz w:val="22"/>
          <w:szCs w:val="22"/>
        </w:rPr>
        <w:t xml:space="preserve"> </w:t>
      </w:r>
      <w:r w:rsidRPr="00024543">
        <w:rPr>
          <w:rFonts w:ascii="ITC Avant Garde" w:hAnsi="ITC Avant Garde" w:cs="Arial"/>
          <w:sz w:val="22"/>
          <w:szCs w:val="22"/>
        </w:rPr>
        <w:t xml:space="preserve">Se </w:t>
      </w:r>
      <w:r w:rsidRPr="00024543">
        <w:rPr>
          <w:rFonts w:ascii="ITC Avant Garde" w:hAnsi="ITC Avant Garde" w:cs="Arial"/>
          <w:b/>
          <w:sz w:val="22"/>
          <w:szCs w:val="22"/>
        </w:rPr>
        <w:t>MODIFICAN</w:t>
      </w:r>
      <w:r w:rsidRPr="00024543">
        <w:rPr>
          <w:rFonts w:ascii="ITC Avant Garde" w:hAnsi="ITC Avant Garde" w:cs="Arial"/>
          <w:sz w:val="22"/>
          <w:szCs w:val="22"/>
        </w:rPr>
        <w:t xml:space="preserve"> los numerales 8.1, párrafo primero; 8.2, párrafo cuarto de la </w:t>
      </w:r>
      <w:r>
        <w:rPr>
          <w:rFonts w:ascii="ITC Avant Garde" w:hAnsi="ITC Avant Garde" w:cs="Arial"/>
          <w:sz w:val="22"/>
          <w:szCs w:val="22"/>
        </w:rPr>
        <w:t>N</w:t>
      </w:r>
      <w:r w:rsidRPr="00024543">
        <w:rPr>
          <w:rFonts w:ascii="ITC Avant Garde" w:hAnsi="ITC Avant Garde" w:cs="Arial"/>
          <w:sz w:val="22"/>
          <w:szCs w:val="22"/>
        </w:rPr>
        <w:t xml:space="preserve">ota de la Tabla 5, y párrafos segundo y tercero; y se </w:t>
      </w:r>
      <w:r w:rsidRPr="00024543">
        <w:rPr>
          <w:rFonts w:ascii="ITC Avant Garde" w:hAnsi="ITC Avant Garde" w:cs="Arial"/>
          <w:b/>
          <w:sz w:val="22"/>
          <w:szCs w:val="22"/>
        </w:rPr>
        <w:t>DEROGA</w:t>
      </w:r>
      <w:r w:rsidRPr="00024543">
        <w:rPr>
          <w:rFonts w:ascii="ITC Avant Garde" w:hAnsi="ITC Avant Garde" w:cs="Arial"/>
          <w:sz w:val="22"/>
          <w:szCs w:val="22"/>
        </w:rPr>
        <w:t xml:space="preserve"> el párrafo segundo</w:t>
      </w:r>
      <w:r>
        <w:rPr>
          <w:rFonts w:ascii="ITC Avant Garde" w:hAnsi="ITC Avant Garde" w:cs="Arial"/>
          <w:sz w:val="22"/>
          <w:szCs w:val="22"/>
        </w:rPr>
        <w:t xml:space="preserve"> del numeral 8.1</w:t>
      </w:r>
      <w:r w:rsidRPr="00024543">
        <w:rPr>
          <w:rFonts w:ascii="ITC Avant Garde" w:hAnsi="ITC Avant Garde" w:cs="Arial"/>
          <w:sz w:val="22"/>
          <w:szCs w:val="22"/>
        </w:rPr>
        <w:t xml:space="preserve"> de la Disposición Técnica IFT-001-2015: Especificaciones y requerimientos para la instalación y operación de las estaciones de radiodifusión sonora en amplitud modulada en la banda de 535 kHz a 1705 </w:t>
      </w:r>
      <w:r w:rsidR="002B7800" w:rsidRPr="00024543">
        <w:rPr>
          <w:rFonts w:ascii="ITC Avant Garde" w:hAnsi="ITC Avant Garde" w:cs="Arial"/>
          <w:sz w:val="22"/>
          <w:szCs w:val="22"/>
        </w:rPr>
        <w:t>kHz, para</w:t>
      </w:r>
      <w:r w:rsidRPr="00024543">
        <w:rPr>
          <w:rFonts w:ascii="ITC Avant Garde" w:hAnsi="ITC Avant Garde" w:cs="Arial"/>
          <w:sz w:val="22"/>
          <w:szCs w:val="22"/>
        </w:rPr>
        <w:t xml:space="preserve"> quedar como sigue:</w:t>
      </w:r>
    </w:p>
    <w:p w:rsidR="00BA3625" w:rsidRPr="00BA3625" w:rsidRDefault="006617E6" w:rsidP="00C55070">
      <w:pPr>
        <w:spacing w:after="240"/>
        <w:ind w:firstLine="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8.1 ANTENAS</w:t>
      </w:r>
      <w:r w:rsidR="00BA3625" w:rsidRPr="00BA3625">
        <w:rPr>
          <w:rFonts w:ascii="ITC Avant Garde Std Bk" w:hAnsi="ITC Avant Garde Std Bk" w:cs="Arial"/>
          <w:b/>
          <w:sz w:val="22"/>
          <w:szCs w:val="22"/>
        </w:rPr>
        <w:t>.</w:t>
      </w:r>
    </w:p>
    <w:p w:rsidR="00BA3625" w:rsidRPr="00BA3625" w:rsidRDefault="00BA3625" w:rsidP="00C55070">
      <w:pPr>
        <w:spacing w:after="240"/>
        <w:ind w:left="426" w:firstLine="567"/>
        <w:jc w:val="both"/>
        <w:rPr>
          <w:rFonts w:ascii="ITC Avant Garde Std Bk" w:hAnsi="ITC Avant Garde Std Bk" w:cs="Arial"/>
          <w:sz w:val="22"/>
          <w:szCs w:val="22"/>
        </w:rPr>
      </w:pPr>
      <w:r w:rsidRPr="003426C0">
        <w:rPr>
          <w:rFonts w:ascii="ITC Avant Garde" w:hAnsi="ITC Avant Garde" w:cs="Arial"/>
          <w:sz w:val="22"/>
          <w:szCs w:val="22"/>
        </w:rPr>
        <w:t>Todas las estaciones de radiodifusión sonora en A.M., deben usar antenas verticales. Cuando se deseen utilizar antenas de configuración diferente, se debe contar con la previa autorización del Instituto, a través de la presentación del formato que al efecto establezca el Instituto</w:t>
      </w:r>
      <w:r w:rsidRPr="00BA3625">
        <w:rPr>
          <w:rFonts w:ascii="ITC Avant Garde Std Bk" w:hAnsi="ITC Avant Garde Std Bk" w:cs="Arial"/>
          <w:sz w:val="22"/>
          <w:szCs w:val="22"/>
        </w:rPr>
        <w:t>.</w:t>
      </w:r>
    </w:p>
    <w:p w:rsidR="00BA3625" w:rsidRPr="00BA3625" w:rsidRDefault="00BA3625" w:rsidP="00C55070">
      <w:pPr>
        <w:spacing w:after="240"/>
        <w:ind w:firstLine="426"/>
        <w:jc w:val="both"/>
        <w:rPr>
          <w:rFonts w:ascii="ITC Avant Garde Std Bk" w:hAnsi="ITC Avant Garde Std Bk" w:cs="Arial"/>
          <w:sz w:val="22"/>
          <w:szCs w:val="22"/>
        </w:rPr>
      </w:pPr>
      <w:r w:rsidRPr="003426C0">
        <w:rPr>
          <w:rFonts w:ascii="ITC Avant Garde" w:hAnsi="ITC Avant Garde" w:cs="Arial"/>
          <w:sz w:val="22"/>
          <w:szCs w:val="22"/>
        </w:rPr>
        <w:t>(párrafo derogado)</w:t>
      </w:r>
    </w:p>
    <w:p w:rsidR="00BA3625" w:rsidRPr="003426C0" w:rsidRDefault="00BA3625" w:rsidP="00C55070">
      <w:pPr>
        <w:spacing w:after="240"/>
        <w:ind w:firstLine="426"/>
        <w:jc w:val="both"/>
        <w:rPr>
          <w:rFonts w:ascii="ITC Avant Garde" w:hAnsi="ITC Avant Garde" w:cs="Arial"/>
          <w:b/>
          <w:sz w:val="22"/>
          <w:szCs w:val="22"/>
        </w:rPr>
      </w:pPr>
      <w:r w:rsidRPr="00BA3625">
        <w:rPr>
          <w:rFonts w:ascii="ITC Avant Garde Std Bk" w:hAnsi="ITC Avant Garde Std Bk" w:cs="Arial"/>
          <w:b/>
          <w:sz w:val="22"/>
          <w:szCs w:val="22"/>
        </w:rPr>
        <w:lastRenderedPageBreak/>
        <w:t>8</w:t>
      </w:r>
      <w:r w:rsidRPr="003426C0">
        <w:rPr>
          <w:rFonts w:ascii="ITC Avant Garde" w:hAnsi="ITC Avant Garde" w:cs="Arial"/>
          <w:b/>
          <w:sz w:val="22"/>
          <w:szCs w:val="22"/>
        </w:rPr>
        <w:t>.2 DISPOSICIONES GENERALES.</w:t>
      </w:r>
    </w:p>
    <w:p w:rsidR="00BA3625" w:rsidRPr="003426C0" w:rsidRDefault="00BA3625" w:rsidP="00C55070">
      <w:pPr>
        <w:spacing w:after="240"/>
        <w:ind w:firstLine="426"/>
        <w:jc w:val="both"/>
        <w:rPr>
          <w:rFonts w:ascii="ITC Avant Garde" w:hAnsi="ITC Avant Garde" w:cs="Arial"/>
          <w:b/>
          <w:sz w:val="22"/>
          <w:szCs w:val="22"/>
        </w:rPr>
      </w:pPr>
      <w:r w:rsidRPr="003426C0">
        <w:rPr>
          <w:rFonts w:ascii="ITC Avant Garde" w:hAnsi="ITC Avant Garde" w:cs="Arial"/>
          <w:b/>
          <w:sz w:val="22"/>
          <w:szCs w:val="22"/>
        </w:rPr>
        <w:t>…</w:t>
      </w:r>
    </w:p>
    <w:p w:rsidR="00BA3625" w:rsidRPr="003426C0" w:rsidRDefault="00BA3625" w:rsidP="00C55070">
      <w:pPr>
        <w:spacing w:after="240"/>
        <w:ind w:firstLine="426"/>
        <w:jc w:val="center"/>
        <w:rPr>
          <w:rFonts w:ascii="ITC Avant Garde" w:hAnsi="ITC Avant Garde" w:cs="Arial"/>
          <w:b/>
          <w:sz w:val="22"/>
          <w:szCs w:val="22"/>
        </w:rPr>
      </w:pPr>
      <w:r w:rsidRPr="003426C0">
        <w:rPr>
          <w:rFonts w:ascii="ITC Avant Garde" w:hAnsi="ITC Avant Garde" w:cs="Arial"/>
          <w:b/>
          <w:sz w:val="22"/>
          <w:szCs w:val="22"/>
        </w:rPr>
        <w:t>TABLA 5</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Nota: …</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ind w:left="2127" w:right="1607" w:hanging="426"/>
        <w:jc w:val="both"/>
        <w:rPr>
          <w:rFonts w:ascii="ITC Avant Garde" w:hAnsi="ITC Avant Garde" w:cs="Arial"/>
          <w:sz w:val="22"/>
          <w:szCs w:val="22"/>
        </w:rPr>
      </w:pPr>
      <w:r w:rsidRPr="003426C0">
        <w:rPr>
          <w:rFonts w:ascii="ITC Avant Garde" w:hAnsi="ITC Avant Garde" w:cs="Arial"/>
          <w:sz w:val="22"/>
          <w:szCs w:val="22"/>
        </w:rPr>
        <w:t>…</w:t>
      </w:r>
      <w:r w:rsidRPr="003426C0">
        <w:rPr>
          <w:rFonts w:ascii="ITC Avant Garde" w:hAnsi="ITC Avant Garde" w:cs="Arial"/>
          <w:sz w:val="22"/>
          <w:szCs w:val="22"/>
        </w:rPr>
        <w:tab/>
      </w:r>
    </w:p>
    <w:p w:rsidR="00BA3625" w:rsidRPr="003426C0" w:rsidRDefault="00BA3625" w:rsidP="00C55070">
      <w:pPr>
        <w:spacing w:after="240"/>
        <w:ind w:left="1701" w:right="1607"/>
        <w:jc w:val="both"/>
        <w:rPr>
          <w:rFonts w:ascii="ITC Avant Garde" w:hAnsi="ITC Avant Garde" w:cs="Arial"/>
          <w:sz w:val="22"/>
          <w:szCs w:val="22"/>
        </w:rPr>
      </w:pPr>
      <w:r w:rsidRPr="003426C0">
        <w:rPr>
          <w:rFonts w:ascii="ITC Avant Garde" w:hAnsi="ITC Avant Garde" w:cs="Arial"/>
          <w:sz w:val="22"/>
          <w:szCs w:val="22"/>
        </w:rPr>
        <w:t xml:space="preserve">Para lo anterior, los interesados deberán presentar la opinión favorable en materia de aeronáutica civil. Así como la información señalada en el formato que al efecto establezca el Instituto, respecto a la ubicación de la estación. </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antena en forma común para instalar dos o más estaciones de radiodifusión sonora en A.M., se debe señalar en el apartado correspondiente del formato que para tal efecto determine el Instituto.</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Asimismo, cuando las estructuras se pretendan usar como elementos de sustentación común para las antenas de cualquier otro servicio de radiodifusión, deberá realizarse el estudio de no interferencia, con el que se verifique la convivencia entre servicios, así como el cumplimiento de todas las características de radiación autorizadas para cada una de ellas. Lo anterior, con objeto de determinar que no habrá afectaciones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Dicho estudio deberá estar a disposición de</w:t>
      </w:r>
      <w:r w:rsidR="003974FE" w:rsidRPr="003426C0">
        <w:rPr>
          <w:rFonts w:ascii="ITC Avant Garde" w:hAnsi="ITC Avant Garde" w:cs="Arial"/>
          <w:sz w:val="22"/>
          <w:szCs w:val="22"/>
        </w:rPr>
        <w:t>l</w:t>
      </w:r>
      <w:r w:rsidRPr="003426C0">
        <w:rPr>
          <w:rFonts w:ascii="ITC Avant Garde" w:hAnsi="ITC Avant Garde" w:cs="Arial"/>
          <w:sz w:val="22"/>
          <w:szCs w:val="22"/>
        </w:rPr>
        <w:t xml:space="preserve"> Instituto</w:t>
      </w:r>
      <w:r w:rsidR="00B35306" w:rsidRPr="003426C0">
        <w:rPr>
          <w:rFonts w:ascii="ITC Avant Garde" w:hAnsi="ITC Avant Garde" w:cs="Arial"/>
          <w:sz w:val="22"/>
          <w:szCs w:val="22"/>
        </w:rPr>
        <w:t xml:space="preserve"> para cuando éste lo requiera</w:t>
      </w:r>
      <w:r w:rsidRPr="003426C0">
        <w:rPr>
          <w:rFonts w:ascii="ITC Avant Garde" w:hAnsi="ITC Avant Garde" w:cs="Arial"/>
          <w:sz w:val="22"/>
          <w:szCs w:val="22"/>
        </w:rPr>
        <w:t>.</w:t>
      </w:r>
    </w:p>
    <w:p w:rsidR="00BA3625" w:rsidRPr="003426C0" w:rsidRDefault="00BA3625" w:rsidP="00C5507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ind w:left="426"/>
        <w:jc w:val="both"/>
        <w:rPr>
          <w:rFonts w:ascii="ITC Avant Garde" w:hAnsi="ITC Avant Garde" w:cs="Arial"/>
          <w:sz w:val="22"/>
          <w:szCs w:val="22"/>
        </w:rPr>
      </w:pPr>
      <w:r w:rsidRPr="003426C0">
        <w:rPr>
          <w:rFonts w:ascii="ITC Avant Garde" w:hAnsi="ITC Avant Garde" w:cs="Arial"/>
          <w:sz w:val="22"/>
          <w:szCs w:val="22"/>
        </w:rPr>
        <w:t>…</w:t>
      </w:r>
      <w:r w:rsidR="00DB3D67">
        <w:rPr>
          <w:rFonts w:ascii="ITC Avant Garde" w:hAnsi="ITC Avant Garde" w:cs="Arial"/>
          <w:sz w:val="22"/>
          <w:szCs w:val="22"/>
        </w:rPr>
        <w:t>”</w:t>
      </w:r>
    </w:p>
    <w:p w:rsidR="006617E6" w:rsidRDefault="00DB3D67" w:rsidP="00C55070">
      <w:pPr>
        <w:pStyle w:val="ROMANOS"/>
        <w:spacing w:after="240" w:line="240" w:lineRule="auto"/>
        <w:ind w:left="0" w:firstLine="0"/>
        <w:rPr>
          <w:rFonts w:ascii="ITC Avant Garde" w:hAnsi="ITC Avant Garde"/>
          <w:sz w:val="22"/>
          <w:szCs w:val="22"/>
        </w:rPr>
      </w:pPr>
      <w:r w:rsidRPr="00024543">
        <w:rPr>
          <w:rFonts w:ascii="ITC Avant Garde" w:hAnsi="ITC Avant Garde"/>
          <w:b/>
          <w:sz w:val="22"/>
          <w:szCs w:val="22"/>
        </w:rPr>
        <w:t>QUINTO</w:t>
      </w:r>
      <w:r w:rsidRPr="00024543">
        <w:rPr>
          <w:rFonts w:ascii="ITC Avant Garde Std Bk" w:hAnsi="ITC Avant Garde Std Bk"/>
          <w:b/>
          <w:sz w:val="22"/>
          <w:szCs w:val="22"/>
        </w:rPr>
        <w:t>.</w:t>
      </w:r>
      <w:r>
        <w:rPr>
          <w:rFonts w:ascii="ITC Avant Garde Std Bk" w:hAnsi="ITC Avant Garde Std Bk"/>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11.2.2, párrafos primero y segundo; 11.3, párrafos primero y tercero; CAPÍTULO 1</w:t>
      </w:r>
      <w:r>
        <w:rPr>
          <w:rFonts w:ascii="ITC Avant Garde" w:hAnsi="ITC Avant Garde"/>
          <w:sz w:val="22"/>
          <w:szCs w:val="22"/>
        </w:rPr>
        <w:t>2</w:t>
      </w:r>
      <w:r w:rsidRPr="00024543">
        <w:rPr>
          <w:rFonts w:ascii="ITC Avant Garde" w:hAnsi="ITC Avant Garde"/>
          <w:sz w:val="22"/>
          <w:szCs w:val="22"/>
        </w:rPr>
        <w:t xml:space="preserve">. ÁREAS DE SERVICIO Y PROCEDIMIENTO ANALÍTICO PARA SU PRONÓSTICO, párrafo segundo; y se </w:t>
      </w:r>
      <w:r w:rsidRPr="00024543">
        <w:rPr>
          <w:rFonts w:ascii="ITC Avant Garde" w:hAnsi="ITC Avant Garde"/>
          <w:b/>
          <w:sz w:val="22"/>
          <w:szCs w:val="22"/>
        </w:rPr>
        <w:t>DEROGA</w:t>
      </w:r>
      <w:r w:rsidRPr="00024543">
        <w:rPr>
          <w:rFonts w:ascii="ITC Avant Garde" w:hAnsi="ITC Avant Garde"/>
          <w:sz w:val="22"/>
          <w:szCs w:val="22"/>
        </w:rPr>
        <w:t xml:space="preserve"> el </w:t>
      </w:r>
      <w:r>
        <w:rPr>
          <w:rFonts w:ascii="ITC Avant Garde" w:hAnsi="ITC Avant Garde"/>
          <w:sz w:val="22"/>
          <w:szCs w:val="22"/>
        </w:rPr>
        <w:t xml:space="preserve">párrafo tercero del </w:t>
      </w:r>
      <w:r w:rsidRPr="00024543">
        <w:rPr>
          <w:rFonts w:ascii="ITC Avant Garde" w:hAnsi="ITC Avant Garde"/>
          <w:sz w:val="22"/>
          <w:szCs w:val="22"/>
        </w:rPr>
        <w:t>numeral 11.4, de la Disposición Técnica IFT-002-2016: Especificaciones y requerimientos para la instalación y operación de las estaciones de radiodifusión sonora en frecuencia modulada en la banda de 88 MHz a 108 MHz, para quedar como sigue:</w:t>
      </w:r>
    </w:p>
    <w:p w:rsidR="00BA3625" w:rsidRPr="00A738B0" w:rsidRDefault="006617E6" w:rsidP="00C55070">
      <w:pPr>
        <w:spacing w:after="240"/>
        <w:ind w:left="426"/>
        <w:jc w:val="both"/>
        <w:rPr>
          <w:rFonts w:ascii="ITC Avant Garde Std Bk" w:hAnsi="ITC Avant Garde Std Bk" w:cs="Arial"/>
          <w:b/>
          <w:sz w:val="22"/>
          <w:szCs w:val="22"/>
        </w:rPr>
      </w:pPr>
      <w:r>
        <w:rPr>
          <w:rFonts w:ascii="ITC Avant Garde" w:hAnsi="ITC Avant Garde" w:cs="Arial"/>
          <w:b/>
          <w:sz w:val="22"/>
          <w:szCs w:val="22"/>
        </w:rPr>
        <w:t>“</w:t>
      </w:r>
      <w:r w:rsidR="00BA3625" w:rsidRPr="003426C0">
        <w:rPr>
          <w:rFonts w:ascii="ITC Avant Garde" w:hAnsi="ITC Avant Garde" w:cs="Arial"/>
          <w:b/>
          <w:sz w:val="22"/>
          <w:szCs w:val="22"/>
        </w:rPr>
        <w:t>11.2.2 USO DE UNA ESTRUCTURA PARA LA INSTALACIÓN DE VARIAS ANTENAS TRANSMISORAS</w:t>
      </w:r>
      <w:r w:rsidR="00BA3625" w:rsidRPr="00A738B0">
        <w:rPr>
          <w:rFonts w:ascii="ITC Avant Garde Std Bk" w:hAnsi="ITC Avant Garde Std Bk" w:cs="Arial"/>
          <w:b/>
          <w:sz w:val="22"/>
          <w:szCs w:val="22"/>
        </w:rPr>
        <w:t>.</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Cuando se pretenda utilizar una estructura en forma común para instalar dos o más antenas transmisoras de Estaciones de Radiodifusión Sonora en F.M. se debe señalar la información de operación múltiple, a través del formato que al efecto establezca el Instituto.</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lastRenderedPageBreak/>
        <w:t xml:space="preserve">Asimismo, cuando las estructuras se pretendan usar como elementos de sustentación común para las antenas de radiodifusión o </w:t>
      </w:r>
      <w:r w:rsidR="00857A98">
        <w:rPr>
          <w:rFonts w:ascii="ITC Avant Garde" w:hAnsi="ITC Avant Garde" w:cs="Arial"/>
          <w:sz w:val="22"/>
          <w:szCs w:val="22"/>
        </w:rPr>
        <w:t>cualquier otro servicio</w:t>
      </w:r>
      <w:r w:rsidRPr="003426C0">
        <w:rPr>
          <w:rFonts w:ascii="ITC Avant Garde" w:hAnsi="ITC Avant Garde" w:cs="Arial"/>
          <w:sz w:val="22"/>
          <w:szCs w:val="22"/>
        </w:rPr>
        <w:t>, deberá realizarse el estudio de no interferencia y compatibilidad electromagnética, con el que se verifique la convivencia entre servicios, así como el cumplimiento de todas las características de radiación autorizadas para cada una de ellas. Lo anterior, con objeto de determinar que no habrá afectación a</w:t>
      </w:r>
      <w:r w:rsidR="00857A98">
        <w:rPr>
          <w:rFonts w:ascii="ITC Avant Garde" w:hAnsi="ITC Avant Garde" w:cs="Arial"/>
          <w:sz w:val="22"/>
          <w:szCs w:val="22"/>
        </w:rPr>
        <w:t>l servicio de</w:t>
      </w:r>
      <w:r w:rsidRPr="003426C0">
        <w:rPr>
          <w:rFonts w:ascii="ITC Avant Garde" w:hAnsi="ITC Avant Garde" w:cs="Arial"/>
          <w:sz w:val="22"/>
          <w:szCs w:val="22"/>
        </w:rPr>
        <w:t xml:space="preserve"> radiodifusión. </w:t>
      </w:r>
      <w:r w:rsidR="003974F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11.3 ESTRUCTURA.</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 xml:space="preserve">Para la ubicación y erección de cualquier soporte estructural de antena que ha de utilizarse por una nueva Estación de Radiodifusión Sonora en F.M. o para el cambio de ubicación de una existente, el interesado deberá obtener autorización de la autoridad competente en materia de </w:t>
      </w:r>
      <w:r w:rsidR="003974FE" w:rsidRPr="003426C0">
        <w:rPr>
          <w:rFonts w:ascii="ITC Avant Garde" w:hAnsi="ITC Avant Garde" w:cs="Arial"/>
          <w:sz w:val="22"/>
          <w:szCs w:val="22"/>
        </w:rPr>
        <w:t>aeronáutica,</w:t>
      </w:r>
      <w:r w:rsidRPr="003426C0">
        <w:rPr>
          <w:rFonts w:ascii="ITC Avant Garde" w:hAnsi="ITC Avant Garde" w:cs="Arial"/>
          <w:sz w:val="22"/>
          <w:szCs w:val="22"/>
        </w:rPr>
        <w:t xml:space="preserve"> así como del Instituto, a través del formato que éste determine.</w:t>
      </w:r>
    </w:p>
    <w:p w:rsidR="00BA3625" w:rsidRPr="003426C0" w:rsidRDefault="00BA3625" w:rsidP="00C55070">
      <w:pPr>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Para lo anterior, los interesados deberán presentar ante el Instituto la información referente a la ubicación y características del soporte estructural, la cual se debe indicar en el formato que al efecto establezca el Instituto.</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11.4 UBICACIÓN DEL SISTEMA RADIADOR.</w:t>
      </w:r>
    </w:p>
    <w:p w:rsidR="00BA3625" w:rsidRPr="00785744" w:rsidRDefault="00BA3625" w:rsidP="00C5507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785744" w:rsidRDefault="00BA3625" w:rsidP="00C5507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(párrafo derogado)</w:t>
      </w:r>
    </w:p>
    <w:p w:rsidR="00BA3625" w:rsidRPr="00785744" w:rsidRDefault="00BA3625" w:rsidP="00C55070">
      <w:pPr>
        <w:ind w:left="426"/>
        <w:jc w:val="both"/>
        <w:rPr>
          <w:rFonts w:ascii="ITC Avant Garde" w:hAnsi="ITC Avant Garde" w:cs="Arial"/>
          <w:sz w:val="22"/>
          <w:szCs w:val="22"/>
        </w:rPr>
      </w:pPr>
      <w:r w:rsidRPr="00785744">
        <w:rPr>
          <w:rFonts w:ascii="ITC Avant Garde" w:hAnsi="ITC Avant Garde" w:cs="Arial"/>
          <w:sz w:val="22"/>
          <w:szCs w:val="22"/>
        </w:rPr>
        <w:t>…</w:t>
      </w:r>
    </w:p>
    <w:p w:rsidR="00BA3625" w:rsidRPr="003426C0" w:rsidRDefault="00DB3D67" w:rsidP="00C55070">
      <w:pPr>
        <w:spacing w:after="240"/>
        <w:ind w:left="426"/>
        <w:jc w:val="both"/>
        <w:rPr>
          <w:rFonts w:ascii="ITC Avant Garde" w:hAnsi="ITC Avant Garde" w:cs="Arial"/>
          <w:b/>
          <w:sz w:val="22"/>
          <w:szCs w:val="22"/>
        </w:rPr>
      </w:pPr>
      <w:r w:rsidRPr="00044BBD">
        <w:rPr>
          <w:rFonts w:ascii="ITC Avant Garde Std Bk" w:hAnsi="ITC Avant Garde Std Bk" w:cs="Arial"/>
          <w:b/>
          <w:sz w:val="22"/>
          <w:szCs w:val="22"/>
        </w:rPr>
        <w:t>CAPÍTULO 1</w:t>
      </w:r>
      <w:r>
        <w:rPr>
          <w:rFonts w:ascii="ITC Avant Garde Std Bk" w:hAnsi="ITC Avant Garde Std Bk" w:cs="Arial"/>
          <w:b/>
          <w:sz w:val="22"/>
          <w:szCs w:val="22"/>
        </w:rPr>
        <w:t>2</w:t>
      </w:r>
      <w:r w:rsidRPr="00044BBD">
        <w:rPr>
          <w:rFonts w:ascii="ITC Avant Garde Std Bk" w:hAnsi="ITC Avant Garde Std Bk" w:cs="Arial"/>
          <w:b/>
          <w:sz w:val="22"/>
          <w:szCs w:val="22"/>
        </w:rPr>
        <w:t xml:space="preserve"> </w:t>
      </w:r>
      <w:r w:rsidR="00BA3625" w:rsidRPr="003426C0">
        <w:rPr>
          <w:rFonts w:ascii="ITC Avant Garde" w:hAnsi="ITC Avant Garde" w:cs="Arial"/>
          <w:b/>
          <w:sz w:val="22"/>
          <w:szCs w:val="22"/>
        </w:rPr>
        <w:t>ÁREAS DE SERVICIO Y PROCEDIMIENTO ANALÍTICO PARA SU PRONÓSTICO.</w:t>
      </w:r>
    </w:p>
    <w:p w:rsidR="00BA3625" w:rsidRPr="00785744" w:rsidRDefault="00BA3625" w:rsidP="00C55070">
      <w:pPr>
        <w:spacing w:after="240"/>
        <w:ind w:left="426"/>
        <w:jc w:val="both"/>
        <w:rPr>
          <w:rFonts w:ascii="ITC Avant Garde" w:hAnsi="ITC Avant Garde" w:cs="Arial"/>
          <w:sz w:val="22"/>
          <w:szCs w:val="22"/>
        </w:rPr>
      </w:pPr>
      <w:r w:rsidRPr="00785744">
        <w:rPr>
          <w:rFonts w:ascii="ITC Avant Garde" w:hAnsi="ITC Avant Garde" w:cs="Arial"/>
          <w:sz w:val="22"/>
          <w:szCs w:val="22"/>
        </w:rPr>
        <w:t>…</w:t>
      </w:r>
    </w:p>
    <w:p w:rsidR="00BA3625"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Los valores de Intensidad de Campo especificados en el párrafo anterior, se considerarán para la predicción de las Áreas de Servicio de las Estaciones de Radiodifusión Sonora en F.M., según se indica en el Apéndice A de la presente Disposición Técnica.</w:t>
      </w:r>
    </w:p>
    <w:p w:rsidR="00DB3D67" w:rsidRPr="003426C0" w:rsidRDefault="00DB3D67" w:rsidP="00C55070">
      <w:pPr>
        <w:spacing w:after="240"/>
        <w:ind w:left="426"/>
        <w:jc w:val="both"/>
        <w:rPr>
          <w:rFonts w:ascii="ITC Avant Garde" w:hAnsi="ITC Avant Garde" w:cs="Arial"/>
          <w:sz w:val="22"/>
          <w:szCs w:val="22"/>
        </w:rPr>
      </w:pPr>
      <w:r>
        <w:rPr>
          <w:rFonts w:ascii="ITC Avant Garde" w:hAnsi="ITC Avant Garde" w:cs="Arial"/>
          <w:sz w:val="22"/>
          <w:szCs w:val="22"/>
        </w:rPr>
        <w:t>…”</w:t>
      </w:r>
    </w:p>
    <w:p w:rsidR="00DB3D67" w:rsidRPr="00044BBD" w:rsidRDefault="00DB3D67" w:rsidP="00C55070">
      <w:pPr>
        <w:pStyle w:val="ROMANOS"/>
        <w:tabs>
          <w:tab w:val="clear" w:pos="720"/>
        </w:tabs>
        <w:spacing w:after="240" w:line="240" w:lineRule="auto"/>
        <w:ind w:left="0" w:firstLine="0"/>
        <w:rPr>
          <w:rFonts w:ascii="ITC Avant Garde Std Bk" w:hAnsi="ITC Avant Garde Std Bk"/>
          <w:sz w:val="22"/>
          <w:szCs w:val="22"/>
        </w:rPr>
      </w:pPr>
      <w:r w:rsidRPr="00024543">
        <w:rPr>
          <w:rFonts w:ascii="ITC Avant Garde" w:hAnsi="ITC Avant Garde"/>
          <w:b/>
          <w:sz w:val="22"/>
          <w:szCs w:val="22"/>
        </w:rPr>
        <w:t>SEXTO.</w:t>
      </w:r>
      <w:r>
        <w:rPr>
          <w:rFonts w:ascii="ITC Avant Garde Std Bk" w:hAnsi="ITC Avant Garde Std Bk"/>
          <w:b/>
          <w:sz w:val="22"/>
          <w:szCs w:val="22"/>
        </w:rPr>
        <w:t xml:space="preserve"> </w:t>
      </w:r>
      <w:r w:rsidRPr="00024543">
        <w:rPr>
          <w:rFonts w:ascii="ITC Avant Garde" w:hAnsi="ITC Avant Garde"/>
          <w:sz w:val="22"/>
          <w:szCs w:val="22"/>
        </w:rPr>
        <w:t xml:space="preserve">Se </w:t>
      </w:r>
      <w:r w:rsidRPr="00024543">
        <w:rPr>
          <w:rFonts w:ascii="ITC Avant Garde" w:hAnsi="ITC Avant Garde"/>
          <w:b/>
          <w:sz w:val="22"/>
          <w:szCs w:val="22"/>
        </w:rPr>
        <w:t>MODIFICAN</w:t>
      </w:r>
      <w:r w:rsidRPr="00024543">
        <w:rPr>
          <w:rFonts w:ascii="ITC Avant Garde" w:hAnsi="ITC Avant Garde"/>
          <w:sz w:val="22"/>
          <w:szCs w:val="22"/>
        </w:rPr>
        <w:t xml:space="preserve"> los numerales 7.5, párrafo primero; 7.5</w:t>
      </w:r>
      <w:r>
        <w:rPr>
          <w:rFonts w:ascii="ITC Avant Garde" w:hAnsi="ITC Avant Garde"/>
          <w:sz w:val="22"/>
          <w:szCs w:val="22"/>
        </w:rPr>
        <w:t>.</w:t>
      </w:r>
      <w:r w:rsidRPr="00024543">
        <w:rPr>
          <w:rFonts w:ascii="ITC Avant Garde" w:hAnsi="ITC Avant Garde"/>
          <w:sz w:val="22"/>
          <w:szCs w:val="22"/>
        </w:rPr>
        <w:t>1</w:t>
      </w:r>
      <w:r>
        <w:rPr>
          <w:rFonts w:ascii="ITC Avant Garde" w:hAnsi="ITC Avant Garde"/>
          <w:sz w:val="22"/>
          <w:szCs w:val="22"/>
        </w:rPr>
        <w:t>,</w:t>
      </w:r>
      <w:r w:rsidRPr="00024543">
        <w:rPr>
          <w:rFonts w:ascii="ITC Avant Garde" w:hAnsi="ITC Avant Garde"/>
          <w:sz w:val="22"/>
          <w:szCs w:val="22"/>
        </w:rPr>
        <w:t xml:space="preserve"> fracción I</w:t>
      </w:r>
      <w:r>
        <w:rPr>
          <w:rFonts w:ascii="ITC Avant Garde" w:hAnsi="ITC Avant Garde"/>
          <w:sz w:val="22"/>
          <w:szCs w:val="22"/>
        </w:rPr>
        <w:t>,</w:t>
      </w:r>
      <w:r w:rsidRPr="00024543">
        <w:rPr>
          <w:rFonts w:ascii="ITC Avant Garde" w:hAnsi="ITC Avant Garde"/>
          <w:sz w:val="22"/>
          <w:szCs w:val="22"/>
        </w:rPr>
        <w:t xml:space="preserve"> párrafo primero; 9.4.2, párrafo segundo; y se </w:t>
      </w:r>
      <w:r w:rsidRPr="00024543">
        <w:rPr>
          <w:rFonts w:ascii="ITC Avant Garde" w:hAnsi="ITC Avant Garde"/>
          <w:b/>
          <w:sz w:val="22"/>
          <w:szCs w:val="22"/>
        </w:rPr>
        <w:t>DEROGAN</w:t>
      </w:r>
      <w:r w:rsidRPr="00024543">
        <w:rPr>
          <w:rFonts w:ascii="ITC Avant Garde" w:hAnsi="ITC Avant Garde"/>
          <w:sz w:val="22"/>
          <w:szCs w:val="22"/>
        </w:rPr>
        <w:t xml:space="preserve"> los numerales 7.5, párrafo segundo; 7.5.1, fracción I</w:t>
      </w:r>
      <w:r>
        <w:rPr>
          <w:rFonts w:ascii="ITC Avant Garde" w:hAnsi="ITC Avant Garde"/>
          <w:sz w:val="22"/>
          <w:szCs w:val="22"/>
        </w:rPr>
        <w:t>,</w:t>
      </w:r>
      <w:r w:rsidRPr="00024543">
        <w:rPr>
          <w:rFonts w:ascii="ITC Avant Garde" w:hAnsi="ITC Avant Garde"/>
          <w:sz w:val="22"/>
          <w:szCs w:val="22"/>
        </w:rPr>
        <w:t xml:space="preserve"> párrafo segundo, de la Disposición Técnica IFT-013-2016: Especificaciones y requerimientos mínimos para la instalación y operación de estaciones de televisión, equipos auxiliares y equipos complementarios, para quedar como siguen:</w:t>
      </w:r>
      <w:r w:rsidRPr="00044BBD">
        <w:rPr>
          <w:rFonts w:ascii="ITC Avant Garde Std Bk" w:hAnsi="ITC Avant Garde Std Bk"/>
          <w:sz w:val="22"/>
          <w:szCs w:val="22"/>
        </w:rPr>
        <w:t xml:space="preserve">  </w:t>
      </w:r>
    </w:p>
    <w:p w:rsidR="00BA3625" w:rsidRPr="003426C0" w:rsidRDefault="00DB3D67" w:rsidP="00C55070">
      <w:pPr>
        <w:spacing w:after="360"/>
        <w:ind w:left="426"/>
        <w:jc w:val="both"/>
        <w:rPr>
          <w:rFonts w:ascii="ITC Avant Garde" w:hAnsi="ITC Avant Garde" w:cs="Arial"/>
          <w:b/>
          <w:sz w:val="22"/>
          <w:szCs w:val="22"/>
        </w:rPr>
      </w:pPr>
      <w:r>
        <w:rPr>
          <w:rFonts w:ascii="ITC Avant Garde" w:hAnsi="ITC Avant Garde" w:cs="Arial"/>
          <w:b/>
          <w:sz w:val="22"/>
          <w:szCs w:val="22"/>
        </w:rPr>
        <w:lastRenderedPageBreak/>
        <w:t>“</w:t>
      </w:r>
      <w:r w:rsidR="00BA3625" w:rsidRPr="003426C0">
        <w:rPr>
          <w:rFonts w:ascii="ITC Avant Garde" w:hAnsi="ITC Avant Garde" w:cs="Arial"/>
          <w:b/>
          <w:sz w:val="22"/>
          <w:szCs w:val="22"/>
        </w:rPr>
        <w:t>7.5 REQUISITOS PARA SOLICITUDES DE NUEVAS AUTORIZACIONES O MODIFICACIONES</w:t>
      </w:r>
    </w:p>
    <w:p w:rsidR="00BA3625" w:rsidRPr="003426C0" w:rsidRDefault="00BA3625" w:rsidP="00C55070">
      <w:pPr>
        <w:spacing w:after="360"/>
        <w:ind w:left="426" w:firstLine="567"/>
        <w:jc w:val="both"/>
        <w:rPr>
          <w:rFonts w:ascii="ITC Avant Garde" w:hAnsi="ITC Avant Garde" w:cs="Arial"/>
          <w:sz w:val="22"/>
          <w:szCs w:val="22"/>
        </w:rPr>
      </w:pPr>
      <w:r w:rsidRPr="003426C0">
        <w:rPr>
          <w:rFonts w:ascii="ITC Avant Garde" w:hAnsi="ITC Avant Garde" w:cs="Arial"/>
          <w:sz w:val="22"/>
          <w:szCs w:val="22"/>
        </w:rPr>
        <w:t xml:space="preserve">Cuando el interesado solicite al Instituto autorización para operar nuevas Estaciones de Televisión, Equipos Auxiliares, Equipos Complementarios o para realizar modificaciones a estaciones o equipos previamente autorizados, deberá presentar el formato que éste determine, </w:t>
      </w:r>
      <w:r w:rsidR="00857A98">
        <w:rPr>
          <w:rFonts w:ascii="ITC Avant Garde" w:hAnsi="ITC Avant Garde" w:cs="Arial"/>
          <w:sz w:val="22"/>
          <w:szCs w:val="22"/>
        </w:rPr>
        <w:t xml:space="preserve">el cual deberá estar </w:t>
      </w:r>
      <w:r w:rsidRPr="003426C0">
        <w:rPr>
          <w:rFonts w:ascii="ITC Avant Garde" w:hAnsi="ITC Avant Garde" w:cs="Arial"/>
          <w:sz w:val="22"/>
          <w:szCs w:val="22"/>
        </w:rPr>
        <w:t>debidamente completado y acompañado de los documentos que en el mismo se señalen, a efecto de que el Instituto pueda realizar el análisis de factibilidad del empleo de la frecuencia solicitada. Asimismo, deberá considerar todas las medidas técnicas necesarias a efecto de garantizar su convivencia libre de interferencias.</w:t>
      </w:r>
    </w:p>
    <w:p w:rsidR="00BA3625" w:rsidRPr="003426C0" w:rsidRDefault="00BA3625" w:rsidP="00C55070">
      <w:pPr>
        <w:spacing w:after="360"/>
        <w:ind w:left="426"/>
        <w:jc w:val="both"/>
        <w:rPr>
          <w:rFonts w:ascii="ITC Avant Garde" w:hAnsi="ITC Avant Garde" w:cs="Arial"/>
          <w:sz w:val="22"/>
          <w:szCs w:val="22"/>
        </w:rPr>
      </w:pPr>
      <w:r w:rsidRPr="003426C0">
        <w:rPr>
          <w:rFonts w:ascii="ITC Avant Garde" w:hAnsi="ITC Avant Garde" w:cs="Arial"/>
          <w:sz w:val="22"/>
          <w:szCs w:val="22"/>
        </w:rPr>
        <w:t>(párrafo derogado)</w:t>
      </w:r>
    </w:p>
    <w:p w:rsidR="00BA3625" w:rsidRPr="003426C0" w:rsidRDefault="00BA3625" w:rsidP="00C55070">
      <w:pPr>
        <w:spacing w:after="360"/>
        <w:ind w:left="426"/>
        <w:jc w:val="both"/>
        <w:rPr>
          <w:rFonts w:ascii="ITC Avant Garde" w:hAnsi="ITC Avant Garde" w:cs="Arial"/>
          <w:b/>
          <w:sz w:val="22"/>
          <w:szCs w:val="22"/>
        </w:rPr>
      </w:pPr>
      <w:r w:rsidRPr="003426C0">
        <w:rPr>
          <w:rFonts w:ascii="ITC Avant Garde" w:hAnsi="ITC Avant Garde" w:cs="Arial"/>
          <w:b/>
          <w:sz w:val="22"/>
          <w:szCs w:val="22"/>
        </w:rPr>
        <w:t>7.5.1 PARÁMETROS DE OPERACIÓN</w:t>
      </w:r>
    </w:p>
    <w:p w:rsidR="00BA3625" w:rsidRPr="003426C0" w:rsidRDefault="00BA3625" w:rsidP="00C55070">
      <w:pPr>
        <w:spacing w:after="360"/>
        <w:ind w:left="426"/>
        <w:jc w:val="both"/>
        <w:rPr>
          <w:rFonts w:ascii="ITC Avant Garde" w:hAnsi="ITC Avant Garde" w:cs="Arial"/>
          <w:b/>
          <w:sz w:val="22"/>
          <w:szCs w:val="22"/>
        </w:rPr>
      </w:pPr>
      <w:r w:rsidRPr="003426C0">
        <w:rPr>
          <w:rFonts w:ascii="ITC Avant Garde" w:hAnsi="ITC Avant Garde" w:cs="Arial"/>
          <w:b/>
          <w:sz w:val="22"/>
          <w:szCs w:val="22"/>
        </w:rPr>
        <w:t>I. ASIGNACIÓN DE FRECUENCIAS</w:t>
      </w:r>
    </w:p>
    <w:p w:rsidR="00BA3625" w:rsidRPr="003426C0" w:rsidRDefault="00BA3625" w:rsidP="00C55070">
      <w:pPr>
        <w:spacing w:after="360"/>
        <w:ind w:left="426" w:firstLine="567"/>
        <w:jc w:val="both"/>
        <w:rPr>
          <w:rFonts w:ascii="ITC Avant Garde" w:hAnsi="ITC Avant Garde" w:cs="Arial"/>
          <w:sz w:val="22"/>
          <w:szCs w:val="22"/>
        </w:rPr>
      </w:pPr>
      <w:r w:rsidRPr="003426C0">
        <w:rPr>
          <w:rFonts w:ascii="ITC Avant Garde" w:hAnsi="ITC Avant Garde" w:cs="Arial"/>
          <w:sz w:val="22"/>
          <w:szCs w:val="22"/>
        </w:rPr>
        <w:t>El interesado deberá solicitar al Instituto</w:t>
      </w:r>
      <w:r w:rsidR="00DB3D67" w:rsidRPr="00044BBD">
        <w:rPr>
          <w:rFonts w:ascii="ITC Avant Garde Std Bk" w:hAnsi="ITC Avant Garde Std Bk"/>
          <w:sz w:val="22"/>
          <w:szCs w:val="22"/>
        </w:rPr>
        <w:t xml:space="preserve">, </w:t>
      </w:r>
      <w:r w:rsidR="00DB3D67" w:rsidRPr="00DB3D67">
        <w:rPr>
          <w:rFonts w:ascii="ITC Avant Garde" w:hAnsi="ITC Avant Garde" w:cs="Arial"/>
          <w:sz w:val="22"/>
          <w:szCs w:val="22"/>
        </w:rPr>
        <w:t>a través del formato que para tal efecto se establezca, autorización para instalar y operar Equipos Complementarios, considerando la misma frecuencia de la Estación de Televisión a la que complementaría, por lo que deberá considerar todas las medidas técnicas necesarias a efecto de garantizar su convivencia libre de interferencias</w:t>
      </w:r>
      <w:r w:rsidRPr="003426C0">
        <w:rPr>
          <w:rFonts w:ascii="ITC Avant Garde" w:hAnsi="ITC Avant Garde" w:cs="Arial"/>
          <w:sz w:val="22"/>
          <w:szCs w:val="22"/>
        </w:rPr>
        <w:t>.</w:t>
      </w:r>
    </w:p>
    <w:p w:rsidR="00BA3625" w:rsidRPr="003426C0" w:rsidRDefault="00BA3625" w:rsidP="00C55070">
      <w:pPr>
        <w:spacing w:after="360"/>
        <w:ind w:left="426"/>
        <w:jc w:val="both"/>
        <w:rPr>
          <w:rFonts w:ascii="ITC Avant Garde" w:hAnsi="ITC Avant Garde" w:cs="Arial"/>
          <w:sz w:val="22"/>
          <w:szCs w:val="22"/>
        </w:rPr>
      </w:pPr>
      <w:r w:rsidRPr="003426C0">
        <w:rPr>
          <w:rFonts w:ascii="ITC Avant Garde" w:hAnsi="ITC Avant Garde" w:cs="Arial"/>
          <w:sz w:val="22"/>
          <w:szCs w:val="22"/>
        </w:rPr>
        <w:t>(párrafo derogado)</w:t>
      </w:r>
    </w:p>
    <w:p w:rsidR="00BA3625" w:rsidRPr="003426C0" w:rsidRDefault="00BA3625" w:rsidP="00C55070">
      <w:pPr>
        <w:spacing w:after="360"/>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spacing w:after="240"/>
        <w:ind w:left="426"/>
        <w:jc w:val="both"/>
        <w:rPr>
          <w:rFonts w:ascii="ITC Avant Garde" w:hAnsi="ITC Avant Garde" w:cs="Arial"/>
          <w:b/>
          <w:sz w:val="22"/>
          <w:szCs w:val="22"/>
        </w:rPr>
      </w:pPr>
      <w:r w:rsidRPr="003426C0">
        <w:rPr>
          <w:rFonts w:ascii="ITC Avant Garde" w:hAnsi="ITC Avant Garde" w:cs="Arial"/>
          <w:b/>
          <w:sz w:val="22"/>
          <w:szCs w:val="22"/>
        </w:rPr>
        <w:t>9.4.2 USO DE UNA ESTRUCTURA PARA LA INSTALACIÓN DE VARIAS ANTENAS TRANSMISORAS</w:t>
      </w:r>
    </w:p>
    <w:p w:rsidR="00BA3625" w:rsidRPr="003426C0" w:rsidRDefault="00BA3625" w:rsidP="00C55070">
      <w:pPr>
        <w:spacing w:after="240"/>
        <w:ind w:left="426"/>
        <w:jc w:val="both"/>
        <w:rPr>
          <w:rFonts w:ascii="ITC Avant Garde" w:hAnsi="ITC Avant Garde" w:cs="Arial"/>
          <w:sz w:val="22"/>
          <w:szCs w:val="22"/>
        </w:rPr>
      </w:pPr>
      <w:r w:rsidRPr="003426C0">
        <w:rPr>
          <w:rFonts w:ascii="ITC Avant Garde" w:hAnsi="ITC Avant Garde" w:cs="Arial"/>
          <w:sz w:val="22"/>
          <w:szCs w:val="22"/>
        </w:rPr>
        <w:t>…</w:t>
      </w:r>
    </w:p>
    <w:p w:rsidR="00BA3625" w:rsidRPr="003426C0" w:rsidRDefault="00BA3625" w:rsidP="00C55070">
      <w:pPr>
        <w:spacing w:after="240"/>
        <w:ind w:left="426" w:firstLine="567"/>
        <w:jc w:val="both"/>
        <w:rPr>
          <w:rFonts w:ascii="ITC Avant Garde" w:hAnsi="ITC Avant Garde" w:cs="Arial"/>
          <w:sz w:val="22"/>
          <w:szCs w:val="22"/>
        </w:rPr>
      </w:pPr>
      <w:r w:rsidRPr="003426C0">
        <w:rPr>
          <w:rFonts w:ascii="ITC Avant Garde" w:hAnsi="ITC Avant Garde" w:cs="Arial"/>
          <w:sz w:val="22"/>
          <w:szCs w:val="22"/>
        </w:rPr>
        <w:t>En caso de que las Estructuras se pretendan usar como elementos de sustentación común para Antenas</w:t>
      </w:r>
      <w:r w:rsidR="009D23D7">
        <w:rPr>
          <w:rFonts w:ascii="ITC Avant Garde" w:hAnsi="ITC Avant Garde" w:cs="Arial"/>
          <w:sz w:val="22"/>
          <w:szCs w:val="22"/>
        </w:rPr>
        <w:t xml:space="preserve"> del</w:t>
      </w:r>
      <w:r w:rsidRPr="003426C0">
        <w:rPr>
          <w:rFonts w:ascii="ITC Avant Garde" w:hAnsi="ITC Avant Garde" w:cs="Arial"/>
          <w:sz w:val="22"/>
          <w:szCs w:val="22"/>
        </w:rPr>
        <w:t xml:space="preserve"> Servicio de Televisión Radiodifundida o </w:t>
      </w:r>
      <w:r w:rsidR="009D23D7">
        <w:rPr>
          <w:rFonts w:ascii="ITC Avant Garde" w:hAnsi="ITC Avant Garde" w:cs="Arial"/>
          <w:sz w:val="22"/>
          <w:szCs w:val="22"/>
        </w:rPr>
        <w:t xml:space="preserve"> cualquier otro servicio</w:t>
      </w:r>
      <w:r w:rsidRPr="003426C0">
        <w:rPr>
          <w:rFonts w:ascii="ITC Avant Garde" w:hAnsi="ITC Avant Garde" w:cs="Arial"/>
          <w:sz w:val="22"/>
          <w:szCs w:val="22"/>
        </w:rPr>
        <w:t>, deberá realizarse el estudio de no interferencia y compatibilidad electromagnética, con el que se verifique la convivencia entre Estaciones de Televisión, así como el cumplimiento de todas las características de radiación contempladas en la solicitud presentada ante el Instituto para la Estación de Televisión o Equipos Complementarios a instalar. Lo anterior, con</w:t>
      </w:r>
      <w:r w:rsidR="009D23D7">
        <w:rPr>
          <w:rFonts w:ascii="ITC Avant Garde" w:hAnsi="ITC Avant Garde" w:cs="Arial"/>
          <w:sz w:val="22"/>
          <w:szCs w:val="22"/>
        </w:rPr>
        <w:t xml:space="preserve"> el</w:t>
      </w:r>
      <w:r w:rsidRPr="003426C0">
        <w:rPr>
          <w:rFonts w:ascii="ITC Avant Garde" w:hAnsi="ITC Avant Garde" w:cs="Arial"/>
          <w:sz w:val="22"/>
          <w:szCs w:val="22"/>
        </w:rPr>
        <w:t xml:space="preserve"> objeto de determinar que no habrá afectación al Servicio de Televisión Radiodifundida. </w:t>
      </w:r>
      <w:r w:rsidR="00A33FCE" w:rsidRPr="003426C0">
        <w:rPr>
          <w:rFonts w:ascii="ITC Avant Garde" w:hAnsi="ITC Avant Garde" w:cs="Arial"/>
          <w:sz w:val="22"/>
          <w:szCs w:val="22"/>
        </w:rPr>
        <w:t>Dicho estudio deberá estar a disposición del Instituto para cuando éste lo requiera</w:t>
      </w:r>
      <w:r w:rsidRPr="003426C0">
        <w:rPr>
          <w:rFonts w:ascii="ITC Avant Garde" w:hAnsi="ITC Avant Garde" w:cs="Arial"/>
          <w:sz w:val="22"/>
          <w:szCs w:val="22"/>
        </w:rPr>
        <w:t>.</w:t>
      </w:r>
      <w:r w:rsidR="00DB3D67">
        <w:rPr>
          <w:rFonts w:ascii="ITC Avant Garde" w:hAnsi="ITC Avant Garde" w:cs="Arial"/>
          <w:sz w:val="22"/>
          <w:szCs w:val="22"/>
        </w:rPr>
        <w:t>”</w:t>
      </w:r>
    </w:p>
    <w:p w:rsidR="0070310F" w:rsidRDefault="0070310F" w:rsidP="00C55070">
      <w:pPr>
        <w:spacing w:after="240"/>
        <w:rPr>
          <w:rFonts w:ascii="Segoe UI" w:hAnsi="Segoe UI" w:cs="Segoe UI"/>
          <w:color w:val="1A1A1A"/>
          <w:sz w:val="22"/>
          <w:szCs w:val="22"/>
        </w:rPr>
      </w:pPr>
    </w:p>
    <w:p w:rsidR="006622D3" w:rsidRPr="002A3E1D" w:rsidRDefault="006622D3" w:rsidP="002A3E1D">
      <w:pPr>
        <w:spacing w:after="200"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TRANSITORIOS</w:t>
      </w:r>
    </w:p>
    <w:p w:rsidR="006622D3" w:rsidRPr="003426C0" w:rsidRDefault="006622D3" w:rsidP="00C55070">
      <w:pPr>
        <w:autoSpaceDE w:val="0"/>
        <w:autoSpaceDN w:val="0"/>
        <w:adjustRightInd w:val="0"/>
        <w:spacing w:after="240"/>
        <w:jc w:val="both"/>
        <w:rPr>
          <w:rFonts w:ascii="ITC Avant Garde" w:hAnsi="ITC Avant Garde" w:cs="Arial"/>
          <w:b/>
          <w:sz w:val="22"/>
          <w:szCs w:val="22"/>
        </w:rPr>
      </w:pPr>
      <w:r w:rsidRPr="003426C0">
        <w:rPr>
          <w:rFonts w:ascii="ITC Avant Garde" w:hAnsi="ITC Avant Garde" w:cs="Arial"/>
          <w:b/>
          <w:sz w:val="22"/>
          <w:szCs w:val="22"/>
        </w:rPr>
        <w:t>PRIMERO.</w:t>
      </w:r>
      <w:r w:rsidR="00A33FCE"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El presente Acuerdo entrará en vigor al día siguiente de su publicación en el Diario Oficial de la Federación.</w:t>
      </w:r>
    </w:p>
    <w:p w:rsidR="006622D3" w:rsidRPr="003426C0" w:rsidRDefault="006622D3" w:rsidP="00C55070">
      <w:pPr>
        <w:autoSpaceDE w:val="0"/>
        <w:autoSpaceDN w:val="0"/>
        <w:adjustRightInd w:val="0"/>
        <w:spacing w:after="240"/>
        <w:jc w:val="both"/>
        <w:rPr>
          <w:rFonts w:ascii="ITC Avant Garde" w:hAnsi="ITC Avant Garde" w:cs="Arial"/>
          <w:b/>
          <w:sz w:val="22"/>
          <w:szCs w:val="22"/>
        </w:rPr>
      </w:pPr>
      <w:r w:rsidRPr="003426C0">
        <w:rPr>
          <w:rFonts w:ascii="ITC Avant Garde" w:hAnsi="ITC Avant Garde" w:cs="Arial"/>
          <w:b/>
          <w:sz w:val="22"/>
          <w:szCs w:val="22"/>
        </w:rPr>
        <w:t>SEGUNDO.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Pr="003426C0">
        <w:rPr>
          <w:rFonts w:ascii="ITC Avant Garde" w:hAnsi="ITC Avant Garde" w:cs="Arial"/>
          <w:sz w:val="22"/>
          <w:szCs w:val="22"/>
        </w:rPr>
        <w:t>Las soli</w:t>
      </w:r>
      <w:r w:rsidR="00993CE5" w:rsidRPr="003426C0">
        <w:rPr>
          <w:rFonts w:ascii="ITC Avant Garde" w:hAnsi="ITC Avant Garde" w:cs="Arial"/>
          <w:sz w:val="22"/>
          <w:szCs w:val="22"/>
        </w:rPr>
        <w:t>citudes que al momento de la entrada</w:t>
      </w:r>
      <w:r w:rsidRPr="003426C0">
        <w:rPr>
          <w:rFonts w:ascii="ITC Avant Garde" w:hAnsi="ITC Avant Garde" w:cs="Arial"/>
          <w:sz w:val="22"/>
          <w:szCs w:val="22"/>
        </w:rPr>
        <w:t xml:space="preserve"> en vigor </w:t>
      </w:r>
      <w:r w:rsidR="00993CE5" w:rsidRPr="003426C0">
        <w:rPr>
          <w:rFonts w:ascii="ITC Avant Garde" w:hAnsi="ITC Avant Garde" w:cs="Arial"/>
          <w:sz w:val="22"/>
          <w:szCs w:val="22"/>
        </w:rPr>
        <w:t>d</w:t>
      </w:r>
      <w:r w:rsidRPr="003426C0">
        <w:rPr>
          <w:rFonts w:ascii="ITC Avant Garde" w:hAnsi="ITC Avant Garde" w:cs="Arial"/>
          <w:sz w:val="22"/>
          <w:szCs w:val="22"/>
        </w:rPr>
        <w:t>el presente Acuerdo se encuentren en trámite, se resolverán de conformidad con las disposiciones vigentes al momento de su presentación.</w:t>
      </w:r>
    </w:p>
    <w:p w:rsidR="00416A32" w:rsidRDefault="006622D3" w:rsidP="002A3E1D">
      <w:pPr>
        <w:autoSpaceDE w:val="0"/>
        <w:autoSpaceDN w:val="0"/>
        <w:adjustRightInd w:val="0"/>
        <w:spacing w:after="9840"/>
        <w:jc w:val="both"/>
        <w:rPr>
          <w:rFonts w:ascii="ITC Avant Garde Std Bk" w:hAnsi="ITC Avant Garde Std Bk" w:cs="Arial"/>
          <w:sz w:val="22"/>
          <w:szCs w:val="22"/>
        </w:rPr>
      </w:pPr>
      <w:r w:rsidRPr="003426C0">
        <w:rPr>
          <w:rFonts w:ascii="ITC Avant Garde" w:hAnsi="ITC Avant Garde" w:cs="Arial"/>
          <w:b/>
          <w:sz w:val="22"/>
          <w:szCs w:val="22"/>
        </w:rPr>
        <w:t>TERCERO.</w:t>
      </w:r>
      <w:r w:rsidR="00993CE5" w:rsidRPr="003426C0">
        <w:rPr>
          <w:rFonts w:ascii="ITC Avant Garde" w:hAnsi="ITC Avant Garde" w:cs="Arial"/>
          <w:b/>
          <w:sz w:val="22"/>
          <w:szCs w:val="22"/>
        </w:rPr>
        <w:t xml:space="preserve"> </w:t>
      </w:r>
      <w:r w:rsidRPr="003426C0">
        <w:rPr>
          <w:rFonts w:ascii="ITC Avant Garde" w:hAnsi="ITC Avant Garde" w:cs="Arial"/>
          <w:b/>
          <w:sz w:val="22"/>
          <w:szCs w:val="22"/>
        </w:rPr>
        <w:t xml:space="preserve">- </w:t>
      </w:r>
      <w:r w:rsidR="00993CE5" w:rsidRPr="003426C0">
        <w:rPr>
          <w:rFonts w:ascii="ITC Avant Garde" w:hAnsi="ITC Avant Garde" w:cs="Arial"/>
          <w:b/>
          <w:sz w:val="22"/>
          <w:szCs w:val="22"/>
        </w:rPr>
        <w:t xml:space="preserve"> </w:t>
      </w:r>
      <w:r w:rsidR="00DB3D67" w:rsidRPr="00DB3D67">
        <w:rPr>
          <w:rFonts w:ascii="ITC Avant Garde" w:hAnsi="ITC Avant Garde" w:cs="Arial"/>
          <w:sz w:val="22"/>
          <w:szCs w:val="22"/>
        </w:rPr>
        <w:t>Publíquese el presente Acuerdo en el Diario Oficial de la Federación</w:t>
      </w:r>
      <w:r w:rsidR="00DB3D67" w:rsidRPr="00044BBD">
        <w:rPr>
          <w:rFonts w:ascii="ITC Avant Garde Std Bk" w:hAnsi="ITC Avant Garde Std Bk"/>
          <w:sz w:val="22"/>
          <w:szCs w:val="22"/>
        </w:rPr>
        <w:t>.</w:t>
      </w:r>
    </w:p>
    <w:p w:rsidR="003222BA" w:rsidRPr="002A3E1D" w:rsidRDefault="00EE3A3E" w:rsidP="002A3E1D">
      <w:pPr>
        <w:spacing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ANEXO A</w:t>
      </w:r>
    </w:p>
    <w:p w:rsidR="00EE3A3E" w:rsidRPr="00FD6831" w:rsidRDefault="00C832E5" w:rsidP="00C55070">
      <w:pPr>
        <w:spacing w:after="240"/>
        <w:jc w:val="center"/>
        <w:rPr>
          <w:rFonts w:ascii="ITC Avant Garde Std Bk" w:hAnsi="ITC Avant Garde Std Bk" w:cs="Arial"/>
          <w:sz w:val="22"/>
          <w:szCs w:val="22"/>
        </w:rPr>
      </w:pPr>
      <w:r w:rsidRPr="00C832E5">
        <w:rPr>
          <w:rFonts w:ascii="ITC Avant Garde Std Bk" w:hAnsi="ITC Avant Garde Std Bk" w:cs="Arial"/>
          <w:noProof/>
          <w:sz w:val="22"/>
          <w:szCs w:val="22"/>
          <w:lang w:eastAsia="es-MX"/>
        </w:rPr>
        <w:drawing>
          <wp:inline distT="0" distB="0" distL="0" distR="0" wp14:anchorId="30853151" wp14:editId="17796DD7">
            <wp:extent cx="5971540" cy="7648042"/>
            <wp:effectExtent l="0" t="0" r="0" b="0"/>
            <wp:docPr id="2" name="Imagen 2" descr="Solicitud de autorización, para la instalación o modificación técnica de estaciones de Radiodifusión (Estaciones principales, plantas emergentes y, en su caso, equipos complementarios. " title="Formato 1, sección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rodrigo.castro\AppData\Local\Microsoft\Windows\INetCache\Content.Outlook\UTAQH9MF\1 (0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rsidR="003222BA" w:rsidRPr="00044BBD" w:rsidRDefault="00C832E5" w:rsidP="00C55070">
      <w:pPr>
        <w:spacing w:after="240"/>
        <w:ind w:right="332"/>
        <w:rPr>
          <w:rFonts w:ascii="Segoe UI" w:hAnsi="Segoe UI" w:cs="Segoe UI"/>
          <w:color w:val="1A1A1A"/>
          <w:sz w:val="22"/>
          <w:szCs w:val="22"/>
        </w:rPr>
      </w:pPr>
      <w:r w:rsidRPr="00C832E5">
        <w:rPr>
          <w:rFonts w:ascii="Segoe UI" w:hAnsi="Segoe UI" w:cs="Segoe UI"/>
          <w:noProof/>
          <w:color w:val="1A1A1A"/>
          <w:sz w:val="22"/>
          <w:szCs w:val="22"/>
          <w:lang w:eastAsia="es-MX"/>
        </w:rPr>
        <w:lastRenderedPageBreak/>
        <w:drawing>
          <wp:inline distT="0" distB="0" distL="0" distR="0" wp14:anchorId="2E0A4321" wp14:editId="6AAFD23D">
            <wp:extent cx="5971540" cy="7677079"/>
            <wp:effectExtent l="0" t="0" r="0" b="635"/>
            <wp:docPr id="3" name="Imagen 3" descr="Solicitud de autorización, para la instalación o modificación técnica de estaciones de Radiodifusión (Estaciones principales, plantas emergentes y, en su caso, equipos complementarios. " title="Formato 1, sección 3,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rodrigo.castro\AppData\Local\Microsoft\Windows\INetCache\Content.Outlook\UTAQH9MF\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1540" cy="7677079"/>
                    </a:xfrm>
                    <a:prstGeom prst="rect">
                      <a:avLst/>
                    </a:prstGeom>
                    <a:noFill/>
                    <a:ln>
                      <a:noFill/>
                    </a:ln>
                  </pic:spPr>
                </pic:pic>
              </a:graphicData>
            </a:graphic>
          </wp:inline>
        </w:drawing>
      </w:r>
    </w:p>
    <w:p w:rsidR="00EE3A3E" w:rsidRDefault="00C832E5" w:rsidP="00C55070">
      <w:pPr>
        <w:spacing w:after="240"/>
        <w:rPr>
          <w:rFonts w:ascii="Segoe UI" w:hAnsi="Segoe UI" w:cs="Segoe UI"/>
          <w:color w:val="1A1A1A"/>
          <w:sz w:val="22"/>
          <w:szCs w:val="22"/>
        </w:rPr>
      </w:pPr>
      <w:r w:rsidRPr="00C832E5">
        <w:rPr>
          <w:rFonts w:ascii="Segoe UI" w:hAnsi="Segoe UI" w:cs="Segoe UI"/>
          <w:noProof/>
          <w:color w:val="1A1A1A"/>
          <w:sz w:val="22"/>
          <w:szCs w:val="22"/>
          <w:lang w:eastAsia="es-MX"/>
        </w:rPr>
        <w:lastRenderedPageBreak/>
        <w:drawing>
          <wp:inline distT="0" distB="0" distL="0" distR="0" wp14:anchorId="2E8DCFF6" wp14:editId="421AE537">
            <wp:extent cx="5971540" cy="7676462"/>
            <wp:effectExtent l="0" t="0" r="0" b="1270"/>
            <wp:docPr id="4" name="Imagen 4" descr="Solicitud de autorización, para la instalación o modificación técnica de estaciones de Radiodifusión (Estaciones principales, plantas emergentes y, en su caso, equipos complementarios. " title="Formato 1, sección 3,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rodrigo.castro\AppData\Local\Microsoft\Windows\INetCache\Content.Outlook\UTAQH9MF\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71540" cy="7676462"/>
                    </a:xfrm>
                    <a:prstGeom prst="rect">
                      <a:avLst/>
                    </a:prstGeom>
                    <a:noFill/>
                    <a:ln>
                      <a:noFill/>
                    </a:ln>
                  </pic:spPr>
                </pic:pic>
              </a:graphicData>
            </a:graphic>
          </wp:inline>
        </w:drawing>
      </w:r>
    </w:p>
    <w:p w:rsidR="00EE3A3E" w:rsidRPr="00EE3A3E" w:rsidRDefault="00C832E5" w:rsidP="00C55070">
      <w:pPr>
        <w:spacing w:after="240"/>
        <w:rPr>
          <w:rFonts w:ascii="Segoe UI" w:hAnsi="Segoe UI" w:cs="Segoe UI"/>
          <w:sz w:val="22"/>
          <w:szCs w:val="22"/>
        </w:rPr>
      </w:pPr>
      <w:r w:rsidRPr="00C832E5">
        <w:rPr>
          <w:rFonts w:ascii="Segoe UI" w:hAnsi="Segoe UI" w:cs="Segoe UI"/>
          <w:noProof/>
          <w:sz w:val="22"/>
          <w:szCs w:val="22"/>
          <w:lang w:eastAsia="es-MX"/>
        </w:rPr>
        <w:lastRenderedPageBreak/>
        <w:drawing>
          <wp:inline distT="0" distB="0" distL="0" distR="0" wp14:anchorId="772CB96D" wp14:editId="2F2BC0D5">
            <wp:extent cx="5971540" cy="7606386"/>
            <wp:effectExtent l="0" t="0" r="0" b="0"/>
            <wp:docPr id="5" name="Imagen 5" descr="Solicitud de autorización, para la instalación o modificación técnica de estaciones de Radiodifusión (Estaciones principales, plantas emergentes y, en su caso, equipos complementarios. " title="Formato 1, sección 3, 3 de 3 y secció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rodrigo.castro\AppData\Local\Microsoft\Windows\INetCache\Content.Outlook\UTAQH9MF\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1540" cy="7606386"/>
                    </a:xfrm>
                    <a:prstGeom prst="rect">
                      <a:avLst/>
                    </a:prstGeom>
                    <a:noFill/>
                    <a:ln>
                      <a:noFill/>
                    </a:ln>
                  </pic:spPr>
                </pic:pic>
              </a:graphicData>
            </a:graphic>
          </wp:inline>
        </w:drawing>
      </w:r>
    </w:p>
    <w:p w:rsidR="00EE3A3E" w:rsidRPr="00EE3A3E" w:rsidRDefault="00C832E5" w:rsidP="00C55070">
      <w:pPr>
        <w:spacing w:after="240"/>
        <w:rPr>
          <w:rFonts w:ascii="Segoe UI" w:hAnsi="Segoe UI" w:cs="Segoe UI"/>
          <w:sz w:val="22"/>
          <w:szCs w:val="22"/>
        </w:rPr>
      </w:pPr>
      <w:r w:rsidRPr="00C832E5">
        <w:rPr>
          <w:rFonts w:ascii="Segoe UI" w:hAnsi="Segoe UI" w:cs="Segoe UI"/>
          <w:noProof/>
          <w:sz w:val="22"/>
          <w:szCs w:val="22"/>
          <w:lang w:eastAsia="es-MX"/>
        </w:rPr>
        <w:lastRenderedPageBreak/>
        <w:drawing>
          <wp:inline distT="0" distB="0" distL="0" distR="0" wp14:anchorId="422F9C76" wp14:editId="4A6F37EE">
            <wp:extent cx="5971540" cy="7576211"/>
            <wp:effectExtent l="0" t="0" r="0" b="5715"/>
            <wp:docPr id="6" name="Imagen 6" descr="Solicitud de autorización, para la instalación o modificación técnica de estaciones de Radiodifusión (Estaciones principales, plantas emergentes y, en su caso, equipos complementarios. " title="Aviso de privacidad forma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rodrigo.castro\AppData\Local\Microsoft\Windows\INetCache\Content.Outlook\UTAQH9MF\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540" cy="7576211"/>
                    </a:xfrm>
                    <a:prstGeom prst="rect">
                      <a:avLst/>
                    </a:prstGeom>
                    <a:noFill/>
                    <a:ln>
                      <a:noFill/>
                    </a:ln>
                  </pic:spPr>
                </pic:pic>
              </a:graphicData>
            </a:graphic>
          </wp:inline>
        </w:drawing>
      </w:r>
    </w:p>
    <w:p w:rsidR="00EE3A3E" w:rsidRPr="00EE3A3E" w:rsidRDefault="00C832E5" w:rsidP="00C55070">
      <w:pPr>
        <w:spacing w:after="240"/>
        <w:rPr>
          <w:rFonts w:ascii="Segoe UI" w:hAnsi="Segoe UI" w:cs="Segoe UI"/>
          <w:sz w:val="22"/>
          <w:szCs w:val="22"/>
        </w:rPr>
      </w:pPr>
      <w:r w:rsidRPr="00C832E5">
        <w:rPr>
          <w:rFonts w:ascii="Segoe UI" w:hAnsi="Segoe UI" w:cs="Segoe UI"/>
          <w:noProof/>
          <w:sz w:val="22"/>
          <w:szCs w:val="22"/>
          <w:lang w:eastAsia="es-MX"/>
        </w:rPr>
        <w:lastRenderedPageBreak/>
        <w:drawing>
          <wp:inline distT="0" distB="0" distL="0" distR="0" wp14:anchorId="224EE469" wp14:editId="54E80594">
            <wp:extent cx="5971540" cy="7592633"/>
            <wp:effectExtent l="0" t="0" r="0" b="8890"/>
            <wp:docPr id="7" name="Imagen 7" descr="Solicitud de autorización, para la instalación o modificación técnica de estaciones de Radiodifusión (Estaciones principales, plantas emergentes y, en su caso, equipos complementarios. " title="Instructivo formato 1, parte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rodrigo.castro\AppData\Local\Microsoft\Windows\INetCache\Content.Outlook\UTAQH9MF\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1540" cy="7592633"/>
                    </a:xfrm>
                    <a:prstGeom prst="rect">
                      <a:avLst/>
                    </a:prstGeom>
                    <a:noFill/>
                    <a:ln>
                      <a:noFill/>
                    </a:ln>
                  </pic:spPr>
                </pic:pic>
              </a:graphicData>
            </a:graphic>
          </wp:inline>
        </w:drawing>
      </w:r>
    </w:p>
    <w:p w:rsidR="00EE3A3E" w:rsidRPr="00EE3A3E" w:rsidRDefault="007C2592" w:rsidP="00C55070">
      <w:pPr>
        <w:spacing w:after="240"/>
        <w:rPr>
          <w:rFonts w:ascii="Segoe UI" w:hAnsi="Segoe UI" w:cs="Segoe UI"/>
          <w:sz w:val="22"/>
          <w:szCs w:val="22"/>
        </w:rPr>
      </w:pPr>
      <w:r w:rsidRPr="007C2592">
        <w:rPr>
          <w:rFonts w:ascii="Segoe UI" w:hAnsi="Segoe UI" w:cs="Segoe UI"/>
          <w:noProof/>
          <w:sz w:val="22"/>
          <w:szCs w:val="22"/>
          <w:lang w:eastAsia="es-MX"/>
        </w:rPr>
        <w:lastRenderedPageBreak/>
        <w:drawing>
          <wp:inline distT="0" distB="0" distL="0" distR="0" wp14:anchorId="4E89B52F" wp14:editId="3AC9963B">
            <wp:extent cx="5971540" cy="7596146"/>
            <wp:effectExtent l="0" t="0" r="0" b="5080"/>
            <wp:docPr id="8" name="Imagen 8" descr="Solicitud de autorización, para la instalación o modificación técnica de estaciones de Radiodifusión (Estaciones principales, plantas emergentes y, en su caso, equipos complementarios. " title="Instructivo formato 1, parte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rodrigo.castro\AppData\Local\Microsoft\Windows\INetCache\Content.Outlook\UTAQH9MF\7.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rsidR="00EE3A3E" w:rsidRPr="00EE3A3E" w:rsidRDefault="007C2592" w:rsidP="00C55070">
      <w:pPr>
        <w:spacing w:after="240"/>
        <w:rPr>
          <w:rFonts w:ascii="Segoe UI" w:hAnsi="Segoe UI" w:cs="Segoe UI"/>
          <w:sz w:val="22"/>
          <w:szCs w:val="22"/>
        </w:rPr>
      </w:pPr>
      <w:r w:rsidRPr="007C2592">
        <w:rPr>
          <w:rFonts w:ascii="Segoe UI" w:hAnsi="Segoe UI" w:cs="Segoe UI"/>
          <w:noProof/>
          <w:sz w:val="22"/>
          <w:szCs w:val="22"/>
          <w:lang w:eastAsia="es-MX"/>
        </w:rPr>
        <w:lastRenderedPageBreak/>
        <w:drawing>
          <wp:inline distT="0" distB="0" distL="0" distR="0" wp14:anchorId="52DCAC84" wp14:editId="5E95D934">
            <wp:extent cx="5971540" cy="7612880"/>
            <wp:effectExtent l="0" t="0" r="0" b="7620"/>
            <wp:docPr id="9" name="Imagen 9" descr="Solicitud de autorización, para la instalación o modificación técnica de estaciones de Radiodifusión (Estaciones principales, plantas emergentes y, en su caso, equipos complementarios. " title="Instructivo formato 1, parte 3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rodrigo.castro\AppData\Local\Microsoft\Windows\INetCache\Content.Outlook\UTAQH9MF\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71540" cy="7612880"/>
                    </a:xfrm>
                    <a:prstGeom prst="rect">
                      <a:avLst/>
                    </a:prstGeom>
                    <a:noFill/>
                    <a:ln>
                      <a:noFill/>
                    </a:ln>
                  </pic:spPr>
                </pic:pic>
              </a:graphicData>
            </a:graphic>
          </wp:inline>
        </w:drawing>
      </w:r>
    </w:p>
    <w:p w:rsidR="00EE3A3E" w:rsidRPr="00EE3A3E" w:rsidRDefault="007C2592" w:rsidP="00C55070">
      <w:pPr>
        <w:spacing w:after="240"/>
        <w:rPr>
          <w:rFonts w:ascii="Segoe UI" w:hAnsi="Segoe UI" w:cs="Segoe UI"/>
          <w:sz w:val="22"/>
          <w:szCs w:val="22"/>
        </w:rPr>
      </w:pPr>
      <w:r w:rsidRPr="007C2592">
        <w:rPr>
          <w:rFonts w:ascii="Segoe UI" w:hAnsi="Segoe UI" w:cs="Segoe UI"/>
          <w:noProof/>
          <w:sz w:val="22"/>
          <w:szCs w:val="22"/>
          <w:lang w:eastAsia="es-MX"/>
        </w:rPr>
        <w:lastRenderedPageBreak/>
        <w:drawing>
          <wp:inline distT="0" distB="0" distL="0" distR="0" wp14:anchorId="2FD8B6FD" wp14:editId="1E15F544">
            <wp:extent cx="5971540" cy="7516624"/>
            <wp:effectExtent l="0" t="0" r="0" b="8255"/>
            <wp:docPr id="10" name="Imagen 10" descr="Solicitud de autorización, para la instalación o modificación técnica de estaciones de Radiodifusión (Estaciones principales, plantas emergentes y, en su caso, equipos complementarios. " title="Formato 1, información adic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rodrigo.castro\AppData\Local\Microsoft\Windows\INetCache\Content.Outlook\UTAQH9MF\9.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71540" cy="7516624"/>
                    </a:xfrm>
                    <a:prstGeom prst="rect">
                      <a:avLst/>
                    </a:prstGeom>
                    <a:noFill/>
                    <a:ln>
                      <a:noFill/>
                    </a:ln>
                  </pic:spPr>
                </pic:pic>
              </a:graphicData>
            </a:graphic>
          </wp:inline>
        </w:drawing>
      </w:r>
    </w:p>
    <w:p w:rsidR="00EE3A3E" w:rsidRPr="00EE3A3E" w:rsidRDefault="00EE3A3E" w:rsidP="00C55070">
      <w:pPr>
        <w:spacing w:after="240"/>
        <w:rPr>
          <w:rFonts w:ascii="Segoe UI" w:hAnsi="Segoe UI" w:cs="Segoe UI"/>
          <w:sz w:val="22"/>
          <w:szCs w:val="22"/>
        </w:rPr>
      </w:pPr>
    </w:p>
    <w:p w:rsidR="00E071E4" w:rsidRPr="002A3E1D" w:rsidRDefault="00FD6831" w:rsidP="002A3E1D">
      <w:pPr>
        <w:spacing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ANEXO B</w:t>
      </w:r>
    </w:p>
    <w:p w:rsidR="00FD6831" w:rsidRDefault="00FD6831" w:rsidP="00C55070">
      <w:pPr>
        <w:spacing w:after="240"/>
        <w:jc w:val="center"/>
        <w:rPr>
          <w:rFonts w:ascii="ITC Avant Garde Std Bk" w:hAnsi="ITC Avant Garde Std Bk" w:cs="Arial"/>
          <w:sz w:val="22"/>
          <w:szCs w:val="22"/>
        </w:rPr>
      </w:pPr>
      <w:r w:rsidRPr="00FD6831">
        <w:rPr>
          <w:rFonts w:ascii="ITC Avant Garde Std Bk" w:hAnsi="ITC Avant Garde Std Bk" w:cs="Arial"/>
          <w:sz w:val="22"/>
          <w:szCs w:val="22"/>
        </w:rPr>
        <w:t>Modalidad A. Sistema Control Remoto</w:t>
      </w:r>
    </w:p>
    <w:p w:rsidR="00BD7C0D" w:rsidRDefault="00EF4E00" w:rsidP="002A3E1D">
      <w:pPr>
        <w:spacing w:after="240"/>
        <w:jc w:val="center"/>
        <w:rPr>
          <w:rFonts w:ascii="Segoe UI" w:hAnsi="Segoe UI" w:cs="Segoe UI"/>
          <w:sz w:val="22"/>
          <w:szCs w:val="22"/>
        </w:rPr>
      </w:pPr>
      <w:r w:rsidRPr="00EF4E00">
        <w:rPr>
          <w:rFonts w:ascii="ITC Avant Garde Std Bk" w:hAnsi="ITC Avant Garde Std Bk" w:cs="Arial"/>
          <w:noProof/>
          <w:sz w:val="22"/>
          <w:szCs w:val="22"/>
          <w:lang w:eastAsia="es-MX"/>
        </w:rPr>
        <w:drawing>
          <wp:inline distT="0" distB="0" distL="0" distR="0" wp14:anchorId="0C0956BB" wp14:editId="5D5109EA">
            <wp:extent cx="5336540" cy="6993255"/>
            <wp:effectExtent l="0" t="0" r="0" b="0"/>
            <wp:docPr id="11" name="Imagen 11" descr="Solicitud de autorización, para la instalación o modificación técnica de servicios auxiliares a la radiodifusión (sistema de Control Remoto)." title="Formato 2, sección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rodrigo.castro\AppData\Local\Microsoft\Windows\INetCache\Content.Outlook\UTAQH9MF\B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6540" cy="6993255"/>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615B59CC" wp14:editId="78DFB8D2">
            <wp:extent cx="5971540" cy="7596146"/>
            <wp:effectExtent l="0" t="0" r="0" b="5080"/>
            <wp:docPr id="12" name="Imagen 12" descr="Solicitud de autorización, para la instalación o modificación técnica de servicios auxiliares a la radiodifusión (sistema de Control Remoto)." title="Formato 2, sección 3 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rodrigo.castro\AppData\Local\Microsoft\Windows\INetCache\Content.Outlook\UTAQH9MF\B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1540" cy="7596146"/>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0252784D" wp14:editId="1A29C8A7">
            <wp:extent cx="5971540" cy="7558989"/>
            <wp:effectExtent l="0" t="0" r="0" b="4445"/>
            <wp:docPr id="13" name="Imagen 13" descr="Solicitud de autorización, para la instalación o modificación técnica de servicios auxiliares a la radiodifusión (sistema de Control Remoto)." title="Formato 2, aviso de priv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rodrigo.castro\AppData\Local\Microsoft\Windows\INetCache\Content.Outlook\UTAQH9MF\B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1540" cy="7558989"/>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05619F76" wp14:editId="3D222E08">
            <wp:extent cx="5971540" cy="7584004"/>
            <wp:effectExtent l="0" t="0" r="0" b="0"/>
            <wp:docPr id="14" name="Imagen 14" descr="Solicitud de autorización, para la instalación o modificación técnica de servicios auxiliares a la radiodifusión (sistema de Control Remoto)." title="Instructivo de llenado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rodrigo.castro\AppData\Local\Microsoft\Windows\INetCache\Content.Outlook\UTAQH9MF\B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71540" cy="7584004"/>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0814FFD5" wp14:editId="589651CE">
            <wp:extent cx="5971540" cy="7589207"/>
            <wp:effectExtent l="0" t="0" r="0" b="0"/>
            <wp:docPr id="16" name="Imagen 16" descr="Solicitud de autorización, para la instalación o modificación técnica de servicios auxiliares a la radiodifusión (sistema de Control Remoto)." title="Instructivo de llenado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rodrigo.castro\AppData\Local\Microsoft\Windows\INetCache\Content.Outlook\UTAQH9MF\B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7589207"/>
                    </a:xfrm>
                    <a:prstGeom prst="rect">
                      <a:avLst/>
                    </a:prstGeom>
                    <a:noFill/>
                    <a:ln>
                      <a:noFill/>
                    </a:ln>
                  </pic:spPr>
                </pic:pic>
              </a:graphicData>
            </a:graphic>
          </wp:inline>
        </w:drawing>
      </w:r>
    </w:p>
    <w:p w:rsidR="00BD7C0D" w:rsidRDefault="00EF4E00" w:rsidP="00C55070">
      <w:pPr>
        <w:tabs>
          <w:tab w:val="left" w:pos="2442"/>
        </w:tabs>
        <w:spacing w:after="240"/>
        <w:jc w:val="center"/>
        <w:rPr>
          <w:rFonts w:ascii="Segoe UI" w:hAnsi="Segoe UI" w:cs="Segoe UI"/>
          <w:sz w:val="22"/>
          <w:szCs w:val="22"/>
        </w:rPr>
      </w:pPr>
      <w:r w:rsidRPr="00EF4E00">
        <w:rPr>
          <w:rFonts w:ascii="Segoe UI" w:hAnsi="Segoe UI" w:cs="Segoe UI"/>
          <w:noProof/>
          <w:sz w:val="22"/>
          <w:szCs w:val="22"/>
          <w:lang w:eastAsia="es-MX"/>
        </w:rPr>
        <w:lastRenderedPageBreak/>
        <w:drawing>
          <wp:inline distT="0" distB="0" distL="0" distR="0" wp14:anchorId="5EACE24A" wp14:editId="70C5349F">
            <wp:extent cx="5971540" cy="7575374"/>
            <wp:effectExtent l="0" t="0" r="0" b="6985"/>
            <wp:docPr id="17" name="Imagen 17" descr="Solicitud de autorización, para la instalación o modificación técnica de servicios auxiliares a la radiodifusión (sistema de Control Remoto), plazos a los que estará sujeto el trámite, fundamento jurídico e información adicional." title="Instructivo de llenado 3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Users\rodrigo.castro\AppData\Local\Microsoft\Windows\INetCache\Content.Outlook\UTAQH9MF\B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1540" cy="7575374"/>
                    </a:xfrm>
                    <a:prstGeom prst="rect">
                      <a:avLst/>
                    </a:prstGeom>
                    <a:noFill/>
                    <a:ln>
                      <a:noFill/>
                    </a:ln>
                  </pic:spPr>
                </pic:pic>
              </a:graphicData>
            </a:graphic>
          </wp:inline>
        </w:drawing>
      </w:r>
    </w:p>
    <w:p w:rsidR="00BD7C0D" w:rsidRPr="002A3E1D" w:rsidRDefault="00BD7C0D" w:rsidP="002A3E1D">
      <w:pPr>
        <w:spacing w:line="288" w:lineRule="auto"/>
        <w:ind w:left="709"/>
        <w:jc w:val="center"/>
        <w:outlineLvl w:val="1"/>
        <w:rPr>
          <w:rFonts w:ascii="ITC Avant Garde" w:hAnsi="ITC Avant Garde" w:cs="Arial"/>
          <w:b/>
          <w:bCs/>
          <w:sz w:val="22"/>
          <w:szCs w:val="22"/>
          <w:lang w:val="uz-Cyrl-UZ" w:eastAsia="en-US"/>
        </w:rPr>
      </w:pPr>
      <w:r w:rsidRPr="002A3E1D">
        <w:rPr>
          <w:rFonts w:ascii="ITC Avant Garde" w:hAnsi="ITC Avant Garde" w:cs="Arial"/>
          <w:b/>
          <w:bCs/>
          <w:sz w:val="22"/>
          <w:szCs w:val="22"/>
          <w:lang w:val="uz-Cyrl-UZ" w:eastAsia="en-US"/>
        </w:rPr>
        <w:lastRenderedPageBreak/>
        <w:t>ANEXO C</w:t>
      </w:r>
    </w:p>
    <w:p w:rsidR="00BD7C0D" w:rsidRDefault="00BD7C0D" w:rsidP="002A3E1D">
      <w:pPr>
        <w:tabs>
          <w:tab w:val="left" w:pos="2442"/>
        </w:tabs>
        <w:spacing w:after="120"/>
        <w:jc w:val="center"/>
        <w:rPr>
          <w:rFonts w:ascii="ITC Avant Garde Std Bk" w:hAnsi="ITC Avant Garde Std Bk" w:cs="Arial"/>
          <w:sz w:val="22"/>
          <w:szCs w:val="22"/>
        </w:rPr>
      </w:pPr>
      <w:r w:rsidRPr="00BD7C0D">
        <w:rPr>
          <w:rFonts w:ascii="ITC Avant Garde Std Bk" w:hAnsi="ITC Avant Garde Std Bk" w:cs="Arial"/>
          <w:sz w:val="22"/>
          <w:szCs w:val="22"/>
        </w:rPr>
        <w:t>Modalidad B. Enlace Estudio Planta</w:t>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drawing>
          <wp:inline distT="0" distB="0" distL="0" distR="0" wp14:anchorId="1703A5FE" wp14:editId="0203CE74">
            <wp:extent cx="5354955" cy="7296785"/>
            <wp:effectExtent l="0" t="0" r="0" b="0"/>
            <wp:docPr id="18" name="Imagen 18" descr="Solicitud de autorización, para la instalación o modificación técnica de servicios auxiliares a la radiodifusión (Enlaces Estudio-Planta). " title="Formato 3, sección 1 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rodrigo.castro\AppData\Local\Microsoft\Windows\INetCache\Content.Outlook\UTAQH9MF\C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54955" cy="7296785"/>
                    </a:xfrm>
                    <a:prstGeom prst="rect">
                      <a:avLst/>
                    </a:prstGeom>
                    <a:noFill/>
                    <a:ln>
                      <a:noFill/>
                    </a:ln>
                  </pic:spPr>
                </pic:pic>
              </a:graphicData>
            </a:graphic>
          </wp:inline>
        </w:drawing>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517166AF" wp14:editId="11A29DD7">
            <wp:extent cx="5971540" cy="7491546"/>
            <wp:effectExtent l="0" t="0" r="0" b="0"/>
            <wp:docPr id="19" name="Imagen 19" descr="Solicitud de autorización, para la instalación o modificación técnica de servicios auxiliares a la radiodifusión (Enlaces Estudio-Planta). " title="Formato 3, secció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rodrigo.castro\AppData\Local\Microsoft\Windows\INetCache\Content.Outlook\UTAQH9MF\C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1540" cy="7491546"/>
                    </a:xfrm>
                    <a:prstGeom prst="rect">
                      <a:avLst/>
                    </a:prstGeom>
                    <a:noFill/>
                    <a:ln>
                      <a:noFill/>
                    </a:ln>
                  </pic:spPr>
                </pic:pic>
              </a:graphicData>
            </a:graphic>
          </wp:inline>
        </w:drawing>
      </w:r>
    </w:p>
    <w:p w:rsidR="00BD7C0D" w:rsidRDefault="00BD7C0D" w:rsidP="00C55070">
      <w:pPr>
        <w:tabs>
          <w:tab w:val="left" w:pos="2442"/>
        </w:tabs>
        <w:spacing w:after="240"/>
        <w:jc w:val="center"/>
        <w:rPr>
          <w:rFonts w:ascii="ITC Avant Garde Std Bk" w:hAnsi="ITC Avant Garde Std Bk" w:cs="Arial"/>
          <w:sz w:val="22"/>
          <w:szCs w:val="22"/>
        </w:rPr>
      </w:pP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2A30E1A3" wp14:editId="7F399EEC">
            <wp:extent cx="5971540" cy="7611269"/>
            <wp:effectExtent l="0" t="0" r="0" b="8890"/>
            <wp:docPr id="20" name="Imagen 20" descr="Solicitud de autorización, para la instalación o modificación técnica de servicios auxiliares a la radiodifusión (Enlaces Estudio-Planta). " title="Formato 3, sección 3 y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Users\rodrigo.castro\AppData\Local\Microsoft\Windows\INetCache\Content.Outlook\UTAQH9MF\C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7611269"/>
                    </a:xfrm>
                    <a:prstGeom prst="rect">
                      <a:avLst/>
                    </a:prstGeom>
                    <a:noFill/>
                    <a:ln>
                      <a:noFill/>
                    </a:ln>
                  </pic:spPr>
                </pic:pic>
              </a:graphicData>
            </a:graphic>
          </wp:inline>
        </w:drawing>
      </w:r>
    </w:p>
    <w:p w:rsidR="00BD7C0D" w:rsidRDefault="00EF4E00" w:rsidP="00C55070">
      <w:pPr>
        <w:tabs>
          <w:tab w:val="left" w:pos="2442"/>
        </w:tabs>
        <w:spacing w:after="240"/>
        <w:ind w:right="-94"/>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46FE3456" wp14:editId="5B9B76C0">
            <wp:extent cx="5971540" cy="7619138"/>
            <wp:effectExtent l="0" t="0" r="0" b="1270"/>
            <wp:docPr id="21" name="Imagen 21" descr="Solicitud de autorización, para la instalación o modificación técnica de servicios auxiliares a la radiodifusión (Enlaces Estudio-Planta). " title="Formato 3, aviso de privac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rodrigo.castro\AppData\Local\Microsoft\Windows\INetCache\Content.Outlook\UTAQH9MF\C4.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7619138"/>
                    </a:xfrm>
                    <a:prstGeom prst="rect">
                      <a:avLst/>
                    </a:prstGeom>
                    <a:noFill/>
                    <a:ln>
                      <a:noFill/>
                    </a:ln>
                  </pic:spPr>
                </pic:pic>
              </a:graphicData>
            </a:graphic>
          </wp:inline>
        </w:drawing>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058A7BEF" wp14:editId="4D904549">
            <wp:extent cx="5971540" cy="7648042"/>
            <wp:effectExtent l="0" t="0" r="0" b="0"/>
            <wp:docPr id="22" name="Imagen 22" descr="Solicitud de autorización, para la instalación o modificación técnica de servicios auxiliares a la radiodifusión (Enlaces Estudio-Planta). " title="Formato 3, instructivo de llenado, parte 1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Users\rodrigo.castro\AppData\Local\Microsoft\Windows\INetCache\Content.Outlook\UTAQH9MF\C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7648042"/>
                    </a:xfrm>
                    <a:prstGeom prst="rect">
                      <a:avLst/>
                    </a:prstGeom>
                    <a:noFill/>
                    <a:ln>
                      <a:noFill/>
                    </a:ln>
                  </pic:spPr>
                </pic:pic>
              </a:graphicData>
            </a:graphic>
          </wp:inline>
        </w:drawing>
      </w:r>
    </w:p>
    <w:p w:rsidR="00BD7C0D" w:rsidRDefault="00EF4E00" w:rsidP="00C55070">
      <w:pPr>
        <w:tabs>
          <w:tab w:val="left" w:pos="2442"/>
        </w:tabs>
        <w:spacing w:after="240"/>
        <w:jc w:val="center"/>
        <w:rPr>
          <w:rFonts w:ascii="ITC Avant Garde Std Bk" w:hAnsi="ITC Avant Garde Std Bk" w:cs="Arial"/>
          <w:sz w:val="22"/>
          <w:szCs w:val="22"/>
        </w:rPr>
      </w:pPr>
      <w:r w:rsidRPr="00EF4E00">
        <w:rPr>
          <w:rFonts w:ascii="ITC Avant Garde Std Bk" w:hAnsi="ITC Avant Garde Std Bk" w:cs="Arial"/>
          <w:noProof/>
          <w:sz w:val="22"/>
          <w:szCs w:val="22"/>
          <w:lang w:eastAsia="es-MX"/>
        </w:rPr>
        <w:lastRenderedPageBreak/>
        <w:drawing>
          <wp:inline distT="0" distB="0" distL="0" distR="0" wp14:anchorId="61CE5BE9" wp14:editId="2F843C26">
            <wp:extent cx="5971540" cy="7672911"/>
            <wp:effectExtent l="0" t="0" r="0" b="4445"/>
            <wp:docPr id="23" name="Imagen 23" descr="Solicitud de autorización, para la instalación o modificación técnica de servicios auxiliares a la radiodifusión (Enlaces Estudio-Planta). " title="Formato 3, instructivo de llenado, parte 2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Users\rodrigo.castro\AppData\Local\Microsoft\Windows\INetCache\Content.Outlook\UTAQH9MF\C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7672911"/>
                    </a:xfrm>
                    <a:prstGeom prst="rect">
                      <a:avLst/>
                    </a:prstGeom>
                    <a:noFill/>
                    <a:ln>
                      <a:noFill/>
                    </a:ln>
                  </pic:spPr>
                </pic:pic>
              </a:graphicData>
            </a:graphic>
          </wp:inline>
        </w:drawing>
      </w:r>
    </w:p>
    <w:p w:rsidR="00BD7C0D" w:rsidRDefault="002F1DEE" w:rsidP="00C55070">
      <w:pPr>
        <w:tabs>
          <w:tab w:val="left" w:pos="2442"/>
        </w:tabs>
        <w:spacing w:after="240"/>
        <w:jc w:val="center"/>
        <w:rPr>
          <w:rFonts w:ascii="ITC Avant Garde Std Bk" w:hAnsi="ITC Avant Garde Std Bk" w:cs="Arial"/>
          <w:sz w:val="22"/>
          <w:szCs w:val="22"/>
        </w:rPr>
      </w:pPr>
      <w:r w:rsidRPr="002F1DEE">
        <w:rPr>
          <w:rFonts w:ascii="ITC Avant Garde Std Bk" w:hAnsi="ITC Avant Garde Std Bk" w:cs="Arial"/>
          <w:noProof/>
          <w:sz w:val="22"/>
          <w:szCs w:val="22"/>
          <w:lang w:eastAsia="es-MX"/>
        </w:rPr>
        <w:lastRenderedPageBreak/>
        <w:drawing>
          <wp:inline distT="0" distB="0" distL="0" distR="0" wp14:anchorId="694BE27A" wp14:editId="29C68DB2">
            <wp:extent cx="5971540" cy="7528237"/>
            <wp:effectExtent l="0" t="0" r="0" b="0"/>
            <wp:docPr id="24" name="Imagen 24" descr="Solicitud de autorización, para la instalación o modificación técnica de servicios auxiliares a la radiodifusión (Enlaces Estudio-Planta), plazos a los que estará sujeto el trámite, fundamento jurídico e información adicional." title="Formato 3, instructivo de llenado, parte 3 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Users\rodrigo.castro\AppData\Local\Microsoft\Windows\INetCache\Content.Outlook\UTAQH9MF\C7.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7528237"/>
                    </a:xfrm>
                    <a:prstGeom prst="rect">
                      <a:avLst/>
                    </a:prstGeom>
                    <a:noFill/>
                    <a:ln>
                      <a:noFill/>
                    </a:ln>
                  </pic:spPr>
                </pic:pic>
              </a:graphicData>
            </a:graphic>
          </wp:inline>
        </w:drawing>
      </w:r>
    </w:p>
    <w:sectPr w:rsidR="00BD7C0D" w:rsidSect="00F27D1E">
      <w:pgSz w:w="12240" w:h="15840"/>
      <w:pgMar w:top="1985" w:right="1418" w:bottom="1418" w:left="1418" w:header="709" w:footer="992"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3FC3" w:rsidRDefault="007D3FC3">
      <w:r>
        <w:separator/>
      </w:r>
    </w:p>
  </w:endnote>
  <w:endnote w:type="continuationSeparator" w:id="0">
    <w:p w:rsidR="007D3FC3" w:rsidRDefault="007D3F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ITC Avant Garde">
    <w:panose1 w:val="020B04020202030203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ITC Avant Garde Std Bk">
    <w:panose1 w:val="020B0502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sz w:val="16"/>
        <w:szCs w:val="16"/>
      </w:rPr>
      <w:id w:val="-506138276"/>
      <w:docPartObj>
        <w:docPartGallery w:val="Page Numbers (Bottom of Page)"/>
        <w:docPartUnique/>
      </w:docPartObj>
    </w:sdtPr>
    <w:sdtEndPr>
      <w:rPr>
        <w:sz w:val="18"/>
      </w:rPr>
    </w:sdtEndPr>
    <w:sdtContent>
      <w:sdt>
        <w:sdtPr>
          <w:rPr>
            <w:rFonts w:ascii="ITC Avant Garde" w:hAnsi="ITC Avant Garde"/>
            <w:sz w:val="16"/>
            <w:szCs w:val="16"/>
          </w:rPr>
          <w:id w:val="-1769616900"/>
          <w:docPartObj>
            <w:docPartGallery w:val="Page Numbers (Top of Page)"/>
            <w:docPartUnique/>
          </w:docPartObj>
        </w:sdtPr>
        <w:sdtEndPr>
          <w:rPr>
            <w:sz w:val="18"/>
          </w:rPr>
        </w:sdtEndPr>
        <w:sdtContent>
          <w:p w:rsidR="00F42D9D" w:rsidRPr="004F1F66" w:rsidRDefault="00F42D9D" w:rsidP="00A01FAE">
            <w:pPr>
              <w:pStyle w:val="Piedepgina"/>
              <w:jc w:val="right"/>
              <w:rPr>
                <w:rFonts w:ascii="ITC Avant Garde" w:hAnsi="ITC Avant Garde"/>
                <w:sz w:val="18"/>
                <w:szCs w:val="16"/>
              </w:rPr>
            </w:pPr>
            <w:r w:rsidRPr="004F1F66">
              <w:rPr>
                <w:rFonts w:ascii="ITC Avant Garde" w:hAnsi="ITC Avant Garde"/>
                <w:bCs/>
                <w:sz w:val="18"/>
                <w:szCs w:val="16"/>
              </w:rPr>
              <w:fldChar w:fldCharType="begin"/>
            </w:r>
            <w:r w:rsidRPr="004F1F66">
              <w:rPr>
                <w:rFonts w:ascii="ITC Avant Garde" w:hAnsi="ITC Avant Garde"/>
                <w:bCs/>
                <w:sz w:val="18"/>
                <w:szCs w:val="16"/>
              </w:rPr>
              <w:instrText>PAGE</w:instrText>
            </w:r>
            <w:r w:rsidRPr="004F1F66">
              <w:rPr>
                <w:rFonts w:ascii="ITC Avant Garde" w:hAnsi="ITC Avant Garde"/>
                <w:bCs/>
                <w:sz w:val="18"/>
                <w:szCs w:val="16"/>
              </w:rPr>
              <w:fldChar w:fldCharType="separate"/>
            </w:r>
            <w:r w:rsidR="007A1854">
              <w:rPr>
                <w:rFonts w:ascii="ITC Avant Garde" w:hAnsi="ITC Avant Garde"/>
                <w:bCs/>
                <w:noProof/>
                <w:sz w:val="18"/>
                <w:szCs w:val="16"/>
              </w:rPr>
              <w:t>2</w:t>
            </w:r>
            <w:r w:rsidRPr="004F1F66">
              <w:rPr>
                <w:rFonts w:ascii="ITC Avant Garde" w:hAnsi="ITC Avant Garde"/>
                <w:bCs/>
                <w:sz w:val="18"/>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3FC3" w:rsidRDefault="007D3FC3">
      <w:r>
        <w:separator/>
      </w:r>
    </w:p>
  </w:footnote>
  <w:footnote w:type="continuationSeparator" w:id="0">
    <w:p w:rsidR="007D3FC3" w:rsidRDefault="007D3F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13701"/>
    <w:multiLevelType w:val="hybridMultilevel"/>
    <w:tmpl w:val="B1C2F7DA"/>
    <w:lvl w:ilvl="0" w:tplc="080A000F">
      <w:start w:val="1"/>
      <w:numFmt w:val="decimal"/>
      <w:lvlText w:val="%1."/>
      <w:lvlJc w:val="left"/>
      <w:pPr>
        <w:ind w:left="720" w:hanging="360"/>
      </w:pPr>
      <w:rPr>
        <w:rFonts w:hint="default"/>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9882630"/>
    <w:multiLevelType w:val="hybridMultilevel"/>
    <w:tmpl w:val="445CD32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D145DA"/>
    <w:multiLevelType w:val="hybridMultilevel"/>
    <w:tmpl w:val="7FC072CC"/>
    <w:lvl w:ilvl="0" w:tplc="8DBCFA1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202F7314"/>
    <w:multiLevelType w:val="hybridMultilevel"/>
    <w:tmpl w:val="36862C0A"/>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8FC0198"/>
    <w:multiLevelType w:val="hybridMultilevel"/>
    <w:tmpl w:val="1CCE6D66"/>
    <w:lvl w:ilvl="0" w:tplc="D7764FF6">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49AC033A"/>
    <w:multiLevelType w:val="hybridMultilevel"/>
    <w:tmpl w:val="9E1E68C4"/>
    <w:lvl w:ilvl="0" w:tplc="91CCBE5C">
      <w:start w:val="1"/>
      <w:numFmt w:val="lowerLetter"/>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560A780C"/>
    <w:multiLevelType w:val="hybridMultilevel"/>
    <w:tmpl w:val="7B142B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17876BB"/>
    <w:multiLevelType w:val="hybridMultilevel"/>
    <w:tmpl w:val="ED545A9E"/>
    <w:lvl w:ilvl="0" w:tplc="F6D6191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6AB32231"/>
    <w:multiLevelType w:val="hybridMultilevel"/>
    <w:tmpl w:val="0B760A2A"/>
    <w:lvl w:ilvl="0" w:tplc="8EB8A3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994FE2"/>
    <w:multiLevelType w:val="hybridMultilevel"/>
    <w:tmpl w:val="F01E2EB4"/>
    <w:lvl w:ilvl="0" w:tplc="22B28C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8E6E27"/>
    <w:multiLevelType w:val="hybridMultilevel"/>
    <w:tmpl w:val="0FAA73FC"/>
    <w:lvl w:ilvl="0" w:tplc="0310BB62">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749D0125"/>
    <w:multiLevelType w:val="hybridMultilevel"/>
    <w:tmpl w:val="5058C3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5"/>
  </w:num>
  <w:num w:numId="3">
    <w:abstractNumId w:val="3"/>
  </w:num>
  <w:num w:numId="4">
    <w:abstractNumId w:val="9"/>
  </w:num>
  <w:num w:numId="5">
    <w:abstractNumId w:val="4"/>
  </w:num>
  <w:num w:numId="6">
    <w:abstractNumId w:val="10"/>
  </w:num>
  <w:num w:numId="7">
    <w:abstractNumId w:val="7"/>
  </w:num>
  <w:num w:numId="8">
    <w:abstractNumId w:val="6"/>
  </w:num>
  <w:num w:numId="9">
    <w:abstractNumId w:val="11"/>
  </w:num>
  <w:num w:numId="10">
    <w:abstractNumId w:val="0"/>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69BE"/>
    <w:rsid w:val="000006CA"/>
    <w:rsid w:val="00001CC1"/>
    <w:rsid w:val="00005B2B"/>
    <w:rsid w:val="0001259C"/>
    <w:rsid w:val="00014BB7"/>
    <w:rsid w:val="00020680"/>
    <w:rsid w:val="00024543"/>
    <w:rsid w:val="00025B73"/>
    <w:rsid w:val="00032CE8"/>
    <w:rsid w:val="000360C0"/>
    <w:rsid w:val="000368FB"/>
    <w:rsid w:val="00041429"/>
    <w:rsid w:val="00044BBD"/>
    <w:rsid w:val="000475A9"/>
    <w:rsid w:val="00051C56"/>
    <w:rsid w:val="00052EF8"/>
    <w:rsid w:val="00065355"/>
    <w:rsid w:val="00094741"/>
    <w:rsid w:val="000A1DA4"/>
    <w:rsid w:val="000A1E8C"/>
    <w:rsid w:val="000B2E4B"/>
    <w:rsid w:val="000B635A"/>
    <w:rsid w:val="000C1343"/>
    <w:rsid w:val="000C3691"/>
    <w:rsid w:val="000C414F"/>
    <w:rsid w:val="000C576F"/>
    <w:rsid w:val="000D206C"/>
    <w:rsid w:val="000D51BE"/>
    <w:rsid w:val="000D7FB9"/>
    <w:rsid w:val="000E1205"/>
    <w:rsid w:val="000E45A5"/>
    <w:rsid w:val="000F41BB"/>
    <w:rsid w:val="000F6509"/>
    <w:rsid w:val="000F70A1"/>
    <w:rsid w:val="000F7776"/>
    <w:rsid w:val="000F7B64"/>
    <w:rsid w:val="00110A96"/>
    <w:rsid w:val="001211C1"/>
    <w:rsid w:val="001216FE"/>
    <w:rsid w:val="00121FDF"/>
    <w:rsid w:val="00122663"/>
    <w:rsid w:val="0012651C"/>
    <w:rsid w:val="001277EA"/>
    <w:rsid w:val="0013787B"/>
    <w:rsid w:val="00137D65"/>
    <w:rsid w:val="0014291C"/>
    <w:rsid w:val="00143654"/>
    <w:rsid w:val="00151463"/>
    <w:rsid w:val="00161065"/>
    <w:rsid w:val="00170158"/>
    <w:rsid w:val="001751F2"/>
    <w:rsid w:val="00183EBB"/>
    <w:rsid w:val="00194150"/>
    <w:rsid w:val="00195F56"/>
    <w:rsid w:val="00197AA7"/>
    <w:rsid w:val="001A4ACD"/>
    <w:rsid w:val="001A5378"/>
    <w:rsid w:val="001A621F"/>
    <w:rsid w:val="001A6D56"/>
    <w:rsid w:val="001B1CE8"/>
    <w:rsid w:val="001B3372"/>
    <w:rsid w:val="001B57F4"/>
    <w:rsid w:val="001C31F6"/>
    <w:rsid w:val="001C3F03"/>
    <w:rsid w:val="001D206B"/>
    <w:rsid w:val="001D3E86"/>
    <w:rsid w:val="001E26AF"/>
    <w:rsid w:val="001E272C"/>
    <w:rsid w:val="001E2765"/>
    <w:rsid w:val="001E7E83"/>
    <w:rsid w:val="001F0FE5"/>
    <w:rsid w:val="001F18DD"/>
    <w:rsid w:val="001F4B41"/>
    <w:rsid w:val="002169A0"/>
    <w:rsid w:val="00220DA4"/>
    <w:rsid w:val="00234883"/>
    <w:rsid w:val="002367EE"/>
    <w:rsid w:val="0024007A"/>
    <w:rsid w:val="002406E1"/>
    <w:rsid w:val="002415AD"/>
    <w:rsid w:val="00241712"/>
    <w:rsid w:val="00245EB0"/>
    <w:rsid w:val="00246F45"/>
    <w:rsid w:val="002517B0"/>
    <w:rsid w:val="002519A2"/>
    <w:rsid w:val="00253346"/>
    <w:rsid w:val="002605C9"/>
    <w:rsid w:val="002609EA"/>
    <w:rsid w:val="0026260D"/>
    <w:rsid w:val="00266B27"/>
    <w:rsid w:val="00267A18"/>
    <w:rsid w:val="00282A20"/>
    <w:rsid w:val="00282A5F"/>
    <w:rsid w:val="00291E8D"/>
    <w:rsid w:val="0029702A"/>
    <w:rsid w:val="002A3E1D"/>
    <w:rsid w:val="002B0CE5"/>
    <w:rsid w:val="002B2594"/>
    <w:rsid w:val="002B336B"/>
    <w:rsid w:val="002B7800"/>
    <w:rsid w:val="002C25EE"/>
    <w:rsid w:val="002C3AAE"/>
    <w:rsid w:val="002C4704"/>
    <w:rsid w:val="002D2D32"/>
    <w:rsid w:val="002F07A4"/>
    <w:rsid w:val="002F1DEE"/>
    <w:rsid w:val="00310F37"/>
    <w:rsid w:val="00317CE8"/>
    <w:rsid w:val="00321952"/>
    <w:rsid w:val="003222BA"/>
    <w:rsid w:val="00322988"/>
    <w:rsid w:val="003274A9"/>
    <w:rsid w:val="003324F4"/>
    <w:rsid w:val="00340DDC"/>
    <w:rsid w:val="003426C0"/>
    <w:rsid w:val="003605C6"/>
    <w:rsid w:val="003635A6"/>
    <w:rsid w:val="00382520"/>
    <w:rsid w:val="003974FE"/>
    <w:rsid w:val="003A2441"/>
    <w:rsid w:val="003A2ACE"/>
    <w:rsid w:val="003A338D"/>
    <w:rsid w:val="003A367F"/>
    <w:rsid w:val="003A57B4"/>
    <w:rsid w:val="003A7706"/>
    <w:rsid w:val="003B1B1B"/>
    <w:rsid w:val="003B6565"/>
    <w:rsid w:val="003C038D"/>
    <w:rsid w:val="003C0915"/>
    <w:rsid w:val="003C4735"/>
    <w:rsid w:val="003D7511"/>
    <w:rsid w:val="003D7E40"/>
    <w:rsid w:val="003E72FC"/>
    <w:rsid w:val="003F0842"/>
    <w:rsid w:val="003F1808"/>
    <w:rsid w:val="003F4E00"/>
    <w:rsid w:val="00402396"/>
    <w:rsid w:val="00412C90"/>
    <w:rsid w:val="00414484"/>
    <w:rsid w:val="00416A32"/>
    <w:rsid w:val="00420059"/>
    <w:rsid w:val="00443596"/>
    <w:rsid w:val="00445B2D"/>
    <w:rsid w:val="004475AB"/>
    <w:rsid w:val="00457420"/>
    <w:rsid w:val="004625B3"/>
    <w:rsid w:val="0047195D"/>
    <w:rsid w:val="004749DE"/>
    <w:rsid w:val="0047642A"/>
    <w:rsid w:val="00476B0C"/>
    <w:rsid w:val="004813C6"/>
    <w:rsid w:val="00481416"/>
    <w:rsid w:val="004978D9"/>
    <w:rsid w:val="004A1D64"/>
    <w:rsid w:val="004A3C25"/>
    <w:rsid w:val="004A5297"/>
    <w:rsid w:val="004A72FE"/>
    <w:rsid w:val="004B725F"/>
    <w:rsid w:val="004C60B6"/>
    <w:rsid w:val="004D1703"/>
    <w:rsid w:val="004D176E"/>
    <w:rsid w:val="004D17D7"/>
    <w:rsid w:val="004D6F78"/>
    <w:rsid w:val="004F1CBA"/>
    <w:rsid w:val="004F1F66"/>
    <w:rsid w:val="004F1FDD"/>
    <w:rsid w:val="00510E8B"/>
    <w:rsid w:val="00511729"/>
    <w:rsid w:val="00524DEF"/>
    <w:rsid w:val="00531DEE"/>
    <w:rsid w:val="0053430F"/>
    <w:rsid w:val="00546892"/>
    <w:rsid w:val="0054691A"/>
    <w:rsid w:val="00552827"/>
    <w:rsid w:val="00553DC3"/>
    <w:rsid w:val="00557938"/>
    <w:rsid w:val="00562ABD"/>
    <w:rsid w:val="00565825"/>
    <w:rsid w:val="00565E88"/>
    <w:rsid w:val="00572F4C"/>
    <w:rsid w:val="005810AF"/>
    <w:rsid w:val="00587EC5"/>
    <w:rsid w:val="005909A7"/>
    <w:rsid w:val="00592209"/>
    <w:rsid w:val="00594FCD"/>
    <w:rsid w:val="00595CB0"/>
    <w:rsid w:val="005A62AA"/>
    <w:rsid w:val="005C32E4"/>
    <w:rsid w:val="005C369E"/>
    <w:rsid w:val="005D387D"/>
    <w:rsid w:val="005E564B"/>
    <w:rsid w:val="005E5830"/>
    <w:rsid w:val="005E7BEB"/>
    <w:rsid w:val="00602417"/>
    <w:rsid w:val="0060563D"/>
    <w:rsid w:val="00617040"/>
    <w:rsid w:val="00625301"/>
    <w:rsid w:val="006253F9"/>
    <w:rsid w:val="00633649"/>
    <w:rsid w:val="00634AB1"/>
    <w:rsid w:val="0064104D"/>
    <w:rsid w:val="00644117"/>
    <w:rsid w:val="006520A1"/>
    <w:rsid w:val="00660800"/>
    <w:rsid w:val="006617E6"/>
    <w:rsid w:val="006622D3"/>
    <w:rsid w:val="0066360E"/>
    <w:rsid w:val="006659C0"/>
    <w:rsid w:val="00680155"/>
    <w:rsid w:val="006831DA"/>
    <w:rsid w:val="006909B8"/>
    <w:rsid w:val="00693CE4"/>
    <w:rsid w:val="006948E9"/>
    <w:rsid w:val="006B5615"/>
    <w:rsid w:val="006C1BAE"/>
    <w:rsid w:val="006C1CAC"/>
    <w:rsid w:val="006E0437"/>
    <w:rsid w:val="006F12F7"/>
    <w:rsid w:val="0070310F"/>
    <w:rsid w:val="00713251"/>
    <w:rsid w:val="00714397"/>
    <w:rsid w:val="007205CC"/>
    <w:rsid w:val="00722C39"/>
    <w:rsid w:val="007313BE"/>
    <w:rsid w:val="00731FCD"/>
    <w:rsid w:val="007321C4"/>
    <w:rsid w:val="00744EC1"/>
    <w:rsid w:val="00751213"/>
    <w:rsid w:val="00765196"/>
    <w:rsid w:val="0077173D"/>
    <w:rsid w:val="007816F1"/>
    <w:rsid w:val="00784F2B"/>
    <w:rsid w:val="007851EA"/>
    <w:rsid w:val="00785744"/>
    <w:rsid w:val="0079594F"/>
    <w:rsid w:val="007970C1"/>
    <w:rsid w:val="007A1854"/>
    <w:rsid w:val="007B578D"/>
    <w:rsid w:val="007B682B"/>
    <w:rsid w:val="007C0FF9"/>
    <w:rsid w:val="007C2290"/>
    <w:rsid w:val="007C2592"/>
    <w:rsid w:val="007D3FC3"/>
    <w:rsid w:val="007E04F7"/>
    <w:rsid w:val="007E273C"/>
    <w:rsid w:val="00807195"/>
    <w:rsid w:val="0082022C"/>
    <w:rsid w:val="0082434B"/>
    <w:rsid w:val="00824487"/>
    <w:rsid w:val="00825E44"/>
    <w:rsid w:val="00842F5C"/>
    <w:rsid w:val="008502EA"/>
    <w:rsid w:val="00852002"/>
    <w:rsid w:val="00857A34"/>
    <w:rsid w:val="00857A98"/>
    <w:rsid w:val="00865C7A"/>
    <w:rsid w:val="0086699E"/>
    <w:rsid w:val="008808B5"/>
    <w:rsid w:val="00882E9E"/>
    <w:rsid w:val="00884F22"/>
    <w:rsid w:val="00891385"/>
    <w:rsid w:val="00894243"/>
    <w:rsid w:val="008A436B"/>
    <w:rsid w:val="008A5F01"/>
    <w:rsid w:val="008B1A87"/>
    <w:rsid w:val="008B54F1"/>
    <w:rsid w:val="008B6CD1"/>
    <w:rsid w:val="008C5731"/>
    <w:rsid w:val="008C6C31"/>
    <w:rsid w:val="008C721F"/>
    <w:rsid w:val="008D1966"/>
    <w:rsid w:val="008D564A"/>
    <w:rsid w:val="008E1DAC"/>
    <w:rsid w:val="008E2286"/>
    <w:rsid w:val="008F3699"/>
    <w:rsid w:val="008F686C"/>
    <w:rsid w:val="00900463"/>
    <w:rsid w:val="009026F6"/>
    <w:rsid w:val="0090463B"/>
    <w:rsid w:val="00906C71"/>
    <w:rsid w:val="00910588"/>
    <w:rsid w:val="00935532"/>
    <w:rsid w:val="0094577F"/>
    <w:rsid w:val="00953B2C"/>
    <w:rsid w:val="0096647C"/>
    <w:rsid w:val="00971A34"/>
    <w:rsid w:val="00972CDB"/>
    <w:rsid w:val="00976AA6"/>
    <w:rsid w:val="00980D3D"/>
    <w:rsid w:val="00981FAF"/>
    <w:rsid w:val="009825E5"/>
    <w:rsid w:val="00984D76"/>
    <w:rsid w:val="00993CE5"/>
    <w:rsid w:val="009948E5"/>
    <w:rsid w:val="009B2F66"/>
    <w:rsid w:val="009B5351"/>
    <w:rsid w:val="009C6847"/>
    <w:rsid w:val="009D23D7"/>
    <w:rsid w:val="009D467E"/>
    <w:rsid w:val="009D6690"/>
    <w:rsid w:val="009E2739"/>
    <w:rsid w:val="009E74B3"/>
    <w:rsid w:val="009E76F9"/>
    <w:rsid w:val="009F3321"/>
    <w:rsid w:val="009F53ED"/>
    <w:rsid w:val="00A01FAE"/>
    <w:rsid w:val="00A046BF"/>
    <w:rsid w:val="00A06EBB"/>
    <w:rsid w:val="00A15D79"/>
    <w:rsid w:val="00A27745"/>
    <w:rsid w:val="00A33FCE"/>
    <w:rsid w:val="00A37DD6"/>
    <w:rsid w:val="00A43C36"/>
    <w:rsid w:val="00A46EE2"/>
    <w:rsid w:val="00A536CF"/>
    <w:rsid w:val="00A738B0"/>
    <w:rsid w:val="00A76E99"/>
    <w:rsid w:val="00A80479"/>
    <w:rsid w:val="00A809F7"/>
    <w:rsid w:val="00A84308"/>
    <w:rsid w:val="00A84A8A"/>
    <w:rsid w:val="00A851F2"/>
    <w:rsid w:val="00A93147"/>
    <w:rsid w:val="00A9437E"/>
    <w:rsid w:val="00A96447"/>
    <w:rsid w:val="00AC1927"/>
    <w:rsid w:val="00AC1CAC"/>
    <w:rsid w:val="00AC56A0"/>
    <w:rsid w:val="00AD37F0"/>
    <w:rsid w:val="00AD486C"/>
    <w:rsid w:val="00AD55DE"/>
    <w:rsid w:val="00AD676E"/>
    <w:rsid w:val="00AE1C09"/>
    <w:rsid w:val="00AE560D"/>
    <w:rsid w:val="00AF3ACD"/>
    <w:rsid w:val="00AF50FF"/>
    <w:rsid w:val="00AF7C9B"/>
    <w:rsid w:val="00B004CA"/>
    <w:rsid w:val="00B02B73"/>
    <w:rsid w:val="00B07204"/>
    <w:rsid w:val="00B173DF"/>
    <w:rsid w:val="00B21647"/>
    <w:rsid w:val="00B236FD"/>
    <w:rsid w:val="00B3454F"/>
    <w:rsid w:val="00B35306"/>
    <w:rsid w:val="00B4100E"/>
    <w:rsid w:val="00B60197"/>
    <w:rsid w:val="00B66BE7"/>
    <w:rsid w:val="00B674B1"/>
    <w:rsid w:val="00B72EE6"/>
    <w:rsid w:val="00B76DDC"/>
    <w:rsid w:val="00B84BC0"/>
    <w:rsid w:val="00B96F0B"/>
    <w:rsid w:val="00BA03AE"/>
    <w:rsid w:val="00BA3625"/>
    <w:rsid w:val="00BA4822"/>
    <w:rsid w:val="00BA7259"/>
    <w:rsid w:val="00BB2218"/>
    <w:rsid w:val="00BC1BA3"/>
    <w:rsid w:val="00BC24FB"/>
    <w:rsid w:val="00BC64C2"/>
    <w:rsid w:val="00BC7269"/>
    <w:rsid w:val="00BD1096"/>
    <w:rsid w:val="00BD2424"/>
    <w:rsid w:val="00BD5B2E"/>
    <w:rsid w:val="00BD7C0D"/>
    <w:rsid w:val="00BF4B40"/>
    <w:rsid w:val="00C25D47"/>
    <w:rsid w:val="00C26F2C"/>
    <w:rsid w:val="00C30790"/>
    <w:rsid w:val="00C445DE"/>
    <w:rsid w:val="00C52E5B"/>
    <w:rsid w:val="00C55070"/>
    <w:rsid w:val="00C55185"/>
    <w:rsid w:val="00C67095"/>
    <w:rsid w:val="00C7014D"/>
    <w:rsid w:val="00C832E5"/>
    <w:rsid w:val="00C90116"/>
    <w:rsid w:val="00C933B7"/>
    <w:rsid w:val="00C95170"/>
    <w:rsid w:val="00CB5469"/>
    <w:rsid w:val="00CB7A4B"/>
    <w:rsid w:val="00CC4037"/>
    <w:rsid w:val="00CC6ED5"/>
    <w:rsid w:val="00CE0202"/>
    <w:rsid w:val="00CF25CB"/>
    <w:rsid w:val="00CF3F00"/>
    <w:rsid w:val="00D00E71"/>
    <w:rsid w:val="00D01802"/>
    <w:rsid w:val="00D05DB1"/>
    <w:rsid w:val="00D078E9"/>
    <w:rsid w:val="00D125E8"/>
    <w:rsid w:val="00D22FCD"/>
    <w:rsid w:val="00D259BD"/>
    <w:rsid w:val="00D357BF"/>
    <w:rsid w:val="00D54247"/>
    <w:rsid w:val="00D54D64"/>
    <w:rsid w:val="00D55723"/>
    <w:rsid w:val="00D661D2"/>
    <w:rsid w:val="00D66CB0"/>
    <w:rsid w:val="00D77C7B"/>
    <w:rsid w:val="00D9006E"/>
    <w:rsid w:val="00DA38A4"/>
    <w:rsid w:val="00DA5C47"/>
    <w:rsid w:val="00DA5D5C"/>
    <w:rsid w:val="00DA660C"/>
    <w:rsid w:val="00DB3D67"/>
    <w:rsid w:val="00DB588E"/>
    <w:rsid w:val="00DC2478"/>
    <w:rsid w:val="00DD0FD4"/>
    <w:rsid w:val="00DD2AA8"/>
    <w:rsid w:val="00DD4071"/>
    <w:rsid w:val="00DF3236"/>
    <w:rsid w:val="00DF3748"/>
    <w:rsid w:val="00E05996"/>
    <w:rsid w:val="00E07178"/>
    <w:rsid w:val="00E071E4"/>
    <w:rsid w:val="00E119B4"/>
    <w:rsid w:val="00E11CB5"/>
    <w:rsid w:val="00E14990"/>
    <w:rsid w:val="00E207D1"/>
    <w:rsid w:val="00E3650A"/>
    <w:rsid w:val="00E42B4D"/>
    <w:rsid w:val="00E51CE6"/>
    <w:rsid w:val="00E55F50"/>
    <w:rsid w:val="00E571A1"/>
    <w:rsid w:val="00E729A4"/>
    <w:rsid w:val="00E803F7"/>
    <w:rsid w:val="00E84CAC"/>
    <w:rsid w:val="00E92887"/>
    <w:rsid w:val="00E92F0A"/>
    <w:rsid w:val="00E9470A"/>
    <w:rsid w:val="00E95D86"/>
    <w:rsid w:val="00E966D5"/>
    <w:rsid w:val="00EB228E"/>
    <w:rsid w:val="00EC0BB4"/>
    <w:rsid w:val="00EC14B1"/>
    <w:rsid w:val="00EC6A45"/>
    <w:rsid w:val="00ED7436"/>
    <w:rsid w:val="00EE3A3E"/>
    <w:rsid w:val="00EF3852"/>
    <w:rsid w:val="00EF4E00"/>
    <w:rsid w:val="00EF7531"/>
    <w:rsid w:val="00F00B7B"/>
    <w:rsid w:val="00F05404"/>
    <w:rsid w:val="00F07B65"/>
    <w:rsid w:val="00F27D1E"/>
    <w:rsid w:val="00F33F91"/>
    <w:rsid w:val="00F40E23"/>
    <w:rsid w:val="00F426E1"/>
    <w:rsid w:val="00F4282C"/>
    <w:rsid w:val="00F42D9D"/>
    <w:rsid w:val="00F51400"/>
    <w:rsid w:val="00F51A9F"/>
    <w:rsid w:val="00F5266E"/>
    <w:rsid w:val="00F529BA"/>
    <w:rsid w:val="00F60C54"/>
    <w:rsid w:val="00F63269"/>
    <w:rsid w:val="00F661BC"/>
    <w:rsid w:val="00F669BE"/>
    <w:rsid w:val="00F71D0E"/>
    <w:rsid w:val="00F7525F"/>
    <w:rsid w:val="00F75521"/>
    <w:rsid w:val="00F8053B"/>
    <w:rsid w:val="00F80866"/>
    <w:rsid w:val="00F8432C"/>
    <w:rsid w:val="00F86A8E"/>
    <w:rsid w:val="00F90030"/>
    <w:rsid w:val="00F91BDF"/>
    <w:rsid w:val="00F95C41"/>
    <w:rsid w:val="00F96725"/>
    <w:rsid w:val="00FD0F65"/>
    <w:rsid w:val="00FD27C0"/>
    <w:rsid w:val="00FD473D"/>
    <w:rsid w:val="00FD6831"/>
    <w:rsid w:val="00FF1D10"/>
    <w:rsid w:val="00FF3878"/>
    <w:rsid w:val="00FF6A39"/>
  </w:rsids>
  <m:mathPr>
    <m:mathFont m:val="Cambria Math"/>
    <m:brkBin m:val="before"/>
    <m:brkBinSub m:val="--"/>
    <m:smallFrac/>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A60E3F"/>
  <w15:docId w15:val="{08244D1D-C6ED-4CC2-BC01-2D8A7861E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55DE"/>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7A185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D55DE"/>
    <w:pPr>
      <w:spacing w:after="101" w:line="216" w:lineRule="exact"/>
      <w:ind w:firstLine="288"/>
      <w:jc w:val="both"/>
    </w:pPr>
    <w:rPr>
      <w:rFonts w:ascii="Arial" w:hAnsi="Arial" w:cs="Arial"/>
      <w:sz w:val="18"/>
      <w:szCs w:val="20"/>
    </w:rPr>
  </w:style>
  <w:style w:type="paragraph" w:customStyle="1" w:styleId="ROMANOS">
    <w:name w:val="ROMANOS"/>
    <w:basedOn w:val="Normal"/>
    <w:link w:val="ROMANOSCar"/>
    <w:rsid w:val="00AD55DE"/>
    <w:pPr>
      <w:tabs>
        <w:tab w:val="left" w:pos="720"/>
      </w:tabs>
      <w:spacing w:after="101" w:line="216" w:lineRule="exact"/>
      <w:ind w:left="720" w:hanging="432"/>
      <w:jc w:val="both"/>
    </w:pPr>
    <w:rPr>
      <w:rFonts w:ascii="Arial" w:hAnsi="Arial" w:cs="Arial"/>
      <w:sz w:val="18"/>
      <w:szCs w:val="18"/>
    </w:rPr>
  </w:style>
  <w:style w:type="paragraph" w:customStyle="1" w:styleId="ANOTACION">
    <w:name w:val="ANOTACION"/>
    <w:basedOn w:val="Normal"/>
    <w:link w:val="ANOTACIONCar"/>
    <w:rsid w:val="00AD55DE"/>
    <w:pPr>
      <w:spacing w:before="101" w:after="101" w:line="216" w:lineRule="atLeast"/>
      <w:jc w:val="center"/>
    </w:pPr>
    <w:rPr>
      <w:b/>
      <w:sz w:val="18"/>
      <w:szCs w:val="20"/>
      <w:lang w:val="es-ES_tradnl"/>
    </w:rPr>
  </w:style>
  <w:style w:type="character" w:customStyle="1" w:styleId="TextoCar">
    <w:name w:val="Texto Car"/>
    <w:link w:val="Texto"/>
    <w:locked/>
    <w:rsid w:val="00AD55DE"/>
    <w:rPr>
      <w:rFonts w:ascii="Arial" w:eastAsia="Times New Roman" w:hAnsi="Arial" w:cs="Arial"/>
      <w:sz w:val="18"/>
      <w:szCs w:val="20"/>
      <w:lang w:eastAsia="es-ES"/>
    </w:rPr>
  </w:style>
  <w:style w:type="character" w:customStyle="1" w:styleId="ROMANOSCar">
    <w:name w:val="ROMANOS Car"/>
    <w:link w:val="ROMANOS"/>
    <w:locked/>
    <w:rsid w:val="00AD55DE"/>
    <w:rPr>
      <w:rFonts w:ascii="Arial" w:eastAsia="Times New Roman" w:hAnsi="Arial" w:cs="Arial"/>
      <w:sz w:val="18"/>
      <w:szCs w:val="18"/>
      <w:lang w:eastAsia="es-ES"/>
    </w:rPr>
  </w:style>
  <w:style w:type="character" w:customStyle="1" w:styleId="ANOTACIONCar">
    <w:name w:val="ANOTACION Car"/>
    <w:link w:val="ANOTACION"/>
    <w:locked/>
    <w:rsid w:val="00AD55DE"/>
    <w:rPr>
      <w:rFonts w:ascii="Times New Roman" w:eastAsia="Times New Roman" w:hAnsi="Times New Roman" w:cs="Times New Roman"/>
      <w:b/>
      <w:sz w:val="18"/>
      <w:szCs w:val="20"/>
      <w:lang w:val="es-ES_tradnl" w:eastAsia="es-ES"/>
    </w:rPr>
  </w:style>
  <w:style w:type="paragraph" w:styleId="Piedepgina">
    <w:name w:val="footer"/>
    <w:basedOn w:val="Normal"/>
    <w:link w:val="PiedepginaCar"/>
    <w:uiPriority w:val="99"/>
    <w:rsid w:val="00AD55DE"/>
    <w:pPr>
      <w:tabs>
        <w:tab w:val="center" w:pos="4419"/>
        <w:tab w:val="right" w:pos="8838"/>
      </w:tabs>
    </w:pPr>
  </w:style>
  <w:style w:type="character" w:customStyle="1" w:styleId="PiedepginaCar">
    <w:name w:val="Pie de página Car"/>
    <w:basedOn w:val="Fuentedeprrafopredeter"/>
    <w:link w:val="Piedepgina"/>
    <w:uiPriority w:val="99"/>
    <w:rsid w:val="00AD55DE"/>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
    <w:uiPriority w:val="34"/>
    <w:locked/>
    <w:rsid w:val="00AD55DE"/>
    <w:rPr>
      <w:rFonts w:ascii="Arial" w:hAnsi="Arial" w:cs="Arial"/>
      <w:sz w:val="24"/>
      <w:lang w:val="es-MX" w:eastAsia="es-MX"/>
    </w:rPr>
  </w:style>
  <w:style w:type="paragraph" w:styleId="Prrafodelista">
    <w:name w:val="List Paragraph"/>
    <w:aliases w:val="4 Viñ 1nivel,Numeración 1,Cuadrícula media 1 - Énfasis 21,Bullet List,FooterText,numbered,List Paragraph1,Paragraphe de liste1,Bulletr List Paragraph,列出段落,列出段落1,Cuadros,Lista general"/>
    <w:basedOn w:val="Normal"/>
    <w:link w:val="PrrafodelistaCar"/>
    <w:uiPriority w:val="34"/>
    <w:qFormat/>
    <w:rsid w:val="00AD55DE"/>
    <w:pPr>
      <w:ind w:left="708"/>
    </w:pPr>
  </w:style>
  <w:style w:type="table" w:styleId="Listavistosa-nfasis1">
    <w:name w:val="Colorful List Accent 1"/>
    <w:basedOn w:val="Tablanormal"/>
    <w:link w:val="Listavistosa-nfasis1Car"/>
    <w:uiPriority w:val="34"/>
    <w:semiHidden/>
    <w:unhideWhenUsed/>
    <w:rsid w:val="00AD55DE"/>
    <w:pPr>
      <w:spacing w:after="0" w:line="240" w:lineRule="auto"/>
    </w:pPr>
    <w:rPr>
      <w:rFonts w:ascii="Arial" w:hAnsi="Arial" w:cs="Arial"/>
      <w:sz w:val="24"/>
      <w:lang w:eastAsia="es-MX"/>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character" w:styleId="Refdecomentario">
    <w:name w:val="annotation reference"/>
    <w:basedOn w:val="Fuentedeprrafopredeter"/>
    <w:uiPriority w:val="99"/>
    <w:unhideWhenUsed/>
    <w:rsid w:val="00A809F7"/>
    <w:rPr>
      <w:sz w:val="16"/>
      <w:szCs w:val="16"/>
    </w:rPr>
  </w:style>
  <w:style w:type="paragraph" w:styleId="Textocomentario">
    <w:name w:val="annotation text"/>
    <w:basedOn w:val="Normal"/>
    <w:link w:val="TextocomentarioCar"/>
    <w:uiPriority w:val="99"/>
    <w:unhideWhenUsed/>
    <w:rsid w:val="00A809F7"/>
    <w:rPr>
      <w:sz w:val="20"/>
      <w:szCs w:val="20"/>
    </w:rPr>
  </w:style>
  <w:style w:type="character" w:customStyle="1" w:styleId="TextocomentarioCar">
    <w:name w:val="Texto comentario Car"/>
    <w:basedOn w:val="Fuentedeprrafopredeter"/>
    <w:link w:val="Textocomentario"/>
    <w:uiPriority w:val="99"/>
    <w:rsid w:val="00A809F7"/>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809F7"/>
    <w:rPr>
      <w:b/>
      <w:bCs/>
    </w:rPr>
  </w:style>
  <w:style w:type="character" w:customStyle="1" w:styleId="AsuntodelcomentarioCar">
    <w:name w:val="Asunto del comentario Car"/>
    <w:basedOn w:val="TextocomentarioCar"/>
    <w:link w:val="Asuntodelcomentario"/>
    <w:uiPriority w:val="99"/>
    <w:semiHidden/>
    <w:rsid w:val="00A809F7"/>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A809F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809F7"/>
    <w:rPr>
      <w:rFonts w:ascii="Segoe UI" w:eastAsia="Times New Roman" w:hAnsi="Segoe UI" w:cs="Segoe UI"/>
      <w:sz w:val="18"/>
      <w:szCs w:val="18"/>
      <w:lang w:eastAsia="es-ES"/>
    </w:rPr>
  </w:style>
  <w:style w:type="paragraph" w:styleId="Revisin">
    <w:name w:val="Revision"/>
    <w:hidden/>
    <w:uiPriority w:val="99"/>
    <w:semiHidden/>
    <w:rsid w:val="00143654"/>
    <w:pPr>
      <w:spacing w:after="0" w:line="240" w:lineRule="auto"/>
    </w:pPr>
    <w:rPr>
      <w:rFonts w:ascii="Times New Roman" w:eastAsia="Times New Roman" w:hAnsi="Times New Roman" w:cs="Times New Roman"/>
      <w:sz w:val="24"/>
      <w:szCs w:val="24"/>
      <w:lang w:eastAsia="es-ES"/>
    </w:rPr>
  </w:style>
  <w:style w:type="paragraph" w:customStyle="1" w:styleId="Default">
    <w:name w:val="Default"/>
    <w:rsid w:val="00A06EBB"/>
    <w:pPr>
      <w:autoSpaceDE w:val="0"/>
      <w:autoSpaceDN w:val="0"/>
      <w:adjustRightInd w:val="0"/>
      <w:spacing w:after="0" w:line="240" w:lineRule="auto"/>
    </w:pPr>
    <w:rPr>
      <w:rFonts w:ascii="Times New Roman" w:eastAsia="MS Mincho" w:hAnsi="Times New Roman" w:cs="Times New Roman"/>
      <w:color w:val="000000"/>
      <w:sz w:val="24"/>
      <w:szCs w:val="24"/>
      <w:lang w:eastAsia="es-MX"/>
    </w:rPr>
  </w:style>
  <w:style w:type="paragraph" w:styleId="Encabezado">
    <w:name w:val="header"/>
    <w:basedOn w:val="Normal"/>
    <w:link w:val="EncabezadoCar"/>
    <w:uiPriority w:val="99"/>
    <w:unhideWhenUsed/>
    <w:rsid w:val="00F529BA"/>
    <w:pPr>
      <w:tabs>
        <w:tab w:val="center" w:pos="4419"/>
        <w:tab w:val="right" w:pos="8838"/>
      </w:tabs>
    </w:pPr>
  </w:style>
  <w:style w:type="character" w:customStyle="1" w:styleId="EncabezadoCar">
    <w:name w:val="Encabezado Car"/>
    <w:basedOn w:val="Fuentedeprrafopredeter"/>
    <w:link w:val="Encabezado"/>
    <w:uiPriority w:val="99"/>
    <w:rsid w:val="00F529BA"/>
    <w:rPr>
      <w:rFonts w:ascii="Times New Roman" w:eastAsia="Times New Roman" w:hAnsi="Times New Roman" w:cs="Times New Roman"/>
      <w:sz w:val="24"/>
      <w:szCs w:val="24"/>
      <w:lang w:eastAsia="es-ES"/>
    </w:rPr>
  </w:style>
  <w:style w:type="character" w:customStyle="1" w:styleId="SinespaciadoCar">
    <w:name w:val="Sin espaciado Car"/>
    <w:basedOn w:val="Fuentedeprrafopredeter"/>
    <w:link w:val="Sinespaciado"/>
    <w:uiPriority w:val="1"/>
    <w:locked/>
    <w:rsid w:val="00DD4071"/>
    <w:rPr>
      <w:rFonts w:ascii="Calibri" w:hAnsi="Calibri"/>
    </w:rPr>
  </w:style>
  <w:style w:type="paragraph" w:styleId="Sinespaciado">
    <w:name w:val="No Spacing"/>
    <w:basedOn w:val="Normal"/>
    <w:link w:val="SinespaciadoCar"/>
    <w:uiPriority w:val="1"/>
    <w:qFormat/>
    <w:rsid w:val="00DD4071"/>
    <w:rPr>
      <w:rFonts w:ascii="Calibri" w:eastAsiaTheme="minorHAnsi" w:hAnsi="Calibri" w:cstheme="minorBidi"/>
      <w:sz w:val="22"/>
      <w:szCs w:val="22"/>
      <w:lang w:eastAsia="en-US"/>
    </w:rPr>
  </w:style>
  <w:style w:type="character" w:customStyle="1" w:styleId="PrrafodelistaCar">
    <w:name w:val="Párrafo de lista Car"/>
    <w:aliases w:val="4 Viñ 1nivel Car,Numeración 1 Car,Cuadrícula media 1 - Énfasis 21 Car,Bullet List Car,FooterText Car,numbered Car,List Paragraph1 Car,Paragraphe de liste1 Car,Bulletr List Paragraph Car,列出段落 Car,列出段落1 Car,Cuadros Car"/>
    <w:basedOn w:val="Fuentedeprrafopredeter"/>
    <w:link w:val="Prrafodelista"/>
    <w:uiPriority w:val="34"/>
    <w:locked/>
    <w:rsid w:val="00A46EE2"/>
    <w:rPr>
      <w:rFonts w:ascii="Times New Roman" w:eastAsia="Times New Roman" w:hAnsi="Times New Roman" w:cs="Times New Roman"/>
      <w:sz w:val="24"/>
      <w:szCs w:val="24"/>
      <w:lang w:eastAsia="es-ES"/>
    </w:rPr>
  </w:style>
  <w:style w:type="character" w:customStyle="1" w:styleId="Ttulo1Car">
    <w:name w:val="Título 1 Car"/>
    <w:basedOn w:val="Fuentedeprrafopredeter"/>
    <w:link w:val="Ttulo1"/>
    <w:uiPriority w:val="9"/>
    <w:rsid w:val="007A1854"/>
    <w:rPr>
      <w:rFonts w:asciiTheme="majorHAnsi" w:eastAsiaTheme="majorEastAsia" w:hAnsiTheme="majorHAnsi" w:cstheme="majorBidi"/>
      <w:color w:val="2E74B5"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39316">
      <w:bodyDiv w:val="1"/>
      <w:marLeft w:val="0"/>
      <w:marRight w:val="0"/>
      <w:marTop w:val="0"/>
      <w:marBottom w:val="0"/>
      <w:divBdr>
        <w:top w:val="none" w:sz="0" w:space="0" w:color="auto"/>
        <w:left w:val="none" w:sz="0" w:space="0" w:color="auto"/>
        <w:bottom w:val="none" w:sz="0" w:space="0" w:color="auto"/>
        <w:right w:val="none" w:sz="0" w:space="0" w:color="auto"/>
      </w:divBdr>
    </w:div>
    <w:div w:id="71661319">
      <w:bodyDiv w:val="1"/>
      <w:marLeft w:val="0"/>
      <w:marRight w:val="0"/>
      <w:marTop w:val="0"/>
      <w:marBottom w:val="0"/>
      <w:divBdr>
        <w:top w:val="none" w:sz="0" w:space="0" w:color="auto"/>
        <w:left w:val="none" w:sz="0" w:space="0" w:color="auto"/>
        <w:bottom w:val="none" w:sz="0" w:space="0" w:color="auto"/>
        <w:right w:val="none" w:sz="0" w:space="0" w:color="auto"/>
      </w:divBdr>
    </w:div>
    <w:div w:id="96223194">
      <w:bodyDiv w:val="1"/>
      <w:marLeft w:val="0"/>
      <w:marRight w:val="0"/>
      <w:marTop w:val="0"/>
      <w:marBottom w:val="0"/>
      <w:divBdr>
        <w:top w:val="none" w:sz="0" w:space="0" w:color="auto"/>
        <w:left w:val="none" w:sz="0" w:space="0" w:color="auto"/>
        <w:bottom w:val="none" w:sz="0" w:space="0" w:color="auto"/>
        <w:right w:val="none" w:sz="0" w:space="0" w:color="auto"/>
      </w:divBdr>
      <w:divsChild>
        <w:div w:id="998386431">
          <w:marLeft w:val="0"/>
          <w:marRight w:val="0"/>
          <w:marTop w:val="0"/>
          <w:marBottom w:val="0"/>
          <w:divBdr>
            <w:top w:val="none" w:sz="0" w:space="0" w:color="auto"/>
            <w:left w:val="none" w:sz="0" w:space="0" w:color="auto"/>
            <w:bottom w:val="none" w:sz="0" w:space="0" w:color="auto"/>
            <w:right w:val="none" w:sz="0" w:space="0" w:color="auto"/>
          </w:divBdr>
          <w:divsChild>
            <w:div w:id="1342009513">
              <w:marLeft w:val="0"/>
              <w:marRight w:val="0"/>
              <w:marTop w:val="0"/>
              <w:marBottom w:val="0"/>
              <w:divBdr>
                <w:top w:val="none" w:sz="0" w:space="0" w:color="auto"/>
                <w:left w:val="none" w:sz="0" w:space="0" w:color="auto"/>
                <w:bottom w:val="none" w:sz="0" w:space="0" w:color="auto"/>
                <w:right w:val="none" w:sz="0" w:space="0" w:color="auto"/>
              </w:divBdr>
              <w:divsChild>
                <w:div w:id="10947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212293">
      <w:bodyDiv w:val="1"/>
      <w:marLeft w:val="0"/>
      <w:marRight w:val="0"/>
      <w:marTop w:val="0"/>
      <w:marBottom w:val="0"/>
      <w:divBdr>
        <w:top w:val="none" w:sz="0" w:space="0" w:color="auto"/>
        <w:left w:val="none" w:sz="0" w:space="0" w:color="auto"/>
        <w:bottom w:val="none" w:sz="0" w:space="0" w:color="auto"/>
        <w:right w:val="none" w:sz="0" w:space="0" w:color="auto"/>
      </w:divBdr>
      <w:divsChild>
        <w:div w:id="1804300035">
          <w:marLeft w:val="0"/>
          <w:marRight w:val="0"/>
          <w:marTop w:val="0"/>
          <w:marBottom w:val="101"/>
          <w:divBdr>
            <w:top w:val="none" w:sz="0" w:space="0" w:color="auto"/>
            <w:left w:val="none" w:sz="0" w:space="0" w:color="auto"/>
            <w:bottom w:val="none" w:sz="0" w:space="0" w:color="auto"/>
            <w:right w:val="none" w:sz="0" w:space="0" w:color="auto"/>
          </w:divBdr>
        </w:div>
        <w:div w:id="1604650339">
          <w:marLeft w:val="0"/>
          <w:marRight w:val="0"/>
          <w:marTop w:val="0"/>
          <w:marBottom w:val="101"/>
          <w:divBdr>
            <w:top w:val="none" w:sz="0" w:space="0" w:color="auto"/>
            <w:left w:val="none" w:sz="0" w:space="0" w:color="auto"/>
            <w:bottom w:val="none" w:sz="0" w:space="0" w:color="auto"/>
            <w:right w:val="none" w:sz="0" w:space="0" w:color="auto"/>
          </w:divBdr>
        </w:div>
        <w:div w:id="706611182">
          <w:marLeft w:val="0"/>
          <w:marRight w:val="0"/>
          <w:marTop w:val="0"/>
          <w:marBottom w:val="101"/>
          <w:divBdr>
            <w:top w:val="none" w:sz="0" w:space="0" w:color="auto"/>
            <w:left w:val="none" w:sz="0" w:space="0" w:color="auto"/>
            <w:bottom w:val="none" w:sz="0" w:space="0" w:color="auto"/>
            <w:right w:val="none" w:sz="0" w:space="0" w:color="auto"/>
          </w:divBdr>
        </w:div>
        <w:div w:id="802774303">
          <w:marLeft w:val="720"/>
          <w:marRight w:val="0"/>
          <w:marTop w:val="0"/>
          <w:marBottom w:val="101"/>
          <w:divBdr>
            <w:top w:val="none" w:sz="0" w:space="0" w:color="auto"/>
            <w:left w:val="none" w:sz="0" w:space="0" w:color="auto"/>
            <w:bottom w:val="none" w:sz="0" w:space="0" w:color="auto"/>
            <w:right w:val="none" w:sz="0" w:space="0" w:color="auto"/>
          </w:divBdr>
        </w:div>
        <w:div w:id="227233366">
          <w:marLeft w:val="720"/>
          <w:marRight w:val="0"/>
          <w:marTop w:val="0"/>
          <w:marBottom w:val="101"/>
          <w:divBdr>
            <w:top w:val="none" w:sz="0" w:space="0" w:color="auto"/>
            <w:left w:val="none" w:sz="0" w:space="0" w:color="auto"/>
            <w:bottom w:val="none" w:sz="0" w:space="0" w:color="auto"/>
            <w:right w:val="none" w:sz="0" w:space="0" w:color="auto"/>
          </w:divBdr>
        </w:div>
        <w:div w:id="1436554208">
          <w:marLeft w:val="720"/>
          <w:marRight w:val="0"/>
          <w:marTop w:val="0"/>
          <w:marBottom w:val="101"/>
          <w:divBdr>
            <w:top w:val="none" w:sz="0" w:space="0" w:color="auto"/>
            <w:left w:val="none" w:sz="0" w:space="0" w:color="auto"/>
            <w:bottom w:val="none" w:sz="0" w:space="0" w:color="auto"/>
            <w:right w:val="none" w:sz="0" w:space="0" w:color="auto"/>
          </w:divBdr>
        </w:div>
      </w:divsChild>
    </w:div>
    <w:div w:id="336539104">
      <w:bodyDiv w:val="1"/>
      <w:marLeft w:val="0"/>
      <w:marRight w:val="0"/>
      <w:marTop w:val="0"/>
      <w:marBottom w:val="0"/>
      <w:divBdr>
        <w:top w:val="none" w:sz="0" w:space="0" w:color="auto"/>
        <w:left w:val="none" w:sz="0" w:space="0" w:color="auto"/>
        <w:bottom w:val="none" w:sz="0" w:space="0" w:color="auto"/>
        <w:right w:val="none" w:sz="0" w:space="0" w:color="auto"/>
      </w:divBdr>
      <w:divsChild>
        <w:div w:id="1512137418">
          <w:marLeft w:val="0"/>
          <w:marRight w:val="0"/>
          <w:marTop w:val="0"/>
          <w:marBottom w:val="0"/>
          <w:divBdr>
            <w:top w:val="none" w:sz="0" w:space="0" w:color="auto"/>
            <w:left w:val="none" w:sz="0" w:space="0" w:color="auto"/>
            <w:bottom w:val="none" w:sz="0" w:space="0" w:color="auto"/>
            <w:right w:val="none" w:sz="0" w:space="0" w:color="auto"/>
          </w:divBdr>
          <w:divsChild>
            <w:div w:id="920406357">
              <w:marLeft w:val="0"/>
              <w:marRight w:val="0"/>
              <w:marTop w:val="0"/>
              <w:marBottom w:val="0"/>
              <w:divBdr>
                <w:top w:val="none" w:sz="0" w:space="0" w:color="auto"/>
                <w:left w:val="none" w:sz="0" w:space="0" w:color="auto"/>
                <w:bottom w:val="none" w:sz="0" w:space="0" w:color="auto"/>
                <w:right w:val="none" w:sz="0" w:space="0" w:color="auto"/>
              </w:divBdr>
              <w:divsChild>
                <w:div w:id="56448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1620">
      <w:bodyDiv w:val="1"/>
      <w:marLeft w:val="0"/>
      <w:marRight w:val="0"/>
      <w:marTop w:val="0"/>
      <w:marBottom w:val="0"/>
      <w:divBdr>
        <w:top w:val="none" w:sz="0" w:space="0" w:color="auto"/>
        <w:left w:val="none" w:sz="0" w:space="0" w:color="auto"/>
        <w:bottom w:val="none" w:sz="0" w:space="0" w:color="auto"/>
        <w:right w:val="none" w:sz="0" w:space="0" w:color="auto"/>
      </w:divBdr>
      <w:divsChild>
        <w:div w:id="795022114">
          <w:marLeft w:val="0"/>
          <w:marRight w:val="0"/>
          <w:marTop w:val="0"/>
          <w:marBottom w:val="0"/>
          <w:divBdr>
            <w:top w:val="none" w:sz="0" w:space="0" w:color="auto"/>
            <w:left w:val="none" w:sz="0" w:space="0" w:color="auto"/>
            <w:bottom w:val="none" w:sz="0" w:space="0" w:color="auto"/>
            <w:right w:val="none" w:sz="0" w:space="0" w:color="auto"/>
          </w:divBdr>
          <w:divsChild>
            <w:div w:id="32579814">
              <w:marLeft w:val="0"/>
              <w:marRight w:val="0"/>
              <w:marTop w:val="0"/>
              <w:marBottom w:val="0"/>
              <w:divBdr>
                <w:top w:val="none" w:sz="0" w:space="0" w:color="auto"/>
                <w:left w:val="none" w:sz="0" w:space="0" w:color="auto"/>
                <w:bottom w:val="none" w:sz="0" w:space="0" w:color="auto"/>
                <w:right w:val="none" w:sz="0" w:space="0" w:color="auto"/>
              </w:divBdr>
              <w:divsChild>
                <w:div w:id="157076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758473">
      <w:bodyDiv w:val="1"/>
      <w:marLeft w:val="0"/>
      <w:marRight w:val="0"/>
      <w:marTop w:val="0"/>
      <w:marBottom w:val="0"/>
      <w:divBdr>
        <w:top w:val="none" w:sz="0" w:space="0" w:color="auto"/>
        <w:left w:val="none" w:sz="0" w:space="0" w:color="auto"/>
        <w:bottom w:val="none" w:sz="0" w:space="0" w:color="auto"/>
        <w:right w:val="none" w:sz="0" w:space="0" w:color="auto"/>
      </w:divBdr>
      <w:divsChild>
        <w:div w:id="1884514232">
          <w:marLeft w:val="0"/>
          <w:marRight w:val="0"/>
          <w:marTop w:val="0"/>
          <w:marBottom w:val="0"/>
          <w:divBdr>
            <w:top w:val="none" w:sz="0" w:space="0" w:color="auto"/>
            <w:left w:val="none" w:sz="0" w:space="0" w:color="auto"/>
            <w:bottom w:val="none" w:sz="0" w:space="0" w:color="auto"/>
            <w:right w:val="none" w:sz="0" w:space="0" w:color="auto"/>
          </w:divBdr>
        </w:div>
      </w:divsChild>
    </w:div>
    <w:div w:id="386955153">
      <w:bodyDiv w:val="1"/>
      <w:marLeft w:val="0"/>
      <w:marRight w:val="0"/>
      <w:marTop w:val="0"/>
      <w:marBottom w:val="0"/>
      <w:divBdr>
        <w:top w:val="none" w:sz="0" w:space="0" w:color="auto"/>
        <w:left w:val="none" w:sz="0" w:space="0" w:color="auto"/>
        <w:bottom w:val="none" w:sz="0" w:space="0" w:color="auto"/>
        <w:right w:val="none" w:sz="0" w:space="0" w:color="auto"/>
      </w:divBdr>
      <w:divsChild>
        <w:div w:id="170413959">
          <w:marLeft w:val="0"/>
          <w:marRight w:val="0"/>
          <w:marTop w:val="0"/>
          <w:marBottom w:val="0"/>
          <w:divBdr>
            <w:top w:val="none" w:sz="0" w:space="0" w:color="auto"/>
            <w:left w:val="none" w:sz="0" w:space="0" w:color="auto"/>
            <w:bottom w:val="none" w:sz="0" w:space="0" w:color="auto"/>
            <w:right w:val="none" w:sz="0" w:space="0" w:color="auto"/>
          </w:divBdr>
        </w:div>
      </w:divsChild>
    </w:div>
    <w:div w:id="476261795">
      <w:bodyDiv w:val="1"/>
      <w:marLeft w:val="0"/>
      <w:marRight w:val="0"/>
      <w:marTop w:val="0"/>
      <w:marBottom w:val="0"/>
      <w:divBdr>
        <w:top w:val="none" w:sz="0" w:space="0" w:color="auto"/>
        <w:left w:val="none" w:sz="0" w:space="0" w:color="auto"/>
        <w:bottom w:val="none" w:sz="0" w:space="0" w:color="auto"/>
        <w:right w:val="none" w:sz="0" w:space="0" w:color="auto"/>
      </w:divBdr>
      <w:divsChild>
        <w:div w:id="1713730325">
          <w:marLeft w:val="0"/>
          <w:marRight w:val="0"/>
          <w:marTop w:val="0"/>
          <w:marBottom w:val="0"/>
          <w:divBdr>
            <w:top w:val="none" w:sz="0" w:space="0" w:color="auto"/>
            <w:left w:val="none" w:sz="0" w:space="0" w:color="auto"/>
            <w:bottom w:val="none" w:sz="0" w:space="0" w:color="auto"/>
            <w:right w:val="none" w:sz="0" w:space="0" w:color="auto"/>
          </w:divBdr>
          <w:divsChild>
            <w:div w:id="1140809804">
              <w:marLeft w:val="0"/>
              <w:marRight w:val="0"/>
              <w:marTop w:val="0"/>
              <w:marBottom w:val="0"/>
              <w:divBdr>
                <w:top w:val="none" w:sz="0" w:space="0" w:color="auto"/>
                <w:left w:val="none" w:sz="0" w:space="0" w:color="auto"/>
                <w:bottom w:val="none" w:sz="0" w:space="0" w:color="auto"/>
                <w:right w:val="none" w:sz="0" w:space="0" w:color="auto"/>
              </w:divBdr>
              <w:divsChild>
                <w:div w:id="19881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526294">
      <w:bodyDiv w:val="1"/>
      <w:marLeft w:val="0"/>
      <w:marRight w:val="0"/>
      <w:marTop w:val="0"/>
      <w:marBottom w:val="0"/>
      <w:divBdr>
        <w:top w:val="none" w:sz="0" w:space="0" w:color="auto"/>
        <w:left w:val="none" w:sz="0" w:space="0" w:color="auto"/>
        <w:bottom w:val="none" w:sz="0" w:space="0" w:color="auto"/>
        <w:right w:val="none" w:sz="0" w:space="0" w:color="auto"/>
      </w:divBdr>
      <w:divsChild>
        <w:div w:id="2002810919">
          <w:marLeft w:val="0"/>
          <w:marRight w:val="0"/>
          <w:marTop w:val="0"/>
          <w:marBottom w:val="0"/>
          <w:divBdr>
            <w:top w:val="none" w:sz="0" w:space="0" w:color="auto"/>
            <w:left w:val="none" w:sz="0" w:space="0" w:color="auto"/>
            <w:bottom w:val="none" w:sz="0" w:space="0" w:color="auto"/>
            <w:right w:val="none" w:sz="0" w:space="0" w:color="auto"/>
          </w:divBdr>
          <w:divsChild>
            <w:div w:id="1673681706">
              <w:marLeft w:val="0"/>
              <w:marRight w:val="0"/>
              <w:marTop w:val="0"/>
              <w:marBottom w:val="0"/>
              <w:divBdr>
                <w:top w:val="none" w:sz="0" w:space="0" w:color="auto"/>
                <w:left w:val="none" w:sz="0" w:space="0" w:color="auto"/>
                <w:bottom w:val="none" w:sz="0" w:space="0" w:color="auto"/>
                <w:right w:val="none" w:sz="0" w:space="0" w:color="auto"/>
              </w:divBdr>
              <w:divsChild>
                <w:div w:id="144730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082569">
      <w:bodyDiv w:val="1"/>
      <w:marLeft w:val="0"/>
      <w:marRight w:val="0"/>
      <w:marTop w:val="0"/>
      <w:marBottom w:val="0"/>
      <w:divBdr>
        <w:top w:val="none" w:sz="0" w:space="0" w:color="auto"/>
        <w:left w:val="none" w:sz="0" w:space="0" w:color="auto"/>
        <w:bottom w:val="none" w:sz="0" w:space="0" w:color="auto"/>
        <w:right w:val="none" w:sz="0" w:space="0" w:color="auto"/>
      </w:divBdr>
      <w:divsChild>
        <w:div w:id="1406681433">
          <w:marLeft w:val="0"/>
          <w:marRight w:val="0"/>
          <w:marTop w:val="0"/>
          <w:marBottom w:val="0"/>
          <w:divBdr>
            <w:top w:val="none" w:sz="0" w:space="0" w:color="auto"/>
            <w:left w:val="none" w:sz="0" w:space="0" w:color="auto"/>
            <w:bottom w:val="none" w:sz="0" w:space="0" w:color="auto"/>
            <w:right w:val="none" w:sz="0" w:space="0" w:color="auto"/>
          </w:divBdr>
          <w:divsChild>
            <w:div w:id="1221282787">
              <w:marLeft w:val="0"/>
              <w:marRight w:val="0"/>
              <w:marTop w:val="0"/>
              <w:marBottom w:val="0"/>
              <w:divBdr>
                <w:top w:val="none" w:sz="0" w:space="0" w:color="auto"/>
                <w:left w:val="none" w:sz="0" w:space="0" w:color="auto"/>
                <w:bottom w:val="none" w:sz="0" w:space="0" w:color="auto"/>
                <w:right w:val="none" w:sz="0" w:space="0" w:color="auto"/>
              </w:divBdr>
              <w:divsChild>
                <w:div w:id="60307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02708">
      <w:bodyDiv w:val="1"/>
      <w:marLeft w:val="0"/>
      <w:marRight w:val="0"/>
      <w:marTop w:val="0"/>
      <w:marBottom w:val="0"/>
      <w:divBdr>
        <w:top w:val="none" w:sz="0" w:space="0" w:color="auto"/>
        <w:left w:val="none" w:sz="0" w:space="0" w:color="auto"/>
        <w:bottom w:val="none" w:sz="0" w:space="0" w:color="auto"/>
        <w:right w:val="none" w:sz="0" w:space="0" w:color="auto"/>
      </w:divBdr>
      <w:divsChild>
        <w:div w:id="1339389854">
          <w:marLeft w:val="0"/>
          <w:marRight w:val="0"/>
          <w:marTop w:val="0"/>
          <w:marBottom w:val="0"/>
          <w:divBdr>
            <w:top w:val="none" w:sz="0" w:space="0" w:color="auto"/>
            <w:left w:val="none" w:sz="0" w:space="0" w:color="auto"/>
            <w:bottom w:val="none" w:sz="0" w:space="0" w:color="auto"/>
            <w:right w:val="none" w:sz="0" w:space="0" w:color="auto"/>
          </w:divBdr>
          <w:divsChild>
            <w:div w:id="1162892703">
              <w:marLeft w:val="0"/>
              <w:marRight w:val="0"/>
              <w:marTop w:val="0"/>
              <w:marBottom w:val="0"/>
              <w:divBdr>
                <w:top w:val="none" w:sz="0" w:space="0" w:color="auto"/>
                <w:left w:val="none" w:sz="0" w:space="0" w:color="auto"/>
                <w:bottom w:val="none" w:sz="0" w:space="0" w:color="auto"/>
                <w:right w:val="none" w:sz="0" w:space="0" w:color="auto"/>
              </w:divBdr>
              <w:divsChild>
                <w:div w:id="61151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229757">
      <w:bodyDiv w:val="1"/>
      <w:marLeft w:val="0"/>
      <w:marRight w:val="0"/>
      <w:marTop w:val="0"/>
      <w:marBottom w:val="0"/>
      <w:divBdr>
        <w:top w:val="none" w:sz="0" w:space="0" w:color="auto"/>
        <w:left w:val="none" w:sz="0" w:space="0" w:color="auto"/>
        <w:bottom w:val="none" w:sz="0" w:space="0" w:color="auto"/>
        <w:right w:val="none" w:sz="0" w:space="0" w:color="auto"/>
      </w:divBdr>
    </w:div>
    <w:div w:id="680011812">
      <w:bodyDiv w:val="1"/>
      <w:marLeft w:val="0"/>
      <w:marRight w:val="0"/>
      <w:marTop w:val="0"/>
      <w:marBottom w:val="0"/>
      <w:divBdr>
        <w:top w:val="none" w:sz="0" w:space="0" w:color="auto"/>
        <w:left w:val="none" w:sz="0" w:space="0" w:color="auto"/>
        <w:bottom w:val="none" w:sz="0" w:space="0" w:color="auto"/>
        <w:right w:val="none" w:sz="0" w:space="0" w:color="auto"/>
      </w:divBdr>
      <w:divsChild>
        <w:div w:id="79915577">
          <w:marLeft w:val="0"/>
          <w:marRight w:val="0"/>
          <w:marTop w:val="0"/>
          <w:marBottom w:val="0"/>
          <w:divBdr>
            <w:top w:val="none" w:sz="0" w:space="0" w:color="auto"/>
            <w:left w:val="none" w:sz="0" w:space="0" w:color="auto"/>
            <w:bottom w:val="none" w:sz="0" w:space="0" w:color="auto"/>
            <w:right w:val="none" w:sz="0" w:space="0" w:color="auto"/>
          </w:divBdr>
          <w:divsChild>
            <w:div w:id="192591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747432">
      <w:bodyDiv w:val="1"/>
      <w:marLeft w:val="0"/>
      <w:marRight w:val="0"/>
      <w:marTop w:val="0"/>
      <w:marBottom w:val="0"/>
      <w:divBdr>
        <w:top w:val="none" w:sz="0" w:space="0" w:color="auto"/>
        <w:left w:val="none" w:sz="0" w:space="0" w:color="auto"/>
        <w:bottom w:val="none" w:sz="0" w:space="0" w:color="auto"/>
        <w:right w:val="none" w:sz="0" w:space="0" w:color="auto"/>
      </w:divBdr>
      <w:divsChild>
        <w:div w:id="1110975084">
          <w:marLeft w:val="0"/>
          <w:marRight w:val="0"/>
          <w:marTop w:val="0"/>
          <w:marBottom w:val="0"/>
          <w:divBdr>
            <w:top w:val="none" w:sz="0" w:space="0" w:color="auto"/>
            <w:left w:val="none" w:sz="0" w:space="0" w:color="auto"/>
            <w:bottom w:val="none" w:sz="0" w:space="0" w:color="auto"/>
            <w:right w:val="none" w:sz="0" w:space="0" w:color="auto"/>
          </w:divBdr>
        </w:div>
      </w:divsChild>
    </w:div>
    <w:div w:id="746264293">
      <w:bodyDiv w:val="1"/>
      <w:marLeft w:val="0"/>
      <w:marRight w:val="0"/>
      <w:marTop w:val="0"/>
      <w:marBottom w:val="0"/>
      <w:divBdr>
        <w:top w:val="none" w:sz="0" w:space="0" w:color="auto"/>
        <w:left w:val="none" w:sz="0" w:space="0" w:color="auto"/>
        <w:bottom w:val="none" w:sz="0" w:space="0" w:color="auto"/>
        <w:right w:val="none" w:sz="0" w:space="0" w:color="auto"/>
      </w:divBdr>
      <w:divsChild>
        <w:div w:id="764422325">
          <w:marLeft w:val="1080"/>
          <w:marRight w:val="0"/>
          <w:marTop w:val="0"/>
          <w:marBottom w:val="90"/>
          <w:divBdr>
            <w:top w:val="none" w:sz="0" w:space="0" w:color="auto"/>
            <w:left w:val="none" w:sz="0" w:space="0" w:color="auto"/>
            <w:bottom w:val="none" w:sz="0" w:space="0" w:color="auto"/>
            <w:right w:val="none" w:sz="0" w:space="0" w:color="auto"/>
          </w:divBdr>
        </w:div>
        <w:div w:id="986781242">
          <w:marLeft w:val="1080"/>
          <w:marRight w:val="0"/>
          <w:marTop w:val="0"/>
          <w:marBottom w:val="90"/>
          <w:divBdr>
            <w:top w:val="none" w:sz="0" w:space="0" w:color="auto"/>
            <w:left w:val="none" w:sz="0" w:space="0" w:color="auto"/>
            <w:bottom w:val="none" w:sz="0" w:space="0" w:color="auto"/>
            <w:right w:val="none" w:sz="0" w:space="0" w:color="auto"/>
          </w:divBdr>
        </w:div>
      </w:divsChild>
    </w:div>
    <w:div w:id="821460203">
      <w:bodyDiv w:val="1"/>
      <w:marLeft w:val="0"/>
      <w:marRight w:val="0"/>
      <w:marTop w:val="0"/>
      <w:marBottom w:val="0"/>
      <w:divBdr>
        <w:top w:val="none" w:sz="0" w:space="0" w:color="auto"/>
        <w:left w:val="none" w:sz="0" w:space="0" w:color="auto"/>
        <w:bottom w:val="none" w:sz="0" w:space="0" w:color="auto"/>
        <w:right w:val="none" w:sz="0" w:space="0" w:color="auto"/>
      </w:divBdr>
      <w:divsChild>
        <w:div w:id="624893432">
          <w:marLeft w:val="0"/>
          <w:marRight w:val="0"/>
          <w:marTop w:val="0"/>
          <w:marBottom w:val="0"/>
          <w:divBdr>
            <w:top w:val="none" w:sz="0" w:space="0" w:color="auto"/>
            <w:left w:val="none" w:sz="0" w:space="0" w:color="auto"/>
            <w:bottom w:val="none" w:sz="0" w:space="0" w:color="auto"/>
            <w:right w:val="none" w:sz="0" w:space="0" w:color="auto"/>
          </w:divBdr>
          <w:divsChild>
            <w:div w:id="1906337787">
              <w:marLeft w:val="0"/>
              <w:marRight w:val="0"/>
              <w:marTop w:val="0"/>
              <w:marBottom w:val="0"/>
              <w:divBdr>
                <w:top w:val="none" w:sz="0" w:space="0" w:color="auto"/>
                <w:left w:val="none" w:sz="0" w:space="0" w:color="auto"/>
                <w:bottom w:val="none" w:sz="0" w:space="0" w:color="auto"/>
                <w:right w:val="none" w:sz="0" w:space="0" w:color="auto"/>
              </w:divBdr>
              <w:divsChild>
                <w:div w:id="197035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218465">
      <w:bodyDiv w:val="1"/>
      <w:marLeft w:val="0"/>
      <w:marRight w:val="0"/>
      <w:marTop w:val="0"/>
      <w:marBottom w:val="0"/>
      <w:divBdr>
        <w:top w:val="none" w:sz="0" w:space="0" w:color="auto"/>
        <w:left w:val="none" w:sz="0" w:space="0" w:color="auto"/>
        <w:bottom w:val="none" w:sz="0" w:space="0" w:color="auto"/>
        <w:right w:val="none" w:sz="0" w:space="0" w:color="auto"/>
      </w:divBdr>
    </w:div>
    <w:div w:id="957371390">
      <w:bodyDiv w:val="1"/>
      <w:marLeft w:val="0"/>
      <w:marRight w:val="0"/>
      <w:marTop w:val="0"/>
      <w:marBottom w:val="0"/>
      <w:divBdr>
        <w:top w:val="none" w:sz="0" w:space="0" w:color="auto"/>
        <w:left w:val="none" w:sz="0" w:space="0" w:color="auto"/>
        <w:bottom w:val="none" w:sz="0" w:space="0" w:color="auto"/>
        <w:right w:val="none" w:sz="0" w:space="0" w:color="auto"/>
      </w:divBdr>
    </w:div>
    <w:div w:id="1134442107">
      <w:bodyDiv w:val="1"/>
      <w:marLeft w:val="0"/>
      <w:marRight w:val="0"/>
      <w:marTop w:val="0"/>
      <w:marBottom w:val="0"/>
      <w:divBdr>
        <w:top w:val="none" w:sz="0" w:space="0" w:color="auto"/>
        <w:left w:val="none" w:sz="0" w:space="0" w:color="auto"/>
        <w:bottom w:val="none" w:sz="0" w:space="0" w:color="auto"/>
        <w:right w:val="none" w:sz="0" w:space="0" w:color="auto"/>
      </w:divBdr>
      <w:divsChild>
        <w:div w:id="27460947">
          <w:marLeft w:val="0"/>
          <w:marRight w:val="0"/>
          <w:marTop w:val="0"/>
          <w:marBottom w:val="0"/>
          <w:divBdr>
            <w:top w:val="none" w:sz="0" w:space="0" w:color="auto"/>
            <w:left w:val="none" w:sz="0" w:space="0" w:color="auto"/>
            <w:bottom w:val="none" w:sz="0" w:space="0" w:color="auto"/>
            <w:right w:val="none" w:sz="0" w:space="0" w:color="auto"/>
          </w:divBdr>
        </w:div>
      </w:divsChild>
    </w:div>
    <w:div w:id="1196314577">
      <w:bodyDiv w:val="1"/>
      <w:marLeft w:val="0"/>
      <w:marRight w:val="0"/>
      <w:marTop w:val="0"/>
      <w:marBottom w:val="0"/>
      <w:divBdr>
        <w:top w:val="none" w:sz="0" w:space="0" w:color="auto"/>
        <w:left w:val="none" w:sz="0" w:space="0" w:color="auto"/>
        <w:bottom w:val="none" w:sz="0" w:space="0" w:color="auto"/>
        <w:right w:val="none" w:sz="0" w:space="0" w:color="auto"/>
      </w:divBdr>
      <w:divsChild>
        <w:div w:id="789278459">
          <w:marLeft w:val="0"/>
          <w:marRight w:val="0"/>
          <w:marTop w:val="0"/>
          <w:marBottom w:val="0"/>
          <w:divBdr>
            <w:top w:val="none" w:sz="0" w:space="0" w:color="auto"/>
            <w:left w:val="none" w:sz="0" w:space="0" w:color="auto"/>
            <w:bottom w:val="none" w:sz="0" w:space="0" w:color="auto"/>
            <w:right w:val="none" w:sz="0" w:space="0" w:color="auto"/>
          </w:divBdr>
        </w:div>
      </w:divsChild>
    </w:div>
    <w:div w:id="1199469866">
      <w:bodyDiv w:val="1"/>
      <w:marLeft w:val="0"/>
      <w:marRight w:val="0"/>
      <w:marTop w:val="0"/>
      <w:marBottom w:val="0"/>
      <w:divBdr>
        <w:top w:val="none" w:sz="0" w:space="0" w:color="auto"/>
        <w:left w:val="none" w:sz="0" w:space="0" w:color="auto"/>
        <w:bottom w:val="none" w:sz="0" w:space="0" w:color="auto"/>
        <w:right w:val="none" w:sz="0" w:space="0" w:color="auto"/>
      </w:divBdr>
      <w:divsChild>
        <w:div w:id="1360353144">
          <w:marLeft w:val="0"/>
          <w:marRight w:val="0"/>
          <w:marTop w:val="0"/>
          <w:marBottom w:val="0"/>
          <w:divBdr>
            <w:top w:val="none" w:sz="0" w:space="0" w:color="auto"/>
            <w:left w:val="none" w:sz="0" w:space="0" w:color="auto"/>
            <w:bottom w:val="none" w:sz="0" w:space="0" w:color="auto"/>
            <w:right w:val="none" w:sz="0" w:space="0" w:color="auto"/>
          </w:divBdr>
          <w:divsChild>
            <w:div w:id="406727705">
              <w:marLeft w:val="0"/>
              <w:marRight w:val="0"/>
              <w:marTop w:val="0"/>
              <w:marBottom w:val="0"/>
              <w:divBdr>
                <w:top w:val="none" w:sz="0" w:space="0" w:color="auto"/>
                <w:left w:val="none" w:sz="0" w:space="0" w:color="auto"/>
                <w:bottom w:val="none" w:sz="0" w:space="0" w:color="auto"/>
                <w:right w:val="none" w:sz="0" w:space="0" w:color="auto"/>
              </w:divBdr>
              <w:divsChild>
                <w:div w:id="127324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84700">
      <w:bodyDiv w:val="1"/>
      <w:marLeft w:val="0"/>
      <w:marRight w:val="0"/>
      <w:marTop w:val="0"/>
      <w:marBottom w:val="0"/>
      <w:divBdr>
        <w:top w:val="none" w:sz="0" w:space="0" w:color="auto"/>
        <w:left w:val="none" w:sz="0" w:space="0" w:color="auto"/>
        <w:bottom w:val="none" w:sz="0" w:space="0" w:color="auto"/>
        <w:right w:val="none" w:sz="0" w:space="0" w:color="auto"/>
      </w:divBdr>
      <w:divsChild>
        <w:div w:id="959846484">
          <w:marLeft w:val="0"/>
          <w:marRight w:val="0"/>
          <w:marTop w:val="0"/>
          <w:marBottom w:val="0"/>
          <w:divBdr>
            <w:top w:val="none" w:sz="0" w:space="0" w:color="auto"/>
            <w:left w:val="none" w:sz="0" w:space="0" w:color="auto"/>
            <w:bottom w:val="none" w:sz="0" w:space="0" w:color="auto"/>
            <w:right w:val="none" w:sz="0" w:space="0" w:color="auto"/>
          </w:divBdr>
        </w:div>
      </w:divsChild>
    </w:div>
    <w:div w:id="1366636687">
      <w:bodyDiv w:val="1"/>
      <w:marLeft w:val="0"/>
      <w:marRight w:val="0"/>
      <w:marTop w:val="0"/>
      <w:marBottom w:val="0"/>
      <w:divBdr>
        <w:top w:val="none" w:sz="0" w:space="0" w:color="auto"/>
        <w:left w:val="none" w:sz="0" w:space="0" w:color="auto"/>
        <w:bottom w:val="none" w:sz="0" w:space="0" w:color="auto"/>
        <w:right w:val="none" w:sz="0" w:space="0" w:color="auto"/>
      </w:divBdr>
      <w:divsChild>
        <w:div w:id="151265471">
          <w:marLeft w:val="0"/>
          <w:marRight w:val="0"/>
          <w:marTop w:val="0"/>
          <w:marBottom w:val="0"/>
          <w:divBdr>
            <w:top w:val="none" w:sz="0" w:space="0" w:color="auto"/>
            <w:left w:val="none" w:sz="0" w:space="0" w:color="auto"/>
            <w:bottom w:val="none" w:sz="0" w:space="0" w:color="auto"/>
            <w:right w:val="none" w:sz="0" w:space="0" w:color="auto"/>
          </w:divBdr>
          <w:divsChild>
            <w:div w:id="9455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56941">
      <w:bodyDiv w:val="1"/>
      <w:marLeft w:val="0"/>
      <w:marRight w:val="0"/>
      <w:marTop w:val="0"/>
      <w:marBottom w:val="0"/>
      <w:divBdr>
        <w:top w:val="none" w:sz="0" w:space="0" w:color="auto"/>
        <w:left w:val="none" w:sz="0" w:space="0" w:color="auto"/>
        <w:bottom w:val="none" w:sz="0" w:space="0" w:color="auto"/>
        <w:right w:val="none" w:sz="0" w:space="0" w:color="auto"/>
      </w:divBdr>
      <w:divsChild>
        <w:div w:id="1536577387">
          <w:marLeft w:val="0"/>
          <w:marRight w:val="0"/>
          <w:marTop w:val="0"/>
          <w:marBottom w:val="0"/>
          <w:divBdr>
            <w:top w:val="none" w:sz="0" w:space="0" w:color="auto"/>
            <w:left w:val="none" w:sz="0" w:space="0" w:color="auto"/>
            <w:bottom w:val="none" w:sz="0" w:space="0" w:color="auto"/>
            <w:right w:val="none" w:sz="0" w:space="0" w:color="auto"/>
          </w:divBdr>
          <w:divsChild>
            <w:div w:id="1043868447">
              <w:marLeft w:val="0"/>
              <w:marRight w:val="0"/>
              <w:marTop w:val="0"/>
              <w:marBottom w:val="0"/>
              <w:divBdr>
                <w:top w:val="none" w:sz="0" w:space="0" w:color="auto"/>
                <w:left w:val="none" w:sz="0" w:space="0" w:color="auto"/>
                <w:bottom w:val="none" w:sz="0" w:space="0" w:color="auto"/>
                <w:right w:val="none" w:sz="0" w:space="0" w:color="auto"/>
              </w:divBdr>
              <w:divsChild>
                <w:div w:id="141362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03718">
      <w:bodyDiv w:val="1"/>
      <w:marLeft w:val="0"/>
      <w:marRight w:val="0"/>
      <w:marTop w:val="0"/>
      <w:marBottom w:val="0"/>
      <w:divBdr>
        <w:top w:val="none" w:sz="0" w:space="0" w:color="auto"/>
        <w:left w:val="none" w:sz="0" w:space="0" w:color="auto"/>
        <w:bottom w:val="none" w:sz="0" w:space="0" w:color="auto"/>
        <w:right w:val="none" w:sz="0" w:space="0" w:color="auto"/>
      </w:divBdr>
    </w:div>
    <w:div w:id="1486554185">
      <w:bodyDiv w:val="1"/>
      <w:marLeft w:val="0"/>
      <w:marRight w:val="0"/>
      <w:marTop w:val="0"/>
      <w:marBottom w:val="0"/>
      <w:divBdr>
        <w:top w:val="none" w:sz="0" w:space="0" w:color="auto"/>
        <w:left w:val="none" w:sz="0" w:space="0" w:color="auto"/>
        <w:bottom w:val="none" w:sz="0" w:space="0" w:color="auto"/>
        <w:right w:val="none" w:sz="0" w:space="0" w:color="auto"/>
      </w:divBdr>
      <w:divsChild>
        <w:div w:id="1380977740">
          <w:marLeft w:val="0"/>
          <w:marRight w:val="0"/>
          <w:marTop w:val="0"/>
          <w:marBottom w:val="0"/>
          <w:divBdr>
            <w:top w:val="none" w:sz="0" w:space="0" w:color="auto"/>
            <w:left w:val="none" w:sz="0" w:space="0" w:color="auto"/>
            <w:bottom w:val="none" w:sz="0" w:space="0" w:color="auto"/>
            <w:right w:val="none" w:sz="0" w:space="0" w:color="auto"/>
          </w:divBdr>
        </w:div>
      </w:divsChild>
    </w:div>
    <w:div w:id="1520198564">
      <w:bodyDiv w:val="1"/>
      <w:marLeft w:val="0"/>
      <w:marRight w:val="0"/>
      <w:marTop w:val="0"/>
      <w:marBottom w:val="0"/>
      <w:divBdr>
        <w:top w:val="none" w:sz="0" w:space="0" w:color="auto"/>
        <w:left w:val="none" w:sz="0" w:space="0" w:color="auto"/>
        <w:bottom w:val="none" w:sz="0" w:space="0" w:color="auto"/>
        <w:right w:val="none" w:sz="0" w:space="0" w:color="auto"/>
      </w:divBdr>
      <w:divsChild>
        <w:div w:id="2114786197">
          <w:marLeft w:val="0"/>
          <w:marRight w:val="0"/>
          <w:marTop w:val="0"/>
          <w:marBottom w:val="0"/>
          <w:divBdr>
            <w:top w:val="none" w:sz="0" w:space="0" w:color="auto"/>
            <w:left w:val="none" w:sz="0" w:space="0" w:color="auto"/>
            <w:bottom w:val="none" w:sz="0" w:space="0" w:color="auto"/>
            <w:right w:val="none" w:sz="0" w:space="0" w:color="auto"/>
          </w:divBdr>
          <w:divsChild>
            <w:div w:id="875627533">
              <w:marLeft w:val="0"/>
              <w:marRight w:val="0"/>
              <w:marTop w:val="0"/>
              <w:marBottom w:val="0"/>
              <w:divBdr>
                <w:top w:val="none" w:sz="0" w:space="0" w:color="auto"/>
                <w:left w:val="none" w:sz="0" w:space="0" w:color="auto"/>
                <w:bottom w:val="none" w:sz="0" w:space="0" w:color="auto"/>
                <w:right w:val="none" w:sz="0" w:space="0" w:color="auto"/>
              </w:divBdr>
              <w:divsChild>
                <w:div w:id="27139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307792">
      <w:bodyDiv w:val="1"/>
      <w:marLeft w:val="0"/>
      <w:marRight w:val="0"/>
      <w:marTop w:val="0"/>
      <w:marBottom w:val="0"/>
      <w:divBdr>
        <w:top w:val="none" w:sz="0" w:space="0" w:color="auto"/>
        <w:left w:val="none" w:sz="0" w:space="0" w:color="auto"/>
        <w:bottom w:val="none" w:sz="0" w:space="0" w:color="auto"/>
        <w:right w:val="none" w:sz="0" w:space="0" w:color="auto"/>
      </w:divBdr>
      <w:divsChild>
        <w:div w:id="741949066">
          <w:marLeft w:val="0"/>
          <w:marRight w:val="0"/>
          <w:marTop w:val="0"/>
          <w:marBottom w:val="0"/>
          <w:divBdr>
            <w:top w:val="none" w:sz="0" w:space="0" w:color="auto"/>
            <w:left w:val="none" w:sz="0" w:space="0" w:color="auto"/>
            <w:bottom w:val="none" w:sz="0" w:space="0" w:color="auto"/>
            <w:right w:val="none" w:sz="0" w:space="0" w:color="auto"/>
          </w:divBdr>
          <w:divsChild>
            <w:div w:id="1932005311">
              <w:marLeft w:val="0"/>
              <w:marRight w:val="0"/>
              <w:marTop w:val="0"/>
              <w:marBottom w:val="0"/>
              <w:divBdr>
                <w:top w:val="none" w:sz="0" w:space="0" w:color="auto"/>
                <w:left w:val="none" w:sz="0" w:space="0" w:color="auto"/>
                <w:bottom w:val="none" w:sz="0" w:space="0" w:color="auto"/>
                <w:right w:val="none" w:sz="0" w:space="0" w:color="auto"/>
              </w:divBdr>
              <w:divsChild>
                <w:div w:id="1723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78837">
      <w:bodyDiv w:val="1"/>
      <w:marLeft w:val="0"/>
      <w:marRight w:val="0"/>
      <w:marTop w:val="0"/>
      <w:marBottom w:val="0"/>
      <w:divBdr>
        <w:top w:val="none" w:sz="0" w:space="0" w:color="auto"/>
        <w:left w:val="none" w:sz="0" w:space="0" w:color="auto"/>
        <w:bottom w:val="none" w:sz="0" w:space="0" w:color="auto"/>
        <w:right w:val="none" w:sz="0" w:space="0" w:color="auto"/>
      </w:divBdr>
      <w:divsChild>
        <w:div w:id="777718080">
          <w:marLeft w:val="0"/>
          <w:marRight w:val="0"/>
          <w:marTop w:val="0"/>
          <w:marBottom w:val="0"/>
          <w:divBdr>
            <w:top w:val="none" w:sz="0" w:space="0" w:color="auto"/>
            <w:left w:val="none" w:sz="0" w:space="0" w:color="auto"/>
            <w:bottom w:val="none" w:sz="0" w:space="0" w:color="auto"/>
            <w:right w:val="none" w:sz="0" w:space="0" w:color="auto"/>
          </w:divBdr>
          <w:divsChild>
            <w:div w:id="107315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806744">
      <w:bodyDiv w:val="1"/>
      <w:marLeft w:val="0"/>
      <w:marRight w:val="0"/>
      <w:marTop w:val="0"/>
      <w:marBottom w:val="0"/>
      <w:divBdr>
        <w:top w:val="none" w:sz="0" w:space="0" w:color="auto"/>
        <w:left w:val="none" w:sz="0" w:space="0" w:color="auto"/>
        <w:bottom w:val="none" w:sz="0" w:space="0" w:color="auto"/>
        <w:right w:val="none" w:sz="0" w:space="0" w:color="auto"/>
      </w:divBdr>
      <w:divsChild>
        <w:div w:id="349573538">
          <w:marLeft w:val="0"/>
          <w:marRight w:val="0"/>
          <w:marTop w:val="0"/>
          <w:marBottom w:val="0"/>
          <w:divBdr>
            <w:top w:val="none" w:sz="0" w:space="0" w:color="auto"/>
            <w:left w:val="none" w:sz="0" w:space="0" w:color="auto"/>
            <w:bottom w:val="none" w:sz="0" w:space="0" w:color="auto"/>
            <w:right w:val="none" w:sz="0" w:space="0" w:color="auto"/>
          </w:divBdr>
          <w:divsChild>
            <w:div w:id="1585450786">
              <w:marLeft w:val="0"/>
              <w:marRight w:val="0"/>
              <w:marTop w:val="0"/>
              <w:marBottom w:val="0"/>
              <w:divBdr>
                <w:top w:val="none" w:sz="0" w:space="0" w:color="auto"/>
                <w:left w:val="none" w:sz="0" w:space="0" w:color="auto"/>
                <w:bottom w:val="none" w:sz="0" w:space="0" w:color="auto"/>
                <w:right w:val="none" w:sz="0" w:space="0" w:color="auto"/>
              </w:divBdr>
              <w:divsChild>
                <w:div w:id="165984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266474">
      <w:bodyDiv w:val="1"/>
      <w:marLeft w:val="0"/>
      <w:marRight w:val="0"/>
      <w:marTop w:val="0"/>
      <w:marBottom w:val="0"/>
      <w:divBdr>
        <w:top w:val="none" w:sz="0" w:space="0" w:color="auto"/>
        <w:left w:val="none" w:sz="0" w:space="0" w:color="auto"/>
        <w:bottom w:val="none" w:sz="0" w:space="0" w:color="auto"/>
        <w:right w:val="none" w:sz="0" w:space="0" w:color="auto"/>
      </w:divBdr>
      <w:divsChild>
        <w:div w:id="735709611">
          <w:marLeft w:val="0"/>
          <w:marRight w:val="0"/>
          <w:marTop w:val="0"/>
          <w:marBottom w:val="0"/>
          <w:divBdr>
            <w:top w:val="none" w:sz="0" w:space="0" w:color="auto"/>
            <w:left w:val="none" w:sz="0" w:space="0" w:color="auto"/>
            <w:bottom w:val="none" w:sz="0" w:space="0" w:color="auto"/>
            <w:right w:val="none" w:sz="0" w:space="0" w:color="auto"/>
          </w:divBdr>
        </w:div>
      </w:divsChild>
    </w:div>
    <w:div w:id="1897163082">
      <w:bodyDiv w:val="1"/>
      <w:marLeft w:val="0"/>
      <w:marRight w:val="0"/>
      <w:marTop w:val="0"/>
      <w:marBottom w:val="0"/>
      <w:divBdr>
        <w:top w:val="none" w:sz="0" w:space="0" w:color="auto"/>
        <w:left w:val="none" w:sz="0" w:space="0" w:color="auto"/>
        <w:bottom w:val="none" w:sz="0" w:space="0" w:color="auto"/>
        <w:right w:val="none" w:sz="0" w:space="0" w:color="auto"/>
      </w:divBdr>
      <w:divsChild>
        <w:div w:id="1261447349">
          <w:marLeft w:val="1080"/>
          <w:marRight w:val="0"/>
          <w:marTop w:val="0"/>
          <w:marBottom w:val="90"/>
          <w:divBdr>
            <w:top w:val="none" w:sz="0" w:space="0" w:color="auto"/>
            <w:left w:val="none" w:sz="0" w:space="0" w:color="auto"/>
            <w:bottom w:val="none" w:sz="0" w:space="0" w:color="auto"/>
            <w:right w:val="none" w:sz="0" w:space="0" w:color="auto"/>
          </w:divBdr>
        </w:div>
        <w:div w:id="1119834868">
          <w:marLeft w:val="1080"/>
          <w:marRight w:val="0"/>
          <w:marTop w:val="0"/>
          <w:marBottom w:val="90"/>
          <w:divBdr>
            <w:top w:val="none" w:sz="0" w:space="0" w:color="auto"/>
            <w:left w:val="none" w:sz="0" w:space="0" w:color="auto"/>
            <w:bottom w:val="none" w:sz="0" w:space="0" w:color="auto"/>
            <w:right w:val="none" w:sz="0" w:space="0" w:color="auto"/>
          </w:divBdr>
        </w:div>
      </w:divsChild>
    </w:div>
    <w:div w:id="1927692299">
      <w:bodyDiv w:val="1"/>
      <w:marLeft w:val="0"/>
      <w:marRight w:val="0"/>
      <w:marTop w:val="0"/>
      <w:marBottom w:val="0"/>
      <w:divBdr>
        <w:top w:val="none" w:sz="0" w:space="0" w:color="auto"/>
        <w:left w:val="none" w:sz="0" w:space="0" w:color="auto"/>
        <w:bottom w:val="none" w:sz="0" w:space="0" w:color="auto"/>
        <w:right w:val="none" w:sz="0" w:space="0" w:color="auto"/>
      </w:divBdr>
      <w:divsChild>
        <w:div w:id="586305274">
          <w:marLeft w:val="0"/>
          <w:marRight w:val="0"/>
          <w:marTop w:val="0"/>
          <w:marBottom w:val="0"/>
          <w:divBdr>
            <w:top w:val="none" w:sz="0" w:space="0" w:color="auto"/>
            <w:left w:val="none" w:sz="0" w:space="0" w:color="auto"/>
            <w:bottom w:val="none" w:sz="0" w:space="0" w:color="auto"/>
            <w:right w:val="none" w:sz="0" w:space="0" w:color="auto"/>
          </w:divBdr>
          <w:divsChild>
            <w:div w:id="1951157714">
              <w:marLeft w:val="0"/>
              <w:marRight w:val="0"/>
              <w:marTop w:val="0"/>
              <w:marBottom w:val="0"/>
              <w:divBdr>
                <w:top w:val="none" w:sz="0" w:space="0" w:color="auto"/>
                <w:left w:val="none" w:sz="0" w:space="0" w:color="auto"/>
                <w:bottom w:val="none" w:sz="0" w:space="0" w:color="auto"/>
                <w:right w:val="none" w:sz="0" w:space="0" w:color="auto"/>
              </w:divBdr>
              <w:divsChild>
                <w:div w:id="19184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570603">
      <w:bodyDiv w:val="1"/>
      <w:marLeft w:val="0"/>
      <w:marRight w:val="0"/>
      <w:marTop w:val="0"/>
      <w:marBottom w:val="0"/>
      <w:divBdr>
        <w:top w:val="none" w:sz="0" w:space="0" w:color="auto"/>
        <w:left w:val="none" w:sz="0" w:space="0" w:color="auto"/>
        <w:bottom w:val="none" w:sz="0" w:space="0" w:color="auto"/>
        <w:right w:val="none" w:sz="0" w:space="0" w:color="auto"/>
      </w:divBdr>
      <w:divsChild>
        <w:div w:id="1583950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GostTitle.XSL" StyleName="GOST - Orden de título" Version="2003"/>
</file>

<file path=customXml/itemProps1.xml><?xml version="1.0" encoding="utf-8"?>
<ds:datastoreItem xmlns:ds="http://schemas.openxmlformats.org/officeDocument/2006/customXml" ds:itemID="{86BB7C5F-AB98-47A1-909F-1CCFC0953E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768951-F2F7-4ACD-AD25-7DCBC895F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157E2C4-62D8-4ED7-B02C-D7905E25A09C}">
  <ds:schemaRefs>
    <ds:schemaRef ds:uri="http://schemas.microsoft.com/sharepoint/v3/contenttype/forms"/>
  </ds:schemaRefs>
</ds:datastoreItem>
</file>

<file path=customXml/itemProps4.xml><?xml version="1.0" encoding="utf-8"?>
<ds:datastoreItem xmlns:ds="http://schemas.openxmlformats.org/officeDocument/2006/customXml" ds:itemID="{E3EF8898-B0B5-41CA-9151-86740AD4F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3940</Words>
  <Characters>21674</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Dirección de Normatividad Técnica</dc:creator>
  <cp:lastModifiedBy>Cynthia Fabiola Dominguez Jacobo</cp:lastModifiedBy>
  <cp:revision>2</cp:revision>
  <cp:lastPrinted>2018-02-06T23:34:00Z</cp:lastPrinted>
  <dcterms:created xsi:type="dcterms:W3CDTF">2019-01-16T20:10:00Z</dcterms:created>
  <dcterms:modified xsi:type="dcterms:W3CDTF">2019-01-16T20:10:00Z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