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A3" w:rsidRPr="00E562A7" w:rsidRDefault="00605BAB" w:rsidP="00E562A7">
      <w:pPr>
        <w:pStyle w:val="Ttulo1"/>
        <w:spacing w:before="0" w:after="120"/>
        <w:jc w:val="both"/>
        <w:rPr>
          <w:rFonts w:ascii="ITC Avant Garde" w:eastAsia="Times New Roman" w:hAnsi="ITC Avant Garde"/>
          <w:b/>
          <w:color w:val="000000" w:themeColor="text1"/>
          <w:sz w:val="20"/>
          <w:szCs w:val="20"/>
          <w:lang w:val="es-ES_tradnl" w:eastAsia="es-ES"/>
        </w:rPr>
      </w:pPr>
      <w:bookmarkStart w:id="0" w:name="_GoBack"/>
      <w:bookmarkEnd w:id="0"/>
      <w:r w:rsidRPr="00A86446">
        <w:rPr>
          <w:rFonts w:ascii="ITC Avant Garde" w:eastAsia="Times New Roman" w:hAnsi="ITC Avant Garde"/>
          <w:b/>
          <w:color w:val="000000" w:themeColor="text1"/>
          <w:sz w:val="20"/>
          <w:szCs w:val="20"/>
          <w:lang w:val="es-ES_tradnl" w:eastAsia="es-ES"/>
        </w:rPr>
        <w:t>ACUERDO MEDIANTE EL CUAL EL PLENO DEL INSTITUTO FEDERAL DE TELECOMUNICACIONES EMITE RESPUESTA A LA SOLICITUD DE CONFIRMACIÓN DE CRITERIO PRESENTADA POR PANAMSAT DE MÉXICO, S. DE R.L. DE C.V., EN EL SENTIDO DE DETERMINAR S</w:t>
      </w:r>
      <w:r w:rsidR="00EF2850" w:rsidRPr="00A86446">
        <w:rPr>
          <w:rFonts w:ascii="ITC Avant Garde" w:eastAsia="Times New Roman" w:hAnsi="ITC Avant Garde"/>
          <w:b/>
          <w:color w:val="000000" w:themeColor="text1"/>
          <w:sz w:val="20"/>
          <w:szCs w:val="20"/>
          <w:lang w:val="es-ES_tradnl" w:eastAsia="es-ES"/>
        </w:rPr>
        <w:t>I</w:t>
      </w:r>
      <w:r w:rsidRPr="00A86446">
        <w:rPr>
          <w:rFonts w:ascii="ITC Avant Garde" w:eastAsia="Times New Roman" w:hAnsi="ITC Avant Garde"/>
          <w:b/>
          <w:color w:val="000000" w:themeColor="text1"/>
          <w:sz w:val="20"/>
          <w:szCs w:val="20"/>
          <w:lang w:val="es-ES_tradnl" w:eastAsia="es-ES"/>
        </w:rPr>
        <w:t xml:space="preserve"> LAS CONCESIONES PARA EXPLOTAR LOS DERECHOS DE EMISIÓN Y RECEPCIÓN DE SEÑALES DE BANDAS DE FRECUENCIAS ASOCIADAS A SATÉLITES EXTRANJEROS QUE CUBREN Y PUEDEN PRESTAR SERVICIOS EN TERRITORIO MEXICANO SON CONSIDERADAS AUTORIZACIONES</w:t>
      </w:r>
      <w:r w:rsidR="00EF2850" w:rsidRPr="00A86446">
        <w:rPr>
          <w:rFonts w:ascii="ITC Avant Garde" w:eastAsia="Times New Roman" w:hAnsi="ITC Avant Garde"/>
          <w:b/>
          <w:color w:val="000000" w:themeColor="text1"/>
          <w:sz w:val="20"/>
          <w:szCs w:val="20"/>
          <w:lang w:val="es-ES_tradnl" w:eastAsia="es-ES"/>
        </w:rPr>
        <w:t>,</w:t>
      </w:r>
      <w:r w:rsidRPr="00A86446">
        <w:rPr>
          <w:rFonts w:ascii="ITC Avant Garde" w:eastAsia="Times New Roman" w:hAnsi="ITC Avant Garde"/>
          <w:b/>
          <w:color w:val="000000" w:themeColor="text1"/>
          <w:sz w:val="20"/>
          <w:szCs w:val="20"/>
          <w:lang w:val="es-ES_tradnl" w:eastAsia="es-ES"/>
        </w:rPr>
        <w:t xml:space="preserve"> CONFORME A LA LEY FEDERAL DE TEL</w:t>
      </w:r>
      <w:r w:rsidR="00A86446" w:rsidRPr="00A86446">
        <w:rPr>
          <w:rFonts w:ascii="ITC Avant Garde" w:eastAsia="Times New Roman" w:hAnsi="ITC Avant Garde"/>
          <w:b/>
          <w:color w:val="000000" w:themeColor="text1"/>
          <w:sz w:val="20"/>
          <w:szCs w:val="20"/>
          <w:lang w:val="es-ES_tradnl" w:eastAsia="es-ES"/>
        </w:rPr>
        <w:t>ECOMUNICACIONES Y RADIODIFUSIÓN</w:t>
      </w:r>
    </w:p>
    <w:p w:rsidR="005A40A3" w:rsidRPr="00D50555" w:rsidRDefault="004828BA" w:rsidP="00E562A7">
      <w:pPr>
        <w:pStyle w:val="Ttulo2"/>
        <w:spacing w:before="0" w:after="120"/>
        <w:jc w:val="center"/>
        <w:rPr>
          <w:rFonts w:ascii="ITC Avant Garde" w:hAnsi="ITC Avant Garde"/>
          <w:b/>
          <w:sz w:val="20"/>
          <w:szCs w:val="20"/>
        </w:rPr>
      </w:pPr>
      <w:r w:rsidRPr="00D50555">
        <w:rPr>
          <w:rFonts w:ascii="ITC Avant Garde" w:hAnsi="ITC Avant Garde"/>
          <w:b/>
          <w:sz w:val="20"/>
          <w:szCs w:val="20"/>
        </w:rPr>
        <w:tab/>
      </w:r>
      <w:r w:rsidR="00C17F5A">
        <w:rPr>
          <w:rFonts w:ascii="ITC Avant Garde" w:hAnsi="ITC Avant Garde"/>
          <w:b/>
          <w:color w:val="000000" w:themeColor="text1"/>
          <w:sz w:val="20"/>
          <w:szCs w:val="20"/>
        </w:rPr>
        <w:t>ANTECEDENTE</w:t>
      </w:r>
      <w:r w:rsidRPr="00A86446">
        <w:rPr>
          <w:rFonts w:ascii="ITC Avant Garde" w:hAnsi="ITC Avant Garde"/>
          <w:b/>
          <w:color w:val="000000" w:themeColor="text1"/>
          <w:sz w:val="20"/>
          <w:szCs w:val="20"/>
        </w:rPr>
        <w:t>S</w:t>
      </w:r>
    </w:p>
    <w:p w:rsidR="004828BA" w:rsidRPr="00D50555" w:rsidRDefault="004828BA" w:rsidP="00E562A7">
      <w:pPr>
        <w:spacing w:after="120" w:line="276" w:lineRule="auto"/>
        <w:jc w:val="both"/>
        <w:rPr>
          <w:rFonts w:ascii="ITC Avant Garde" w:hAnsi="ITC Avant Garde"/>
          <w:sz w:val="20"/>
          <w:szCs w:val="20"/>
        </w:rPr>
      </w:pPr>
      <w:r w:rsidRPr="00E30C45">
        <w:rPr>
          <w:rStyle w:val="SubttuloCar"/>
          <w:rFonts w:ascii="ITC Avant Garde" w:hAnsi="ITC Avant Garde"/>
          <w:b/>
          <w:color w:val="auto"/>
          <w:sz w:val="20"/>
          <w:szCs w:val="20"/>
        </w:rPr>
        <w:t>PRIMERO.-</w:t>
      </w:r>
      <w:r w:rsidRPr="00E30C45">
        <w:rPr>
          <w:rFonts w:ascii="ITC Avant Garde" w:hAnsi="ITC Avant Garde"/>
          <w:sz w:val="20"/>
          <w:szCs w:val="20"/>
        </w:rPr>
        <w:t xml:space="preserve"> </w:t>
      </w:r>
      <w:r w:rsidRPr="00D50555">
        <w:rPr>
          <w:rFonts w:ascii="ITC Avant Garde" w:hAnsi="ITC Avant Garde"/>
          <w:sz w:val="20"/>
          <w:szCs w:val="20"/>
        </w:rPr>
        <w:t>Con fecha 10 de agosto de 2001, la Secretaría de Comunicaciones y Transportes (en lo sucesivo, “SCT”) otorgó a Controladora Satelital de México, S. de R.L. de C.V., un título de concesión para explotar los derechos de emisión y recepción de señales de bandas de frecuencias asociadas a los satélites extranjeros PAS 1-R, PAS 3-R, PAS 9, Galaxy I-R, Galaxy III-R, Galaxy IV-R, Galaxy V, Galaxy VI, Galaxy IX, Galaxy X-R, y Galaxy XI, que cubren y pueden prestar servicios en el territorio nacional, (en lo sucesivo, “Concesión”), con una vigencia de 10 años, contados a partir</w:t>
      </w:r>
      <w:r w:rsidR="00E562A7">
        <w:rPr>
          <w:rFonts w:ascii="ITC Avant Garde" w:hAnsi="ITC Avant Garde"/>
          <w:sz w:val="20"/>
          <w:szCs w:val="20"/>
        </w:rPr>
        <w:t xml:space="preserve"> de la fecha de su otorgamiento.</w:t>
      </w:r>
    </w:p>
    <w:p w:rsidR="008039C6" w:rsidRPr="00E562A7" w:rsidRDefault="00E30C45" w:rsidP="00E562A7">
      <w:pPr>
        <w:spacing w:after="120" w:line="276" w:lineRule="auto"/>
        <w:jc w:val="both"/>
        <w:rPr>
          <w:rFonts w:ascii="ITC Avant Garde" w:hAnsi="ITC Avant Garde"/>
          <w:sz w:val="20"/>
          <w:szCs w:val="20"/>
        </w:rPr>
      </w:pPr>
      <w:r w:rsidRPr="00E30C45">
        <w:rPr>
          <w:rStyle w:val="SubttuloCar"/>
          <w:rFonts w:ascii="ITC Avant Garde" w:hAnsi="ITC Avant Garde"/>
          <w:b/>
          <w:color w:val="auto"/>
          <w:sz w:val="20"/>
          <w:szCs w:val="20"/>
        </w:rPr>
        <w:t>SEGUNDO. -</w:t>
      </w:r>
      <w:r w:rsidR="008039C6" w:rsidRPr="00D50555">
        <w:rPr>
          <w:rFonts w:ascii="ITC Avant Garde" w:hAnsi="ITC Avant Garde"/>
          <w:b/>
          <w:sz w:val="20"/>
          <w:szCs w:val="20"/>
        </w:rPr>
        <w:t xml:space="preserve"> </w:t>
      </w:r>
      <w:r w:rsidR="008039C6" w:rsidRPr="00D50555">
        <w:rPr>
          <w:rFonts w:ascii="ITC Avant Garde" w:hAnsi="ITC Avant Garde"/>
          <w:sz w:val="20"/>
          <w:szCs w:val="20"/>
        </w:rPr>
        <w:t>Con fecha 28 de mayo de 2004, la SCT mediante oficio número 112.3471 autorizó el cambio de denominación de la sociedad Controladora Satelital de México, S. de R.L. de C.V., para quedar como PanAmSat de México, S. de R. L. de C.V. (en lo sucesivo, “PanAmSat”)</w:t>
      </w:r>
    </w:p>
    <w:p w:rsidR="004828BA" w:rsidRPr="00D50555" w:rsidRDefault="004828BA" w:rsidP="00E562A7">
      <w:pPr>
        <w:spacing w:after="120" w:line="276" w:lineRule="auto"/>
        <w:jc w:val="both"/>
        <w:rPr>
          <w:rFonts w:ascii="ITC Avant Garde" w:hAnsi="ITC Avant Garde"/>
          <w:sz w:val="20"/>
          <w:szCs w:val="20"/>
        </w:rPr>
      </w:pPr>
      <w:r w:rsidRPr="00E30C45">
        <w:rPr>
          <w:rStyle w:val="SubttuloCar"/>
          <w:rFonts w:ascii="ITC Avant Garde" w:hAnsi="ITC Avant Garde"/>
          <w:b/>
          <w:color w:val="auto"/>
          <w:sz w:val="20"/>
          <w:szCs w:val="20"/>
        </w:rPr>
        <w:t>TERCERO.-</w:t>
      </w:r>
      <w:r w:rsidRPr="00D50555">
        <w:rPr>
          <w:rFonts w:ascii="ITC Avant Garde" w:hAnsi="ITC Avant Garde"/>
          <w:sz w:val="20"/>
          <w:szCs w:val="20"/>
        </w:rPr>
        <w:t xml:space="preserve"> Con fecha 23 de septiembre de 2011, la SCT autorizó a PanAmSat la prórroga de la vigencia de la </w:t>
      </w:r>
      <w:r w:rsidR="00526155">
        <w:rPr>
          <w:rFonts w:ascii="ITC Avant Garde" w:hAnsi="ITC Avant Garde"/>
          <w:sz w:val="20"/>
          <w:szCs w:val="20"/>
        </w:rPr>
        <w:t>c</w:t>
      </w:r>
      <w:r w:rsidRPr="00D50555">
        <w:rPr>
          <w:rFonts w:ascii="ITC Avant Garde" w:hAnsi="ITC Avant Garde"/>
          <w:sz w:val="20"/>
          <w:szCs w:val="20"/>
        </w:rPr>
        <w:t>oncesión para explotar los derechos de emisión y recepción de señales de bandas de frecuencias asociadas a los satélites extranjeros: IS-603, IS-701, IS-805, IS-707, IS-1R, IS-903, IS-801, IS-907, IS-905, IS-901, IS-14, IS-3R, IS-9, Galaxy 15, Galaxy 3C, Galaxy 12, Galaxy 13, Galaxy 18, Galaxy 17, Galaxy 19, Galaxy 16, MSAT-1, Galaxy 23, Galaxy 14, Galaxy 25, Galaxy 27, Galaxy 28, IS-11 y Star One C2, que cubren y pueden prestar servicios en el territorio nacional, con una vigencia de 10 años contados a partir del 11 de agosto de 2011.</w:t>
      </w:r>
    </w:p>
    <w:p w:rsidR="004828BA" w:rsidRPr="00D50555" w:rsidRDefault="00E30C45" w:rsidP="00E562A7">
      <w:pPr>
        <w:pStyle w:val="estilo30"/>
        <w:spacing w:before="0" w:after="120" w:line="276" w:lineRule="auto"/>
        <w:jc w:val="both"/>
        <w:rPr>
          <w:rFonts w:ascii="ITC Avant Garde" w:hAnsi="ITC Avant Garde"/>
          <w:sz w:val="20"/>
          <w:szCs w:val="20"/>
        </w:rPr>
      </w:pPr>
      <w:r w:rsidRPr="00E30C45">
        <w:rPr>
          <w:rStyle w:val="SubttuloCar"/>
          <w:rFonts w:ascii="ITC Avant Garde" w:hAnsi="ITC Avant Garde" w:cstheme="minorBidi"/>
          <w:b/>
          <w:color w:val="auto"/>
          <w:sz w:val="20"/>
          <w:szCs w:val="20"/>
          <w:lang w:val="es-MX" w:eastAsia="en-US"/>
        </w:rPr>
        <w:t>CUARTO. -</w:t>
      </w:r>
      <w:r w:rsidR="004828BA" w:rsidRPr="00D50555">
        <w:rPr>
          <w:rFonts w:ascii="ITC Avant Garde" w:hAnsi="ITC Avant Garde"/>
          <w:sz w:val="20"/>
          <w:szCs w:val="20"/>
        </w:rPr>
        <w:t xml:space="preserve"> Con fecha 11 de junio de 2013, fue publicado en el Diario Oficial de la Federación (en lo sucesivo,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“Instituto”).</w:t>
      </w:r>
    </w:p>
    <w:p w:rsidR="0007314B" w:rsidRPr="00D50555" w:rsidRDefault="00E30C45" w:rsidP="00E562A7">
      <w:pPr>
        <w:pStyle w:val="estilo30"/>
        <w:spacing w:before="0" w:after="120" w:line="276" w:lineRule="auto"/>
        <w:jc w:val="both"/>
        <w:rPr>
          <w:rFonts w:ascii="ITC Avant Garde" w:hAnsi="ITC Avant Garde"/>
          <w:sz w:val="20"/>
          <w:szCs w:val="20"/>
        </w:rPr>
      </w:pPr>
      <w:r w:rsidRPr="00E30C45">
        <w:rPr>
          <w:rStyle w:val="SubttuloCar"/>
          <w:rFonts w:ascii="ITC Avant Garde" w:hAnsi="ITC Avant Garde" w:cstheme="minorBidi"/>
          <w:b/>
          <w:color w:val="auto"/>
          <w:sz w:val="20"/>
          <w:szCs w:val="20"/>
          <w:lang w:val="es-MX" w:eastAsia="en-US"/>
        </w:rPr>
        <w:t>QUINTO. -</w:t>
      </w:r>
      <w:r w:rsidR="004828BA" w:rsidRPr="00D50555">
        <w:rPr>
          <w:rFonts w:ascii="ITC Avant Garde" w:hAnsi="ITC Avant Garde"/>
          <w:sz w:val="20"/>
          <w:szCs w:val="20"/>
        </w:rPr>
        <w:t xml:space="preserve"> Con fecha 14 de julio de 2014</w:t>
      </w:r>
      <w:r w:rsidR="00AE4564" w:rsidRPr="00D50555">
        <w:rPr>
          <w:rFonts w:ascii="ITC Avant Garde" w:hAnsi="ITC Avant Garde"/>
          <w:sz w:val="20"/>
          <w:szCs w:val="20"/>
        </w:rPr>
        <w:t>,</w:t>
      </w:r>
      <w:r w:rsidR="004828BA" w:rsidRPr="00D50555">
        <w:rPr>
          <w:rFonts w:ascii="ITC Avant Garde" w:hAnsi="ITC Avant Garde"/>
          <w:sz w:val="20"/>
          <w:szCs w:val="20"/>
        </w:rPr>
        <w:t xml:space="preserve"> se publicó en el DOF el </w:t>
      </w:r>
      <w:r w:rsidR="004828BA" w:rsidRPr="00D50555">
        <w:rPr>
          <w:rFonts w:ascii="ITC Avant Garde" w:hAnsi="ITC Avant Garde"/>
          <w:i/>
          <w:sz w:val="20"/>
          <w:szCs w:val="20"/>
        </w:rPr>
        <w:t>“</w:t>
      </w:r>
      <w:r w:rsidR="004828BA" w:rsidRPr="00D50555">
        <w:rPr>
          <w:rFonts w:ascii="ITC Avant Garde" w:hAnsi="ITC Avant Garde"/>
          <w:sz w:val="20"/>
          <w:szCs w:val="20"/>
        </w:rPr>
        <w:t>DECRETO por el que se expide la Ley Federal de Teleco</w:t>
      </w:r>
      <w:r w:rsidR="00FF1980" w:rsidRPr="00D50555">
        <w:rPr>
          <w:rFonts w:ascii="ITC Avant Garde" w:hAnsi="ITC Avant Garde"/>
          <w:sz w:val="20"/>
          <w:szCs w:val="20"/>
        </w:rPr>
        <w:t xml:space="preserve">municaciones y Radiodifusión; </w:t>
      </w:r>
      <w:r w:rsidR="004828BA" w:rsidRPr="00D50555">
        <w:rPr>
          <w:rFonts w:ascii="ITC Avant Garde" w:hAnsi="ITC Avant Garde"/>
          <w:sz w:val="20"/>
          <w:szCs w:val="20"/>
        </w:rPr>
        <w:t>la Ley del Sistema Público de Radiodifusión del Estado Mexica</w:t>
      </w:r>
      <w:r w:rsidR="00FF1980" w:rsidRPr="00D50555">
        <w:rPr>
          <w:rFonts w:ascii="ITC Avant Garde" w:hAnsi="ITC Avant Garde"/>
          <w:sz w:val="20"/>
          <w:szCs w:val="20"/>
        </w:rPr>
        <w:t>no</w:t>
      </w:r>
      <w:r w:rsidR="004828BA" w:rsidRPr="00D50555">
        <w:rPr>
          <w:rFonts w:ascii="ITC Avant Garde" w:hAnsi="ITC Avant Garde"/>
          <w:sz w:val="20"/>
          <w:szCs w:val="20"/>
        </w:rPr>
        <w:t xml:space="preserve"> y se reforman, adicionan y derogan diversas disposiciones en materia de telecomunicaciones y radiodifusión”, mismo que entró en vigor el 13 de agosto de 2014.</w:t>
      </w:r>
    </w:p>
    <w:p w:rsidR="004828BA" w:rsidRDefault="00E30C45" w:rsidP="00E562A7">
      <w:pPr>
        <w:spacing w:after="120" w:line="276" w:lineRule="auto"/>
        <w:jc w:val="both"/>
        <w:rPr>
          <w:rFonts w:ascii="ITC Avant Garde" w:hAnsi="ITC Avant Garde"/>
          <w:sz w:val="20"/>
          <w:szCs w:val="20"/>
        </w:rPr>
      </w:pPr>
      <w:r w:rsidRPr="00E30C45">
        <w:rPr>
          <w:rStyle w:val="SubttuloCar"/>
          <w:rFonts w:ascii="ITC Avant Garde" w:hAnsi="ITC Avant Garde"/>
          <w:b/>
          <w:color w:val="auto"/>
          <w:sz w:val="20"/>
          <w:szCs w:val="20"/>
        </w:rPr>
        <w:t>SEXTO. -</w:t>
      </w:r>
      <w:r w:rsidR="004828BA" w:rsidRPr="00E30C45">
        <w:rPr>
          <w:rFonts w:ascii="ITC Avant Garde" w:hAnsi="ITC Avant Garde"/>
          <w:sz w:val="20"/>
          <w:szCs w:val="20"/>
        </w:rPr>
        <w:t xml:space="preserve"> </w:t>
      </w:r>
      <w:r w:rsidR="004828BA" w:rsidRPr="00D50555">
        <w:rPr>
          <w:rFonts w:ascii="ITC Avant Garde" w:hAnsi="ITC Avant Garde"/>
          <w:sz w:val="20"/>
          <w:szCs w:val="20"/>
        </w:rPr>
        <w:t xml:space="preserve">Con fecha 24 de julio de 2015, se publicó en el DOF el </w:t>
      </w:r>
      <w:r w:rsidR="004828BA" w:rsidRPr="00D50555">
        <w:rPr>
          <w:rFonts w:ascii="ITC Avant Garde" w:eastAsia="Arial Unicode MS" w:hAnsi="ITC Avant Garde" w:cs="Arial Unicode MS"/>
          <w:bCs/>
          <w:color w:val="000000"/>
          <w:sz w:val="20"/>
          <w:szCs w:val="20"/>
          <w:u w:color="000000"/>
          <w:lang w:eastAsia="es-ES_tradnl"/>
        </w:rPr>
        <w:t xml:space="preserve">ACUERDO mediante el cual el Pleno del Instituto aprueba las Reglas de carácter general que establecen los plazos y </w:t>
      </w:r>
      <w:r w:rsidR="004828BA" w:rsidRPr="00D50555">
        <w:rPr>
          <w:rFonts w:ascii="ITC Avant Garde" w:eastAsia="Arial Unicode MS" w:hAnsi="ITC Avant Garde" w:cs="Arial Unicode MS"/>
          <w:bCs/>
          <w:color w:val="000000"/>
          <w:sz w:val="20"/>
          <w:szCs w:val="20"/>
          <w:u w:color="000000"/>
          <w:lang w:eastAsia="es-ES_tradnl"/>
        </w:rPr>
        <w:lastRenderedPageBreak/>
        <w:t>requisitos para el otorgamiento de autorizaciones en materia de telecomunicaciones establecidas en la Ley Federal de Telecomunicaciones y Radiodifusión</w:t>
      </w:r>
      <w:r w:rsidR="00E572E7" w:rsidRPr="00D50555">
        <w:rPr>
          <w:rFonts w:ascii="ITC Avant Garde" w:eastAsia="Arial Unicode MS" w:hAnsi="ITC Avant Garde" w:cs="Arial Unicode MS"/>
          <w:bCs/>
          <w:color w:val="000000"/>
          <w:sz w:val="20"/>
          <w:szCs w:val="20"/>
          <w:u w:color="000000"/>
          <w:lang w:eastAsia="es-ES_tradnl"/>
        </w:rPr>
        <w:t xml:space="preserve"> (en lo sucesivo, “Las Reglas”)</w:t>
      </w:r>
      <w:r w:rsidR="004828BA" w:rsidRPr="00D50555">
        <w:rPr>
          <w:rFonts w:ascii="ITC Avant Garde" w:eastAsia="Arial Unicode MS" w:hAnsi="ITC Avant Garde" w:cs="Arial Unicode MS"/>
          <w:bCs/>
          <w:color w:val="000000"/>
          <w:sz w:val="20"/>
          <w:szCs w:val="20"/>
          <w:u w:color="000000"/>
          <w:lang w:eastAsia="es-ES_tradnl"/>
        </w:rPr>
        <w:t>.</w:t>
      </w:r>
    </w:p>
    <w:p w:rsidR="005948F9" w:rsidRDefault="00E30C45" w:rsidP="00E562A7">
      <w:pPr>
        <w:spacing w:after="120" w:line="276" w:lineRule="auto"/>
        <w:jc w:val="both"/>
        <w:rPr>
          <w:rFonts w:ascii="ITC Avant Garde" w:hAnsi="ITC Avant Garde"/>
          <w:sz w:val="20"/>
          <w:szCs w:val="20"/>
        </w:rPr>
      </w:pPr>
      <w:r w:rsidRPr="00E30C45">
        <w:rPr>
          <w:rStyle w:val="SubttuloCar"/>
          <w:rFonts w:ascii="ITC Avant Garde" w:hAnsi="ITC Avant Garde"/>
          <w:b/>
          <w:color w:val="auto"/>
          <w:sz w:val="20"/>
          <w:szCs w:val="20"/>
        </w:rPr>
        <w:t>SÉPTIMO. -</w:t>
      </w:r>
      <w:r w:rsidR="004828BA" w:rsidRPr="00E30C45">
        <w:rPr>
          <w:rFonts w:ascii="ITC Avant Garde" w:hAnsi="ITC Avant Garde"/>
          <w:sz w:val="20"/>
          <w:szCs w:val="20"/>
        </w:rPr>
        <w:t xml:space="preserve"> </w:t>
      </w:r>
      <w:r w:rsidR="00E77611">
        <w:rPr>
          <w:rFonts w:ascii="ITC Avant Garde" w:hAnsi="ITC Avant Garde"/>
          <w:sz w:val="20"/>
          <w:szCs w:val="20"/>
        </w:rPr>
        <w:t xml:space="preserve">Con fechas </w:t>
      </w:r>
      <w:r w:rsidR="00E77611" w:rsidRPr="00E96D33">
        <w:rPr>
          <w:rFonts w:ascii="ITC Avant Garde" w:hAnsi="ITC Avant Garde"/>
          <w:sz w:val="20"/>
          <w:szCs w:val="20"/>
        </w:rPr>
        <w:t xml:space="preserve">11 de diciembre de 2015 y 25 de abril de 2018, el Pleno del Instituto emitió las resoluciones </w:t>
      </w:r>
      <w:r w:rsidR="009C438F" w:rsidRPr="00E54F20">
        <w:rPr>
          <w:rFonts w:ascii="ITC Avant Garde" w:eastAsia="Times New Roman" w:hAnsi="ITC Avant Garde" w:cs="Arial"/>
          <w:bCs/>
          <w:color w:val="000000"/>
          <w:sz w:val="20"/>
          <w:szCs w:val="20"/>
          <w:lang w:eastAsia="es-MX"/>
        </w:rPr>
        <w:t xml:space="preserve">P/IFT/111215/555 y </w:t>
      </w:r>
      <w:r w:rsidR="009C438F" w:rsidRPr="00E96D33">
        <w:rPr>
          <w:rFonts w:ascii="ITC Avant Garde" w:hAnsi="ITC Avant Garde"/>
          <w:sz w:val="20"/>
          <w:szCs w:val="20"/>
        </w:rPr>
        <w:t xml:space="preserve">P/IFT/250418/306, respectivamente, mediante las cuales modificó la Concesión de PanAmSat </w:t>
      </w:r>
      <w:r w:rsidR="00E96D33">
        <w:rPr>
          <w:rFonts w:ascii="ITC Avant Garde" w:hAnsi="ITC Avant Garde"/>
          <w:sz w:val="20"/>
          <w:szCs w:val="20"/>
        </w:rPr>
        <w:t>a efecto de actualizar su flota satelital y cuestiones operativas</w:t>
      </w:r>
      <w:r w:rsidR="009C438F" w:rsidRPr="00E96D33">
        <w:rPr>
          <w:rFonts w:ascii="ITC Avant Garde" w:hAnsi="ITC Avant Garde"/>
          <w:sz w:val="20"/>
          <w:szCs w:val="20"/>
        </w:rPr>
        <w:t>.</w:t>
      </w:r>
    </w:p>
    <w:p w:rsidR="004828BA" w:rsidRPr="00D50555" w:rsidRDefault="00DC1BF5" w:rsidP="00E562A7">
      <w:pPr>
        <w:spacing w:after="120" w:line="276" w:lineRule="auto"/>
        <w:jc w:val="both"/>
        <w:rPr>
          <w:rFonts w:ascii="ITC Avant Garde" w:hAnsi="ITC Avant Garde"/>
          <w:sz w:val="20"/>
          <w:szCs w:val="20"/>
        </w:rPr>
      </w:pPr>
      <w:r w:rsidRPr="00E30C45">
        <w:rPr>
          <w:rStyle w:val="SubttuloCar"/>
          <w:rFonts w:ascii="ITC Avant Garde" w:hAnsi="ITC Avant Garde"/>
          <w:b/>
          <w:color w:val="auto"/>
          <w:sz w:val="20"/>
          <w:szCs w:val="20"/>
        </w:rPr>
        <w:t>OCTAVO.-</w:t>
      </w:r>
      <w:r w:rsidRPr="00E30C45">
        <w:rPr>
          <w:rStyle w:val="SubttuloCar"/>
          <w:color w:val="auto"/>
        </w:rPr>
        <w:t xml:space="preserve"> </w:t>
      </w:r>
      <w:r w:rsidR="004828BA" w:rsidRPr="00D50555">
        <w:rPr>
          <w:rFonts w:ascii="ITC Avant Garde" w:hAnsi="ITC Avant Garde"/>
          <w:sz w:val="20"/>
          <w:szCs w:val="20"/>
        </w:rPr>
        <w:t xml:space="preserve">Con fecha 17 de octubre de 2017, Jorge Luis Gurría Hernández, en su carácter de representante legal de PanAmSat, solicitó al Instituto una confirmación de criterio en el sentido de determinar si </w:t>
      </w:r>
      <w:r w:rsidR="000F4ABC">
        <w:rPr>
          <w:rFonts w:ascii="ITC Avant Garde" w:hAnsi="ITC Avant Garde"/>
          <w:sz w:val="20"/>
          <w:szCs w:val="20"/>
        </w:rPr>
        <w:t>las</w:t>
      </w:r>
      <w:r w:rsidR="000F4ABC" w:rsidRPr="00D50555">
        <w:rPr>
          <w:rFonts w:ascii="ITC Avant Garde" w:hAnsi="ITC Avant Garde"/>
          <w:sz w:val="20"/>
          <w:szCs w:val="20"/>
        </w:rPr>
        <w:t xml:space="preserve"> </w:t>
      </w:r>
      <w:r w:rsidR="000F4ABC">
        <w:rPr>
          <w:rFonts w:ascii="ITC Avant Garde" w:hAnsi="ITC Avant Garde"/>
          <w:sz w:val="20"/>
          <w:szCs w:val="20"/>
        </w:rPr>
        <w:t xml:space="preserve">concesiones </w:t>
      </w:r>
      <w:r w:rsidR="004828BA" w:rsidRPr="00D50555">
        <w:rPr>
          <w:rFonts w:ascii="ITC Avant Garde" w:hAnsi="ITC Avant Garde"/>
          <w:sz w:val="20"/>
          <w:szCs w:val="20"/>
        </w:rPr>
        <w:t xml:space="preserve">para explotar los derechos de emisión y recepción de señales de bandas de frecuencias asociadas a satélites extranjeros que cubren y pueden prestar servicios en territorio mexicano, conforme a la </w:t>
      </w:r>
      <w:r w:rsidR="00E572E7" w:rsidRPr="00D50555">
        <w:rPr>
          <w:rFonts w:ascii="ITC Avant Garde" w:hAnsi="ITC Avant Garde"/>
          <w:sz w:val="20"/>
          <w:szCs w:val="20"/>
        </w:rPr>
        <w:t>Ley Federal de Telecomunicaciones y Radiodifusi</w:t>
      </w:r>
      <w:r w:rsidR="000C1C6C" w:rsidRPr="00D50555">
        <w:rPr>
          <w:rFonts w:ascii="ITC Avant Garde" w:hAnsi="ITC Avant Garde"/>
          <w:sz w:val="20"/>
          <w:szCs w:val="20"/>
        </w:rPr>
        <w:t>ón</w:t>
      </w:r>
      <w:r w:rsidR="00E572E7" w:rsidRPr="00D50555">
        <w:rPr>
          <w:rFonts w:ascii="ITC Avant Garde" w:hAnsi="ITC Avant Garde"/>
          <w:sz w:val="20"/>
          <w:szCs w:val="20"/>
        </w:rPr>
        <w:t xml:space="preserve"> </w:t>
      </w:r>
      <w:r w:rsidR="005F0F76" w:rsidRPr="00D50555">
        <w:rPr>
          <w:rFonts w:ascii="ITC Avant Garde" w:hAnsi="ITC Avant Garde"/>
          <w:sz w:val="20"/>
          <w:szCs w:val="20"/>
        </w:rPr>
        <w:t>(</w:t>
      </w:r>
      <w:r w:rsidR="000C1C6C" w:rsidRPr="00D50555">
        <w:rPr>
          <w:rFonts w:ascii="ITC Avant Garde" w:hAnsi="ITC Avant Garde"/>
          <w:sz w:val="20"/>
          <w:szCs w:val="20"/>
        </w:rPr>
        <w:t>en lo su</w:t>
      </w:r>
      <w:r w:rsidR="00E572E7" w:rsidRPr="00D50555">
        <w:rPr>
          <w:rFonts w:ascii="ITC Avant Garde" w:hAnsi="ITC Avant Garde"/>
          <w:sz w:val="20"/>
          <w:szCs w:val="20"/>
        </w:rPr>
        <w:t>cesivo, “</w:t>
      </w:r>
      <w:r w:rsidR="004828BA" w:rsidRPr="00D50555">
        <w:rPr>
          <w:rFonts w:ascii="ITC Avant Garde" w:hAnsi="ITC Avant Garde"/>
          <w:sz w:val="20"/>
          <w:szCs w:val="20"/>
        </w:rPr>
        <w:t>LFTR</w:t>
      </w:r>
      <w:r w:rsidR="00E572E7" w:rsidRPr="00D50555">
        <w:rPr>
          <w:rFonts w:ascii="ITC Avant Garde" w:hAnsi="ITC Avant Garde"/>
          <w:sz w:val="20"/>
          <w:szCs w:val="20"/>
        </w:rPr>
        <w:t>”)</w:t>
      </w:r>
      <w:r w:rsidR="004828BA" w:rsidRPr="00D50555">
        <w:rPr>
          <w:rFonts w:ascii="ITC Avant Garde" w:hAnsi="ITC Avant Garde"/>
          <w:sz w:val="20"/>
          <w:szCs w:val="20"/>
        </w:rPr>
        <w:t xml:space="preserve"> s</w:t>
      </w:r>
      <w:r w:rsidR="000F4ABC">
        <w:rPr>
          <w:rFonts w:ascii="ITC Avant Garde" w:hAnsi="ITC Avant Garde"/>
          <w:sz w:val="20"/>
          <w:szCs w:val="20"/>
        </w:rPr>
        <w:t>on</w:t>
      </w:r>
      <w:r w:rsidR="004828BA" w:rsidRPr="00D50555">
        <w:rPr>
          <w:rFonts w:ascii="ITC Avant Garde" w:hAnsi="ITC Avant Garde"/>
          <w:sz w:val="20"/>
          <w:szCs w:val="20"/>
        </w:rPr>
        <w:t xml:space="preserve"> considera</w:t>
      </w:r>
      <w:r w:rsidR="000F4ABC">
        <w:rPr>
          <w:rFonts w:ascii="ITC Avant Garde" w:hAnsi="ITC Avant Garde"/>
          <w:sz w:val="20"/>
          <w:szCs w:val="20"/>
        </w:rPr>
        <w:t>s</w:t>
      </w:r>
      <w:r w:rsidR="004828BA" w:rsidRPr="00D50555">
        <w:rPr>
          <w:rFonts w:ascii="ITC Avant Garde" w:hAnsi="ITC Avant Garde"/>
          <w:sz w:val="20"/>
          <w:szCs w:val="20"/>
        </w:rPr>
        <w:t xml:space="preserve"> autorizaci</w:t>
      </w:r>
      <w:r w:rsidR="000F4ABC">
        <w:rPr>
          <w:rFonts w:ascii="ITC Avant Garde" w:hAnsi="ITC Avant Garde"/>
          <w:sz w:val="20"/>
          <w:szCs w:val="20"/>
        </w:rPr>
        <w:t>o</w:t>
      </w:r>
      <w:r w:rsidR="004828BA" w:rsidRPr="00D50555">
        <w:rPr>
          <w:rFonts w:ascii="ITC Avant Garde" w:hAnsi="ITC Avant Garde"/>
          <w:sz w:val="20"/>
          <w:szCs w:val="20"/>
        </w:rPr>
        <w:t>n</w:t>
      </w:r>
      <w:r w:rsidR="000F4ABC">
        <w:rPr>
          <w:rFonts w:ascii="ITC Avant Garde" w:hAnsi="ITC Avant Garde"/>
          <w:sz w:val="20"/>
          <w:szCs w:val="20"/>
        </w:rPr>
        <w:t>es</w:t>
      </w:r>
      <w:r w:rsidR="004828BA" w:rsidRPr="00D50555">
        <w:rPr>
          <w:rFonts w:ascii="ITC Avant Garde" w:hAnsi="ITC Avant Garde"/>
          <w:sz w:val="20"/>
          <w:szCs w:val="20"/>
        </w:rPr>
        <w:t xml:space="preserve">, por lo que </w:t>
      </w:r>
      <w:r w:rsidR="000F4ABC">
        <w:rPr>
          <w:rFonts w:ascii="ITC Avant Garde" w:hAnsi="ITC Avant Garde"/>
          <w:sz w:val="20"/>
          <w:szCs w:val="20"/>
        </w:rPr>
        <w:t xml:space="preserve">resulta </w:t>
      </w:r>
      <w:r w:rsidR="004828BA" w:rsidRPr="00D50555">
        <w:rPr>
          <w:rFonts w:ascii="ITC Avant Garde" w:hAnsi="ITC Avant Garde"/>
          <w:sz w:val="20"/>
          <w:szCs w:val="20"/>
        </w:rPr>
        <w:t>aplica</w:t>
      </w:r>
      <w:r w:rsidR="000F4ABC">
        <w:rPr>
          <w:rFonts w:ascii="ITC Avant Garde" w:hAnsi="ITC Avant Garde"/>
          <w:sz w:val="20"/>
          <w:szCs w:val="20"/>
        </w:rPr>
        <w:t>ble</w:t>
      </w:r>
      <w:r w:rsidR="004828BA" w:rsidRPr="00D50555">
        <w:rPr>
          <w:rFonts w:ascii="ITC Avant Garde" w:hAnsi="ITC Avant Garde"/>
          <w:sz w:val="20"/>
          <w:szCs w:val="20"/>
        </w:rPr>
        <w:t xml:space="preserve"> lo conducente en sus términos, requisitos y plazos pertinentes.</w:t>
      </w:r>
    </w:p>
    <w:p w:rsidR="005D5B8A" w:rsidRPr="00D50555" w:rsidRDefault="00E30C45" w:rsidP="00E562A7">
      <w:pPr>
        <w:spacing w:after="120" w:line="276" w:lineRule="auto"/>
        <w:jc w:val="both"/>
        <w:rPr>
          <w:rFonts w:ascii="ITC Avant Garde" w:hAnsi="ITC Avant Garde"/>
          <w:sz w:val="20"/>
          <w:szCs w:val="20"/>
        </w:rPr>
      </w:pPr>
      <w:r w:rsidRPr="00E30C45">
        <w:rPr>
          <w:rStyle w:val="SubttuloCar"/>
          <w:rFonts w:ascii="ITC Avant Garde" w:hAnsi="ITC Avant Garde"/>
          <w:b/>
          <w:color w:val="auto"/>
          <w:sz w:val="20"/>
          <w:szCs w:val="20"/>
        </w:rPr>
        <w:t>NOVENO. -</w:t>
      </w:r>
      <w:r w:rsidR="005948F9" w:rsidRPr="00E30C45">
        <w:rPr>
          <w:rFonts w:ascii="ITC Avant Garde" w:hAnsi="ITC Avant Garde"/>
          <w:sz w:val="20"/>
          <w:szCs w:val="20"/>
        </w:rPr>
        <w:t xml:space="preserve"> </w:t>
      </w:r>
      <w:r w:rsidR="004828BA" w:rsidRPr="00D50555">
        <w:rPr>
          <w:rFonts w:ascii="ITC Avant Garde" w:hAnsi="ITC Avant Garde"/>
          <w:sz w:val="20"/>
          <w:szCs w:val="20"/>
        </w:rPr>
        <w:t>Con fecha 2 de noviembre de 2017, el I</w:t>
      </w:r>
      <w:r w:rsidR="000C1C6C" w:rsidRPr="00D50555">
        <w:rPr>
          <w:rFonts w:ascii="ITC Avant Garde" w:hAnsi="ITC Avant Garde"/>
          <w:sz w:val="20"/>
          <w:szCs w:val="20"/>
        </w:rPr>
        <w:t>nstituto</w:t>
      </w:r>
      <w:r w:rsidR="00362703" w:rsidRPr="00D50555">
        <w:rPr>
          <w:rFonts w:ascii="ITC Avant Garde" w:hAnsi="ITC Avant Garde"/>
          <w:sz w:val="20"/>
          <w:szCs w:val="20"/>
        </w:rPr>
        <w:t>,</w:t>
      </w:r>
      <w:r w:rsidR="004828BA" w:rsidRPr="00D50555">
        <w:rPr>
          <w:rFonts w:ascii="ITC Avant Garde" w:hAnsi="ITC Avant Garde"/>
          <w:sz w:val="20"/>
          <w:szCs w:val="20"/>
        </w:rPr>
        <w:t xml:space="preserve"> a través de la Unidad de Asuntos Jurídicos, notificó el oficio IFT/227/UAJ/203/2017, de fecha 1 de noviembre </w:t>
      </w:r>
      <w:r w:rsidR="00362703" w:rsidRPr="00D50555">
        <w:rPr>
          <w:rFonts w:ascii="ITC Avant Garde" w:hAnsi="ITC Avant Garde"/>
          <w:sz w:val="20"/>
          <w:szCs w:val="20"/>
        </w:rPr>
        <w:t>de 2017</w:t>
      </w:r>
      <w:r w:rsidR="004828BA" w:rsidRPr="00D50555">
        <w:rPr>
          <w:rFonts w:ascii="ITC Avant Garde" w:hAnsi="ITC Avant Garde"/>
          <w:sz w:val="20"/>
          <w:szCs w:val="20"/>
        </w:rPr>
        <w:t>, a través del cual se reconoce la personalidad con la que se ostenta Jorge Luis Gurría Hernández, en su calidad de representante legal, por</w:t>
      </w:r>
      <w:r w:rsidR="004A1A96" w:rsidRPr="00D50555">
        <w:rPr>
          <w:rFonts w:ascii="ITC Avant Garde" w:hAnsi="ITC Avant Garde"/>
          <w:sz w:val="20"/>
          <w:szCs w:val="20"/>
        </w:rPr>
        <w:t xml:space="preserve"> autorizadas a las personas acreditadas en su esc</w:t>
      </w:r>
      <w:r w:rsidR="00234013" w:rsidRPr="00D50555">
        <w:rPr>
          <w:rFonts w:ascii="ITC Avant Garde" w:hAnsi="ITC Avant Garde"/>
          <w:sz w:val="20"/>
          <w:szCs w:val="20"/>
        </w:rPr>
        <w:t>rito de 17 de octubre de 2017</w:t>
      </w:r>
      <w:r w:rsidR="004A1A96" w:rsidRPr="00D50555">
        <w:rPr>
          <w:rFonts w:ascii="ITC Avant Garde" w:hAnsi="ITC Avant Garde"/>
          <w:sz w:val="20"/>
          <w:szCs w:val="20"/>
        </w:rPr>
        <w:t xml:space="preserve"> </w:t>
      </w:r>
      <w:r w:rsidR="004828BA" w:rsidRPr="00D50555">
        <w:rPr>
          <w:rFonts w:ascii="ITC Avant Garde" w:hAnsi="ITC Avant Garde"/>
          <w:sz w:val="20"/>
          <w:szCs w:val="20"/>
        </w:rPr>
        <w:t xml:space="preserve">y por señalado el domicilio que </w:t>
      </w:r>
      <w:r w:rsidR="004A1A96" w:rsidRPr="00D50555">
        <w:rPr>
          <w:rFonts w:ascii="ITC Avant Garde" w:hAnsi="ITC Avant Garde"/>
          <w:sz w:val="20"/>
          <w:szCs w:val="20"/>
        </w:rPr>
        <w:t xml:space="preserve">ahí se </w:t>
      </w:r>
      <w:r w:rsidR="004828BA" w:rsidRPr="00D50555">
        <w:rPr>
          <w:rFonts w:ascii="ITC Avant Garde" w:hAnsi="ITC Avant Garde"/>
          <w:sz w:val="20"/>
          <w:szCs w:val="20"/>
        </w:rPr>
        <w:t>indica para oír y recibir notificaciones.</w:t>
      </w:r>
    </w:p>
    <w:p w:rsidR="005A40A3" w:rsidRPr="00D50555" w:rsidRDefault="00E30C45" w:rsidP="00E562A7">
      <w:pPr>
        <w:spacing w:after="120" w:line="276" w:lineRule="auto"/>
        <w:jc w:val="both"/>
        <w:rPr>
          <w:rFonts w:ascii="ITC Avant Garde" w:hAnsi="ITC Avant Garde"/>
          <w:sz w:val="20"/>
          <w:szCs w:val="20"/>
        </w:rPr>
      </w:pPr>
      <w:r w:rsidRPr="00E30C45">
        <w:rPr>
          <w:rStyle w:val="SubttuloCar"/>
          <w:rFonts w:ascii="ITC Avant Garde" w:hAnsi="ITC Avant Garde"/>
          <w:b/>
          <w:color w:val="auto"/>
          <w:sz w:val="20"/>
          <w:szCs w:val="20"/>
        </w:rPr>
        <w:t>DÉCIMO. -</w:t>
      </w:r>
      <w:r w:rsidR="005948F9" w:rsidRPr="00E30C45">
        <w:rPr>
          <w:rFonts w:ascii="ITC Avant Garde" w:hAnsi="ITC Avant Garde"/>
          <w:b/>
          <w:sz w:val="20"/>
          <w:szCs w:val="20"/>
        </w:rPr>
        <w:t xml:space="preserve"> </w:t>
      </w:r>
      <w:r w:rsidR="005D5B8A" w:rsidRPr="00D50555">
        <w:rPr>
          <w:rFonts w:ascii="ITC Avant Garde" w:hAnsi="ITC Avant Garde"/>
          <w:sz w:val="20"/>
          <w:szCs w:val="20"/>
        </w:rPr>
        <w:t xml:space="preserve">Con </w:t>
      </w:r>
      <w:r w:rsidR="00114827" w:rsidRPr="00D50555">
        <w:rPr>
          <w:rFonts w:ascii="ITC Avant Garde" w:hAnsi="ITC Avant Garde"/>
          <w:sz w:val="20"/>
          <w:szCs w:val="20"/>
        </w:rPr>
        <w:t>fecha</w:t>
      </w:r>
      <w:r w:rsidR="00EA0A8E" w:rsidRPr="00D50555">
        <w:rPr>
          <w:rFonts w:ascii="ITC Avant Garde" w:hAnsi="ITC Avant Garde"/>
          <w:sz w:val="20"/>
          <w:szCs w:val="20"/>
        </w:rPr>
        <w:t>s</w:t>
      </w:r>
      <w:r w:rsidR="005D5B8A" w:rsidRPr="00D50555">
        <w:rPr>
          <w:rFonts w:ascii="ITC Avant Garde" w:hAnsi="ITC Avant Garde"/>
          <w:sz w:val="20"/>
          <w:szCs w:val="20"/>
        </w:rPr>
        <w:t xml:space="preserve"> 04 de diciembre de 2017</w:t>
      </w:r>
      <w:r w:rsidR="0045055D">
        <w:rPr>
          <w:rFonts w:ascii="ITC Avant Garde" w:hAnsi="ITC Avant Garde"/>
          <w:sz w:val="20"/>
          <w:szCs w:val="20"/>
        </w:rPr>
        <w:t>,</w:t>
      </w:r>
      <w:r w:rsidR="007D2A0B">
        <w:rPr>
          <w:rFonts w:ascii="ITC Avant Garde" w:hAnsi="ITC Avant Garde"/>
          <w:sz w:val="20"/>
          <w:szCs w:val="20"/>
        </w:rPr>
        <w:t xml:space="preserve"> 21 de marzo,</w:t>
      </w:r>
      <w:r w:rsidR="0045055D">
        <w:rPr>
          <w:rFonts w:ascii="ITC Avant Garde" w:hAnsi="ITC Avant Garde"/>
          <w:sz w:val="20"/>
          <w:szCs w:val="20"/>
        </w:rPr>
        <w:t xml:space="preserve"> 24 de mayo</w:t>
      </w:r>
      <w:r w:rsidR="007D2A0B">
        <w:rPr>
          <w:rFonts w:ascii="ITC Avant Garde" w:hAnsi="ITC Avant Garde"/>
          <w:sz w:val="20"/>
          <w:szCs w:val="20"/>
        </w:rPr>
        <w:t xml:space="preserve"> y 13 de junio, éstos</w:t>
      </w:r>
      <w:r w:rsidR="0045055D">
        <w:rPr>
          <w:rFonts w:ascii="ITC Avant Garde" w:hAnsi="ITC Avant Garde"/>
          <w:sz w:val="20"/>
          <w:szCs w:val="20"/>
        </w:rPr>
        <w:t xml:space="preserve"> </w:t>
      </w:r>
      <w:r w:rsidR="00EA0A8E" w:rsidRPr="00D50555">
        <w:rPr>
          <w:rFonts w:ascii="ITC Avant Garde" w:hAnsi="ITC Avant Garde"/>
          <w:sz w:val="20"/>
          <w:szCs w:val="20"/>
        </w:rPr>
        <w:t>de 2018</w:t>
      </w:r>
      <w:r w:rsidR="005D5B8A" w:rsidRPr="00D50555">
        <w:rPr>
          <w:rFonts w:ascii="ITC Avant Garde" w:hAnsi="ITC Avant Garde"/>
          <w:sz w:val="20"/>
          <w:szCs w:val="20"/>
        </w:rPr>
        <w:t>, Jorge Luis Gurría Hernández, en su carácter de representante legal de PanAmSat</w:t>
      </w:r>
      <w:r w:rsidR="002C7EFC" w:rsidRPr="00D50555">
        <w:rPr>
          <w:rFonts w:ascii="ITC Avant Garde" w:hAnsi="ITC Avant Garde"/>
          <w:sz w:val="20"/>
          <w:szCs w:val="20"/>
        </w:rPr>
        <w:t>, reiteró la solicitud planteada al Instituto el día 17 de octubre de 2017</w:t>
      </w:r>
      <w:r w:rsidR="00362703" w:rsidRPr="00D50555">
        <w:rPr>
          <w:rFonts w:ascii="ITC Avant Garde" w:hAnsi="ITC Avant Garde"/>
          <w:sz w:val="20"/>
          <w:szCs w:val="20"/>
        </w:rPr>
        <w:t>.</w:t>
      </w:r>
    </w:p>
    <w:p w:rsidR="00503DA0" w:rsidRPr="00D50555" w:rsidRDefault="00C17F5A" w:rsidP="00E562A7">
      <w:pPr>
        <w:pStyle w:val="Ttulo2"/>
        <w:spacing w:before="0" w:after="120"/>
        <w:jc w:val="center"/>
        <w:rPr>
          <w:rFonts w:ascii="ITC Avant Garde" w:hAnsi="ITC Avant Garde" w:cs="Arial"/>
          <w:b/>
          <w:sz w:val="20"/>
          <w:szCs w:val="20"/>
        </w:rPr>
      </w:pPr>
      <w:r>
        <w:rPr>
          <w:rFonts w:ascii="ITC Avant Garde" w:hAnsi="ITC Avant Garde"/>
          <w:b/>
          <w:color w:val="000000" w:themeColor="text1"/>
          <w:sz w:val="20"/>
          <w:szCs w:val="20"/>
        </w:rPr>
        <w:t>CONSIDERAND</w:t>
      </w:r>
      <w:r w:rsidR="004828BA" w:rsidRPr="00A86446">
        <w:rPr>
          <w:rFonts w:ascii="ITC Avant Garde" w:hAnsi="ITC Avant Garde"/>
          <w:b/>
          <w:color w:val="000000" w:themeColor="text1"/>
          <w:sz w:val="20"/>
          <w:szCs w:val="20"/>
        </w:rPr>
        <w:t>O</w:t>
      </w:r>
      <w:r w:rsidR="004828BA" w:rsidRPr="00A86446">
        <w:rPr>
          <w:rFonts w:ascii="ITC Avant Garde" w:hAnsi="ITC Avant Garde" w:cs="Arial"/>
          <w:b/>
          <w:sz w:val="20"/>
          <w:szCs w:val="20"/>
        </w:rPr>
        <w:t xml:space="preserve"> </w:t>
      </w:r>
    </w:p>
    <w:p w:rsidR="0007314B" w:rsidRPr="00D50555" w:rsidRDefault="004828BA" w:rsidP="00E562A7">
      <w:pPr>
        <w:pStyle w:val="estilo30"/>
        <w:spacing w:before="0" w:after="120" w:line="276" w:lineRule="auto"/>
        <w:jc w:val="both"/>
        <w:rPr>
          <w:rFonts w:ascii="ITC Avant Garde" w:eastAsiaTheme="minorHAnsi" w:hAnsi="ITC Avant Garde" w:cs="Arial"/>
          <w:color w:val="auto"/>
          <w:sz w:val="20"/>
          <w:szCs w:val="20"/>
          <w:bdr w:val="none" w:sz="0" w:space="0" w:color="auto" w:frame="1"/>
          <w:lang w:val="es-MX" w:eastAsia="en-US"/>
        </w:rPr>
      </w:pPr>
      <w:r w:rsidRPr="00A9595E">
        <w:rPr>
          <w:rStyle w:val="SubttuloCar"/>
          <w:rFonts w:ascii="ITC Avant Garde" w:hAnsi="ITC Avant Garde" w:cstheme="minorBidi"/>
          <w:b/>
          <w:color w:val="auto"/>
          <w:sz w:val="20"/>
          <w:szCs w:val="20"/>
        </w:rPr>
        <w:t>PRIMERO.- Competencia del Instituto.-</w:t>
      </w:r>
      <w:r w:rsidRPr="00A9595E">
        <w:rPr>
          <w:rFonts w:ascii="ITC Avant Garde" w:eastAsiaTheme="minorHAnsi" w:hAnsi="ITC Avant Garde" w:cs="Arial"/>
          <w:color w:val="auto"/>
          <w:sz w:val="20"/>
          <w:szCs w:val="20"/>
          <w:bdr w:val="none" w:sz="0" w:space="0" w:color="auto" w:frame="1"/>
          <w:lang w:val="es-MX" w:eastAsia="en-US"/>
        </w:rPr>
        <w:t xml:space="preserve"> </w:t>
      </w:r>
      <w:r w:rsidRPr="00D50555">
        <w:rPr>
          <w:rFonts w:ascii="ITC Avant Garde" w:eastAsiaTheme="minorHAnsi" w:hAnsi="ITC Avant Garde" w:cs="Arial"/>
          <w:color w:val="auto"/>
          <w:sz w:val="20"/>
          <w:szCs w:val="20"/>
          <w:bdr w:val="none" w:sz="0" w:space="0" w:color="auto" w:frame="1"/>
          <w:lang w:val="es-MX" w:eastAsia="en-US"/>
        </w:rPr>
        <w:t xml:space="preserve">De conformidad con lo establecido en </w:t>
      </w:r>
      <w:r w:rsidR="00B64DB7" w:rsidRPr="00D50555">
        <w:rPr>
          <w:rFonts w:ascii="ITC Avant Garde" w:eastAsiaTheme="minorHAnsi" w:hAnsi="ITC Avant Garde" w:cs="Arial"/>
          <w:color w:val="auto"/>
          <w:sz w:val="20"/>
          <w:szCs w:val="20"/>
          <w:bdr w:val="none" w:sz="0" w:space="0" w:color="auto" w:frame="1"/>
          <w:lang w:val="es-MX" w:eastAsia="en-US"/>
        </w:rPr>
        <w:t xml:space="preserve">los </w:t>
      </w:r>
      <w:r w:rsidRPr="00D50555">
        <w:rPr>
          <w:rFonts w:ascii="ITC Avant Garde" w:eastAsiaTheme="minorHAnsi" w:hAnsi="ITC Avant Garde" w:cs="Arial"/>
          <w:color w:val="auto"/>
          <w:sz w:val="20"/>
          <w:szCs w:val="20"/>
          <w:bdr w:val="none" w:sz="0" w:space="0" w:color="auto" w:frame="1"/>
          <w:lang w:val="es-MX" w:eastAsia="en-US"/>
        </w:rPr>
        <w:t>párrafo</w:t>
      </w:r>
      <w:r w:rsidR="00B64DB7" w:rsidRPr="00D50555">
        <w:rPr>
          <w:rFonts w:ascii="ITC Avant Garde" w:eastAsiaTheme="minorHAnsi" w:hAnsi="ITC Avant Garde" w:cs="Arial"/>
          <w:color w:val="auto"/>
          <w:sz w:val="20"/>
          <w:szCs w:val="20"/>
          <w:bdr w:val="none" w:sz="0" w:space="0" w:color="auto" w:frame="1"/>
          <w:lang w:val="es-MX" w:eastAsia="en-US"/>
        </w:rPr>
        <w:t>s</w:t>
      </w:r>
      <w:r w:rsidRPr="00D50555">
        <w:rPr>
          <w:rFonts w:ascii="ITC Avant Garde" w:eastAsiaTheme="minorHAnsi" w:hAnsi="ITC Avant Garde" w:cs="Arial"/>
          <w:color w:val="auto"/>
          <w:sz w:val="20"/>
          <w:szCs w:val="20"/>
          <w:bdr w:val="none" w:sz="0" w:space="0" w:color="auto" w:frame="1"/>
          <w:lang w:val="es-MX" w:eastAsia="en-US"/>
        </w:rPr>
        <w:t xml:space="preserve"> décimo quinto y décimo sexto del artículo 28 de la Constitución Política </w:t>
      </w:r>
      <w:r w:rsidR="00B64DB7" w:rsidRPr="00D50555">
        <w:rPr>
          <w:rFonts w:ascii="ITC Avant Garde" w:eastAsiaTheme="minorHAnsi" w:hAnsi="ITC Avant Garde" w:cs="Arial"/>
          <w:color w:val="auto"/>
          <w:sz w:val="20"/>
          <w:szCs w:val="20"/>
          <w:bdr w:val="none" w:sz="0" w:space="0" w:color="auto" w:frame="1"/>
          <w:lang w:val="es-MX" w:eastAsia="en-US"/>
        </w:rPr>
        <w:t xml:space="preserve">de los Estados Unidos Mexicanos; </w:t>
      </w:r>
      <w:r w:rsidRPr="00D50555">
        <w:rPr>
          <w:rFonts w:ascii="ITC Avant Garde" w:eastAsiaTheme="minorHAnsi" w:hAnsi="ITC Avant Garde" w:cs="Arial"/>
          <w:color w:val="auto"/>
          <w:sz w:val="20"/>
          <w:szCs w:val="20"/>
          <w:bdr w:val="none" w:sz="0" w:space="0" w:color="auto" w:frame="1"/>
          <w:lang w:val="es-MX" w:eastAsia="en-US"/>
        </w:rPr>
        <w:t>los artículos 7 y 15, fracción LVII de la LFTR; así como 1, 2, fracción X, 4, fracción l, 6, fracción XVIII y 53, fracción IX del Estatuto Orgánico del Instituto Federal de Telecomunicaciones</w:t>
      </w:r>
      <w:r w:rsidR="009D2F56" w:rsidRPr="00D50555">
        <w:rPr>
          <w:rFonts w:ascii="ITC Avant Garde" w:eastAsiaTheme="minorHAnsi" w:hAnsi="ITC Avant Garde" w:cs="Arial"/>
          <w:color w:val="auto"/>
          <w:sz w:val="20"/>
          <w:szCs w:val="20"/>
          <w:bdr w:val="none" w:sz="0" w:space="0" w:color="auto" w:frame="1"/>
          <w:lang w:val="es-MX" w:eastAsia="en-US"/>
        </w:rPr>
        <w:t xml:space="preserve"> (en lo sucesivo, “Estatuto”)</w:t>
      </w:r>
      <w:r w:rsidRPr="00D50555">
        <w:rPr>
          <w:rFonts w:ascii="ITC Avant Garde" w:eastAsiaTheme="minorHAnsi" w:hAnsi="ITC Avant Garde" w:cs="Arial"/>
          <w:color w:val="auto"/>
          <w:sz w:val="20"/>
          <w:szCs w:val="20"/>
          <w:bdr w:val="none" w:sz="0" w:space="0" w:color="auto" w:frame="1"/>
          <w:lang w:val="es-MX" w:eastAsia="en-US"/>
        </w:rPr>
        <w:t>, el I</w:t>
      </w:r>
      <w:r w:rsidR="000C1C6C" w:rsidRPr="00D50555">
        <w:rPr>
          <w:rFonts w:ascii="ITC Avant Garde" w:eastAsiaTheme="minorHAnsi" w:hAnsi="ITC Avant Garde" w:cs="Arial"/>
          <w:color w:val="auto"/>
          <w:sz w:val="20"/>
          <w:szCs w:val="20"/>
          <w:bdr w:val="none" w:sz="0" w:space="0" w:color="auto" w:frame="1"/>
          <w:lang w:val="es-MX" w:eastAsia="en-US"/>
        </w:rPr>
        <w:t>nstituto</w:t>
      </w:r>
      <w:r w:rsidRPr="00D50555">
        <w:rPr>
          <w:rFonts w:ascii="ITC Avant Garde" w:eastAsiaTheme="minorHAnsi" w:hAnsi="ITC Avant Garde" w:cs="Arial"/>
          <w:color w:val="auto"/>
          <w:sz w:val="20"/>
          <w:szCs w:val="20"/>
          <w:bdr w:val="none" w:sz="0" w:space="0" w:color="auto" w:frame="1"/>
          <w:lang w:val="es-MX" w:eastAsia="en-US"/>
        </w:rPr>
        <w:t xml:space="preserve"> es un órgano público autónomo, con personalidad jurídica y patrimonio propio, que tiene por objeto el desarrollo eficiente de la radiodifusión y las telecomunicaciones. Para tal efecto, tiene a su cargo, entre otros, la regulación, promoción y supervisión del uso, aprovechamiento y explotación del espectro radioeléctrico, los recursos orbitales, los servicios satelitales, las redes públicas de telecomunicaciones y la prestación de los servicios de radiodifusión y telecomunicaciones.</w:t>
      </w:r>
    </w:p>
    <w:p w:rsidR="004828BA" w:rsidRPr="00D50555" w:rsidRDefault="004828BA" w:rsidP="00E562A7">
      <w:pPr>
        <w:pStyle w:val="estilo30"/>
        <w:spacing w:before="0" w:after="120" w:line="276" w:lineRule="auto"/>
        <w:jc w:val="both"/>
        <w:rPr>
          <w:rFonts w:ascii="ITC Avant Garde" w:eastAsiaTheme="minorHAnsi" w:hAnsi="ITC Avant Garde" w:cs="Arial"/>
          <w:color w:val="auto"/>
          <w:sz w:val="20"/>
          <w:szCs w:val="20"/>
          <w:bdr w:val="none" w:sz="0" w:space="0" w:color="auto" w:frame="1"/>
          <w:lang w:val="es-MX" w:eastAsia="en-US"/>
        </w:rPr>
      </w:pPr>
      <w:r w:rsidRPr="00D50555">
        <w:rPr>
          <w:rFonts w:ascii="ITC Avant Garde" w:eastAsiaTheme="minorHAnsi" w:hAnsi="ITC Avant Garde" w:cs="Arial"/>
          <w:color w:val="auto"/>
          <w:sz w:val="20"/>
          <w:szCs w:val="20"/>
          <w:bdr w:val="none" w:sz="0" w:space="0" w:color="auto" w:frame="1"/>
          <w:lang w:val="es-MX" w:eastAsia="en-US"/>
        </w:rPr>
        <w:t>Asimismo, el Instituto es la autoridad en materia de competencia económica en los sectores de telecomunicaciones y radiodifusión, por lo que en éstos ejerce de forma exclusiva las facultades que el artículo 28 de la Constitución y las leyes establecen para la Comisión Federal de Competencia Económica.</w:t>
      </w:r>
    </w:p>
    <w:p w:rsidR="004828BA" w:rsidRPr="00E562A7" w:rsidRDefault="004828BA" w:rsidP="00E562A7">
      <w:pPr>
        <w:pStyle w:val="estilo30"/>
        <w:spacing w:before="0" w:after="120" w:line="276" w:lineRule="auto"/>
        <w:jc w:val="both"/>
        <w:rPr>
          <w:rFonts w:ascii="ITC Avant Garde" w:eastAsiaTheme="minorHAnsi" w:hAnsi="ITC Avant Garde" w:cs="Arial"/>
          <w:color w:val="auto"/>
          <w:sz w:val="20"/>
          <w:szCs w:val="20"/>
          <w:bdr w:val="none" w:sz="0" w:space="0" w:color="auto" w:frame="1"/>
          <w:lang w:val="es-MX" w:eastAsia="en-US"/>
        </w:rPr>
      </w:pPr>
      <w:r w:rsidRPr="00D50555">
        <w:rPr>
          <w:rFonts w:ascii="ITC Avant Garde" w:eastAsiaTheme="minorHAnsi" w:hAnsi="ITC Avant Garde" w:cs="Arial"/>
          <w:color w:val="auto"/>
          <w:sz w:val="20"/>
          <w:szCs w:val="20"/>
          <w:bdr w:val="none" w:sz="0" w:space="0" w:color="auto" w:frame="1"/>
          <w:lang w:val="es-MX" w:eastAsia="en-US"/>
        </w:rPr>
        <w:lastRenderedPageBreak/>
        <w:t>En este sentido, el Pleno del Instituto resulta competente para conocer del presente asunto, al contar con facultades para interpretar las disposiciones legales, reglamentarias y administrativas en el ámbito de sus atribuciones y emitir el presente Acuerdo.</w:t>
      </w:r>
    </w:p>
    <w:p w:rsidR="004828BA" w:rsidRPr="009B5307" w:rsidRDefault="00A9595E" w:rsidP="00E562A7">
      <w:pPr>
        <w:pStyle w:val="estilo30"/>
        <w:spacing w:before="0" w:after="120" w:line="276" w:lineRule="auto"/>
        <w:jc w:val="both"/>
        <w:rPr>
          <w:rFonts w:ascii="ITC Avant Garde" w:hAnsi="ITC Avant Garde"/>
          <w:sz w:val="20"/>
          <w:szCs w:val="20"/>
        </w:rPr>
      </w:pPr>
      <w:r w:rsidRPr="00A9595E">
        <w:rPr>
          <w:rStyle w:val="SubttuloCar"/>
          <w:rFonts w:ascii="ITC Avant Garde" w:hAnsi="ITC Avant Garde" w:cstheme="minorBidi"/>
          <w:b/>
          <w:color w:val="auto"/>
          <w:sz w:val="20"/>
          <w:szCs w:val="20"/>
        </w:rPr>
        <w:t>SEGUNDO. -</w:t>
      </w:r>
      <w:r w:rsidR="004828BA" w:rsidRPr="00A9595E">
        <w:rPr>
          <w:rStyle w:val="SubttuloCar"/>
          <w:rFonts w:ascii="ITC Avant Garde" w:hAnsi="ITC Avant Garde" w:cstheme="minorBidi"/>
          <w:b/>
          <w:color w:val="auto"/>
          <w:sz w:val="20"/>
          <w:szCs w:val="20"/>
        </w:rPr>
        <w:t xml:space="preserve"> Solicitud de confirmación de </w:t>
      </w:r>
      <w:r w:rsidRPr="00A9595E">
        <w:rPr>
          <w:rStyle w:val="SubttuloCar"/>
          <w:rFonts w:ascii="ITC Avant Garde" w:hAnsi="ITC Avant Garde" w:cstheme="minorBidi"/>
          <w:b/>
          <w:color w:val="auto"/>
          <w:sz w:val="20"/>
          <w:szCs w:val="20"/>
        </w:rPr>
        <w:t>criterio. -</w:t>
      </w:r>
      <w:r w:rsidR="004828BA" w:rsidRPr="00D50555">
        <w:rPr>
          <w:rFonts w:ascii="ITC Avant Garde" w:hAnsi="ITC Avant Garde"/>
          <w:sz w:val="20"/>
          <w:szCs w:val="20"/>
        </w:rPr>
        <w:t xml:space="preserve"> </w:t>
      </w:r>
      <w:r w:rsidR="004828BA" w:rsidRPr="00D50555">
        <w:rPr>
          <w:rFonts w:ascii="ITC Avant Garde" w:hAnsi="ITC Avant Garde"/>
          <w:bCs/>
          <w:sz w:val="20"/>
          <w:szCs w:val="20"/>
        </w:rPr>
        <w:t>La empresa PanAmSat</w:t>
      </w:r>
      <w:r w:rsidR="004828BA" w:rsidRPr="00D50555">
        <w:rPr>
          <w:rFonts w:ascii="ITC Avant Garde" w:hAnsi="ITC Avant Garde"/>
          <w:sz w:val="20"/>
          <w:szCs w:val="20"/>
        </w:rPr>
        <w:t>, por conducto de su representante legal, solicitó al Instituto confirmación de criterio en los siguientes términos:</w:t>
      </w:r>
    </w:p>
    <w:p w:rsidR="00FC4DB8" w:rsidRPr="00E562A7" w:rsidRDefault="004828BA" w:rsidP="00E562A7">
      <w:pPr>
        <w:pStyle w:val="estilo30"/>
        <w:spacing w:before="0" w:after="120" w:line="276" w:lineRule="auto"/>
        <w:ind w:left="851" w:right="616"/>
        <w:jc w:val="both"/>
        <w:rPr>
          <w:rFonts w:ascii="ITC Avant Garde" w:eastAsiaTheme="minorHAnsi" w:hAnsi="ITC Avant Garde" w:cstheme="minorBidi"/>
          <w:i/>
          <w:color w:val="auto"/>
          <w:sz w:val="19"/>
          <w:szCs w:val="19"/>
          <w:lang w:val="es-MX" w:eastAsia="en-US"/>
        </w:rPr>
      </w:pPr>
      <w:r w:rsidRPr="005D07D7">
        <w:rPr>
          <w:rFonts w:ascii="ITC Avant Garde" w:eastAsiaTheme="minorHAnsi" w:hAnsi="ITC Avant Garde" w:cstheme="minorBidi"/>
          <w:i/>
          <w:color w:val="auto"/>
          <w:sz w:val="19"/>
          <w:szCs w:val="19"/>
          <w:lang w:val="es-MX" w:eastAsia="en-US"/>
        </w:rPr>
        <w:t>“ (…)</w:t>
      </w:r>
    </w:p>
    <w:p w:rsidR="004828BA" w:rsidRPr="005D07D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i/>
          <w:sz w:val="19"/>
          <w:szCs w:val="19"/>
        </w:rPr>
        <w:t>“El 14 de julio de 2014, se publicó en el Diario Oficial de la Federación la Ley Federal de Telecomunica</w:t>
      </w:r>
      <w:r w:rsidR="0099670B">
        <w:rPr>
          <w:rFonts w:ascii="ITC Avant Garde" w:hAnsi="ITC Avant Garde"/>
          <w:i/>
          <w:sz w:val="19"/>
          <w:szCs w:val="19"/>
        </w:rPr>
        <w:t>ciones y Radiodifusión (LFRT) (S</w:t>
      </w:r>
      <w:r w:rsidRPr="005D07D7">
        <w:rPr>
          <w:rFonts w:ascii="ITC Avant Garde" w:hAnsi="ITC Avant Garde"/>
          <w:i/>
          <w:sz w:val="19"/>
          <w:szCs w:val="19"/>
        </w:rPr>
        <w:t>ic) que, entre otros, en su Transitorio Segundo abroga la Ley Federal de Telecomunicaciones (LFT). La LFRT (</w:t>
      </w:r>
      <w:r w:rsidR="0099670B">
        <w:rPr>
          <w:rFonts w:ascii="ITC Avant Garde" w:hAnsi="ITC Avant Garde"/>
          <w:i/>
          <w:sz w:val="19"/>
          <w:szCs w:val="19"/>
        </w:rPr>
        <w:t>S</w:t>
      </w:r>
      <w:r w:rsidRPr="005D07D7">
        <w:rPr>
          <w:rFonts w:ascii="ITC Avant Garde" w:hAnsi="ITC Avant Garde"/>
          <w:i/>
          <w:sz w:val="19"/>
          <w:szCs w:val="19"/>
        </w:rPr>
        <w:t>ic) establece que se requiere autorización de</w:t>
      </w:r>
      <w:r w:rsidR="00C336F9">
        <w:rPr>
          <w:rFonts w:ascii="ITC Avant Garde" w:hAnsi="ITC Avant Garde"/>
          <w:i/>
          <w:sz w:val="19"/>
          <w:szCs w:val="19"/>
        </w:rPr>
        <w:t xml:space="preserve">l IFT (Artículo 170) para "IV. </w:t>
      </w:r>
      <w:r w:rsidRPr="005D07D7">
        <w:rPr>
          <w:rFonts w:ascii="ITC Avant Garde" w:hAnsi="ITC Avant Garde"/>
          <w:i/>
          <w:sz w:val="19"/>
          <w:szCs w:val="19"/>
        </w:rPr>
        <w:t>Explotar los derechos de emisión y recepción de señales y bandas de frecuencias asociados a sistemas satelitales extranjeros que cubran y puedan prestar servicios en el territorio nacional"</w:t>
      </w:r>
      <w:r w:rsidR="0099670B">
        <w:rPr>
          <w:rFonts w:ascii="ITC Avant Garde" w:hAnsi="ITC Avant Garde"/>
          <w:i/>
          <w:sz w:val="19"/>
          <w:szCs w:val="19"/>
        </w:rPr>
        <w:t xml:space="preserve"> (Sic)</w:t>
      </w:r>
      <w:r w:rsidRPr="005D07D7">
        <w:rPr>
          <w:rFonts w:ascii="ITC Avant Garde" w:hAnsi="ITC Avant Garde"/>
          <w:i/>
          <w:sz w:val="19"/>
          <w:szCs w:val="19"/>
        </w:rPr>
        <w:t xml:space="preserve"> y que "El Instituto establecerá reglas de carácter general que establezcan los requisitos y plazos para solicitar las autorizaciones" (Artículo 171), puntualizando que "Los autorizados para explotar los derechos de emisión y recepción de señales de satélites extranjeros que presten servicios en el territorio nacional, deberán ajustarse a las disposiciones que establezca el Instituto para tal efecto" (Artículo 153).</w:t>
      </w:r>
    </w:p>
    <w:p w:rsidR="004828BA" w:rsidRPr="005D07D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i/>
          <w:sz w:val="19"/>
          <w:szCs w:val="19"/>
        </w:rPr>
        <w:t>El 24 de julio de 2015 se publicó en el Diario Oficial de la Federación, el ACUERDO MEDIANTE EL CUAL EL PLENO DEL INSTITUTO FEDERAL DE TELECOMUNICACIONES APRUEBA "LAS REGLAS DE CARÁCTER GENERAL QUE ESTABLECEN LOS PLAZOS Y REQUISITOS PARA EL OTORGAMIENTO DE AUTORIZACIONES EN MATERIA DE TELECOMUNICACIONES ESTABLECIDAS EN LA LEY FEDERAL DE TELECOMUNICACIONES Y RADIODIFUSIÓN" cuyo CAPÍTULO 5 se refiere específicamente a las condiciones relacionadas con los derechos de emisión y recepción de señales y bandas de frecuencias asociadas a sistemas satelitales extranjeros en territorio nacional:</w:t>
      </w:r>
    </w:p>
    <w:p w:rsidR="004828BA" w:rsidRPr="005D07D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i/>
          <w:sz w:val="19"/>
          <w:szCs w:val="19"/>
        </w:rPr>
        <w:t>“</w:t>
      </w:r>
      <w:r w:rsidRPr="005D07D7">
        <w:rPr>
          <w:rFonts w:ascii="ITC Avant Garde" w:hAnsi="ITC Avant Garde"/>
          <w:b/>
          <w:i/>
          <w:sz w:val="19"/>
          <w:szCs w:val="19"/>
        </w:rPr>
        <w:t>Regla 11.</w:t>
      </w:r>
      <w:r w:rsidRPr="005D07D7">
        <w:rPr>
          <w:rFonts w:ascii="ITC Avant Garde" w:hAnsi="ITC Avant Garde"/>
          <w:i/>
          <w:sz w:val="19"/>
          <w:szCs w:val="19"/>
        </w:rPr>
        <w:t xml:space="preserve"> Los interesados en obtener Autorización para explotar los derechos de emisión y recepción de señales de bandas de frecuencias asociadas a sistemas satelitales extranjeros que cubran y puedan prestar servicios en territorio nacional, deberán presentar el Formato "IFT-Autorización-C” que forma parte de las presentes Reglas, debidamente requisitado, conforme a la regla 4, con la información y documentación respectiva, y el comprobante del pago de derechos o aprovechamientos correspondiente.</w:t>
      </w:r>
    </w:p>
    <w:p w:rsidR="004828BA" w:rsidRPr="005D07D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i/>
          <w:sz w:val="19"/>
          <w:szCs w:val="19"/>
        </w:rPr>
        <w:t>La Secretaría de Comunicaciones y Transportes definirá la capacidad satelital que, en su caso, se requiera de los interesados para explotar los derechos de emisión y recepción de señales de satélites extranjeros para prestar servicios en territorio nacional, como reserva del Estado para redes de seguridad nacional, servicios de carácter social y demás necesidades del Gobierno, la cual puede cumplirse en numerario o en especie a consideración de la Secretaría de Comunicaciones y Transportes.</w:t>
      </w:r>
    </w:p>
    <w:p w:rsidR="004828BA" w:rsidRPr="005D07D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b/>
          <w:i/>
          <w:sz w:val="19"/>
          <w:szCs w:val="19"/>
        </w:rPr>
        <w:lastRenderedPageBreak/>
        <w:t>Regla 12.</w:t>
      </w:r>
      <w:r w:rsidRPr="005D07D7">
        <w:rPr>
          <w:rFonts w:ascii="ITC Avant Garde" w:hAnsi="ITC Avant Garde"/>
          <w:i/>
          <w:sz w:val="19"/>
          <w:szCs w:val="19"/>
        </w:rPr>
        <w:t xml:space="preserve"> En caso de reubicaciones, adiciones o reemplazos de satélites que operen con características técnicas diferentes de las autorizadas, el interesado deberá solicitar la modificación correspondiente presentando al Instituto el Formato “IFT-Autorización-C” que forma parte de las presentes Reglas, debidamente requisitado, conforme a la regla 4, con la información y documentación respectiva, y el comprobante del pago de derechos o aprovechamientos correspondiente.</w:t>
      </w:r>
    </w:p>
    <w:p w:rsidR="004828BA" w:rsidRPr="005D07D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b/>
          <w:i/>
          <w:sz w:val="19"/>
          <w:szCs w:val="19"/>
        </w:rPr>
        <w:t>Regla 13.</w:t>
      </w:r>
      <w:r w:rsidRPr="005D07D7">
        <w:rPr>
          <w:rFonts w:ascii="ITC Avant Garde" w:hAnsi="ITC Avant Garde"/>
          <w:i/>
          <w:sz w:val="19"/>
          <w:szCs w:val="19"/>
        </w:rPr>
        <w:t xml:space="preserve"> Tratándose de supresión, reemplazo o, en su caso, reubicación de los satélites autorizados, que no implique modificaciones a las características técnicas autorizadas, sólo deberá darse aviso por escrito al Instituto con 15 (quince) días hábiles de anticipación.”</w:t>
      </w:r>
    </w:p>
    <w:p w:rsidR="004828BA" w:rsidRPr="005D07D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i/>
          <w:sz w:val="19"/>
          <w:szCs w:val="19"/>
        </w:rPr>
        <w:t>También, el mismo Acuerdo sobre las Reglas de Carácter General del 24 de julio de 2015, en su TRANSITORIO SEGUNDO precisa que "Las concesiones para explotar los derechos de emisión y recepción de señales de bandas de frecuencias asociadas a sistemas satelitales extranjeros que cubran y puedan prestar servicios en territorio nacional, así como los permisos para la comercialización de servicios de telecomunicaciones o de telefonía pública otorgados con anterioridad a la publicación de las presentes Reglas, se respetarán en sus términos hasta que concluya su vigencia, en el entendido que su operación, explotación y prórroga, en su caso, deberá ajustarse a lo dispuesto por la Ley Federal de Telecomunicaciones y Radiodifusión, las presentes reglas y demás disposiciones aplicables."</w:t>
      </w:r>
    </w:p>
    <w:p w:rsidR="004828BA" w:rsidRPr="005D07D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i/>
          <w:sz w:val="19"/>
          <w:szCs w:val="19"/>
        </w:rPr>
        <w:t>Conforme a lo anterior, se observa que</w:t>
      </w:r>
      <w:r w:rsidR="00A62FD4">
        <w:rPr>
          <w:rFonts w:ascii="ITC Avant Garde" w:hAnsi="ITC Avant Garde"/>
          <w:i/>
          <w:sz w:val="19"/>
          <w:szCs w:val="19"/>
        </w:rPr>
        <w:t xml:space="preserve"> al abrogarse la LFT, la LFRT (S</w:t>
      </w:r>
      <w:r w:rsidRPr="005D07D7">
        <w:rPr>
          <w:rFonts w:ascii="ITC Avant Garde" w:hAnsi="ITC Avant Garde"/>
          <w:i/>
          <w:sz w:val="19"/>
          <w:szCs w:val="19"/>
        </w:rPr>
        <w:t>ic) dispone que la explotación de los derechos de emisión y recepción de señales de bandas de frecuencias asociadas a satélites extranjeros que cubren y pueden prestar servicios en territorio mexicano, corresponde a la figura de AUTORIZACIÓN y opera ahora conforme a las Reglas de Carácter General aprobadas por el IFT que establecen los requisitos y los plazos pertinentes. En este sentido, entendemos que la Concesión de PanAmSat de México debe ser considerada en los términos, requisitos y plazos pertinentes de una AUTORIZACIÓN.</w:t>
      </w:r>
    </w:p>
    <w:p w:rsidR="004828BA" w:rsidRPr="005D07D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i/>
          <w:sz w:val="19"/>
          <w:szCs w:val="19"/>
        </w:rPr>
        <w:t xml:space="preserve">Cabe señalar que la misma cuestión sobre sí </w:t>
      </w:r>
      <w:r w:rsidR="008445D9">
        <w:rPr>
          <w:rFonts w:ascii="ITC Avant Garde" w:hAnsi="ITC Avant Garde"/>
          <w:i/>
          <w:sz w:val="19"/>
          <w:szCs w:val="19"/>
        </w:rPr>
        <w:t xml:space="preserve">(Sic) </w:t>
      </w:r>
      <w:r w:rsidRPr="005D07D7">
        <w:rPr>
          <w:rFonts w:ascii="ITC Avant Garde" w:hAnsi="ITC Avant Garde"/>
          <w:i/>
          <w:sz w:val="19"/>
          <w:szCs w:val="19"/>
        </w:rPr>
        <w:t>es correcto considerar que nuestra Concesión debe ser considerada como AUTORIZACIÓN, ha surgido también cuando PanAmSat de México ha solicitado modificaciones a su Concesión para actualizar su flota satelital, y ha recurrido al cumplimiento de la Ley Federal de Derechos de conformidad con el Artículo 174-1 de esa Ley, el cual se refiere a "Autorizaciones" (Artículo 174- 1. Por el estudio y, en su caso, aprobación de las solicitudes de modificaciones técnicas, administrativas y legales de la autorización para la explotación de los derechos de emisión y recepción de señales y bandas de frecuencias asociadas a sistemas satelitales extranjeros que cubran y puedan prestar servicios en el territorio nacional).</w:t>
      </w:r>
    </w:p>
    <w:p w:rsidR="004828BA" w:rsidRPr="005D07D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i/>
          <w:sz w:val="19"/>
          <w:szCs w:val="19"/>
        </w:rPr>
        <w:t>Por lo anteriormente expuesto, se solicita el criterio de esa dependencia a su cargo respecto a sí</w:t>
      </w:r>
      <w:r w:rsidR="008445D9">
        <w:rPr>
          <w:rFonts w:ascii="ITC Avant Garde" w:hAnsi="ITC Avant Garde"/>
          <w:i/>
          <w:sz w:val="19"/>
          <w:szCs w:val="19"/>
        </w:rPr>
        <w:t xml:space="preserve"> (Sic)</w:t>
      </w:r>
      <w:r w:rsidRPr="005D07D7">
        <w:rPr>
          <w:rFonts w:ascii="ITC Avant Garde" w:hAnsi="ITC Avant Garde"/>
          <w:i/>
          <w:sz w:val="19"/>
          <w:szCs w:val="19"/>
        </w:rPr>
        <w:t xml:space="preserve"> las Concesiones para explotar los derechos de emisión </w:t>
      </w:r>
      <w:r w:rsidRPr="005D07D7">
        <w:rPr>
          <w:rFonts w:ascii="ITC Avant Garde" w:hAnsi="ITC Avant Garde"/>
          <w:i/>
          <w:sz w:val="19"/>
          <w:szCs w:val="19"/>
        </w:rPr>
        <w:lastRenderedPageBreak/>
        <w:t>y recepción de señales de bandas de frecuencias asociadas a satélites extranjeros que cubren y pueden prestar servicios en territorio mexicano, conforme a la Ley Federal de Telecomunicaciones y Radiodifusión (LFTR) son consideradas AUTORIZACIONES por lo que aplica lo conducente en sus términos, requisitos y plazos pertinentes.”</w:t>
      </w:r>
    </w:p>
    <w:p w:rsidR="000663D7" w:rsidRPr="00E562A7" w:rsidRDefault="004828BA" w:rsidP="00E562A7">
      <w:pPr>
        <w:spacing w:after="120" w:line="276" w:lineRule="auto"/>
        <w:ind w:left="851" w:right="616"/>
        <w:jc w:val="both"/>
        <w:rPr>
          <w:rFonts w:ascii="ITC Avant Garde" w:hAnsi="ITC Avant Garde"/>
          <w:i/>
          <w:sz w:val="19"/>
          <w:szCs w:val="19"/>
        </w:rPr>
      </w:pPr>
      <w:r w:rsidRPr="005D07D7">
        <w:rPr>
          <w:rFonts w:ascii="ITC Avant Garde" w:hAnsi="ITC Avant Garde"/>
          <w:i/>
          <w:sz w:val="19"/>
          <w:szCs w:val="19"/>
        </w:rPr>
        <w:t>(…)”</w:t>
      </w:r>
    </w:p>
    <w:p w:rsidR="00E562A7" w:rsidRDefault="00A9595E" w:rsidP="00E562A7">
      <w:pPr>
        <w:spacing w:after="120" w:line="276" w:lineRule="auto"/>
        <w:jc w:val="both"/>
        <w:rPr>
          <w:rFonts w:ascii="ITC Avant Garde" w:eastAsia="Arial Unicode MS" w:hAnsi="ITC Avant Garde" w:cs="Arial Unicode MS"/>
          <w:bCs/>
          <w:color w:val="000000"/>
          <w:sz w:val="20"/>
          <w:szCs w:val="20"/>
          <w:u w:color="000000"/>
          <w:lang w:eastAsia="es-ES_tradnl"/>
        </w:rPr>
      </w:pPr>
      <w:r w:rsidRPr="00D50555">
        <w:rPr>
          <w:rFonts w:ascii="ITC Avant Garde" w:eastAsia="Arial Unicode MS" w:hAnsi="ITC Avant Garde" w:cs="Arial Unicode MS"/>
          <w:b/>
          <w:color w:val="000000"/>
          <w:sz w:val="20"/>
          <w:szCs w:val="20"/>
          <w:u w:color="000000"/>
          <w:lang w:val="es-ES_tradnl" w:eastAsia="es-ES_tradnl"/>
        </w:rPr>
        <w:t>T</w:t>
      </w:r>
      <w:r w:rsidRPr="00A9595E">
        <w:rPr>
          <w:rStyle w:val="SubttuloCar"/>
          <w:rFonts w:ascii="ITC Avant Garde" w:hAnsi="ITC Avant Garde"/>
          <w:b/>
          <w:color w:val="auto"/>
          <w:sz w:val="20"/>
          <w:szCs w:val="20"/>
        </w:rPr>
        <w:t>ERCERO. -</w:t>
      </w:r>
      <w:r w:rsidR="004828BA" w:rsidRPr="00A9595E">
        <w:rPr>
          <w:rStyle w:val="SubttuloCar"/>
          <w:rFonts w:ascii="ITC Avant Garde" w:hAnsi="ITC Avant Garde"/>
          <w:b/>
          <w:color w:val="auto"/>
          <w:sz w:val="20"/>
          <w:szCs w:val="20"/>
        </w:rPr>
        <w:t xml:space="preserve"> Marco legal y análisis </w:t>
      </w:r>
      <w:r w:rsidRPr="00A9595E">
        <w:rPr>
          <w:rStyle w:val="SubttuloCar"/>
          <w:rFonts w:ascii="ITC Avant Garde" w:hAnsi="ITC Avant Garde"/>
          <w:b/>
          <w:color w:val="auto"/>
          <w:sz w:val="20"/>
          <w:szCs w:val="20"/>
        </w:rPr>
        <w:t>jurídico. -</w:t>
      </w:r>
      <w:r w:rsidR="004828BA" w:rsidRPr="00A9595E">
        <w:rPr>
          <w:rStyle w:val="SubttuloCar"/>
          <w:rFonts w:ascii="ITC Avant Garde" w:hAnsi="ITC Avant Garde"/>
          <w:b/>
          <w:color w:val="auto"/>
          <w:sz w:val="20"/>
          <w:szCs w:val="20"/>
        </w:rPr>
        <w:t xml:space="preserve"> </w:t>
      </w:r>
      <w:r w:rsidR="004828BA" w:rsidRPr="00D50555">
        <w:rPr>
          <w:rFonts w:ascii="ITC Avant Garde" w:eastAsia="Arial Unicode MS" w:hAnsi="ITC Avant Garde" w:cs="Arial Unicode MS"/>
          <w:color w:val="000000"/>
          <w:sz w:val="20"/>
          <w:szCs w:val="20"/>
          <w:u w:color="000000"/>
          <w:lang w:val="es-ES_tradnl" w:eastAsia="es-ES_tradnl"/>
        </w:rPr>
        <w:t>La</w:t>
      </w:r>
      <w:r w:rsidR="004828BA" w:rsidRPr="00D50555">
        <w:rPr>
          <w:rFonts w:ascii="ITC Avant Garde" w:eastAsia="Arial Unicode MS" w:hAnsi="ITC Avant Garde" w:cs="Arial Unicode MS"/>
          <w:bCs/>
          <w:color w:val="000000"/>
          <w:sz w:val="20"/>
          <w:szCs w:val="20"/>
          <w:u w:color="000000"/>
          <w:lang w:eastAsia="es-ES_tradnl"/>
        </w:rPr>
        <w:t xml:space="preserve"> empresa PanAmSat cuenta con una concesión</w:t>
      </w:r>
      <w:r w:rsidR="00CD6BDD" w:rsidRPr="00D50555">
        <w:rPr>
          <w:rFonts w:ascii="ITC Avant Garde" w:eastAsia="Arial Unicode MS" w:hAnsi="ITC Avant Garde" w:cs="Arial Unicode MS"/>
          <w:bCs/>
          <w:color w:val="000000"/>
          <w:sz w:val="20"/>
          <w:szCs w:val="20"/>
          <w:u w:color="000000"/>
          <w:lang w:eastAsia="es-ES_tradnl"/>
        </w:rPr>
        <w:t>,</w:t>
      </w:r>
      <w:r w:rsidR="00782AC9" w:rsidRPr="00D50555">
        <w:rPr>
          <w:rFonts w:ascii="ITC Avant Garde" w:eastAsia="Arial Unicode MS" w:hAnsi="ITC Avant Garde" w:cs="Arial Unicode MS"/>
          <w:bCs/>
          <w:color w:val="000000"/>
          <w:sz w:val="20"/>
          <w:szCs w:val="20"/>
          <w:u w:color="000000"/>
          <w:lang w:eastAsia="es-ES_tradnl"/>
        </w:rPr>
        <w:t xml:space="preserve"> </w:t>
      </w:r>
      <w:r w:rsidR="00782AC9" w:rsidRPr="00D50555">
        <w:rPr>
          <w:rFonts w:ascii="ITC Avant Garde" w:eastAsia="Arial Unicode MS" w:hAnsi="ITC Avant Garde" w:cs="Arial Unicode MS"/>
          <w:sz w:val="20"/>
          <w:szCs w:val="20"/>
          <w:lang w:eastAsia="es-ES_tradnl"/>
        </w:rPr>
        <w:t>otorgada al amparo de la abrogada Ley Federal de Telecomunicaciones,</w:t>
      </w:r>
      <w:r w:rsidR="004828BA" w:rsidRPr="00D50555">
        <w:rPr>
          <w:rFonts w:ascii="ITC Avant Garde" w:eastAsia="Arial Unicode MS" w:hAnsi="ITC Avant Garde" w:cs="Arial Unicode MS"/>
          <w:bCs/>
          <w:color w:val="000000"/>
          <w:sz w:val="20"/>
          <w:szCs w:val="20"/>
          <w:u w:color="000000"/>
          <w:lang w:eastAsia="es-ES_tradnl"/>
        </w:rPr>
        <w:t xml:space="preserve"> </w:t>
      </w:r>
      <w:r w:rsidR="00945E34" w:rsidRPr="00D50555">
        <w:rPr>
          <w:rFonts w:ascii="ITC Avant Garde" w:eastAsia="Arial Unicode MS" w:hAnsi="ITC Avant Garde" w:cs="Arial Unicode MS"/>
          <w:bCs/>
          <w:color w:val="000000"/>
          <w:sz w:val="20"/>
          <w:szCs w:val="20"/>
          <w:u w:color="000000"/>
          <w:lang w:eastAsia="es-ES_tradnl"/>
        </w:rPr>
        <w:t>para explotar los derechos de emisión y recepción de señales de bandas de frecuencias asociadas a sistemas satelitales extranjeros que cubran y puedan prestar servi</w:t>
      </w:r>
      <w:r w:rsidR="00782AC9" w:rsidRPr="00D50555">
        <w:rPr>
          <w:rFonts w:ascii="ITC Avant Garde" w:eastAsia="Arial Unicode MS" w:hAnsi="ITC Avant Garde" w:cs="Arial Unicode MS"/>
          <w:bCs/>
          <w:color w:val="000000"/>
          <w:sz w:val="20"/>
          <w:szCs w:val="20"/>
          <w:u w:color="000000"/>
          <w:lang w:eastAsia="es-ES_tradnl"/>
        </w:rPr>
        <w:t>cios en el territorio nacional.</w:t>
      </w:r>
    </w:p>
    <w:p w:rsidR="004F5F3A" w:rsidRDefault="004F5F3A" w:rsidP="00E562A7">
      <w:pPr>
        <w:spacing w:after="120" w:line="276" w:lineRule="auto"/>
        <w:jc w:val="both"/>
        <w:rPr>
          <w:rFonts w:ascii="ITC Avant Garde" w:eastAsia="Arial Unicode MS" w:hAnsi="ITC Avant Garde" w:cs="Arial Unicode MS"/>
          <w:bCs/>
          <w:color w:val="000000"/>
          <w:sz w:val="20"/>
          <w:szCs w:val="20"/>
          <w:u w:color="000000"/>
          <w:lang w:eastAsia="es-ES_tradnl"/>
        </w:rPr>
      </w:pPr>
      <w:r w:rsidRPr="00D50555">
        <w:rPr>
          <w:rFonts w:ascii="ITC Avant Garde" w:eastAsia="Arial Unicode MS" w:hAnsi="ITC Avant Garde" w:cs="Arial Unicode MS"/>
          <w:bCs/>
          <w:color w:val="000000"/>
          <w:sz w:val="20"/>
          <w:szCs w:val="20"/>
          <w:u w:color="000000"/>
          <w:lang w:eastAsia="es-ES_tradnl"/>
        </w:rPr>
        <w:t>En ese entonces, la Ley Federal de Telecomunicaciones (</w:t>
      </w:r>
      <w:r w:rsidR="00467564" w:rsidRPr="00D50555">
        <w:rPr>
          <w:rFonts w:ascii="ITC Avant Garde" w:eastAsia="Arial Unicode MS" w:hAnsi="ITC Avant Garde" w:cs="Arial Unicode MS"/>
          <w:bCs/>
          <w:color w:val="000000"/>
          <w:sz w:val="20"/>
          <w:szCs w:val="20"/>
          <w:u w:color="000000"/>
          <w:lang w:eastAsia="es-ES_tradnl"/>
        </w:rPr>
        <w:t>en lo sucesivo, “</w:t>
      </w:r>
      <w:r w:rsidRPr="00D50555">
        <w:rPr>
          <w:rFonts w:ascii="ITC Avant Garde" w:eastAsia="Arial Unicode MS" w:hAnsi="ITC Avant Garde" w:cs="Arial Unicode MS"/>
          <w:bCs/>
          <w:color w:val="000000"/>
          <w:sz w:val="20"/>
          <w:szCs w:val="20"/>
          <w:u w:color="000000"/>
          <w:lang w:eastAsia="es-ES_tradnl"/>
        </w:rPr>
        <w:t>LFT</w:t>
      </w:r>
      <w:r w:rsidR="00467564" w:rsidRPr="00D50555">
        <w:rPr>
          <w:rFonts w:ascii="ITC Avant Garde" w:eastAsia="Arial Unicode MS" w:hAnsi="ITC Avant Garde" w:cs="Arial Unicode MS"/>
          <w:bCs/>
          <w:color w:val="000000"/>
          <w:sz w:val="20"/>
          <w:szCs w:val="20"/>
          <w:u w:color="000000"/>
          <w:lang w:eastAsia="es-ES_tradnl"/>
        </w:rPr>
        <w:t>”</w:t>
      </w:r>
      <w:r w:rsidR="000E1724" w:rsidRPr="00D50555">
        <w:rPr>
          <w:rFonts w:ascii="ITC Avant Garde" w:eastAsia="Arial Unicode MS" w:hAnsi="ITC Avant Garde" w:cs="Arial Unicode MS"/>
          <w:bCs/>
          <w:color w:val="000000"/>
          <w:sz w:val="20"/>
          <w:szCs w:val="20"/>
          <w:u w:color="000000"/>
          <w:lang w:eastAsia="es-ES_tradnl"/>
        </w:rPr>
        <w:t xml:space="preserve">) contemplaba en su artículo 11, fracción IV, </w:t>
      </w:r>
      <w:r w:rsidRPr="00D50555">
        <w:rPr>
          <w:rFonts w:ascii="ITC Avant Garde" w:eastAsia="Arial Unicode MS" w:hAnsi="ITC Avant Garde" w:cs="Arial Unicode MS"/>
          <w:bCs/>
          <w:color w:val="000000"/>
          <w:sz w:val="20"/>
          <w:szCs w:val="20"/>
          <w:u w:color="000000"/>
          <w:lang w:eastAsia="es-ES_tradnl"/>
        </w:rPr>
        <w:t xml:space="preserve">que para la explotación de los derechos de emisión y recepción de señales de bandas de frecuencias asociadas a sistemas satelitales extranjeros que cubran y puedan prestar servicios en el territorio nacional se requería de una concesión, tal y como se observa a continuación: </w:t>
      </w:r>
    </w:p>
    <w:p w:rsidR="004F5F3A" w:rsidRPr="00782AC9" w:rsidRDefault="004F5F3A" w:rsidP="00E562A7">
      <w:pPr>
        <w:spacing w:after="120" w:line="276" w:lineRule="auto"/>
        <w:ind w:left="851" w:right="618"/>
        <w:jc w:val="both"/>
        <w:rPr>
          <w:rFonts w:ascii="ITC Avant Garde" w:hAnsi="ITC Avant Garde"/>
          <w:i/>
          <w:sz w:val="19"/>
          <w:szCs w:val="19"/>
        </w:rPr>
      </w:pPr>
      <w:r>
        <w:rPr>
          <w:rFonts w:ascii="ITC Avant Garde" w:hAnsi="ITC Avant Garde"/>
          <w:i/>
          <w:sz w:val="19"/>
          <w:szCs w:val="19"/>
        </w:rPr>
        <w:t>“</w:t>
      </w:r>
      <w:r w:rsidRPr="00782AC9">
        <w:rPr>
          <w:rFonts w:ascii="ITC Avant Garde" w:hAnsi="ITC Avant Garde"/>
          <w:b/>
          <w:i/>
          <w:sz w:val="19"/>
          <w:szCs w:val="19"/>
        </w:rPr>
        <w:t>Artículo 11.</w:t>
      </w:r>
      <w:r w:rsidRPr="00782AC9">
        <w:rPr>
          <w:rFonts w:ascii="ITC Avant Garde" w:hAnsi="ITC Avant Garde"/>
          <w:i/>
          <w:sz w:val="19"/>
          <w:szCs w:val="19"/>
        </w:rPr>
        <w:t xml:space="preserve"> Se requiere </w:t>
      </w:r>
      <w:r w:rsidRPr="00782AC9">
        <w:rPr>
          <w:rFonts w:ascii="ITC Avant Garde" w:hAnsi="ITC Avant Garde"/>
          <w:b/>
          <w:i/>
          <w:sz w:val="19"/>
          <w:szCs w:val="19"/>
          <w:u w:val="single"/>
        </w:rPr>
        <w:t>concesión</w:t>
      </w:r>
      <w:r w:rsidRPr="00782AC9">
        <w:rPr>
          <w:rFonts w:ascii="ITC Avant Garde" w:hAnsi="ITC Avant Garde"/>
          <w:i/>
          <w:sz w:val="19"/>
          <w:szCs w:val="19"/>
        </w:rPr>
        <w:t xml:space="preserve"> de la Secretaría para: </w:t>
      </w:r>
    </w:p>
    <w:p w:rsidR="004F5F3A" w:rsidRPr="00782AC9" w:rsidRDefault="004F5F3A" w:rsidP="00E562A7">
      <w:pPr>
        <w:spacing w:after="120" w:line="276" w:lineRule="auto"/>
        <w:ind w:left="851" w:right="618"/>
        <w:jc w:val="both"/>
        <w:rPr>
          <w:rFonts w:ascii="ITC Avant Garde" w:hAnsi="ITC Avant Garde"/>
          <w:i/>
          <w:sz w:val="19"/>
          <w:szCs w:val="19"/>
        </w:rPr>
      </w:pPr>
      <w:r w:rsidRPr="00782AC9">
        <w:rPr>
          <w:rFonts w:ascii="ITC Avant Garde" w:hAnsi="ITC Avant Garde"/>
          <w:b/>
          <w:i/>
          <w:sz w:val="19"/>
          <w:szCs w:val="19"/>
        </w:rPr>
        <w:t xml:space="preserve"> I.</w:t>
      </w:r>
      <w:r w:rsidRPr="00782AC9">
        <w:rPr>
          <w:rFonts w:ascii="ITC Avant Garde" w:hAnsi="ITC Avant Garde"/>
          <w:i/>
          <w:sz w:val="19"/>
          <w:szCs w:val="19"/>
        </w:rPr>
        <w:t xml:space="preserve"> Usar, aprovechar o explotar una banda de frecuencias en el territorio nacional, salvo el espectro de uso libre y el de uso oficial; </w:t>
      </w:r>
    </w:p>
    <w:p w:rsidR="004F5F3A" w:rsidRPr="00782AC9" w:rsidRDefault="004F5F3A" w:rsidP="00E562A7">
      <w:pPr>
        <w:spacing w:after="120" w:line="276" w:lineRule="auto"/>
        <w:ind w:left="851" w:right="618"/>
        <w:jc w:val="both"/>
        <w:rPr>
          <w:rFonts w:ascii="ITC Avant Garde" w:hAnsi="ITC Avant Garde"/>
          <w:i/>
          <w:sz w:val="19"/>
          <w:szCs w:val="19"/>
        </w:rPr>
      </w:pPr>
      <w:r w:rsidRPr="00782AC9">
        <w:rPr>
          <w:rFonts w:ascii="ITC Avant Garde" w:hAnsi="ITC Avant Garde"/>
          <w:i/>
          <w:sz w:val="19"/>
          <w:szCs w:val="19"/>
        </w:rPr>
        <w:t xml:space="preserve"> </w:t>
      </w:r>
      <w:r w:rsidRPr="00782AC9">
        <w:rPr>
          <w:rFonts w:ascii="ITC Avant Garde" w:hAnsi="ITC Avant Garde"/>
          <w:b/>
          <w:i/>
          <w:sz w:val="19"/>
          <w:szCs w:val="19"/>
        </w:rPr>
        <w:t>II.</w:t>
      </w:r>
      <w:r w:rsidRPr="00782AC9">
        <w:rPr>
          <w:rFonts w:ascii="ITC Avant Garde" w:hAnsi="ITC Avant Garde"/>
          <w:i/>
          <w:sz w:val="19"/>
          <w:szCs w:val="19"/>
        </w:rPr>
        <w:t xml:space="preserve"> Instalar, operar o explotar redes públicas de telecomunicaciones; </w:t>
      </w:r>
    </w:p>
    <w:p w:rsidR="004F5F3A" w:rsidRPr="00782AC9" w:rsidRDefault="004F5F3A" w:rsidP="00E562A7">
      <w:pPr>
        <w:spacing w:after="120" w:line="276" w:lineRule="auto"/>
        <w:ind w:left="851" w:right="618"/>
        <w:jc w:val="both"/>
        <w:rPr>
          <w:rFonts w:ascii="ITC Avant Garde" w:hAnsi="ITC Avant Garde"/>
          <w:i/>
          <w:sz w:val="19"/>
          <w:szCs w:val="19"/>
        </w:rPr>
      </w:pPr>
      <w:r w:rsidRPr="00782AC9">
        <w:rPr>
          <w:rFonts w:ascii="ITC Avant Garde" w:hAnsi="ITC Avant Garde"/>
          <w:b/>
          <w:i/>
          <w:sz w:val="19"/>
          <w:szCs w:val="19"/>
        </w:rPr>
        <w:t>III.</w:t>
      </w:r>
      <w:r w:rsidRPr="00782AC9">
        <w:rPr>
          <w:rFonts w:ascii="ITC Avant Garde" w:hAnsi="ITC Avant Garde"/>
          <w:i/>
          <w:sz w:val="19"/>
          <w:szCs w:val="19"/>
        </w:rPr>
        <w:t xml:space="preserve"> Ocupar posiciones orbitales geoestacionarias y órbitas satelitales asignadas al país, y explotar sus respectivas bandas de frecuencias, y </w:t>
      </w:r>
    </w:p>
    <w:p w:rsidR="004F5F3A" w:rsidRDefault="004F5F3A" w:rsidP="00E562A7">
      <w:pPr>
        <w:spacing w:after="120" w:line="276" w:lineRule="auto"/>
        <w:ind w:left="851" w:right="618"/>
        <w:jc w:val="both"/>
        <w:rPr>
          <w:rFonts w:ascii="ITC Avant Garde" w:hAnsi="ITC Avant Garde"/>
          <w:i/>
          <w:sz w:val="19"/>
          <w:szCs w:val="19"/>
        </w:rPr>
      </w:pPr>
      <w:r w:rsidRPr="00782AC9">
        <w:rPr>
          <w:rFonts w:ascii="ITC Avant Garde" w:hAnsi="ITC Avant Garde"/>
          <w:b/>
          <w:i/>
          <w:sz w:val="19"/>
          <w:szCs w:val="19"/>
          <w:u w:val="single"/>
        </w:rPr>
        <w:t>IV. Explotar los derechos de emisión y recepción de señales de bandas de frecuencias asociadas a sistemas satelitales extranjeros que cubran y puedan prestar servicios en el territorio nacional</w:t>
      </w:r>
      <w:r w:rsidRPr="00782AC9">
        <w:rPr>
          <w:rFonts w:ascii="ITC Avant Garde" w:hAnsi="ITC Avant Garde"/>
          <w:i/>
          <w:sz w:val="19"/>
          <w:szCs w:val="19"/>
          <w:u w:val="single"/>
        </w:rPr>
        <w:t>.</w:t>
      </w:r>
      <w:r>
        <w:rPr>
          <w:rFonts w:ascii="ITC Avant Garde" w:hAnsi="ITC Avant Garde"/>
          <w:i/>
          <w:sz w:val="19"/>
          <w:szCs w:val="19"/>
        </w:rPr>
        <w:t>”</w:t>
      </w:r>
    </w:p>
    <w:p w:rsidR="004F5F3A" w:rsidRDefault="004F5F3A" w:rsidP="00E562A7">
      <w:pPr>
        <w:spacing w:after="120" w:line="276" w:lineRule="auto"/>
        <w:ind w:left="851" w:right="618"/>
        <w:jc w:val="right"/>
        <w:rPr>
          <w:rFonts w:ascii="ITC Avant Garde" w:eastAsia="Arial Unicode MS" w:hAnsi="ITC Avant Garde" w:cs="Arial Unicode MS"/>
          <w:color w:val="000000"/>
          <w:sz w:val="19"/>
          <w:szCs w:val="19"/>
          <w:lang w:eastAsia="es-ES_tradnl"/>
        </w:rPr>
      </w:pPr>
      <w:r w:rsidRPr="005D07D7">
        <w:rPr>
          <w:rFonts w:ascii="ITC Avant Garde" w:eastAsia="Arial Unicode MS" w:hAnsi="ITC Avant Garde" w:cs="Arial Unicode MS"/>
          <w:color w:val="000000"/>
          <w:sz w:val="19"/>
          <w:szCs w:val="19"/>
          <w:lang w:eastAsia="es-ES_tradnl"/>
        </w:rPr>
        <w:t>(Énfasis añadido)</w:t>
      </w:r>
    </w:p>
    <w:p w:rsidR="004F5F3A" w:rsidRPr="00D50555" w:rsidRDefault="000E1724" w:rsidP="00E562A7">
      <w:pPr>
        <w:spacing w:after="120" w:line="276" w:lineRule="auto"/>
        <w:jc w:val="both"/>
        <w:rPr>
          <w:rFonts w:ascii="ITC Avant Garde" w:eastAsia="Arial Unicode MS" w:hAnsi="ITC Avant Garde" w:cs="Arial Unicode MS"/>
          <w:color w:val="000000"/>
          <w:sz w:val="20"/>
          <w:szCs w:val="20"/>
          <w:u w:color="000000"/>
          <w:lang w:eastAsia="es-ES_tradnl"/>
        </w:rPr>
      </w:pPr>
      <w:r w:rsidRPr="00D50555">
        <w:rPr>
          <w:rFonts w:ascii="ITC Avant Garde" w:eastAsia="Arial Unicode MS" w:hAnsi="ITC Avant Garde" w:cs="Arial Unicode MS"/>
          <w:color w:val="000000"/>
          <w:sz w:val="20"/>
          <w:szCs w:val="20"/>
          <w:u w:color="000000"/>
          <w:lang w:eastAsia="es-ES_tradnl"/>
        </w:rPr>
        <w:t>D</w:t>
      </w:r>
      <w:r w:rsidR="004F5F3A" w:rsidRPr="00D50555">
        <w:rPr>
          <w:rFonts w:ascii="ITC Avant Garde" w:eastAsia="Arial Unicode MS" w:hAnsi="ITC Avant Garde" w:cs="Arial Unicode MS"/>
          <w:color w:val="000000"/>
          <w:sz w:val="20"/>
          <w:szCs w:val="20"/>
          <w:u w:color="000000"/>
          <w:lang w:eastAsia="es-ES_tradnl"/>
        </w:rPr>
        <w:t>erivado de la reforma constitucional realizada en materia de telecomunicaciones se expidió la LFTR, en la cual se establecen, para la prestación de servicios de telecomunicaciones, títulos habilitantes diferentes a los establecidos en la abrogada LFT,</w:t>
      </w:r>
      <w:r w:rsidRPr="00D50555">
        <w:rPr>
          <w:rFonts w:ascii="ITC Avant Garde" w:eastAsia="Arial Unicode MS" w:hAnsi="ITC Avant Garde" w:cs="Arial Unicode MS"/>
          <w:color w:val="000000"/>
          <w:sz w:val="20"/>
          <w:szCs w:val="20"/>
          <w:u w:color="000000"/>
          <w:lang w:eastAsia="es-ES_tradnl"/>
        </w:rPr>
        <w:t xml:space="preserve"> </w:t>
      </w:r>
      <w:r w:rsidR="003A6660" w:rsidRPr="00D50555">
        <w:rPr>
          <w:rFonts w:ascii="ITC Avant Garde" w:eastAsia="Arial Unicode MS" w:hAnsi="ITC Avant Garde" w:cs="Arial Unicode MS"/>
          <w:color w:val="000000"/>
          <w:sz w:val="20"/>
          <w:szCs w:val="20"/>
          <w:u w:color="000000"/>
          <w:lang w:eastAsia="es-ES_tradnl"/>
        </w:rPr>
        <w:t>particularmente para explotar los derechos de emisión y recepción de señales de bandas de frecuencias asociadas a sistemas satelitales extranjeros que cubran y puedan prestar servicios en el territorio nacional</w:t>
      </w:r>
      <w:r w:rsidR="004F5F3A" w:rsidRPr="00D50555">
        <w:rPr>
          <w:rFonts w:ascii="ITC Avant Garde" w:eastAsia="Arial Unicode MS" w:hAnsi="ITC Avant Garde" w:cs="Arial Unicode MS"/>
          <w:color w:val="000000"/>
          <w:sz w:val="20"/>
          <w:szCs w:val="20"/>
          <w:u w:color="000000"/>
          <w:lang w:eastAsia="es-ES_tradnl"/>
        </w:rPr>
        <w:t>.</w:t>
      </w:r>
    </w:p>
    <w:p w:rsidR="004F5F3A" w:rsidRPr="00D50555" w:rsidRDefault="004F5F3A" w:rsidP="00E562A7">
      <w:pPr>
        <w:spacing w:after="120" w:line="276" w:lineRule="auto"/>
        <w:jc w:val="both"/>
        <w:rPr>
          <w:rFonts w:ascii="ITC Avant Garde" w:eastAsia="Arial Unicode MS" w:hAnsi="ITC Avant Garde" w:cs="Arial Unicode MS"/>
          <w:color w:val="000000"/>
          <w:sz w:val="20"/>
          <w:szCs w:val="20"/>
          <w:u w:color="000000"/>
          <w:lang w:eastAsia="es-ES_tradnl"/>
        </w:rPr>
      </w:pPr>
      <w:r w:rsidRPr="00D50555">
        <w:rPr>
          <w:rFonts w:ascii="ITC Avant Garde" w:eastAsia="Arial Unicode MS" w:hAnsi="ITC Avant Garde" w:cs="Arial Unicode MS"/>
          <w:color w:val="000000"/>
          <w:sz w:val="20"/>
          <w:szCs w:val="20"/>
          <w:u w:color="000000"/>
          <w:lang w:eastAsia="es-ES_tradnl"/>
        </w:rPr>
        <w:t xml:space="preserve">En </w:t>
      </w:r>
      <w:r w:rsidR="003A6660" w:rsidRPr="00D50555">
        <w:rPr>
          <w:rFonts w:ascii="ITC Avant Garde" w:eastAsia="Arial Unicode MS" w:hAnsi="ITC Avant Garde" w:cs="Arial Unicode MS"/>
          <w:color w:val="000000"/>
          <w:sz w:val="20"/>
          <w:szCs w:val="20"/>
          <w:u w:color="000000"/>
          <w:lang w:eastAsia="es-ES_tradnl"/>
        </w:rPr>
        <w:t>efecto</w:t>
      </w:r>
      <w:r w:rsidRPr="00D50555">
        <w:rPr>
          <w:rFonts w:ascii="ITC Avant Garde" w:eastAsia="Arial Unicode MS" w:hAnsi="ITC Avant Garde" w:cs="Arial Unicode MS"/>
          <w:color w:val="000000"/>
          <w:sz w:val="20"/>
          <w:szCs w:val="20"/>
          <w:u w:color="000000"/>
          <w:lang w:eastAsia="es-ES_tradnl"/>
        </w:rPr>
        <w:t>, de conformidad con el artículo 170</w:t>
      </w:r>
      <w:r w:rsidR="001653FA">
        <w:rPr>
          <w:rFonts w:ascii="ITC Avant Garde" w:eastAsia="Arial Unicode MS" w:hAnsi="ITC Avant Garde" w:cs="Arial Unicode MS"/>
          <w:color w:val="000000"/>
          <w:sz w:val="20"/>
          <w:szCs w:val="20"/>
          <w:u w:color="000000"/>
          <w:lang w:eastAsia="es-ES_tradnl"/>
        </w:rPr>
        <w:t>, fracción IV,</w:t>
      </w:r>
      <w:r w:rsidRPr="00D50555">
        <w:rPr>
          <w:rFonts w:ascii="ITC Avant Garde" w:eastAsia="Arial Unicode MS" w:hAnsi="ITC Avant Garde" w:cs="Arial Unicode MS"/>
          <w:color w:val="000000"/>
          <w:sz w:val="20"/>
          <w:szCs w:val="20"/>
          <w:u w:color="000000"/>
          <w:lang w:eastAsia="es-ES_tradnl"/>
        </w:rPr>
        <w:t xml:space="preserve"> de la LFTR, para la explotación de los derechos de emisión y recepción de señales y bandas de frecuencias asociados a sistemas satelitales extranjeros </w:t>
      </w:r>
      <w:r w:rsidRPr="00D50555">
        <w:rPr>
          <w:rFonts w:ascii="ITC Avant Garde" w:eastAsia="Arial Unicode MS" w:hAnsi="ITC Avant Garde" w:cs="Arial Unicode MS"/>
          <w:b/>
          <w:color w:val="000000"/>
          <w:sz w:val="20"/>
          <w:szCs w:val="20"/>
          <w:u w:val="single" w:color="000000"/>
          <w:lang w:eastAsia="es-ES_tradnl"/>
        </w:rPr>
        <w:t>se requiere de una autorización</w:t>
      </w:r>
      <w:r w:rsidRPr="00D50555">
        <w:rPr>
          <w:rFonts w:ascii="ITC Avant Garde" w:eastAsia="Arial Unicode MS" w:hAnsi="ITC Avant Garde" w:cs="Arial Unicode MS"/>
          <w:color w:val="000000"/>
          <w:sz w:val="20"/>
          <w:szCs w:val="20"/>
          <w:u w:color="000000"/>
          <w:lang w:eastAsia="es-ES_tradnl"/>
        </w:rPr>
        <w:t xml:space="preserve">, como a la letra se señala: </w:t>
      </w:r>
    </w:p>
    <w:p w:rsidR="004F5F3A" w:rsidRPr="009F4AB7" w:rsidRDefault="004F5F3A" w:rsidP="00E562A7">
      <w:pPr>
        <w:spacing w:after="120" w:line="276" w:lineRule="auto"/>
        <w:ind w:left="851" w:right="618"/>
        <w:jc w:val="both"/>
        <w:rPr>
          <w:rFonts w:ascii="ITC Avant Garde" w:hAnsi="ITC Avant Garde"/>
          <w:i/>
          <w:sz w:val="19"/>
          <w:szCs w:val="19"/>
        </w:rPr>
      </w:pPr>
      <w:r w:rsidRPr="009F4AB7">
        <w:rPr>
          <w:rFonts w:ascii="ITC Avant Garde" w:hAnsi="ITC Avant Garde"/>
          <w:sz w:val="19"/>
          <w:szCs w:val="19"/>
        </w:rPr>
        <w:t>“</w:t>
      </w:r>
      <w:r w:rsidRPr="009F4AB7">
        <w:rPr>
          <w:rFonts w:ascii="ITC Avant Garde" w:hAnsi="ITC Avant Garde"/>
          <w:b/>
          <w:i/>
          <w:sz w:val="19"/>
          <w:szCs w:val="19"/>
        </w:rPr>
        <w:t>Artículo 170.</w:t>
      </w:r>
      <w:r w:rsidRPr="009F4AB7">
        <w:rPr>
          <w:rFonts w:ascii="ITC Avant Garde" w:hAnsi="ITC Avant Garde"/>
          <w:i/>
          <w:sz w:val="19"/>
          <w:szCs w:val="19"/>
        </w:rPr>
        <w:t xml:space="preserve"> Se requiere </w:t>
      </w:r>
      <w:r w:rsidRPr="009F4AB7">
        <w:rPr>
          <w:rFonts w:ascii="ITC Avant Garde" w:hAnsi="ITC Avant Garde"/>
          <w:b/>
          <w:i/>
          <w:sz w:val="19"/>
          <w:szCs w:val="19"/>
          <w:u w:val="single"/>
        </w:rPr>
        <w:t xml:space="preserve">autorización </w:t>
      </w:r>
      <w:r w:rsidRPr="009F4AB7">
        <w:rPr>
          <w:rFonts w:ascii="ITC Avant Garde" w:hAnsi="ITC Avant Garde"/>
          <w:i/>
          <w:sz w:val="19"/>
          <w:szCs w:val="19"/>
        </w:rPr>
        <w:t>del Instituto para:</w:t>
      </w:r>
    </w:p>
    <w:p w:rsidR="004F5F3A" w:rsidRPr="009F4AB7" w:rsidRDefault="004F5F3A" w:rsidP="00E562A7">
      <w:pPr>
        <w:spacing w:after="120" w:line="276" w:lineRule="auto"/>
        <w:ind w:left="851" w:right="618"/>
        <w:jc w:val="both"/>
        <w:rPr>
          <w:rFonts w:ascii="ITC Avant Garde" w:hAnsi="ITC Avant Garde"/>
          <w:i/>
          <w:sz w:val="19"/>
          <w:szCs w:val="19"/>
        </w:rPr>
      </w:pPr>
      <w:r w:rsidRPr="009F4AB7">
        <w:rPr>
          <w:rFonts w:ascii="ITC Avant Garde" w:hAnsi="ITC Avant Garde"/>
          <w:b/>
          <w:i/>
          <w:sz w:val="19"/>
          <w:szCs w:val="19"/>
        </w:rPr>
        <w:t>I.</w:t>
      </w:r>
      <w:r w:rsidRPr="009F4AB7">
        <w:rPr>
          <w:rFonts w:ascii="ITC Avant Garde" w:hAnsi="ITC Avant Garde"/>
          <w:i/>
          <w:sz w:val="19"/>
          <w:szCs w:val="19"/>
        </w:rPr>
        <w:t xml:space="preserve"> Establecer y operar o explotar una comercializadora de servicios de telecomunicaciones sin tener el carácter de concesionario;</w:t>
      </w:r>
    </w:p>
    <w:p w:rsidR="004F5F3A" w:rsidRPr="009F4AB7" w:rsidRDefault="004F5F3A" w:rsidP="00E562A7">
      <w:pPr>
        <w:spacing w:after="120" w:line="276" w:lineRule="auto"/>
        <w:ind w:left="851" w:right="618"/>
        <w:jc w:val="both"/>
        <w:rPr>
          <w:rFonts w:ascii="ITC Avant Garde" w:hAnsi="ITC Avant Garde"/>
          <w:i/>
          <w:sz w:val="19"/>
          <w:szCs w:val="19"/>
        </w:rPr>
      </w:pPr>
      <w:r w:rsidRPr="009F4AB7">
        <w:rPr>
          <w:rFonts w:ascii="ITC Avant Garde" w:hAnsi="ITC Avant Garde"/>
          <w:b/>
          <w:i/>
          <w:sz w:val="19"/>
          <w:szCs w:val="19"/>
        </w:rPr>
        <w:lastRenderedPageBreak/>
        <w:t>II.</w:t>
      </w:r>
      <w:r w:rsidRPr="009F4AB7">
        <w:rPr>
          <w:rFonts w:ascii="ITC Avant Garde" w:hAnsi="ITC Avant Garde"/>
          <w:i/>
          <w:sz w:val="19"/>
          <w:szCs w:val="19"/>
        </w:rPr>
        <w:t xml:space="preserve"> Instalar, operar o explotar estaciones terrenas para transmitir señales satelitales;</w:t>
      </w:r>
    </w:p>
    <w:p w:rsidR="004F5F3A" w:rsidRPr="009F4AB7" w:rsidRDefault="004F5F3A" w:rsidP="00E562A7">
      <w:pPr>
        <w:spacing w:after="120" w:line="276" w:lineRule="auto"/>
        <w:ind w:left="851" w:right="618"/>
        <w:jc w:val="both"/>
        <w:rPr>
          <w:rFonts w:ascii="ITC Avant Garde" w:hAnsi="ITC Avant Garde"/>
          <w:i/>
          <w:sz w:val="19"/>
          <w:szCs w:val="19"/>
        </w:rPr>
      </w:pPr>
      <w:r w:rsidRPr="009F4AB7">
        <w:rPr>
          <w:rFonts w:ascii="ITC Avant Garde" w:hAnsi="ITC Avant Garde"/>
          <w:b/>
          <w:i/>
          <w:sz w:val="19"/>
          <w:szCs w:val="19"/>
        </w:rPr>
        <w:t>III.</w:t>
      </w:r>
      <w:r w:rsidRPr="009F4AB7">
        <w:rPr>
          <w:rFonts w:ascii="ITC Avant Garde" w:hAnsi="ITC Avant Garde"/>
          <w:i/>
          <w:sz w:val="19"/>
          <w:szCs w:val="19"/>
        </w:rPr>
        <w:t xml:space="preserve"> Instalar equipos de telecomunicaciones y medios de transmisión que crucen las fronteras del país;</w:t>
      </w:r>
    </w:p>
    <w:p w:rsidR="004F5F3A" w:rsidRPr="009F4AB7" w:rsidRDefault="004F5F3A" w:rsidP="00E562A7">
      <w:pPr>
        <w:spacing w:after="120" w:line="276" w:lineRule="auto"/>
        <w:ind w:left="851" w:right="618"/>
        <w:jc w:val="both"/>
        <w:rPr>
          <w:rFonts w:ascii="ITC Avant Garde" w:hAnsi="ITC Avant Garde"/>
          <w:i/>
          <w:sz w:val="19"/>
          <w:szCs w:val="19"/>
        </w:rPr>
      </w:pPr>
      <w:r w:rsidRPr="009F4AB7">
        <w:rPr>
          <w:rFonts w:ascii="ITC Avant Garde" w:hAnsi="ITC Avant Garde"/>
          <w:b/>
          <w:i/>
          <w:sz w:val="19"/>
          <w:szCs w:val="19"/>
        </w:rPr>
        <w:t>IV.</w:t>
      </w:r>
      <w:r w:rsidRPr="009F4AB7">
        <w:rPr>
          <w:rFonts w:ascii="ITC Avant Garde" w:hAnsi="ITC Avant Garde"/>
          <w:i/>
          <w:sz w:val="19"/>
          <w:szCs w:val="19"/>
        </w:rPr>
        <w:t xml:space="preserve"> </w:t>
      </w:r>
      <w:r w:rsidRPr="009F4AB7">
        <w:rPr>
          <w:rFonts w:ascii="ITC Avant Garde" w:hAnsi="ITC Avant Garde"/>
          <w:b/>
          <w:i/>
          <w:sz w:val="19"/>
          <w:szCs w:val="19"/>
          <w:u w:val="single"/>
        </w:rPr>
        <w:t>Explotar los derechos de emisión y recepción de señales y bandas de frecuencias asociados a sistemas satelitales extranjeros que cubran y puedan prestar servicios en el territorio nacional, y</w:t>
      </w:r>
    </w:p>
    <w:p w:rsidR="004F5F3A" w:rsidRPr="009F4AB7" w:rsidRDefault="004F5F3A" w:rsidP="00E562A7">
      <w:pPr>
        <w:spacing w:after="120" w:line="276" w:lineRule="auto"/>
        <w:ind w:left="851" w:right="618"/>
        <w:jc w:val="both"/>
        <w:rPr>
          <w:rFonts w:ascii="ITC Avant Garde" w:hAnsi="ITC Avant Garde"/>
          <w:i/>
          <w:sz w:val="19"/>
          <w:szCs w:val="19"/>
        </w:rPr>
      </w:pPr>
      <w:r w:rsidRPr="009F4AB7">
        <w:rPr>
          <w:rFonts w:ascii="ITC Avant Garde" w:hAnsi="ITC Avant Garde"/>
          <w:b/>
          <w:i/>
          <w:sz w:val="19"/>
          <w:szCs w:val="19"/>
        </w:rPr>
        <w:t>V.</w:t>
      </w:r>
      <w:r w:rsidRPr="009F4AB7">
        <w:rPr>
          <w:rFonts w:ascii="ITC Avant Garde" w:hAnsi="ITC Avant Garde"/>
          <w:i/>
          <w:sz w:val="19"/>
          <w:szCs w:val="19"/>
        </w:rPr>
        <w:t xml:space="preserve"> Utilizar temporalmente bandas del espectro para visitas diplomáticas.</w:t>
      </w:r>
      <w:r w:rsidRPr="009F4AB7">
        <w:rPr>
          <w:rFonts w:ascii="ITC Avant Garde" w:hAnsi="ITC Avant Garde"/>
          <w:i/>
          <w:sz w:val="19"/>
          <w:szCs w:val="19"/>
        </w:rPr>
        <w:cr/>
        <w:t>…</w:t>
      </w:r>
      <w:r w:rsidRPr="009F4AB7">
        <w:rPr>
          <w:rFonts w:ascii="ITC Avant Garde" w:hAnsi="ITC Avant Garde"/>
          <w:sz w:val="19"/>
          <w:szCs w:val="19"/>
        </w:rPr>
        <w:t>”</w:t>
      </w:r>
    </w:p>
    <w:p w:rsidR="004F5F3A" w:rsidRPr="00E562A7" w:rsidRDefault="004F5F3A" w:rsidP="00E562A7">
      <w:pPr>
        <w:pStyle w:val="Textoindependiente2"/>
        <w:tabs>
          <w:tab w:val="left" w:pos="5390"/>
        </w:tabs>
        <w:spacing w:line="276" w:lineRule="auto"/>
        <w:ind w:right="616" w:firstLine="851"/>
        <w:jc w:val="right"/>
        <w:rPr>
          <w:rFonts w:ascii="ITC Avant Garde" w:eastAsia="Arial Unicode MS" w:hAnsi="ITC Avant Garde" w:cs="Arial Unicode MS"/>
          <w:color w:val="000000"/>
          <w:sz w:val="19"/>
          <w:szCs w:val="19"/>
          <w:lang w:eastAsia="es-ES_tradnl"/>
        </w:rPr>
      </w:pPr>
      <w:r w:rsidRPr="009F4AB7">
        <w:rPr>
          <w:rFonts w:ascii="ITC Avant Garde" w:eastAsia="Arial Unicode MS" w:hAnsi="ITC Avant Garde" w:cs="Arial Unicode MS"/>
          <w:color w:val="000000"/>
          <w:sz w:val="19"/>
          <w:szCs w:val="19"/>
          <w:lang w:eastAsia="es-ES_tradnl"/>
        </w:rPr>
        <w:t>(Énfasis añadido)</w:t>
      </w:r>
    </w:p>
    <w:p w:rsidR="004F5F3A" w:rsidRDefault="009F7940" w:rsidP="00E562A7">
      <w:pPr>
        <w:pStyle w:val="Textoindependiente2"/>
        <w:tabs>
          <w:tab w:val="left" w:pos="5390"/>
        </w:tabs>
        <w:spacing w:line="276" w:lineRule="auto"/>
        <w:jc w:val="both"/>
        <w:rPr>
          <w:rFonts w:ascii="ITC Avant Garde" w:eastAsia="Arial Unicode MS" w:hAnsi="ITC Avant Garde" w:cs="Arial Unicode MS"/>
          <w:color w:val="000000"/>
          <w:sz w:val="20"/>
          <w:szCs w:val="20"/>
          <w:u w:color="000000"/>
          <w:lang w:val="es-ES_tradnl" w:eastAsia="es-ES_tradnl"/>
        </w:rPr>
      </w:pPr>
      <w:r w:rsidRPr="00D50555">
        <w:rPr>
          <w:rFonts w:ascii="ITC Avant Garde" w:hAnsi="ITC Avant Garde"/>
          <w:bCs/>
          <w:color w:val="000000"/>
          <w:sz w:val="20"/>
          <w:szCs w:val="20"/>
        </w:rPr>
        <w:t>El</w:t>
      </w:r>
      <w:r w:rsidR="004F5F3A" w:rsidRPr="00D50555">
        <w:rPr>
          <w:rFonts w:ascii="ITC Avant Garde" w:hAnsi="ITC Avant Garde"/>
          <w:bCs/>
          <w:color w:val="000000"/>
          <w:sz w:val="20"/>
          <w:szCs w:val="20"/>
        </w:rPr>
        <w:t xml:space="preserve"> artículo </w:t>
      </w:r>
      <w:r w:rsidR="004F5F3A" w:rsidRPr="00D50555">
        <w:rPr>
          <w:rFonts w:ascii="ITC Avant Garde" w:eastAsia="Arial Unicode MS" w:hAnsi="ITC Avant Garde" w:cs="Arial Unicode MS"/>
          <w:color w:val="000000"/>
          <w:sz w:val="20"/>
          <w:szCs w:val="20"/>
          <w:u w:color="000000"/>
          <w:lang w:val="es-ES_tradnl" w:eastAsia="es-ES_tradnl"/>
        </w:rPr>
        <w:t xml:space="preserve">SÉPTIMO Transitorio </w:t>
      </w:r>
      <w:r w:rsidRPr="00D50555">
        <w:rPr>
          <w:rFonts w:ascii="ITC Avant Garde" w:eastAsia="Arial Unicode MS" w:hAnsi="ITC Avant Garde" w:cs="Arial Unicode MS"/>
          <w:color w:val="000000"/>
          <w:sz w:val="20"/>
          <w:szCs w:val="20"/>
          <w:u w:color="000000"/>
          <w:lang w:val="es-ES_tradnl" w:eastAsia="es-ES_tradnl"/>
        </w:rPr>
        <w:t xml:space="preserve">de la LFTR </w:t>
      </w:r>
      <w:r w:rsidR="004F5F3A" w:rsidRPr="00D50555">
        <w:rPr>
          <w:rFonts w:ascii="ITC Avant Garde" w:eastAsia="Arial Unicode MS" w:hAnsi="ITC Avant Garde" w:cs="Arial Unicode MS"/>
          <w:color w:val="000000"/>
          <w:sz w:val="20"/>
          <w:szCs w:val="20"/>
          <w:u w:color="000000"/>
          <w:lang w:val="es-ES_tradnl" w:eastAsia="es-ES_tradnl"/>
        </w:rPr>
        <w:t xml:space="preserve">establece un régimen transitorio aplicable a los títulos otorgados con anterioridad a la emisión de dicha Ley, como a la letra se señala: </w:t>
      </w:r>
    </w:p>
    <w:p w:rsidR="004F5F3A" w:rsidRPr="009F4AB7" w:rsidRDefault="004F5F3A" w:rsidP="00E562A7">
      <w:pPr>
        <w:spacing w:after="120" w:line="276" w:lineRule="auto"/>
        <w:ind w:left="851" w:right="616"/>
        <w:jc w:val="both"/>
        <w:rPr>
          <w:rFonts w:ascii="ITC Avant Garde" w:hAnsi="ITC Avant Garde"/>
          <w:i/>
          <w:sz w:val="19"/>
          <w:szCs w:val="19"/>
        </w:rPr>
      </w:pPr>
      <w:r w:rsidRPr="009F4AB7">
        <w:rPr>
          <w:rFonts w:ascii="ITC Avant Garde" w:hAnsi="ITC Avant Garde"/>
          <w:sz w:val="19"/>
          <w:szCs w:val="19"/>
        </w:rPr>
        <w:t>“</w:t>
      </w:r>
      <w:r w:rsidRPr="009F4AB7">
        <w:rPr>
          <w:rFonts w:ascii="ITC Avant Garde" w:hAnsi="ITC Avant Garde"/>
          <w:b/>
          <w:i/>
          <w:sz w:val="19"/>
          <w:szCs w:val="19"/>
        </w:rPr>
        <w:t>SÉPTIMO.</w:t>
      </w:r>
      <w:r w:rsidRPr="009F4AB7">
        <w:rPr>
          <w:rFonts w:ascii="ITC Avant Garde" w:hAnsi="ITC Avant Garde"/>
          <w:i/>
          <w:sz w:val="19"/>
          <w:szCs w:val="19"/>
        </w:rPr>
        <w:t xml:space="preserve"> Sin perjuicio de lo establecido en la Ley Federal de Telecomunicaciones y Radiodifusión que se expide por virtud del Decreto, en la ley y en la normatividad que al efecto emita el Instituto Federal de Telecomunicaciones, </w:t>
      </w:r>
      <w:r w:rsidRPr="009F4AB7">
        <w:rPr>
          <w:rFonts w:ascii="ITC Avant Garde" w:hAnsi="ITC Avant Garde"/>
          <w:b/>
          <w:i/>
          <w:sz w:val="19"/>
          <w:szCs w:val="19"/>
          <w:u w:val="single"/>
        </w:rPr>
        <w:t>las concesiones y permisos otorgados con anterioridad a la entrada en vigor del presente Decreto, se mantendrán en los términos y condiciones consignados en los respectivos títulos o permisos hasta su terminación,</w:t>
      </w:r>
      <w:r w:rsidRPr="009F4AB7">
        <w:rPr>
          <w:rFonts w:ascii="ITC Avant Garde" w:hAnsi="ITC Avant Garde"/>
          <w:i/>
          <w:sz w:val="19"/>
          <w:szCs w:val="19"/>
        </w:rPr>
        <w:t xml:space="preserve">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rsidR="004F5F3A" w:rsidRPr="009F4AB7" w:rsidRDefault="004F5F3A" w:rsidP="00E562A7">
      <w:pPr>
        <w:pStyle w:val="Textoindependiente2"/>
        <w:tabs>
          <w:tab w:val="left" w:pos="5390"/>
        </w:tabs>
        <w:spacing w:line="276" w:lineRule="auto"/>
        <w:ind w:firstLine="851"/>
        <w:jc w:val="both"/>
        <w:rPr>
          <w:rFonts w:ascii="ITC Avant Garde" w:hAnsi="ITC Avant Garde"/>
          <w:sz w:val="19"/>
          <w:szCs w:val="19"/>
        </w:rPr>
      </w:pPr>
      <w:r w:rsidRPr="009F4AB7">
        <w:rPr>
          <w:rFonts w:ascii="ITC Avant Garde" w:hAnsi="ITC Avant Garde"/>
          <w:i/>
          <w:sz w:val="19"/>
          <w:szCs w:val="19"/>
        </w:rPr>
        <w:t>(…)</w:t>
      </w:r>
      <w:r w:rsidRPr="009F4AB7">
        <w:rPr>
          <w:rFonts w:ascii="ITC Avant Garde" w:hAnsi="ITC Avant Garde"/>
          <w:sz w:val="19"/>
          <w:szCs w:val="19"/>
        </w:rPr>
        <w:t>”</w:t>
      </w:r>
    </w:p>
    <w:p w:rsidR="004F5F3A" w:rsidRPr="00E562A7" w:rsidRDefault="004F5F3A" w:rsidP="00E562A7">
      <w:pPr>
        <w:pStyle w:val="Textoindependiente2"/>
        <w:tabs>
          <w:tab w:val="left" w:pos="5390"/>
        </w:tabs>
        <w:spacing w:line="276" w:lineRule="auto"/>
        <w:ind w:right="616" w:firstLine="851"/>
        <w:jc w:val="right"/>
        <w:rPr>
          <w:rFonts w:ascii="ITC Avant Garde" w:hAnsi="ITC Avant Garde"/>
          <w:bCs/>
          <w:color w:val="000000"/>
          <w:sz w:val="19"/>
          <w:szCs w:val="19"/>
        </w:rPr>
      </w:pPr>
      <w:r w:rsidRPr="009F4AB7">
        <w:rPr>
          <w:rFonts w:ascii="ITC Avant Garde" w:hAnsi="ITC Avant Garde"/>
          <w:sz w:val="19"/>
          <w:szCs w:val="19"/>
        </w:rPr>
        <w:t>(Énfasis añadido)</w:t>
      </w:r>
    </w:p>
    <w:p w:rsidR="004F5F3A" w:rsidRPr="00D50555" w:rsidRDefault="004F5F3A" w:rsidP="00E562A7">
      <w:pPr>
        <w:pStyle w:val="Textoindependiente2"/>
        <w:tabs>
          <w:tab w:val="left" w:pos="5390"/>
        </w:tabs>
        <w:spacing w:line="276" w:lineRule="auto"/>
        <w:jc w:val="both"/>
        <w:rPr>
          <w:rFonts w:ascii="ITC Avant Garde" w:hAnsi="ITC Avant Garde"/>
          <w:bCs/>
          <w:color w:val="000000"/>
          <w:sz w:val="20"/>
          <w:szCs w:val="20"/>
        </w:rPr>
      </w:pPr>
      <w:r w:rsidRPr="00D50555">
        <w:rPr>
          <w:rFonts w:ascii="ITC Avant Garde" w:hAnsi="ITC Avant Garde"/>
          <w:bCs/>
          <w:color w:val="000000"/>
          <w:sz w:val="20"/>
          <w:szCs w:val="20"/>
        </w:rPr>
        <w:t xml:space="preserve">De acuerdo a lo anterior, se advierte que los títulos de concesión otorgados </w:t>
      </w:r>
      <w:r w:rsidR="00E42F36">
        <w:rPr>
          <w:rFonts w:ascii="ITC Avant Garde" w:hAnsi="ITC Avant Garde"/>
          <w:bCs/>
          <w:color w:val="000000"/>
          <w:sz w:val="20"/>
          <w:szCs w:val="20"/>
        </w:rPr>
        <w:t>previamente</w:t>
      </w:r>
      <w:r w:rsidR="00E42F36" w:rsidRPr="00D50555">
        <w:rPr>
          <w:rFonts w:ascii="ITC Avant Garde" w:hAnsi="ITC Avant Garde"/>
          <w:bCs/>
          <w:color w:val="000000"/>
          <w:sz w:val="20"/>
          <w:szCs w:val="20"/>
        </w:rPr>
        <w:t xml:space="preserve"> </w:t>
      </w:r>
      <w:r w:rsidRPr="00D50555">
        <w:rPr>
          <w:rFonts w:ascii="ITC Avant Garde" w:hAnsi="ITC Avant Garde"/>
          <w:bCs/>
          <w:color w:val="000000"/>
          <w:sz w:val="20"/>
          <w:szCs w:val="20"/>
        </w:rPr>
        <w:t xml:space="preserve">a la entrada en vigor de la LFTR se </w:t>
      </w:r>
      <w:r w:rsidR="007803BB">
        <w:rPr>
          <w:rFonts w:ascii="ITC Avant Garde" w:hAnsi="ITC Avant Garde"/>
          <w:bCs/>
          <w:color w:val="000000"/>
          <w:sz w:val="20"/>
          <w:szCs w:val="20"/>
        </w:rPr>
        <w:t xml:space="preserve">deben mantener </w:t>
      </w:r>
      <w:r w:rsidRPr="00D50555">
        <w:rPr>
          <w:rFonts w:ascii="ITC Avant Garde" w:hAnsi="ITC Avant Garde"/>
          <w:bCs/>
          <w:color w:val="000000"/>
          <w:sz w:val="20"/>
          <w:szCs w:val="20"/>
        </w:rPr>
        <w:t xml:space="preserve">en los mismos términos y condiciones en los que fueron otorgados hasta su terminación, </w:t>
      </w:r>
      <w:r w:rsidRPr="00D50555">
        <w:rPr>
          <w:rFonts w:ascii="ITC Avant Garde" w:hAnsi="ITC Avant Garde"/>
          <w:b/>
          <w:bCs/>
          <w:color w:val="000000"/>
          <w:sz w:val="20"/>
          <w:szCs w:val="20"/>
          <w:u w:val="single"/>
        </w:rPr>
        <w:t>sin perjuicio de lo establecido en dicha ley o en la normatividad que a</w:t>
      </w:r>
      <w:r w:rsidR="009F7940" w:rsidRPr="00D50555">
        <w:rPr>
          <w:rFonts w:ascii="ITC Avant Garde" w:hAnsi="ITC Avant Garde"/>
          <w:b/>
          <w:bCs/>
          <w:color w:val="000000"/>
          <w:sz w:val="20"/>
          <w:szCs w:val="20"/>
          <w:u w:val="single"/>
        </w:rPr>
        <w:t>l</w:t>
      </w:r>
      <w:r w:rsidRPr="00D50555">
        <w:rPr>
          <w:rFonts w:ascii="ITC Avant Garde" w:hAnsi="ITC Avant Garde"/>
          <w:b/>
          <w:bCs/>
          <w:color w:val="000000"/>
          <w:sz w:val="20"/>
          <w:szCs w:val="20"/>
          <w:u w:val="single"/>
        </w:rPr>
        <w:t xml:space="preserve"> efecto emita el Instituto</w:t>
      </w:r>
      <w:r w:rsidRPr="00D50555">
        <w:rPr>
          <w:rFonts w:ascii="ITC Avant Garde" w:hAnsi="ITC Avant Garde"/>
          <w:bCs/>
          <w:color w:val="000000"/>
          <w:sz w:val="20"/>
          <w:szCs w:val="20"/>
        </w:rPr>
        <w:t>.</w:t>
      </w:r>
    </w:p>
    <w:p w:rsidR="004F5F3A" w:rsidRPr="00D50555" w:rsidRDefault="004F5F3A" w:rsidP="00E562A7">
      <w:pPr>
        <w:pStyle w:val="Textoindependiente2"/>
        <w:tabs>
          <w:tab w:val="left" w:pos="5390"/>
        </w:tabs>
        <w:spacing w:line="276" w:lineRule="auto"/>
        <w:jc w:val="both"/>
        <w:rPr>
          <w:rFonts w:ascii="ITC Avant Garde" w:hAnsi="ITC Avant Garde"/>
          <w:bCs/>
          <w:color w:val="000000"/>
          <w:sz w:val="20"/>
          <w:szCs w:val="20"/>
        </w:rPr>
      </w:pPr>
      <w:r w:rsidRPr="00D50555">
        <w:rPr>
          <w:rFonts w:ascii="ITC Avant Garde" w:hAnsi="ITC Avant Garde"/>
          <w:bCs/>
          <w:color w:val="000000"/>
          <w:sz w:val="20"/>
          <w:szCs w:val="20"/>
        </w:rPr>
        <w:t xml:space="preserve">En ese orden de ideas, de conformidad con lo establecido en </w:t>
      </w:r>
      <w:r w:rsidR="009F7940" w:rsidRPr="00D50555">
        <w:rPr>
          <w:rFonts w:ascii="ITC Avant Garde" w:hAnsi="ITC Avant Garde"/>
          <w:bCs/>
          <w:color w:val="000000"/>
          <w:sz w:val="20"/>
          <w:szCs w:val="20"/>
        </w:rPr>
        <w:t xml:space="preserve">dicho </w:t>
      </w:r>
      <w:r w:rsidR="007928E0" w:rsidRPr="00D50555">
        <w:rPr>
          <w:rFonts w:ascii="ITC Avant Garde" w:hAnsi="ITC Avant Garde"/>
          <w:bCs/>
          <w:color w:val="000000"/>
          <w:sz w:val="20"/>
          <w:szCs w:val="20"/>
        </w:rPr>
        <w:t>numeral</w:t>
      </w:r>
      <w:r w:rsidRPr="00D50555">
        <w:rPr>
          <w:rFonts w:ascii="ITC Avant Garde" w:hAnsi="ITC Avant Garde"/>
          <w:bCs/>
          <w:color w:val="000000"/>
          <w:sz w:val="20"/>
          <w:szCs w:val="20"/>
        </w:rPr>
        <w:t xml:space="preserve">, el título de concesión con el que cuenta </w:t>
      </w:r>
      <w:r w:rsidR="0090381A" w:rsidRPr="00D50555">
        <w:rPr>
          <w:rFonts w:ascii="ITC Avant Garde" w:eastAsia="Arial Unicode MS" w:hAnsi="ITC Avant Garde" w:cs="Arial Unicode MS"/>
          <w:bCs/>
          <w:sz w:val="20"/>
          <w:szCs w:val="20"/>
          <w:lang w:eastAsia="es-ES_tradnl"/>
        </w:rPr>
        <w:t>PanAmSat</w:t>
      </w:r>
      <w:r w:rsidRPr="00D50555">
        <w:rPr>
          <w:rFonts w:ascii="ITC Avant Garde" w:hAnsi="ITC Avant Garde"/>
          <w:bCs/>
          <w:color w:val="000000"/>
          <w:sz w:val="20"/>
          <w:szCs w:val="20"/>
        </w:rPr>
        <w:t xml:space="preserve"> </w:t>
      </w:r>
      <w:r w:rsidRPr="00D50555">
        <w:rPr>
          <w:rFonts w:ascii="ITC Avant Garde" w:hAnsi="ITC Avant Garde"/>
          <w:b/>
          <w:bCs/>
          <w:color w:val="000000"/>
          <w:sz w:val="20"/>
          <w:szCs w:val="20"/>
          <w:u w:val="single"/>
        </w:rPr>
        <w:t>deberá mantenerse en los mismos términos y condiciones en los que fue otorgado hasta su terminación</w:t>
      </w:r>
      <w:r w:rsidRPr="00D50555">
        <w:rPr>
          <w:rFonts w:ascii="ITC Avant Garde" w:hAnsi="ITC Avant Garde"/>
          <w:bCs/>
          <w:color w:val="000000"/>
          <w:sz w:val="20"/>
          <w:szCs w:val="20"/>
        </w:rPr>
        <w:t>, en el entendido de que dicho título fue emitido con anterioridad a la ley señalada.</w:t>
      </w:r>
    </w:p>
    <w:p w:rsidR="00C17F5A" w:rsidRPr="00D50555" w:rsidRDefault="00E8026E" w:rsidP="00E562A7">
      <w:pPr>
        <w:pStyle w:val="Textoindependiente2"/>
        <w:tabs>
          <w:tab w:val="left" w:pos="5390"/>
        </w:tabs>
        <w:spacing w:line="276" w:lineRule="auto"/>
        <w:jc w:val="both"/>
        <w:rPr>
          <w:rFonts w:ascii="ITC Avant Garde" w:hAnsi="ITC Avant Garde"/>
          <w:bCs/>
          <w:color w:val="000000"/>
          <w:sz w:val="20"/>
          <w:szCs w:val="20"/>
        </w:rPr>
      </w:pPr>
      <w:r w:rsidRPr="00D50555">
        <w:rPr>
          <w:rFonts w:ascii="ITC Avant Garde" w:hAnsi="ITC Avant Garde"/>
          <w:bCs/>
          <w:color w:val="000000"/>
          <w:sz w:val="20"/>
          <w:szCs w:val="20"/>
        </w:rPr>
        <w:t>No obstante</w:t>
      </w:r>
      <w:r w:rsidR="004F5F3A" w:rsidRPr="00D50555">
        <w:rPr>
          <w:rFonts w:ascii="ITC Avant Garde" w:hAnsi="ITC Avant Garde"/>
          <w:bCs/>
          <w:color w:val="000000"/>
          <w:sz w:val="20"/>
          <w:szCs w:val="20"/>
        </w:rPr>
        <w:t>, es importante mencionar que el Instituto, al emitir Las Reglas, estableció en su artículo SEGUNDO Transitorio,</w:t>
      </w:r>
      <w:r w:rsidRPr="00D50555">
        <w:rPr>
          <w:rFonts w:ascii="ITC Avant Garde" w:hAnsi="ITC Avant Garde"/>
          <w:bCs/>
          <w:color w:val="000000"/>
          <w:sz w:val="20"/>
          <w:szCs w:val="20"/>
        </w:rPr>
        <w:t xml:space="preserve"> la forma en la que se respetaría</w:t>
      </w:r>
      <w:r w:rsidR="004F5F3A" w:rsidRPr="00D50555">
        <w:rPr>
          <w:rFonts w:ascii="ITC Avant Garde" w:hAnsi="ITC Avant Garde"/>
          <w:bCs/>
          <w:color w:val="000000"/>
          <w:sz w:val="20"/>
          <w:szCs w:val="20"/>
        </w:rPr>
        <w:t>n los títulos de concesión para explotar los derechos de emisión y recepción de señales de bandas de frecuencias asociadas a sistemas satelitales extranjeros que cubran y puedan prestar servicios en el territorio nacional, de acuerdo a lo siguiente:</w:t>
      </w:r>
    </w:p>
    <w:p w:rsidR="004F5F3A" w:rsidRPr="009F4AB7" w:rsidRDefault="004F5F3A" w:rsidP="00E562A7">
      <w:pPr>
        <w:spacing w:after="120" w:line="276" w:lineRule="auto"/>
        <w:ind w:left="851" w:right="616"/>
        <w:jc w:val="both"/>
        <w:rPr>
          <w:rFonts w:ascii="ITC Avant Garde" w:hAnsi="ITC Avant Garde"/>
          <w:i/>
          <w:sz w:val="19"/>
          <w:szCs w:val="19"/>
        </w:rPr>
      </w:pPr>
      <w:r w:rsidRPr="009F4AB7">
        <w:rPr>
          <w:rFonts w:ascii="ITC Avant Garde" w:hAnsi="ITC Avant Garde"/>
          <w:sz w:val="19"/>
          <w:szCs w:val="19"/>
        </w:rPr>
        <w:t>“</w:t>
      </w:r>
      <w:r w:rsidRPr="009F4AB7">
        <w:rPr>
          <w:rFonts w:ascii="ITC Avant Garde" w:hAnsi="ITC Avant Garde"/>
          <w:b/>
          <w:i/>
          <w:sz w:val="19"/>
          <w:szCs w:val="19"/>
        </w:rPr>
        <w:t>SEGUNDO.-</w:t>
      </w:r>
      <w:r w:rsidRPr="009F4AB7">
        <w:rPr>
          <w:rFonts w:ascii="ITC Avant Garde" w:hAnsi="ITC Avant Garde"/>
          <w:i/>
          <w:sz w:val="19"/>
          <w:szCs w:val="19"/>
        </w:rPr>
        <w:t xml:space="preserve"> Las concesiones para explotar los derechos de emisión y recepción de señales de bandas de frecuencias asociadas a sistemas satelitales extranjeros que cubran y puedan prestar servicios en el territorio nacional, así como los </w:t>
      </w:r>
      <w:r w:rsidRPr="009F4AB7">
        <w:rPr>
          <w:rFonts w:ascii="ITC Avant Garde" w:hAnsi="ITC Avant Garde"/>
          <w:i/>
          <w:sz w:val="19"/>
          <w:szCs w:val="19"/>
        </w:rPr>
        <w:lastRenderedPageBreak/>
        <w:t xml:space="preserve">permisos para la comercialización de servicios de telecomunicaciones o de telefonía pública otorgados con anterioridad a la publicación de las presentes Reglas, </w:t>
      </w:r>
      <w:r w:rsidRPr="009F4AB7">
        <w:rPr>
          <w:rFonts w:ascii="ITC Avant Garde" w:hAnsi="ITC Avant Garde"/>
          <w:b/>
          <w:i/>
          <w:sz w:val="19"/>
          <w:szCs w:val="19"/>
          <w:u w:val="single"/>
        </w:rPr>
        <w:t>se respetarán en sus términos hasta que concluya su vigencia, en el entendido que su operación, explotación y prórroga, en su caso, deberá ajustarse a lo dispuesto por la Ley Federal de Telecomunicaciones y Radiodifusión, las presentes Reglas y demás disposiciones aplicables</w:t>
      </w:r>
      <w:r w:rsidRPr="009F4AB7">
        <w:rPr>
          <w:rFonts w:ascii="ITC Avant Garde" w:hAnsi="ITC Avant Garde"/>
          <w:i/>
          <w:sz w:val="19"/>
          <w:szCs w:val="19"/>
        </w:rPr>
        <w:t>.</w:t>
      </w:r>
      <w:r w:rsidRPr="009F4AB7">
        <w:rPr>
          <w:rFonts w:ascii="ITC Avant Garde" w:hAnsi="ITC Avant Garde"/>
          <w:sz w:val="19"/>
          <w:szCs w:val="19"/>
        </w:rPr>
        <w:t>”</w:t>
      </w:r>
    </w:p>
    <w:p w:rsidR="004F5F3A" w:rsidRPr="00E562A7" w:rsidRDefault="004F5F3A" w:rsidP="00E562A7">
      <w:pPr>
        <w:pStyle w:val="Textoindependiente2"/>
        <w:tabs>
          <w:tab w:val="left" w:pos="5390"/>
        </w:tabs>
        <w:spacing w:line="276" w:lineRule="auto"/>
        <w:ind w:right="616"/>
        <w:jc w:val="right"/>
        <w:rPr>
          <w:rFonts w:ascii="ITC Avant Garde" w:eastAsia="Arial Unicode MS" w:hAnsi="ITC Avant Garde" w:cs="Arial Unicode MS"/>
          <w:bCs/>
          <w:color w:val="000000"/>
          <w:sz w:val="19"/>
          <w:szCs w:val="19"/>
          <w:u w:color="000000"/>
          <w:lang w:eastAsia="es-ES_tradnl"/>
        </w:rPr>
      </w:pPr>
      <w:r w:rsidRPr="009F4AB7">
        <w:rPr>
          <w:rFonts w:ascii="ITC Avant Garde" w:hAnsi="ITC Avant Garde"/>
          <w:sz w:val="19"/>
          <w:szCs w:val="19"/>
        </w:rPr>
        <w:t>(Énfasis añadido)</w:t>
      </w:r>
    </w:p>
    <w:p w:rsidR="004F5F3A" w:rsidRPr="00D50555" w:rsidRDefault="004F5F3A" w:rsidP="00E562A7">
      <w:pPr>
        <w:pStyle w:val="Textoindependiente2"/>
        <w:tabs>
          <w:tab w:val="left" w:pos="5390"/>
        </w:tabs>
        <w:spacing w:line="276" w:lineRule="auto"/>
        <w:jc w:val="both"/>
        <w:rPr>
          <w:rFonts w:ascii="ITC Avant Garde" w:hAnsi="ITC Avant Garde"/>
          <w:bCs/>
          <w:color w:val="000000"/>
          <w:sz w:val="20"/>
          <w:szCs w:val="20"/>
        </w:rPr>
      </w:pPr>
      <w:r w:rsidRPr="00D50555">
        <w:rPr>
          <w:rFonts w:ascii="ITC Avant Garde" w:hAnsi="ITC Avant Garde"/>
          <w:bCs/>
          <w:color w:val="000000"/>
          <w:sz w:val="20"/>
          <w:szCs w:val="20"/>
        </w:rPr>
        <w:t xml:space="preserve">Atento a lo anterior, los títulos de concesión que permiten la explotación de los derechos de emisión y recepción de señales de bandas de frecuencias asociadas a sistemas satelitales extranjeros que cubran y puedan prestar servicios en el territorio nacional, que fueron otorgadas con anterioridad a la publicación de dichas reglas, </w:t>
      </w:r>
      <w:r w:rsidRPr="00D50555">
        <w:rPr>
          <w:rFonts w:ascii="ITC Avant Garde" w:hAnsi="ITC Avant Garde"/>
          <w:b/>
          <w:bCs/>
          <w:color w:val="000000"/>
          <w:sz w:val="20"/>
          <w:szCs w:val="20"/>
          <w:u w:val="single"/>
        </w:rPr>
        <w:t>deben ajustarse a las di</w:t>
      </w:r>
      <w:r w:rsidR="00EF4FF2" w:rsidRPr="00D50555">
        <w:rPr>
          <w:rFonts w:ascii="ITC Avant Garde" w:hAnsi="ITC Avant Garde"/>
          <w:b/>
          <w:bCs/>
          <w:color w:val="000000"/>
          <w:sz w:val="20"/>
          <w:szCs w:val="20"/>
          <w:u w:val="single"/>
        </w:rPr>
        <w:t>sposiciones aplicables vigentes,</w:t>
      </w:r>
      <w:r w:rsidR="00EF4FF2" w:rsidRPr="00D50555">
        <w:rPr>
          <w:rFonts w:ascii="ITC Avant Garde" w:hAnsi="ITC Avant Garde"/>
          <w:bCs/>
          <w:color w:val="000000"/>
          <w:sz w:val="20"/>
          <w:szCs w:val="20"/>
        </w:rPr>
        <w:t xml:space="preserve"> lo cual no contradice la obligación establecida en el artículo </w:t>
      </w:r>
      <w:r w:rsidR="00725459" w:rsidRPr="00D50555">
        <w:rPr>
          <w:rFonts w:ascii="ITC Avant Garde" w:eastAsia="Arial Unicode MS" w:hAnsi="ITC Avant Garde" w:cs="Arial Unicode MS"/>
          <w:color w:val="000000"/>
          <w:sz w:val="20"/>
          <w:szCs w:val="20"/>
          <w:u w:color="000000"/>
          <w:lang w:val="es-ES_tradnl" w:eastAsia="es-ES_tradnl"/>
        </w:rPr>
        <w:t>SÉPTIMO Transitorio de la LFTR, en el sentido de mantener los términos y condiciones de los títulos de concesión hasta su terminación</w:t>
      </w:r>
      <w:r w:rsidR="00324B61" w:rsidRPr="00D50555">
        <w:rPr>
          <w:rFonts w:ascii="ITC Avant Garde" w:eastAsia="Arial Unicode MS" w:hAnsi="ITC Avant Garde" w:cs="Arial Unicode MS"/>
          <w:color w:val="000000"/>
          <w:sz w:val="20"/>
          <w:szCs w:val="20"/>
          <w:u w:color="000000"/>
          <w:lang w:val="es-ES_tradnl" w:eastAsia="es-ES_tradnl"/>
        </w:rPr>
        <w:t>.</w:t>
      </w:r>
    </w:p>
    <w:p w:rsidR="004F5F3A" w:rsidRPr="00D50555" w:rsidRDefault="00324B61" w:rsidP="00E562A7">
      <w:pPr>
        <w:pStyle w:val="Textoindependiente2"/>
        <w:tabs>
          <w:tab w:val="left" w:pos="5390"/>
        </w:tabs>
        <w:spacing w:line="276" w:lineRule="auto"/>
        <w:jc w:val="both"/>
        <w:rPr>
          <w:rFonts w:ascii="ITC Avant Garde" w:hAnsi="ITC Avant Garde"/>
          <w:bCs/>
          <w:color w:val="000000"/>
          <w:sz w:val="20"/>
          <w:szCs w:val="20"/>
        </w:rPr>
      </w:pPr>
      <w:r w:rsidRPr="00D50555">
        <w:rPr>
          <w:rFonts w:ascii="ITC Avant Garde" w:hAnsi="ITC Avant Garde"/>
          <w:bCs/>
          <w:color w:val="000000"/>
          <w:sz w:val="20"/>
          <w:szCs w:val="20"/>
        </w:rPr>
        <w:t>En efecto</w:t>
      </w:r>
      <w:r w:rsidR="004F5F3A" w:rsidRPr="00D50555">
        <w:rPr>
          <w:rFonts w:ascii="ITC Avant Garde" w:hAnsi="ITC Avant Garde"/>
          <w:bCs/>
          <w:color w:val="000000"/>
          <w:sz w:val="20"/>
          <w:szCs w:val="20"/>
        </w:rPr>
        <w:t xml:space="preserve">, el título de concesión de </w:t>
      </w:r>
      <w:r w:rsidR="0090381A" w:rsidRPr="00D50555">
        <w:rPr>
          <w:rFonts w:ascii="ITC Avant Garde" w:hAnsi="ITC Avant Garde"/>
          <w:bCs/>
          <w:color w:val="000000"/>
          <w:sz w:val="20"/>
          <w:szCs w:val="20"/>
        </w:rPr>
        <w:t>PanAmSat</w:t>
      </w:r>
      <w:r w:rsidR="004F5F3A" w:rsidRPr="00D50555">
        <w:rPr>
          <w:rFonts w:ascii="ITC Avant Garde" w:hAnsi="ITC Avant Garde"/>
          <w:bCs/>
          <w:color w:val="000000"/>
          <w:sz w:val="20"/>
          <w:szCs w:val="20"/>
        </w:rPr>
        <w:t xml:space="preserve">, en su condición 1.4, prevé que en el supuesto de que la legislación, normatividad y disposiciones administrativas vigentes a su fecha de otorgamiento fueran abrogadas, derogadas y/o reformadas, la concesión </w:t>
      </w:r>
      <w:r w:rsidR="004F5F3A" w:rsidRPr="00D50555">
        <w:rPr>
          <w:rFonts w:ascii="ITC Avant Garde" w:hAnsi="ITC Avant Garde"/>
          <w:b/>
          <w:bCs/>
          <w:color w:val="000000"/>
          <w:sz w:val="20"/>
          <w:szCs w:val="20"/>
          <w:u w:val="single"/>
        </w:rPr>
        <w:t>quedaría sujeta a las nuevas disposiciones aplicables, a partir de la fecha de su entrada en vigor.</w:t>
      </w:r>
    </w:p>
    <w:p w:rsidR="0010583B" w:rsidRDefault="00F805E8" w:rsidP="00E562A7">
      <w:pPr>
        <w:pStyle w:val="Textoindependiente2"/>
        <w:tabs>
          <w:tab w:val="left" w:pos="5390"/>
        </w:tabs>
        <w:spacing w:line="276" w:lineRule="auto"/>
        <w:jc w:val="both"/>
        <w:rPr>
          <w:rFonts w:ascii="ITC Avant Garde" w:eastAsia="Arial Unicode MS" w:hAnsi="ITC Avant Garde" w:cs="Arial Unicode MS"/>
          <w:b/>
          <w:color w:val="000000"/>
          <w:sz w:val="20"/>
          <w:szCs w:val="20"/>
          <w:u w:val="single" w:color="000000"/>
          <w:lang w:val="es-ES_tradnl" w:eastAsia="es-ES_tradnl"/>
        </w:rPr>
      </w:pPr>
      <w:r w:rsidRPr="00D50555">
        <w:rPr>
          <w:rFonts w:ascii="ITC Avant Garde" w:hAnsi="ITC Avant Garde"/>
          <w:bCs/>
          <w:color w:val="000000"/>
          <w:sz w:val="20"/>
          <w:szCs w:val="20"/>
        </w:rPr>
        <w:t>C</w:t>
      </w:r>
      <w:r w:rsidR="004F5F3A" w:rsidRPr="00D50555">
        <w:rPr>
          <w:rFonts w:ascii="ITC Avant Garde" w:hAnsi="ITC Avant Garde"/>
          <w:bCs/>
          <w:color w:val="000000"/>
          <w:sz w:val="20"/>
          <w:szCs w:val="20"/>
        </w:rPr>
        <w:t xml:space="preserve">onsiderando que el título habilitante con el que cuenta </w:t>
      </w:r>
      <w:r w:rsidR="00940BB4" w:rsidRPr="00D50555">
        <w:rPr>
          <w:rFonts w:ascii="ITC Avant Garde" w:eastAsia="Arial Unicode MS" w:hAnsi="ITC Avant Garde" w:cs="Arial Unicode MS"/>
          <w:bCs/>
          <w:sz w:val="20"/>
          <w:szCs w:val="20"/>
          <w:lang w:eastAsia="es-ES_tradnl"/>
        </w:rPr>
        <w:t>PanAmSat</w:t>
      </w:r>
      <w:r w:rsidR="004F5F3A" w:rsidRPr="00D50555">
        <w:rPr>
          <w:rFonts w:ascii="ITC Avant Garde" w:hAnsi="ITC Avant Garde"/>
          <w:bCs/>
          <w:color w:val="000000"/>
          <w:sz w:val="20"/>
          <w:szCs w:val="20"/>
        </w:rPr>
        <w:t xml:space="preserve"> tiene por objeto permitir la explotación de los derechos de emisión y recepción de señales y bandas de frecuencias asociados a sistemas satelitales extranjeros que cubran y puedan prestar servicios en el territorio nacional, y en el entendido que</w:t>
      </w:r>
      <w:r w:rsidR="004F5F3A" w:rsidRPr="00D50555">
        <w:rPr>
          <w:rFonts w:ascii="ITC Avant Garde" w:hAnsi="ITC Avant Garde"/>
          <w:b/>
          <w:bCs/>
          <w:color w:val="000000"/>
          <w:sz w:val="20"/>
          <w:szCs w:val="20"/>
        </w:rPr>
        <w:t xml:space="preserve"> </w:t>
      </w:r>
      <w:r w:rsidR="004F5F3A" w:rsidRPr="00D50555">
        <w:rPr>
          <w:rFonts w:ascii="ITC Avant Garde" w:hAnsi="ITC Avant Garde"/>
          <w:b/>
          <w:bCs/>
          <w:color w:val="000000"/>
          <w:sz w:val="20"/>
          <w:szCs w:val="20"/>
          <w:u w:val="single"/>
        </w:rPr>
        <w:t xml:space="preserve">dicho objeto es regulado </w:t>
      </w:r>
      <w:r w:rsidRPr="00D50555">
        <w:rPr>
          <w:rFonts w:ascii="ITC Avant Garde" w:hAnsi="ITC Avant Garde"/>
          <w:b/>
          <w:bCs/>
          <w:color w:val="000000"/>
          <w:sz w:val="20"/>
          <w:szCs w:val="20"/>
          <w:u w:val="single"/>
        </w:rPr>
        <w:t xml:space="preserve">por la nueva disposición legal en su </w:t>
      </w:r>
      <w:r w:rsidR="004F5F3A" w:rsidRPr="00D50555">
        <w:rPr>
          <w:rFonts w:ascii="ITC Avant Garde" w:hAnsi="ITC Avant Garde"/>
          <w:b/>
          <w:bCs/>
          <w:color w:val="000000"/>
          <w:sz w:val="20"/>
          <w:szCs w:val="20"/>
          <w:u w:val="single"/>
        </w:rPr>
        <w:t>artículo 170</w:t>
      </w:r>
      <w:r w:rsidR="001653FA">
        <w:rPr>
          <w:rFonts w:ascii="ITC Avant Garde" w:hAnsi="ITC Avant Garde"/>
          <w:b/>
          <w:bCs/>
          <w:color w:val="000000"/>
          <w:sz w:val="20"/>
          <w:szCs w:val="20"/>
          <w:u w:val="single"/>
        </w:rPr>
        <w:t>, fracción IV,</w:t>
      </w:r>
      <w:r w:rsidR="004F5F3A" w:rsidRPr="00D50555">
        <w:rPr>
          <w:rFonts w:ascii="ITC Avant Garde" w:hAnsi="ITC Avant Garde"/>
          <w:b/>
          <w:bCs/>
          <w:color w:val="000000"/>
          <w:sz w:val="20"/>
          <w:szCs w:val="20"/>
          <w:u w:val="single"/>
        </w:rPr>
        <w:t xml:space="preserve"> como una autorización,</w:t>
      </w:r>
      <w:r w:rsidR="004F5F3A" w:rsidRPr="00D50555">
        <w:rPr>
          <w:rFonts w:ascii="ITC Avant Garde" w:hAnsi="ITC Avant Garde"/>
          <w:bCs/>
          <w:color w:val="000000"/>
          <w:sz w:val="20"/>
          <w:szCs w:val="20"/>
        </w:rPr>
        <w:t xml:space="preserve"> el título </w:t>
      </w:r>
      <w:r w:rsidR="00E72CFB" w:rsidRPr="00D50555">
        <w:rPr>
          <w:rFonts w:ascii="ITC Avant Garde" w:hAnsi="ITC Avant Garde"/>
          <w:bCs/>
          <w:color w:val="000000"/>
          <w:sz w:val="20"/>
          <w:szCs w:val="20"/>
        </w:rPr>
        <w:t xml:space="preserve">de concesión </w:t>
      </w:r>
      <w:r w:rsidR="004F5F3A" w:rsidRPr="00D50555">
        <w:rPr>
          <w:rFonts w:ascii="ITC Avant Garde" w:hAnsi="ITC Avant Garde"/>
          <w:bCs/>
          <w:color w:val="000000"/>
          <w:sz w:val="20"/>
          <w:szCs w:val="20"/>
        </w:rPr>
        <w:t xml:space="preserve">en cuestión, debe mantenerse en los términos y condiciones con los que fue otorgado, </w:t>
      </w:r>
      <w:r w:rsidR="00F41CAC" w:rsidRPr="00D50555">
        <w:rPr>
          <w:rFonts w:ascii="ITC Avant Garde" w:hAnsi="ITC Avant Garde"/>
          <w:b/>
          <w:bCs/>
          <w:color w:val="000000"/>
          <w:sz w:val="20"/>
          <w:szCs w:val="20"/>
          <w:u w:val="single"/>
        </w:rPr>
        <w:t xml:space="preserve">y </w:t>
      </w:r>
      <w:r w:rsidR="00DA3D6A" w:rsidRPr="00D50555">
        <w:rPr>
          <w:rFonts w:ascii="ITC Avant Garde" w:hAnsi="ITC Avant Garde"/>
          <w:b/>
          <w:bCs/>
          <w:color w:val="000000"/>
          <w:sz w:val="20"/>
          <w:szCs w:val="20"/>
          <w:u w:val="single"/>
        </w:rPr>
        <w:t xml:space="preserve">ajustarse, por lo que hace </w:t>
      </w:r>
      <w:r w:rsidR="004F5F3A" w:rsidRPr="00D50555">
        <w:rPr>
          <w:rFonts w:ascii="ITC Avant Garde" w:hAnsi="ITC Avant Garde"/>
          <w:b/>
          <w:bCs/>
          <w:color w:val="000000"/>
          <w:sz w:val="20"/>
          <w:szCs w:val="20"/>
          <w:u w:val="single"/>
        </w:rPr>
        <w:t>a su operación, explotación y prórroga,</w:t>
      </w:r>
      <w:r w:rsidR="007D6C56" w:rsidRPr="00D50555">
        <w:rPr>
          <w:rFonts w:ascii="ITC Avant Garde" w:eastAsia="Arial Unicode MS" w:hAnsi="ITC Avant Garde" w:cs="Arial Unicode MS"/>
          <w:b/>
          <w:color w:val="000000"/>
          <w:sz w:val="20"/>
          <w:szCs w:val="20"/>
          <w:u w:val="single" w:color="000000"/>
          <w:lang w:eastAsia="es-ES_tradnl"/>
        </w:rPr>
        <w:t xml:space="preserve"> </w:t>
      </w:r>
      <w:r w:rsidR="00830D5A" w:rsidRPr="00D50555">
        <w:rPr>
          <w:rFonts w:ascii="ITC Avant Garde" w:eastAsia="Arial Unicode MS" w:hAnsi="ITC Avant Garde" w:cs="Arial Unicode MS"/>
          <w:b/>
          <w:color w:val="000000"/>
          <w:sz w:val="20"/>
          <w:szCs w:val="20"/>
          <w:u w:val="single" w:color="000000"/>
          <w:lang w:eastAsia="es-ES_tradnl"/>
        </w:rPr>
        <w:t xml:space="preserve">a </w:t>
      </w:r>
      <w:r w:rsidR="00BA2A7E" w:rsidRPr="00D50555">
        <w:rPr>
          <w:rFonts w:ascii="ITC Avant Garde" w:eastAsia="Arial Unicode MS" w:hAnsi="ITC Avant Garde" w:cs="Arial Unicode MS"/>
          <w:b/>
          <w:color w:val="000000"/>
          <w:sz w:val="20"/>
          <w:szCs w:val="20"/>
          <w:u w:val="single" w:color="000000"/>
          <w:lang w:eastAsia="es-ES_tradnl"/>
        </w:rPr>
        <w:t>la nueva legislación vigente y aplicable al efecto</w:t>
      </w:r>
      <w:r w:rsidR="00DA32AF" w:rsidRPr="00D50555">
        <w:rPr>
          <w:rFonts w:ascii="ITC Avant Garde" w:eastAsia="Arial Unicode MS" w:hAnsi="ITC Avant Garde" w:cs="Arial Unicode MS"/>
          <w:b/>
          <w:color w:val="000000"/>
          <w:sz w:val="20"/>
          <w:szCs w:val="20"/>
          <w:u w:val="single" w:color="000000"/>
          <w:lang w:val="es-ES_tradnl" w:eastAsia="es-ES_tradnl"/>
        </w:rPr>
        <w:t>.</w:t>
      </w:r>
    </w:p>
    <w:p w:rsidR="009D1C22" w:rsidRPr="00D50555" w:rsidRDefault="009D1C22" w:rsidP="00E562A7">
      <w:pPr>
        <w:spacing w:after="120" w:line="276" w:lineRule="auto"/>
        <w:jc w:val="both"/>
        <w:rPr>
          <w:rFonts w:ascii="ITC Avant Garde" w:eastAsia="Arial Unicode MS" w:hAnsi="ITC Avant Garde" w:cs="Arial Unicode MS"/>
          <w:bCs/>
          <w:sz w:val="20"/>
          <w:szCs w:val="20"/>
          <w:lang w:eastAsia="es-ES_tradnl"/>
        </w:rPr>
      </w:pPr>
      <w:r w:rsidRPr="00D50555">
        <w:rPr>
          <w:rFonts w:ascii="ITC Avant Garde" w:eastAsia="Arial Unicode MS" w:hAnsi="ITC Avant Garde" w:cs="Arial Unicode MS"/>
          <w:bCs/>
          <w:sz w:val="20"/>
          <w:szCs w:val="20"/>
          <w:lang w:eastAsia="es-ES_tradnl"/>
        </w:rPr>
        <w:t xml:space="preserve">De esa manera, en caso de que el concesionario </w:t>
      </w:r>
      <w:r w:rsidRPr="00D50555">
        <w:rPr>
          <w:rFonts w:ascii="ITC Avant Garde" w:eastAsia="Arial Unicode MS" w:hAnsi="ITC Avant Garde" w:cs="Arial Unicode MS"/>
          <w:b/>
          <w:bCs/>
          <w:sz w:val="20"/>
          <w:szCs w:val="20"/>
          <w:u w:val="single"/>
          <w:lang w:eastAsia="es-ES_tradnl"/>
        </w:rPr>
        <w:t>pretenda realizar alguna modificación a su título,</w:t>
      </w:r>
      <w:r w:rsidRPr="00D50555">
        <w:rPr>
          <w:rFonts w:ascii="ITC Avant Garde" w:eastAsia="Arial Unicode MS" w:hAnsi="ITC Avant Garde" w:cs="Arial Unicode MS"/>
          <w:bCs/>
          <w:sz w:val="20"/>
          <w:szCs w:val="20"/>
          <w:lang w:eastAsia="es-ES_tradnl"/>
        </w:rPr>
        <w:t xml:space="preserve"> relacionada con su operación, explotación y prórroga, </w:t>
      </w:r>
      <w:r w:rsidRPr="00D50555">
        <w:rPr>
          <w:rFonts w:ascii="ITC Avant Garde" w:eastAsia="Arial Unicode MS" w:hAnsi="ITC Avant Garde" w:cs="Arial Unicode MS"/>
          <w:b/>
          <w:bCs/>
          <w:sz w:val="20"/>
          <w:szCs w:val="20"/>
          <w:u w:val="single"/>
          <w:lang w:eastAsia="es-ES_tradnl"/>
        </w:rPr>
        <w:t>deberá solicitarla a través de los formatos respectivos debidamente requisitados</w:t>
      </w:r>
      <w:r w:rsidRPr="00D50555">
        <w:rPr>
          <w:rFonts w:ascii="ITC Avant Garde" w:eastAsia="Arial Unicode MS" w:hAnsi="ITC Avant Garde" w:cs="Arial Unicode MS"/>
          <w:bCs/>
          <w:sz w:val="20"/>
          <w:szCs w:val="20"/>
          <w:lang w:eastAsia="es-ES_tradnl"/>
        </w:rPr>
        <w:t>, de conformidad con lo establecido en la Regla 12 y en la Regla 24 de Las Reglas</w:t>
      </w:r>
      <w:r w:rsidRPr="00D50555">
        <w:rPr>
          <w:rStyle w:val="Refdenotaalpie"/>
          <w:rFonts w:ascii="ITC Avant Garde" w:eastAsia="Arial Unicode MS" w:hAnsi="ITC Avant Garde" w:cs="Arial Unicode MS"/>
          <w:bCs/>
          <w:sz w:val="20"/>
          <w:szCs w:val="20"/>
          <w:lang w:eastAsia="es-ES_tradnl"/>
        </w:rPr>
        <w:footnoteReference w:id="1"/>
      </w:r>
      <w:r w:rsidRPr="00D50555">
        <w:rPr>
          <w:rFonts w:ascii="ITC Avant Garde" w:eastAsia="Arial Unicode MS" w:hAnsi="ITC Avant Garde" w:cs="Arial Unicode MS"/>
          <w:bCs/>
          <w:sz w:val="20"/>
          <w:szCs w:val="20"/>
          <w:lang w:eastAsia="es-ES_tradnl"/>
        </w:rPr>
        <w:t xml:space="preserve">. </w:t>
      </w:r>
    </w:p>
    <w:p w:rsidR="00FE3156" w:rsidRPr="00E562A7" w:rsidRDefault="00FE3156" w:rsidP="00E562A7">
      <w:pPr>
        <w:spacing w:after="120" w:line="276" w:lineRule="auto"/>
        <w:jc w:val="both"/>
        <w:rPr>
          <w:rFonts w:ascii="ITC Avant Garde" w:eastAsia="Arial Unicode MS" w:hAnsi="ITC Avant Garde" w:cs="Arial Unicode MS"/>
          <w:bCs/>
          <w:color w:val="000000"/>
          <w:sz w:val="20"/>
          <w:szCs w:val="20"/>
          <w:u w:color="000000"/>
          <w:lang w:eastAsia="es-ES_tradnl"/>
        </w:rPr>
      </w:pPr>
      <w:r w:rsidRPr="00D50555">
        <w:rPr>
          <w:rFonts w:ascii="ITC Avant Garde" w:eastAsia="Arial Unicode MS" w:hAnsi="ITC Avant Garde" w:cs="Arial Unicode MS"/>
          <w:color w:val="000000"/>
          <w:sz w:val="20"/>
          <w:szCs w:val="20"/>
          <w:u w:color="000000"/>
          <w:lang w:val="es-ES_tradnl" w:eastAsia="es-ES_tradnl"/>
        </w:rPr>
        <w:lastRenderedPageBreak/>
        <w:t xml:space="preserve">Ahora bien, </w:t>
      </w:r>
      <w:r w:rsidR="00F44191">
        <w:rPr>
          <w:rFonts w:ascii="ITC Avant Garde" w:eastAsia="Arial Unicode MS" w:hAnsi="ITC Avant Garde" w:cs="Arial Unicode MS"/>
          <w:color w:val="000000"/>
          <w:sz w:val="20"/>
          <w:szCs w:val="20"/>
          <w:u w:color="000000"/>
          <w:lang w:val="es-ES_tradnl" w:eastAsia="es-ES_tradnl"/>
        </w:rPr>
        <w:t xml:space="preserve">por lo que hace a la </w:t>
      </w:r>
      <w:r w:rsidR="00482564">
        <w:rPr>
          <w:rFonts w:ascii="ITC Avant Garde" w:eastAsia="Arial Unicode MS" w:hAnsi="ITC Avant Garde" w:cs="Arial Unicode MS"/>
          <w:color w:val="000000"/>
          <w:sz w:val="20"/>
          <w:szCs w:val="20"/>
          <w:u w:color="000000"/>
          <w:lang w:val="es-ES_tradnl" w:eastAsia="es-ES_tradnl"/>
        </w:rPr>
        <w:t>manifestación</w:t>
      </w:r>
      <w:r w:rsidR="00F44191">
        <w:rPr>
          <w:rFonts w:ascii="ITC Avant Garde" w:eastAsia="Arial Unicode MS" w:hAnsi="ITC Avant Garde" w:cs="Arial Unicode MS"/>
          <w:color w:val="000000"/>
          <w:sz w:val="20"/>
          <w:szCs w:val="20"/>
          <w:u w:color="000000"/>
          <w:lang w:val="es-ES_tradnl" w:eastAsia="es-ES_tradnl"/>
        </w:rPr>
        <w:t xml:space="preserve"> realizada </w:t>
      </w:r>
      <w:r w:rsidR="00E647A6">
        <w:rPr>
          <w:rFonts w:ascii="ITC Avant Garde" w:eastAsia="Arial Unicode MS" w:hAnsi="ITC Avant Garde" w:cs="Arial Unicode MS"/>
          <w:color w:val="000000"/>
          <w:sz w:val="20"/>
          <w:szCs w:val="20"/>
          <w:u w:color="000000"/>
          <w:lang w:val="es-ES_tradnl" w:eastAsia="es-ES_tradnl"/>
        </w:rPr>
        <w:t xml:space="preserve">por </w:t>
      </w:r>
      <w:r w:rsidRPr="00D50555">
        <w:rPr>
          <w:rFonts w:ascii="ITC Avant Garde" w:eastAsia="Arial Unicode MS" w:hAnsi="ITC Avant Garde" w:cs="Arial Unicode MS"/>
          <w:color w:val="000000"/>
          <w:sz w:val="20"/>
          <w:szCs w:val="20"/>
          <w:u w:color="000000"/>
          <w:lang w:val="es-ES_tradnl" w:eastAsia="es-ES_tradnl"/>
        </w:rPr>
        <w:t xml:space="preserve">la promovente en su escrito de solicitud </w:t>
      </w:r>
      <w:r w:rsidR="00E647A6">
        <w:rPr>
          <w:rFonts w:ascii="ITC Avant Garde" w:eastAsia="Arial Unicode MS" w:hAnsi="ITC Avant Garde" w:cs="Arial Unicode MS"/>
          <w:color w:val="000000"/>
          <w:sz w:val="20"/>
          <w:szCs w:val="20"/>
          <w:u w:color="000000"/>
          <w:lang w:val="es-ES_tradnl" w:eastAsia="es-ES_tradnl"/>
        </w:rPr>
        <w:t xml:space="preserve">en relación a que para solicitar la modificación a su </w:t>
      </w:r>
      <w:r w:rsidR="002A45B2" w:rsidRPr="00D50555">
        <w:rPr>
          <w:rFonts w:ascii="ITC Avant Garde" w:eastAsia="Arial Unicode MS" w:hAnsi="ITC Avant Garde" w:cs="Arial Unicode MS"/>
          <w:color w:val="000000"/>
          <w:sz w:val="20"/>
          <w:szCs w:val="20"/>
          <w:u w:color="000000"/>
          <w:lang w:val="es-ES_tradnl" w:eastAsia="es-ES_tradnl"/>
        </w:rPr>
        <w:t>concesión para actualizar su flota satelital</w:t>
      </w:r>
      <w:r w:rsidR="002A45B2">
        <w:rPr>
          <w:rFonts w:ascii="ITC Avant Garde" w:eastAsia="Arial Unicode MS" w:hAnsi="ITC Avant Garde" w:cs="Arial Unicode MS"/>
          <w:color w:val="000000"/>
          <w:sz w:val="20"/>
          <w:szCs w:val="20"/>
          <w:u w:color="000000"/>
          <w:lang w:val="es-ES_tradnl" w:eastAsia="es-ES_tradnl"/>
        </w:rPr>
        <w:t xml:space="preserve"> es necesario </w:t>
      </w:r>
      <w:r w:rsidR="00997C96">
        <w:rPr>
          <w:rFonts w:ascii="ITC Avant Garde" w:eastAsia="Arial Unicode MS" w:hAnsi="ITC Avant Garde" w:cs="Arial Unicode MS"/>
          <w:color w:val="000000"/>
          <w:sz w:val="20"/>
          <w:szCs w:val="20"/>
          <w:u w:color="000000"/>
          <w:lang w:val="es-ES_tradnl" w:eastAsia="es-ES_tradnl"/>
        </w:rPr>
        <w:t xml:space="preserve">realizar el pago señalado </w:t>
      </w:r>
      <w:r w:rsidRPr="00D50555">
        <w:rPr>
          <w:rFonts w:ascii="ITC Avant Garde" w:eastAsia="Arial Unicode MS" w:hAnsi="ITC Avant Garde" w:cs="Arial Unicode MS"/>
          <w:color w:val="000000"/>
          <w:sz w:val="20"/>
          <w:szCs w:val="20"/>
          <w:u w:color="000000"/>
          <w:lang w:val="es-ES_tradnl" w:eastAsia="es-ES_tradnl"/>
        </w:rPr>
        <w:t>en el artículo 174-I de la Ley Federal de D</w:t>
      </w:r>
      <w:r w:rsidR="00997C96">
        <w:rPr>
          <w:rFonts w:ascii="ITC Avant Garde" w:eastAsia="Arial Unicode MS" w:hAnsi="ITC Avant Garde" w:cs="Arial Unicode MS"/>
          <w:color w:val="000000"/>
          <w:sz w:val="20"/>
          <w:szCs w:val="20"/>
          <w:u w:color="000000"/>
          <w:lang w:val="es-ES_tradnl" w:eastAsia="es-ES_tradnl"/>
        </w:rPr>
        <w:t xml:space="preserve">erechos (en lo sucesivo, “LFD”), </w:t>
      </w:r>
      <w:r w:rsidR="00B36858">
        <w:rPr>
          <w:rFonts w:ascii="ITC Avant Garde" w:eastAsia="Arial Unicode MS" w:hAnsi="ITC Avant Garde" w:cs="Arial Unicode MS"/>
          <w:color w:val="000000"/>
          <w:sz w:val="20"/>
          <w:szCs w:val="20"/>
          <w:u w:color="000000"/>
          <w:lang w:val="es-ES_tradnl" w:eastAsia="es-ES_tradnl"/>
        </w:rPr>
        <w:t xml:space="preserve">resulta relevante establecer que dicho artículo </w:t>
      </w:r>
      <w:r w:rsidRPr="00D50555">
        <w:rPr>
          <w:rFonts w:ascii="ITC Avant Garde" w:eastAsia="Arial Unicode MS" w:hAnsi="ITC Avant Garde" w:cs="Arial Unicode MS"/>
          <w:color w:val="000000"/>
          <w:sz w:val="20"/>
          <w:szCs w:val="20"/>
          <w:u w:color="000000"/>
          <w:lang w:val="es-ES_tradnl" w:eastAsia="es-ES_tradnl"/>
        </w:rPr>
        <w:t xml:space="preserve">establece el pago de un derecho por el estudio y, en su caso, aprobación de las solicitudes de modificaciones técnicas, administrativas y legales de las autorizaciones </w:t>
      </w:r>
      <w:r w:rsidRPr="00D50555">
        <w:rPr>
          <w:rFonts w:ascii="ITC Avant Garde" w:eastAsia="Arial Unicode MS" w:hAnsi="ITC Avant Garde" w:cs="Arial Unicode MS"/>
          <w:bCs/>
          <w:color w:val="000000"/>
          <w:sz w:val="20"/>
          <w:szCs w:val="20"/>
          <w:u w:color="000000"/>
          <w:lang w:eastAsia="es-ES_tradnl"/>
        </w:rPr>
        <w:t xml:space="preserve">para explotar los derechos de emisión y recepción de señales </w:t>
      </w:r>
      <w:r w:rsidRPr="00111509">
        <w:rPr>
          <w:rFonts w:ascii="ITC Avant Garde" w:eastAsia="Arial Unicode MS" w:hAnsi="ITC Avant Garde" w:cs="Arial Unicode MS"/>
          <w:bCs/>
          <w:color w:val="000000"/>
          <w:sz w:val="20"/>
          <w:szCs w:val="20"/>
          <w:u w:color="000000"/>
          <w:lang w:eastAsia="es-ES_tradnl"/>
        </w:rPr>
        <w:t>de</w:t>
      </w:r>
      <w:r w:rsidRPr="00D50555">
        <w:rPr>
          <w:rFonts w:ascii="ITC Avant Garde" w:eastAsia="Arial Unicode MS" w:hAnsi="ITC Avant Garde" w:cs="Arial Unicode MS"/>
          <w:bCs/>
          <w:color w:val="000000"/>
          <w:sz w:val="20"/>
          <w:szCs w:val="20"/>
          <w:u w:color="000000"/>
          <w:lang w:eastAsia="es-ES_tradnl"/>
        </w:rPr>
        <w:t xml:space="preserve"> bandas de frecuencias asociadas a sistemas satelitales extranjeros que cubran y puedan prestar servicios en el territorio nacional, como a la letra se señala:</w:t>
      </w:r>
    </w:p>
    <w:p w:rsidR="00FE3156" w:rsidRPr="002033A5" w:rsidRDefault="002033A5" w:rsidP="00E562A7">
      <w:pPr>
        <w:spacing w:after="120" w:line="276" w:lineRule="auto"/>
        <w:ind w:left="851" w:right="618"/>
        <w:jc w:val="both"/>
        <w:rPr>
          <w:rFonts w:ascii="ITC Avant Garde" w:hAnsi="ITC Avant Garde"/>
          <w:i/>
          <w:sz w:val="19"/>
          <w:szCs w:val="19"/>
        </w:rPr>
      </w:pPr>
      <w:r w:rsidRPr="002033A5">
        <w:rPr>
          <w:rFonts w:ascii="ITC Avant Garde" w:hAnsi="ITC Avant Garde"/>
          <w:b/>
          <w:i/>
          <w:sz w:val="19"/>
          <w:szCs w:val="19"/>
        </w:rPr>
        <w:t>“</w:t>
      </w:r>
      <w:r w:rsidR="00FE3156" w:rsidRPr="002033A5">
        <w:rPr>
          <w:rFonts w:ascii="ITC Avant Garde" w:hAnsi="ITC Avant Garde"/>
          <w:b/>
          <w:i/>
          <w:sz w:val="19"/>
          <w:szCs w:val="19"/>
        </w:rPr>
        <w:t>Artículo 174-I.</w:t>
      </w:r>
      <w:r w:rsidR="00FE3156" w:rsidRPr="002033A5">
        <w:rPr>
          <w:rFonts w:ascii="ITC Avant Garde" w:hAnsi="ITC Avant Garde"/>
          <w:i/>
          <w:sz w:val="19"/>
          <w:szCs w:val="19"/>
        </w:rPr>
        <w:t xml:space="preserve"> Por el estudio y, en su caso, aprobación de las solicitudes de modificaciones técnicas, administrativas y legales de la </w:t>
      </w:r>
      <w:r w:rsidR="00FE3156" w:rsidRPr="002033A5">
        <w:rPr>
          <w:rFonts w:ascii="ITC Avant Garde" w:hAnsi="ITC Avant Garde"/>
          <w:b/>
          <w:i/>
          <w:sz w:val="19"/>
          <w:szCs w:val="19"/>
          <w:u w:val="single"/>
        </w:rPr>
        <w:t>autorización para la explotación de los derechos de emisión y recepción de señales y bandas de frecuencias asociadas a sistemas satelitales extranjeros que cubran y puedan prestar servicios en el territorio nacional</w:t>
      </w:r>
      <w:r w:rsidR="00FE3156" w:rsidRPr="002033A5">
        <w:rPr>
          <w:rFonts w:ascii="ITC Avant Garde" w:hAnsi="ITC Avant Garde"/>
          <w:i/>
          <w:sz w:val="19"/>
          <w:szCs w:val="19"/>
        </w:rPr>
        <w:t xml:space="preserve">, se pagarán derechos conforme a las siguientes cuotas: </w:t>
      </w:r>
    </w:p>
    <w:p w:rsidR="00FE3156" w:rsidRPr="002033A5" w:rsidRDefault="00FE3156" w:rsidP="00E562A7">
      <w:pPr>
        <w:spacing w:after="120" w:line="276" w:lineRule="auto"/>
        <w:ind w:left="851" w:right="618"/>
        <w:jc w:val="both"/>
        <w:rPr>
          <w:rFonts w:ascii="ITC Avant Garde" w:hAnsi="ITC Avant Garde"/>
          <w:i/>
          <w:sz w:val="19"/>
          <w:szCs w:val="19"/>
        </w:rPr>
      </w:pPr>
      <w:r w:rsidRPr="002033A5">
        <w:rPr>
          <w:rFonts w:ascii="ITC Avant Garde" w:hAnsi="ITC Avant Garde"/>
          <w:b/>
          <w:i/>
          <w:sz w:val="19"/>
          <w:szCs w:val="19"/>
        </w:rPr>
        <w:t>I.</w:t>
      </w:r>
      <w:r w:rsidRPr="002033A5">
        <w:rPr>
          <w:rFonts w:ascii="ITC Avant Garde" w:hAnsi="ITC Avant Garde"/>
          <w:i/>
          <w:sz w:val="19"/>
          <w:szCs w:val="19"/>
        </w:rPr>
        <w:t xml:space="preserve"> Por la acreditación de representantes o apoderados, después de los primeramente designados ……………………………………………………… $1,410.23 </w:t>
      </w:r>
    </w:p>
    <w:p w:rsidR="00FE3156" w:rsidRPr="002033A5" w:rsidRDefault="00FE3156" w:rsidP="00E562A7">
      <w:pPr>
        <w:spacing w:after="120" w:line="276" w:lineRule="auto"/>
        <w:ind w:left="851" w:right="618"/>
        <w:jc w:val="both"/>
        <w:rPr>
          <w:rFonts w:ascii="ITC Avant Garde" w:hAnsi="ITC Avant Garde"/>
          <w:i/>
          <w:sz w:val="19"/>
          <w:szCs w:val="19"/>
        </w:rPr>
      </w:pPr>
      <w:r w:rsidRPr="002033A5">
        <w:rPr>
          <w:rFonts w:ascii="ITC Avant Garde" w:hAnsi="ITC Avant Garde"/>
          <w:b/>
          <w:i/>
          <w:sz w:val="19"/>
          <w:szCs w:val="19"/>
        </w:rPr>
        <w:t>II.</w:t>
      </w:r>
      <w:r w:rsidRPr="002033A5">
        <w:rPr>
          <w:rFonts w:ascii="ITC Avant Garde" w:hAnsi="ITC Avant Garde"/>
          <w:i/>
          <w:sz w:val="19"/>
          <w:szCs w:val="19"/>
        </w:rPr>
        <w:t xml:space="preserve"> Por el cambio en la titularidad por transferencia de derechos ………... $2,936.76 </w:t>
      </w:r>
    </w:p>
    <w:p w:rsidR="00FE3156" w:rsidRPr="002033A5" w:rsidRDefault="00FE3156" w:rsidP="00E562A7">
      <w:pPr>
        <w:spacing w:after="120" w:line="276" w:lineRule="auto"/>
        <w:ind w:left="851" w:right="618"/>
        <w:jc w:val="both"/>
        <w:rPr>
          <w:rFonts w:ascii="ITC Avant Garde" w:hAnsi="ITC Avant Garde"/>
          <w:i/>
          <w:sz w:val="19"/>
          <w:szCs w:val="19"/>
        </w:rPr>
      </w:pPr>
      <w:r w:rsidRPr="002033A5">
        <w:rPr>
          <w:rFonts w:ascii="ITC Avant Garde" w:hAnsi="ITC Avant Garde"/>
          <w:b/>
          <w:i/>
          <w:sz w:val="19"/>
          <w:szCs w:val="19"/>
        </w:rPr>
        <w:t>III.</w:t>
      </w:r>
      <w:r w:rsidRPr="002033A5">
        <w:rPr>
          <w:rFonts w:ascii="ITC Avant Garde" w:hAnsi="ITC Avant Garde"/>
          <w:i/>
          <w:sz w:val="19"/>
          <w:szCs w:val="19"/>
        </w:rPr>
        <w:t xml:space="preserve"> Por reformas a los estatutos sociales ………………………………………... $3,053.35</w:t>
      </w:r>
    </w:p>
    <w:p w:rsidR="00FE3156" w:rsidRPr="002033A5" w:rsidRDefault="00FE3156" w:rsidP="00E562A7">
      <w:pPr>
        <w:spacing w:after="120" w:line="276" w:lineRule="auto"/>
        <w:ind w:left="851" w:right="618"/>
        <w:jc w:val="both"/>
        <w:rPr>
          <w:rFonts w:ascii="ITC Avant Garde" w:hAnsi="ITC Avant Garde"/>
          <w:i/>
          <w:sz w:val="19"/>
          <w:szCs w:val="19"/>
        </w:rPr>
      </w:pPr>
      <w:r w:rsidRPr="002033A5">
        <w:rPr>
          <w:rFonts w:ascii="ITC Avant Garde" w:hAnsi="ITC Avant Garde"/>
          <w:b/>
          <w:i/>
          <w:sz w:val="19"/>
          <w:szCs w:val="19"/>
        </w:rPr>
        <w:t>IV.</w:t>
      </w:r>
      <w:r w:rsidRPr="002033A5">
        <w:rPr>
          <w:rFonts w:ascii="ITC Avant Garde" w:hAnsi="ITC Avant Garde"/>
          <w:i/>
          <w:sz w:val="19"/>
          <w:szCs w:val="19"/>
        </w:rPr>
        <w:t xml:space="preserve"> Por la ampliación de plazos para el cumplimiento de obligaciones establecidas en la autorización ……............................................................. $1,074.76 </w:t>
      </w:r>
    </w:p>
    <w:p w:rsidR="002033A5" w:rsidRPr="002033A5" w:rsidRDefault="00FE3156" w:rsidP="00E562A7">
      <w:pPr>
        <w:spacing w:after="120" w:line="276" w:lineRule="auto"/>
        <w:ind w:left="851" w:right="618"/>
        <w:jc w:val="both"/>
        <w:rPr>
          <w:rFonts w:ascii="ITC Avant Garde" w:hAnsi="ITC Avant Garde"/>
          <w:i/>
          <w:sz w:val="19"/>
          <w:szCs w:val="19"/>
        </w:rPr>
      </w:pPr>
      <w:r w:rsidRPr="002033A5">
        <w:rPr>
          <w:rFonts w:ascii="ITC Avant Garde" w:hAnsi="ITC Avant Garde"/>
          <w:b/>
          <w:i/>
          <w:sz w:val="19"/>
          <w:szCs w:val="19"/>
        </w:rPr>
        <w:t>V.</w:t>
      </w:r>
      <w:r w:rsidRPr="002033A5">
        <w:rPr>
          <w:rFonts w:ascii="ITC Avant Garde" w:hAnsi="ITC Avant Garde"/>
          <w:i/>
          <w:sz w:val="19"/>
          <w:szCs w:val="19"/>
        </w:rPr>
        <w:t xml:space="preserve"> Por modificación en las características técnicas ………......................... $3,279.21</w:t>
      </w:r>
      <w:r w:rsidR="002033A5">
        <w:rPr>
          <w:rFonts w:ascii="ITC Avant Garde" w:hAnsi="ITC Avant Garde"/>
          <w:i/>
          <w:sz w:val="19"/>
          <w:szCs w:val="19"/>
        </w:rPr>
        <w:t>”</w:t>
      </w:r>
    </w:p>
    <w:p w:rsidR="00FE3156" w:rsidRPr="00E562A7" w:rsidRDefault="00FE3156" w:rsidP="00E562A7">
      <w:pPr>
        <w:spacing w:after="120" w:line="276" w:lineRule="auto"/>
        <w:ind w:left="851" w:right="618"/>
        <w:jc w:val="right"/>
        <w:rPr>
          <w:rFonts w:ascii="ITC Avant Garde" w:hAnsi="ITC Avant Garde"/>
          <w:i/>
          <w:sz w:val="19"/>
          <w:szCs w:val="19"/>
        </w:rPr>
      </w:pPr>
      <w:r w:rsidRPr="002033A5">
        <w:rPr>
          <w:rFonts w:ascii="ITC Avant Garde" w:hAnsi="ITC Avant Garde"/>
          <w:i/>
          <w:sz w:val="19"/>
          <w:szCs w:val="19"/>
        </w:rPr>
        <w:t>(Énfasis añadido)</w:t>
      </w:r>
    </w:p>
    <w:p w:rsidR="00AB6C5D" w:rsidRPr="00D50555" w:rsidRDefault="00AB6C5D" w:rsidP="00E562A7">
      <w:pPr>
        <w:spacing w:after="120" w:line="276" w:lineRule="auto"/>
        <w:jc w:val="both"/>
        <w:rPr>
          <w:rFonts w:ascii="ITC Avant Garde" w:eastAsia="Arial Unicode MS" w:hAnsi="ITC Avant Garde" w:cs="Arial Unicode MS"/>
          <w:bCs/>
          <w:sz w:val="20"/>
          <w:szCs w:val="20"/>
          <w:lang w:eastAsia="es-ES_tradnl"/>
        </w:rPr>
      </w:pPr>
      <w:r w:rsidRPr="00D50555">
        <w:rPr>
          <w:rFonts w:ascii="ITC Avant Garde" w:eastAsia="Arial Unicode MS" w:hAnsi="ITC Avant Garde" w:cs="Arial Unicode MS"/>
          <w:bCs/>
          <w:sz w:val="20"/>
          <w:szCs w:val="20"/>
          <w:lang w:eastAsia="es-ES_tradnl"/>
        </w:rPr>
        <w:t>Como se desprende del artículo citado, el supuesto normativo, en congruencia con lo establecido en el artículo 170</w:t>
      </w:r>
      <w:r w:rsidR="0088562A">
        <w:rPr>
          <w:rFonts w:ascii="ITC Avant Garde" w:eastAsia="Arial Unicode MS" w:hAnsi="ITC Avant Garde" w:cs="Arial Unicode MS"/>
          <w:bCs/>
          <w:sz w:val="20"/>
          <w:szCs w:val="20"/>
          <w:lang w:eastAsia="es-ES_tradnl"/>
        </w:rPr>
        <w:t>,</w:t>
      </w:r>
      <w:r w:rsidRPr="00D50555">
        <w:rPr>
          <w:rFonts w:ascii="ITC Avant Garde" w:eastAsia="Arial Unicode MS" w:hAnsi="ITC Avant Garde" w:cs="Arial Unicode MS"/>
          <w:bCs/>
          <w:sz w:val="20"/>
          <w:szCs w:val="20"/>
          <w:lang w:eastAsia="es-ES_tradnl"/>
        </w:rPr>
        <w:t xml:space="preserve"> fracción IV, de la LFTR, únicamente refiere a la figura de autorización, </w:t>
      </w:r>
      <w:r w:rsidRPr="00D50555">
        <w:rPr>
          <w:rFonts w:ascii="ITC Avant Garde" w:eastAsia="Arial Unicode MS" w:hAnsi="ITC Avant Garde" w:cs="Arial Unicode MS"/>
          <w:bCs/>
          <w:color w:val="000000"/>
          <w:sz w:val="20"/>
          <w:szCs w:val="20"/>
          <w:u w:color="000000"/>
          <w:lang w:eastAsia="es-ES_tradnl"/>
        </w:rPr>
        <w:t>pues como se ha venido señalando, esta ha sustituido a las concesiones para explotar los derechos de emisión y recepción de señales de bandas de frecuencias asociadas a sistemas satelitales extranjeros que cubran y puedan prestar servicios en el territorio nacional.</w:t>
      </w:r>
    </w:p>
    <w:p w:rsidR="0007314B" w:rsidRPr="00E562A7" w:rsidRDefault="00AB6C5D" w:rsidP="00E562A7">
      <w:pPr>
        <w:spacing w:after="120" w:line="276" w:lineRule="auto"/>
        <w:jc w:val="both"/>
        <w:rPr>
          <w:rFonts w:ascii="ITC Avant Garde" w:eastAsia="Arial Unicode MS" w:hAnsi="ITC Avant Garde" w:cs="Arial Unicode MS"/>
          <w:bCs/>
          <w:sz w:val="20"/>
          <w:szCs w:val="20"/>
          <w:lang w:eastAsia="es-ES_tradnl"/>
        </w:rPr>
      </w:pPr>
      <w:r w:rsidRPr="00D50555">
        <w:rPr>
          <w:rFonts w:ascii="ITC Avant Garde" w:eastAsia="Arial Unicode MS" w:hAnsi="ITC Avant Garde" w:cs="Arial Unicode MS"/>
          <w:color w:val="000000"/>
          <w:sz w:val="20"/>
          <w:szCs w:val="20"/>
          <w:u w:color="000000"/>
          <w:lang w:val="es-ES_tradnl" w:eastAsia="es-ES_tradnl"/>
        </w:rPr>
        <w:t xml:space="preserve">Acorde con lo anterior, </w:t>
      </w:r>
      <w:r w:rsidR="00497624" w:rsidRPr="00D50555">
        <w:rPr>
          <w:rFonts w:ascii="ITC Avant Garde" w:eastAsia="Arial Unicode MS" w:hAnsi="ITC Avant Garde" w:cs="Arial Unicode MS"/>
          <w:color w:val="000000"/>
          <w:sz w:val="20"/>
          <w:szCs w:val="20"/>
          <w:u w:color="000000"/>
          <w:lang w:val="es-ES_tradnl" w:eastAsia="es-ES_tradnl"/>
        </w:rPr>
        <w:t>de una interpretación armónica de</w:t>
      </w:r>
      <w:r w:rsidR="00B95480">
        <w:rPr>
          <w:rFonts w:ascii="ITC Avant Garde" w:eastAsia="Arial Unicode MS" w:hAnsi="ITC Avant Garde" w:cs="Arial Unicode MS"/>
          <w:color w:val="000000"/>
          <w:sz w:val="20"/>
          <w:szCs w:val="20"/>
          <w:u w:color="000000"/>
          <w:lang w:val="es-ES_tradnl" w:eastAsia="es-ES_tradnl"/>
        </w:rPr>
        <w:t xml:space="preserve"> </w:t>
      </w:r>
      <w:r w:rsidR="00497624" w:rsidRPr="00D50555">
        <w:rPr>
          <w:rFonts w:ascii="ITC Avant Garde" w:eastAsia="Arial Unicode MS" w:hAnsi="ITC Avant Garde" w:cs="Arial Unicode MS"/>
          <w:color w:val="000000"/>
          <w:sz w:val="20"/>
          <w:szCs w:val="20"/>
          <w:u w:color="000000"/>
          <w:lang w:val="es-ES_tradnl" w:eastAsia="es-ES_tradnl"/>
        </w:rPr>
        <w:t>l</w:t>
      </w:r>
      <w:r w:rsidR="00B95480">
        <w:rPr>
          <w:rFonts w:ascii="ITC Avant Garde" w:eastAsia="Arial Unicode MS" w:hAnsi="ITC Avant Garde" w:cs="Arial Unicode MS"/>
          <w:color w:val="000000"/>
          <w:sz w:val="20"/>
          <w:szCs w:val="20"/>
          <w:u w:color="000000"/>
          <w:lang w:val="es-ES_tradnl" w:eastAsia="es-ES_tradnl"/>
        </w:rPr>
        <w:t>os</w:t>
      </w:r>
      <w:r w:rsidR="00497624" w:rsidRPr="00D50555">
        <w:rPr>
          <w:rFonts w:ascii="ITC Avant Garde" w:eastAsia="Arial Unicode MS" w:hAnsi="ITC Avant Garde" w:cs="Arial Unicode MS"/>
          <w:color w:val="000000"/>
          <w:sz w:val="20"/>
          <w:szCs w:val="20"/>
          <w:u w:color="000000"/>
          <w:lang w:val="es-ES_tradnl" w:eastAsia="es-ES_tradnl"/>
        </w:rPr>
        <w:t xml:space="preserve"> artículo</w:t>
      </w:r>
      <w:r w:rsidR="00B95480">
        <w:rPr>
          <w:rFonts w:ascii="ITC Avant Garde" w:eastAsia="Arial Unicode MS" w:hAnsi="ITC Avant Garde" w:cs="Arial Unicode MS"/>
          <w:color w:val="000000"/>
          <w:sz w:val="20"/>
          <w:szCs w:val="20"/>
          <w:u w:color="000000"/>
          <w:lang w:val="es-ES_tradnl" w:eastAsia="es-ES_tradnl"/>
        </w:rPr>
        <w:t>s</w:t>
      </w:r>
      <w:r w:rsidR="00497624" w:rsidRPr="00D50555">
        <w:rPr>
          <w:rFonts w:ascii="ITC Avant Garde" w:eastAsia="Arial Unicode MS" w:hAnsi="ITC Avant Garde" w:cs="Arial Unicode MS"/>
          <w:color w:val="000000"/>
          <w:sz w:val="20"/>
          <w:szCs w:val="20"/>
          <w:u w:color="000000"/>
          <w:lang w:val="es-ES_tradnl" w:eastAsia="es-ES_tradnl"/>
        </w:rPr>
        <w:t xml:space="preserve"> S</w:t>
      </w:r>
      <w:r w:rsidR="00B95480">
        <w:rPr>
          <w:rFonts w:ascii="ITC Avant Garde" w:eastAsia="Arial Unicode MS" w:hAnsi="ITC Avant Garde" w:cs="Arial Unicode MS"/>
          <w:color w:val="000000"/>
          <w:sz w:val="20"/>
          <w:szCs w:val="20"/>
          <w:u w:color="000000"/>
          <w:lang w:val="es-ES_tradnl" w:eastAsia="es-ES_tradnl"/>
        </w:rPr>
        <w:t xml:space="preserve">EGUNDO Transitorio de Las Reglas, </w:t>
      </w:r>
      <w:r w:rsidR="00B95480" w:rsidRPr="00D50555">
        <w:rPr>
          <w:rFonts w:ascii="ITC Avant Garde" w:eastAsia="Arial Unicode MS" w:hAnsi="ITC Avant Garde" w:cs="Arial Unicode MS"/>
          <w:color w:val="000000"/>
          <w:sz w:val="20"/>
          <w:szCs w:val="20"/>
          <w:u w:color="000000"/>
          <w:lang w:val="es-ES_tradnl" w:eastAsia="es-ES_tradnl"/>
        </w:rPr>
        <w:t>SÉPTIMO Transitorio de la LFTR</w:t>
      </w:r>
      <w:r w:rsidR="00B95480">
        <w:rPr>
          <w:rFonts w:ascii="ITC Avant Garde" w:eastAsia="Arial Unicode MS" w:hAnsi="ITC Avant Garde" w:cs="Arial Unicode MS"/>
          <w:color w:val="000000"/>
          <w:sz w:val="20"/>
          <w:szCs w:val="20"/>
          <w:u w:color="000000"/>
          <w:lang w:val="es-ES_tradnl" w:eastAsia="es-ES_tradnl"/>
        </w:rPr>
        <w:t xml:space="preserve"> y 170, fracción IV</w:t>
      </w:r>
      <w:r w:rsidR="0088562A">
        <w:rPr>
          <w:rFonts w:ascii="ITC Avant Garde" w:eastAsia="Arial Unicode MS" w:hAnsi="ITC Avant Garde" w:cs="Arial Unicode MS"/>
          <w:color w:val="000000"/>
          <w:sz w:val="20"/>
          <w:szCs w:val="20"/>
          <w:u w:color="000000"/>
          <w:lang w:val="es-ES_tradnl" w:eastAsia="es-ES_tradnl"/>
        </w:rPr>
        <w:t>,</w:t>
      </w:r>
      <w:r w:rsidR="00B95480">
        <w:rPr>
          <w:rFonts w:ascii="ITC Avant Garde" w:eastAsia="Arial Unicode MS" w:hAnsi="ITC Avant Garde" w:cs="Arial Unicode MS"/>
          <w:color w:val="000000"/>
          <w:sz w:val="20"/>
          <w:szCs w:val="20"/>
          <w:u w:color="000000"/>
          <w:lang w:val="es-ES_tradnl" w:eastAsia="es-ES_tradnl"/>
        </w:rPr>
        <w:t xml:space="preserve"> de la LFTR</w:t>
      </w:r>
      <w:r w:rsidR="00497624" w:rsidRPr="00D50555">
        <w:rPr>
          <w:rFonts w:ascii="ITC Avant Garde" w:eastAsia="Arial Unicode MS" w:hAnsi="ITC Avant Garde" w:cs="Arial Unicode MS"/>
          <w:color w:val="000000"/>
          <w:sz w:val="20"/>
          <w:szCs w:val="20"/>
          <w:u w:color="000000"/>
          <w:lang w:val="es-ES_tradnl" w:eastAsia="es-ES_tradnl"/>
        </w:rPr>
        <w:t xml:space="preserve">, </w:t>
      </w:r>
      <w:r w:rsidR="00497624" w:rsidRPr="00451869">
        <w:rPr>
          <w:rFonts w:ascii="ITC Avant Garde" w:eastAsia="Arial Unicode MS" w:hAnsi="ITC Avant Garde" w:cs="Arial Unicode MS"/>
          <w:b/>
          <w:color w:val="000000"/>
          <w:sz w:val="20"/>
          <w:szCs w:val="20"/>
          <w:u w:val="single" w:color="000000"/>
          <w:lang w:val="es-ES_tradnl" w:eastAsia="es-ES_tradnl"/>
        </w:rPr>
        <w:t>este órgano colegiado considera que al ser la LFD</w:t>
      </w:r>
      <w:r w:rsidR="00C725C3">
        <w:rPr>
          <w:rFonts w:ascii="ITC Avant Garde" w:eastAsia="Arial Unicode MS" w:hAnsi="ITC Avant Garde" w:cs="Arial Unicode MS"/>
          <w:b/>
          <w:color w:val="000000"/>
          <w:sz w:val="20"/>
          <w:szCs w:val="20"/>
          <w:u w:val="single" w:color="000000"/>
          <w:lang w:val="es-ES_tradnl" w:eastAsia="es-ES_tradnl"/>
        </w:rPr>
        <w:t>,</w:t>
      </w:r>
      <w:r w:rsidR="00497624" w:rsidRPr="00451869">
        <w:rPr>
          <w:rFonts w:ascii="ITC Avant Garde" w:eastAsia="Arial Unicode MS" w:hAnsi="ITC Avant Garde" w:cs="Arial Unicode MS"/>
          <w:b/>
          <w:color w:val="000000"/>
          <w:sz w:val="20"/>
          <w:szCs w:val="20"/>
          <w:u w:val="single" w:color="000000"/>
          <w:lang w:val="es-ES_tradnl" w:eastAsia="es-ES_tradnl"/>
        </w:rPr>
        <w:t xml:space="preserve"> una disposición vigente </w:t>
      </w:r>
      <w:r w:rsidR="00744826">
        <w:rPr>
          <w:rFonts w:ascii="ITC Avant Garde" w:eastAsia="Arial Unicode MS" w:hAnsi="ITC Avant Garde" w:cs="Arial Unicode MS"/>
          <w:b/>
          <w:color w:val="000000"/>
          <w:sz w:val="20"/>
          <w:szCs w:val="20"/>
          <w:u w:val="single" w:color="000000"/>
          <w:lang w:val="es-ES_tradnl" w:eastAsia="es-ES_tradnl"/>
        </w:rPr>
        <w:t xml:space="preserve">aplicable </w:t>
      </w:r>
      <w:r w:rsidR="00A553F9" w:rsidRPr="00451869">
        <w:rPr>
          <w:rFonts w:ascii="ITC Avant Garde" w:eastAsia="Arial Unicode MS" w:hAnsi="ITC Avant Garde" w:cs="Arial Unicode MS"/>
          <w:b/>
          <w:color w:val="000000"/>
          <w:sz w:val="20"/>
          <w:szCs w:val="20"/>
          <w:u w:val="single" w:color="000000"/>
          <w:lang w:val="es-ES_tradnl" w:eastAsia="es-ES_tradnl"/>
        </w:rPr>
        <w:t>a las autorizaciones</w:t>
      </w:r>
      <w:r w:rsidR="00744826" w:rsidRPr="00DE2E17">
        <w:rPr>
          <w:rFonts w:ascii="ITC Avant Garde" w:eastAsia="Arial Unicode MS" w:hAnsi="ITC Avant Garde" w:cs="Arial Unicode MS"/>
          <w:b/>
          <w:color w:val="000000"/>
          <w:sz w:val="20"/>
          <w:szCs w:val="20"/>
          <w:u w:val="single" w:color="000000"/>
          <w:lang w:val="es-ES_tradnl" w:eastAsia="es-ES_tradnl"/>
        </w:rPr>
        <w:t>, particularmente</w:t>
      </w:r>
      <w:r w:rsidR="00A553F9" w:rsidRPr="00DE2E17">
        <w:rPr>
          <w:rFonts w:ascii="ITC Avant Garde" w:eastAsia="Arial Unicode MS" w:hAnsi="ITC Avant Garde" w:cs="Arial Unicode MS"/>
          <w:b/>
          <w:color w:val="000000"/>
          <w:sz w:val="20"/>
          <w:szCs w:val="20"/>
          <w:u w:val="single" w:color="000000"/>
          <w:lang w:val="es-ES_tradnl" w:eastAsia="es-ES_tradnl"/>
        </w:rPr>
        <w:t xml:space="preserve"> </w:t>
      </w:r>
      <w:r w:rsidR="00744826" w:rsidRPr="00E96D33">
        <w:rPr>
          <w:rFonts w:ascii="ITC Avant Garde" w:eastAsia="Arial Unicode MS" w:hAnsi="ITC Avant Garde" w:cs="Arial Unicode MS"/>
          <w:b/>
          <w:color w:val="000000"/>
          <w:sz w:val="20"/>
          <w:szCs w:val="20"/>
          <w:u w:val="single" w:color="000000"/>
          <w:lang w:val="es-ES_tradnl" w:eastAsia="es-ES_tradnl"/>
        </w:rPr>
        <w:t xml:space="preserve">el </w:t>
      </w:r>
      <w:r w:rsidRPr="00E96D33">
        <w:rPr>
          <w:rFonts w:ascii="ITC Avant Garde" w:eastAsia="Arial Unicode MS" w:hAnsi="ITC Avant Garde" w:cs="Arial Unicode MS"/>
          <w:b/>
          <w:color w:val="000000"/>
          <w:sz w:val="20"/>
          <w:szCs w:val="20"/>
          <w:u w:val="single" w:color="000000"/>
          <w:lang w:val="es-ES_tradnl" w:eastAsia="es-ES_tradnl"/>
        </w:rPr>
        <w:t>artículo 174-I</w:t>
      </w:r>
      <w:r w:rsidR="00A553F9" w:rsidRPr="00E96D33">
        <w:rPr>
          <w:rFonts w:ascii="ITC Avant Garde" w:eastAsia="Arial Unicode MS" w:hAnsi="ITC Avant Garde" w:cs="Arial Unicode MS"/>
          <w:b/>
          <w:color w:val="000000"/>
          <w:sz w:val="20"/>
          <w:szCs w:val="20"/>
          <w:u w:val="single" w:color="000000"/>
          <w:lang w:val="es-ES_tradnl" w:eastAsia="es-ES_tradnl"/>
        </w:rPr>
        <w:t>,</w:t>
      </w:r>
      <w:r w:rsidR="00497624" w:rsidRPr="001531D6">
        <w:rPr>
          <w:rFonts w:ascii="ITC Avant Garde" w:eastAsia="Arial Unicode MS" w:hAnsi="ITC Avant Garde" w:cs="Arial Unicode MS"/>
          <w:b/>
          <w:color w:val="000000"/>
          <w:sz w:val="20"/>
          <w:szCs w:val="20"/>
          <w:u w:val="single" w:color="000000"/>
          <w:lang w:val="es-ES_tradnl" w:eastAsia="es-ES_tradnl"/>
        </w:rPr>
        <w:t xml:space="preserve"> </w:t>
      </w:r>
      <w:r w:rsidR="00E318E5" w:rsidRPr="001531D6">
        <w:rPr>
          <w:rFonts w:ascii="ITC Avant Garde" w:eastAsia="Arial Unicode MS" w:hAnsi="ITC Avant Garde" w:cs="Arial Unicode MS"/>
          <w:b/>
          <w:color w:val="000000"/>
          <w:sz w:val="20"/>
          <w:szCs w:val="20"/>
          <w:u w:val="single" w:color="000000"/>
          <w:lang w:val="es-ES_tradnl" w:eastAsia="es-ES_tradnl"/>
        </w:rPr>
        <w:t>resulta</w:t>
      </w:r>
      <w:r w:rsidR="00497624" w:rsidRPr="001531D6">
        <w:rPr>
          <w:rFonts w:ascii="ITC Avant Garde" w:eastAsia="Arial Unicode MS" w:hAnsi="ITC Avant Garde" w:cs="Arial Unicode MS"/>
          <w:b/>
          <w:color w:val="000000"/>
          <w:sz w:val="20"/>
          <w:szCs w:val="20"/>
          <w:u w:val="single" w:color="000000"/>
          <w:lang w:val="es-ES_tradnl" w:eastAsia="es-ES_tradnl"/>
        </w:rPr>
        <w:t xml:space="preserve"> </w:t>
      </w:r>
      <w:r w:rsidR="00DE2E17" w:rsidRPr="001531D6">
        <w:rPr>
          <w:rFonts w:ascii="ITC Avant Garde" w:eastAsia="Arial Unicode MS" w:hAnsi="ITC Avant Garde" w:cs="Arial Unicode MS"/>
          <w:b/>
          <w:color w:val="000000"/>
          <w:sz w:val="20"/>
          <w:szCs w:val="20"/>
          <w:u w:val="single" w:color="000000"/>
          <w:lang w:val="es-ES_tradnl" w:eastAsia="es-ES_tradnl"/>
        </w:rPr>
        <w:t xml:space="preserve">también </w:t>
      </w:r>
      <w:r w:rsidR="00497624" w:rsidRPr="001531D6">
        <w:rPr>
          <w:rFonts w:ascii="ITC Avant Garde" w:eastAsia="Arial Unicode MS" w:hAnsi="ITC Avant Garde" w:cs="Arial Unicode MS"/>
          <w:b/>
          <w:color w:val="000000"/>
          <w:sz w:val="20"/>
          <w:szCs w:val="20"/>
          <w:u w:val="single" w:color="000000"/>
          <w:lang w:val="es-ES_tradnl" w:eastAsia="es-ES_tradnl"/>
        </w:rPr>
        <w:t xml:space="preserve">aplicable a las </w:t>
      </w:r>
      <w:r w:rsidR="00E318E5" w:rsidRPr="001531D6">
        <w:rPr>
          <w:rFonts w:ascii="ITC Avant Garde" w:eastAsia="Arial Unicode MS" w:hAnsi="ITC Avant Garde" w:cs="Arial Unicode MS"/>
          <w:b/>
          <w:color w:val="000000"/>
          <w:sz w:val="20"/>
          <w:szCs w:val="20"/>
          <w:u w:val="single" w:color="000000"/>
          <w:lang w:val="es-ES_tradnl" w:eastAsia="es-ES_tradnl"/>
        </w:rPr>
        <w:lastRenderedPageBreak/>
        <w:t xml:space="preserve">modificaciones </w:t>
      </w:r>
      <w:r w:rsidR="00DE2E17" w:rsidRPr="001531D6">
        <w:rPr>
          <w:rFonts w:ascii="ITC Avant Garde" w:eastAsia="Arial Unicode MS" w:hAnsi="ITC Avant Garde" w:cs="Arial Unicode MS"/>
          <w:b/>
          <w:color w:val="000000"/>
          <w:sz w:val="20"/>
          <w:szCs w:val="20"/>
          <w:u w:val="single" w:color="000000"/>
          <w:lang w:val="es-ES_tradnl" w:eastAsia="es-ES_tradnl"/>
        </w:rPr>
        <w:t xml:space="preserve">de </w:t>
      </w:r>
      <w:r w:rsidR="00E318E5" w:rsidRPr="001531D6">
        <w:rPr>
          <w:rFonts w:ascii="ITC Avant Garde" w:eastAsia="Arial Unicode MS" w:hAnsi="ITC Avant Garde" w:cs="Arial Unicode MS"/>
          <w:b/>
          <w:color w:val="000000"/>
          <w:sz w:val="20"/>
          <w:szCs w:val="20"/>
          <w:u w:val="single" w:color="000000"/>
          <w:lang w:val="es-ES_tradnl" w:eastAsia="es-ES_tradnl"/>
        </w:rPr>
        <w:t xml:space="preserve">características técnicas </w:t>
      </w:r>
      <w:r w:rsidR="003056CC" w:rsidRPr="001531D6">
        <w:rPr>
          <w:rFonts w:ascii="ITC Avant Garde" w:eastAsia="Arial Unicode MS" w:hAnsi="ITC Avant Garde" w:cs="Arial Unicode MS"/>
          <w:b/>
          <w:color w:val="000000"/>
          <w:sz w:val="20"/>
          <w:szCs w:val="20"/>
          <w:u w:val="single" w:color="000000"/>
          <w:lang w:val="es-ES_tradnl" w:eastAsia="es-ES_tradnl"/>
        </w:rPr>
        <w:t xml:space="preserve">que se realicen a las </w:t>
      </w:r>
      <w:r w:rsidR="00497624" w:rsidRPr="001531D6">
        <w:rPr>
          <w:rFonts w:ascii="ITC Avant Garde" w:eastAsia="Arial Unicode MS" w:hAnsi="ITC Avant Garde" w:cs="Arial Unicode MS"/>
          <w:b/>
          <w:color w:val="000000"/>
          <w:sz w:val="20"/>
          <w:szCs w:val="20"/>
          <w:u w:val="single" w:color="000000"/>
          <w:lang w:val="es-ES_tradnl" w:eastAsia="es-ES_tradnl"/>
        </w:rPr>
        <w:t>concesiones</w:t>
      </w:r>
      <w:r w:rsidR="00497624" w:rsidRPr="00451869">
        <w:rPr>
          <w:rFonts w:ascii="ITC Avant Garde" w:eastAsia="Arial Unicode MS" w:hAnsi="ITC Avant Garde" w:cs="Arial Unicode MS"/>
          <w:b/>
          <w:color w:val="000000"/>
          <w:sz w:val="20"/>
          <w:szCs w:val="20"/>
          <w:u w:val="single" w:color="000000"/>
          <w:lang w:val="es-ES_tradnl" w:eastAsia="es-ES_tradnl"/>
        </w:rPr>
        <w:t xml:space="preserve"> otorgadas con anterioridad a la emisión de la LFTR</w:t>
      </w:r>
      <w:r w:rsidR="00892185" w:rsidRPr="00D50555">
        <w:rPr>
          <w:rFonts w:ascii="ITC Avant Garde" w:eastAsia="Arial Unicode MS" w:hAnsi="ITC Avant Garde" w:cs="Arial Unicode MS"/>
          <w:color w:val="000000"/>
          <w:sz w:val="20"/>
          <w:szCs w:val="20"/>
          <w:u w:color="000000"/>
          <w:lang w:val="es-ES_tradnl" w:eastAsia="es-ES_tradnl"/>
        </w:rPr>
        <w:t xml:space="preserve">, que tengan por objeto la </w:t>
      </w:r>
      <w:r w:rsidR="00892185" w:rsidRPr="00D50555">
        <w:rPr>
          <w:rFonts w:ascii="ITC Avant Garde" w:eastAsia="Arial Unicode MS" w:hAnsi="ITC Avant Garde" w:cs="Arial Unicode MS"/>
          <w:bCs/>
          <w:color w:val="000000"/>
          <w:sz w:val="20"/>
          <w:szCs w:val="20"/>
          <w:u w:color="000000"/>
          <w:lang w:eastAsia="es-ES_tradnl"/>
        </w:rPr>
        <w:t xml:space="preserve">explotación de derechos de emisión y recepción de señales </w:t>
      </w:r>
      <w:r w:rsidR="00892185" w:rsidRPr="007F7E60">
        <w:rPr>
          <w:rFonts w:ascii="ITC Avant Garde" w:eastAsia="Arial Unicode MS" w:hAnsi="ITC Avant Garde" w:cs="Arial Unicode MS"/>
          <w:bCs/>
          <w:color w:val="000000"/>
          <w:sz w:val="20"/>
          <w:szCs w:val="20"/>
          <w:u w:color="000000"/>
          <w:lang w:eastAsia="es-ES_tradnl"/>
        </w:rPr>
        <w:t>de</w:t>
      </w:r>
      <w:r w:rsidR="00892185" w:rsidRPr="00D50555">
        <w:rPr>
          <w:rFonts w:ascii="ITC Avant Garde" w:eastAsia="Arial Unicode MS" w:hAnsi="ITC Avant Garde" w:cs="Arial Unicode MS"/>
          <w:bCs/>
          <w:color w:val="000000"/>
          <w:sz w:val="20"/>
          <w:szCs w:val="20"/>
          <w:u w:color="000000"/>
          <w:lang w:eastAsia="es-ES_tradnl"/>
        </w:rPr>
        <w:t xml:space="preserve"> bandas de frecuencias asociadas a sistemas satelitales extranjeros que cubran y puedan prestar servicios en el territorio nacional.</w:t>
      </w:r>
    </w:p>
    <w:p w:rsidR="00081D84" w:rsidRPr="00D50555" w:rsidRDefault="003056CC" w:rsidP="00E562A7">
      <w:pPr>
        <w:spacing w:after="120" w:line="276" w:lineRule="auto"/>
        <w:jc w:val="both"/>
        <w:rPr>
          <w:rFonts w:ascii="ITC Avant Garde" w:eastAsia="Arial Unicode MS" w:hAnsi="ITC Avant Garde" w:cs="Arial Unicode MS"/>
          <w:bCs/>
          <w:sz w:val="20"/>
          <w:szCs w:val="20"/>
          <w:lang w:eastAsia="es-ES_tradnl"/>
        </w:rPr>
      </w:pPr>
      <w:r>
        <w:rPr>
          <w:rFonts w:ascii="ITC Avant Garde" w:eastAsia="Arial Unicode MS" w:hAnsi="ITC Avant Garde" w:cs="Arial Unicode MS"/>
          <w:bCs/>
          <w:sz w:val="20"/>
          <w:szCs w:val="20"/>
          <w:lang w:eastAsia="es-ES_tradnl"/>
        </w:rPr>
        <w:t>En ese mismo sentido,</w:t>
      </w:r>
      <w:r w:rsidR="00793CB7" w:rsidRPr="00D50555">
        <w:rPr>
          <w:rFonts w:ascii="ITC Avant Garde" w:eastAsia="Arial Unicode MS" w:hAnsi="ITC Avant Garde" w:cs="Arial Unicode MS"/>
          <w:bCs/>
          <w:sz w:val="20"/>
          <w:szCs w:val="20"/>
          <w:lang w:eastAsia="es-ES_tradnl"/>
        </w:rPr>
        <w:t xml:space="preserve"> </w:t>
      </w:r>
      <w:r w:rsidR="00A35A7B" w:rsidRPr="00D50555">
        <w:rPr>
          <w:rFonts w:ascii="ITC Avant Garde" w:eastAsia="Arial Unicode MS" w:hAnsi="ITC Avant Garde" w:cs="Arial Unicode MS"/>
          <w:bCs/>
          <w:sz w:val="20"/>
          <w:szCs w:val="20"/>
          <w:lang w:eastAsia="es-ES_tradnl"/>
        </w:rPr>
        <w:t xml:space="preserve">la instancia </w:t>
      </w:r>
      <w:r w:rsidR="00501269" w:rsidRPr="00D50555">
        <w:rPr>
          <w:rFonts w:ascii="ITC Avant Garde" w:eastAsia="Arial Unicode MS" w:hAnsi="ITC Avant Garde" w:cs="Arial Unicode MS"/>
          <w:bCs/>
          <w:sz w:val="20"/>
          <w:szCs w:val="20"/>
          <w:lang w:eastAsia="es-ES_tradnl"/>
        </w:rPr>
        <w:t>competente</w:t>
      </w:r>
      <w:r w:rsidR="00A35A7B" w:rsidRPr="00D50555">
        <w:rPr>
          <w:rFonts w:ascii="ITC Avant Garde" w:eastAsia="Arial Unicode MS" w:hAnsi="ITC Avant Garde" w:cs="Arial Unicode MS"/>
          <w:bCs/>
          <w:sz w:val="20"/>
          <w:szCs w:val="20"/>
          <w:lang w:eastAsia="es-ES_tradnl"/>
        </w:rPr>
        <w:t xml:space="preserve"> para llevar a cabo </w:t>
      </w:r>
      <w:r w:rsidR="00A553F9">
        <w:rPr>
          <w:rFonts w:ascii="ITC Avant Garde" w:eastAsia="Arial Unicode MS" w:hAnsi="ITC Avant Garde" w:cs="Arial Unicode MS"/>
          <w:bCs/>
          <w:sz w:val="20"/>
          <w:szCs w:val="20"/>
          <w:lang w:eastAsia="es-ES_tradnl"/>
        </w:rPr>
        <w:t xml:space="preserve">el trámite y </w:t>
      </w:r>
      <w:r w:rsidR="00A35A7B" w:rsidRPr="00D50555">
        <w:rPr>
          <w:rFonts w:ascii="ITC Avant Garde" w:eastAsia="Arial Unicode MS" w:hAnsi="ITC Avant Garde" w:cs="Arial Unicode MS"/>
          <w:bCs/>
          <w:sz w:val="20"/>
          <w:szCs w:val="20"/>
          <w:lang w:eastAsia="es-ES_tradnl"/>
        </w:rPr>
        <w:t xml:space="preserve">la resolución de las </w:t>
      </w:r>
      <w:r w:rsidR="00227F92">
        <w:rPr>
          <w:rFonts w:ascii="ITC Avant Garde" w:eastAsia="Arial Unicode MS" w:hAnsi="ITC Avant Garde" w:cs="Arial Unicode MS"/>
          <w:bCs/>
          <w:sz w:val="20"/>
          <w:szCs w:val="20"/>
          <w:lang w:eastAsia="es-ES_tradnl"/>
        </w:rPr>
        <w:t xml:space="preserve">solicitudes </w:t>
      </w:r>
      <w:r w:rsidR="00A35A7B" w:rsidRPr="00D50555">
        <w:rPr>
          <w:rFonts w:ascii="ITC Avant Garde" w:eastAsia="Arial Unicode MS" w:hAnsi="ITC Avant Garde" w:cs="Arial Unicode MS"/>
          <w:bCs/>
          <w:sz w:val="20"/>
          <w:szCs w:val="20"/>
          <w:lang w:eastAsia="es-ES_tradnl"/>
        </w:rPr>
        <w:t xml:space="preserve">relacionadas con la prórroga, modificación </w:t>
      </w:r>
      <w:r w:rsidR="00632315" w:rsidRPr="00D50555">
        <w:rPr>
          <w:rFonts w:ascii="ITC Avant Garde" w:eastAsia="Arial Unicode MS" w:hAnsi="ITC Avant Garde" w:cs="Arial Unicode MS"/>
          <w:bCs/>
          <w:sz w:val="20"/>
          <w:szCs w:val="20"/>
          <w:lang w:eastAsia="es-ES_tradnl"/>
        </w:rPr>
        <w:t>o terminación</w:t>
      </w:r>
      <w:r w:rsidR="00496E97" w:rsidRPr="00D50555">
        <w:rPr>
          <w:rFonts w:ascii="ITC Avant Garde" w:eastAsia="Arial Unicode MS" w:hAnsi="ITC Avant Garde" w:cs="Arial Unicode MS"/>
          <w:bCs/>
          <w:sz w:val="20"/>
          <w:szCs w:val="20"/>
          <w:lang w:eastAsia="es-ES_tradnl"/>
        </w:rPr>
        <w:t xml:space="preserve"> de las concesiones</w:t>
      </w:r>
      <w:r w:rsidR="001531D6">
        <w:rPr>
          <w:rFonts w:ascii="ITC Avant Garde" w:eastAsia="Arial Unicode MS" w:hAnsi="ITC Avant Garde" w:cs="Arial Unicode MS"/>
          <w:bCs/>
          <w:sz w:val="20"/>
          <w:szCs w:val="20"/>
          <w:lang w:eastAsia="es-ES_tradnl"/>
        </w:rPr>
        <w:t xml:space="preserve"> en cuestión</w:t>
      </w:r>
      <w:r w:rsidR="00AA2031">
        <w:rPr>
          <w:rFonts w:ascii="ITC Avant Garde" w:eastAsia="Arial Unicode MS" w:hAnsi="ITC Avant Garde" w:cs="Arial Unicode MS"/>
          <w:bCs/>
          <w:sz w:val="20"/>
          <w:szCs w:val="20"/>
          <w:lang w:eastAsia="es-ES_tradnl"/>
        </w:rPr>
        <w:t>,</w:t>
      </w:r>
      <w:r w:rsidR="00227F92">
        <w:rPr>
          <w:rFonts w:ascii="ITC Avant Garde" w:eastAsia="Arial Unicode MS" w:hAnsi="ITC Avant Garde" w:cs="Arial Unicode MS"/>
          <w:bCs/>
          <w:sz w:val="20"/>
          <w:szCs w:val="20"/>
          <w:lang w:eastAsia="es-ES_tradnl"/>
        </w:rPr>
        <w:t xml:space="preserve"> es la Unidad de Concesiones y Servicios en términos de los artículos </w:t>
      </w:r>
      <w:r w:rsidR="00706A7C">
        <w:rPr>
          <w:rFonts w:ascii="ITC Avant Garde" w:eastAsia="Arial Unicode MS" w:hAnsi="ITC Avant Garde" w:cs="Arial Unicode MS"/>
          <w:bCs/>
          <w:sz w:val="20"/>
          <w:szCs w:val="20"/>
          <w:lang w:eastAsia="es-ES_tradnl"/>
        </w:rPr>
        <w:t xml:space="preserve">32 y 35 </w:t>
      </w:r>
      <w:r w:rsidR="00600E75">
        <w:rPr>
          <w:rFonts w:ascii="ITC Avant Garde" w:eastAsia="Arial Unicode MS" w:hAnsi="ITC Avant Garde" w:cs="Arial Unicode MS"/>
          <w:bCs/>
          <w:sz w:val="20"/>
          <w:szCs w:val="20"/>
          <w:lang w:eastAsia="es-ES_tradnl"/>
        </w:rPr>
        <w:t>d</w:t>
      </w:r>
      <w:r w:rsidR="00706A7C">
        <w:rPr>
          <w:rFonts w:ascii="ITC Avant Garde" w:eastAsia="Arial Unicode MS" w:hAnsi="ITC Avant Garde" w:cs="Arial Unicode MS"/>
          <w:bCs/>
          <w:sz w:val="20"/>
          <w:szCs w:val="20"/>
          <w:lang w:eastAsia="es-ES_tradnl"/>
        </w:rPr>
        <w:t>el Estatuto</w:t>
      </w:r>
      <w:r w:rsidR="00706A7C">
        <w:rPr>
          <w:rStyle w:val="Refdenotaalpie"/>
          <w:rFonts w:ascii="ITC Avant Garde" w:eastAsia="Arial Unicode MS" w:hAnsi="ITC Avant Garde" w:cs="Arial Unicode MS"/>
          <w:bCs/>
          <w:sz w:val="20"/>
          <w:szCs w:val="20"/>
          <w:lang w:eastAsia="es-ES_tradnl"/>
        </w:rPr>
        <w:footnoteReference w:id="2"/>
      </w:r>
      <w:r w:rsidR="00706A7C">
        <w:rPr>
          <w:rFonts w:ascii="ITC Avant Garde" w:eastAsia="Arial Unicode MS" w:hAnsi="ITC Avant Garde" w:cs="Arial Unicode MS"/>
          <w:bCs/>
          <w:sz w:val="20"/>
          <w:szCs w:val="20"/>
          <w:lang w:eastAsia="es-ES_tradnl"/>
        </w:rPr>
        <w:t>.</w:t>
      </w:r>
    </w:p>
    <w:p w:rsidR="00F26BE8" w:rsidRPr="00E562A7" w:rsidRDefault="00AA3A12" w:rsidP="00E562A7">
      <w:pPr>
        <w:spacing w:after="120" w:line="276" w:lineRule="auto"/>
        <w:jc w:val="both"/>
        <w:rPr>
          <w:rFonts w:ascii="ITC Avant Garde" w:hAnsi="ITC Avant Garde"/>
          <w:bCs/>
          <w:color w:val="000000"/>
          <w:sz w:val="20"/>
          <w:szCs w:val="20"/>
        </w:rPr>
      </w:pPr>
      <w:r>
        <w:rPr>
          <w:rFonts w:ascii="ITC Avant Garde" w:eastAsia="Arial Unicode MS" w:hAnsi="ITC Avant Garde" w:cs="Arial Unicode MS"/>
          <w:bCs/>
          <w:sz w:val="20"/>
          <w:szCs w:val="20"/>
          <w:lang w:eastAsia="es-ES_tradnl"/>
        </w:rPr>
        <w:t>En efecto</w:t>
      </w:r>
      <w:r w:rsidR="00F26BE8" w:rsidRPr="00D50555">
        <w:rPr>
          <w:rFonts w:ascii="ITC Avant Garde" w:eastAsia="Arial Unicode MS" w:hAnsi="ITC Avant Garde" w:cs="Arial Unicode MS"/>
          <w:bCs/>
          <w:sz w:val="20"/>
          <w:szCs w:val="20"/>
          <w:lang w:eastAsia="es-ES_tradnl"/>
        </w:rPr>
        <w:t>, el</w:t>
      </w:r>
      <w:r w:rsidR="00F26BE8" w:rsidRPr="00D50555">
        <w:rPr>
          <w:rFonts w:ascii="ITC Avant Garde" w:hAnsi="ITC Avant Garde"/>
          <w:bCs/>
          <w:color w:val="000000"/>
          <w:sz w:val="20"/>
          <w:szCs w:val="20"/>
        </w:rPr>
        <w:t xml:space="preserve"> Pleno del Instituto </w:t>
      </w:r>
      <w:r w:rsidR="00F26BE8" w:rsidRPr="00D50555">
        <w:rPr>
          <w:rFonts w:ascii="ITC Avant Garde" w:eastAsia="Arial Unicode MS" w:hAnsi="ITC Avant Garde" w:cs="Arial Unicode MS"/>
          <w:bCs/>
          <w:sz w:val="20"/>
          <w:szCs w:val="20"/>
          <w:lang w:eastAsia="es-ES_tradnl"/>
        </w:rPr>
        <w:t xml:space="preserve">al emitir el </w:t>
      </w:r>
      <w:r w:rsidR="00F26BE8">
        <w:rPr>
          <w:rFonts w:ascii="ITC Avant Garde" w:eastAsia="Arial Unicode MS" w:hAnsi="ITC Avant Garde" w:cs="Arial Unicode MS"/>
          <w:bCs/>
          <w:sz w:val="20"/>
          <w:szCs w:val="20"/>
          <w:lang w:eastAsia="es-ES_tradnl"/>
        </w:rPr>
        <w:t xml:space="preserve">Estatuto por el que </w:t>
      </w:r>
      <w:r>
        <w:rPr>
          <w:rFonts w:ascii="ITC Avant Garde" w:eastAsia="Arial Unicode MS" w:hAnsi="ITC Avant Garde" w:cs="Arial Unicode MS"/>
          <w:bCs/>
          <w:sz w:val="20"/>
          <w:szCs w:val="20"/>
          <w:lang w:eastAsia="es-ES_tradnl"/>
        </w:rPr>
        <w:t xml:space="preserve">se </w:t>
      </w:r>
      <w:r w:rsidR="00F26BE8" w:rsidRPr="00D50555">
        <w:rPr>
          <w:rFonts w:ascii="ITC Avant Garde" w:hAnsi="ITC Avant Garde"/>
          <w:bCs/>
          <w:color w:val="000000"/>
          <w:sz w:val="20"/>
          <w:szCs w:val="20"/>
        </w:rPr>
        <w:t>distribuy</w:t>
      </w:r>
      <w:r w:rsidR="00F26BE8">
        <w:rPr>
          <w:rFonts w:ascii="ITC Avant Garde" w:hAnsi="ITC Avant Garde"/>
          <w:bCs/>
          <w:color w:val="000000"/>
          <w:sz w:val="20"/>
          <w:szCs w:val="20"/>
        </w:rPr>
        <w:t>e</w:t>
      </w:r>
      <w:r>
        <w:rPr>
          <w:rFonts w:ascii="ITC Avant Garde" w:hAnsi="ITC Avant Garde"/>
          <w:bCs/>
          <w:color w:val="000000"/>
          <w:sz w:val="20"/>
          <w:szCs w:val="20"/>
        </w:rPr>
        <w:t>n</w:t>
      </w:r>
      <w:r w:rsidR="00F26BE8" w:rsidRPr="00D50555">
        <w:rPr>
          <w:rFonts w:ascii="ITC Avant Garde" w:hAnsi="ITC Avant Garde"/>
          <w:bCs/>
          <w:color w:val="000000"/>
          <w:sz w:val="20"/>
          <w:szCs w:val="20"/>
        </w:rPr>
        <w:t xml:space="preserve"> las competencias de cada una de las áreas del mismo, </w:t>
      </w:r>
      <w:r w:rsidR="00F26BE8">
        <w:rPr>
          <w:rFonts w:ascii="ITC Avant Garde" w:hAnsi="ITC Avant Garde"/>
          <w:bCs/>
          <w:color w:val="000000"/>
          <w:sz w:val="20"/>
          <w:szCs w:val="20"/>
        </w:rPr>
        <w:t>determinó</w:t>
      </w:r>
      <w:r w:rsidR="00F26BE8" w:rsidRPr="00D50555">
        <w:rPr>
          <w:rFonts w:ascii="ITC Avant Garde" w:hAnsi="ITC Avant Garde"/>
          <w:bCs/>
          <w:color w:val="000000"/>
          <w:sz w:val="20"/>
          <w:szCs w:val="20"/>
        </w:rPr>
        <w:t xml:space="preserve"> </w:t>
      </w:r>
      <w:r w:rsidR="00F26BE8">
        <w:rPr>
          <w:rFonts w:ascii="ITC Avant Garde" w:hAnsi="ITC Avant Garde"/>
          <w:bCs/>
          <w:color w:val="000000"/>
          <w:sz w:val="20"/>
          <w:szCs w:val="20"/>
        </w:rPr>
        <w:t>que</w:t>
      </w:r>
      <w:r w:rsidR="00F26BE8" w:rsidRPr="00D50555">
        <w:rPr>
          <w:rFonts w:ascii="ITC Avant Garde" w:hAnsi="ITC Avant Garde"/>
          <w:bCs/>
          <w:color w:val="000000"/>
          <w:sz w:val="20"/>
          <w:szCs w:val="20"/>
        </w:rPr>
        <w:t xml:space="preserve"> la autoridad encargada de resolver los temas relacionados con las </w:t>
      </w:r>
      <w:r>
        <w:rPr>
          <w:rFonts w:ascii="ITC Avant Garde" w:hAnsi="ITC Avant Garde"/>
          <w:bCs/>
          <w:color w:val="000000"/>
          <w:sz w:val="20"/>
          <w:szCs w:val="20"/>
        </w:rPr>
        <w:t>solicitudes de modificación, cesión o prórroga</w:t>
      </w:r>
      <w:r w:rsidR="00F26BE8" w:rsidRPr="00D50555">
        <w:rPr>
          <w:rFonts w:ascii="ITC Avant Garde" w:hAnsi="ITC Avant Garde"/>
          <w:bCs/>
          <w:color w:val="000000"/>
          <w:sz w:val="20"/>
          <w:szCs w:val="20"/>
        </w:rPr>
        <w:t xml:space="preserve"> de las </w:t>
      </w:r>
      <w:r w:rsidR="00F26BE8" w:rsidRPr="004C02AF">
        <w:rPr>
          <w:rFonts w:ascii="ITC Avant Garde" w:hAnsi="ITC Avant Garde"/>
          <w:b/>
          <w:bCs/>
          <w:color w:val="000000"/>
          <w:sz w:val="20"/>
          <w:szCs w:val="20"/>
          <w:u w:val="single"/>
        </w:rPr>
        <w:t>autorizaciones</w:t>
      </w:r>
      <w:r w:rsidR="00F26BE8" w:rsidRPr="00D50555">
        <w:rPr>
          <w:rFonts w:ascii="ITC Avant Garde" w:hAnsi="ITC Avant Garde"/>
          <w:bCs/>
          <w:color w:val="000000"/>
          <w:sz w:val="20"/>
          <w:szCs w:val="20"/>
        </w:rPr>
        <w:t xml:space="preserve"> es la Unidad de Concesiones y Servicios</w:t>
      </w:r>
      <w:r w:rsidR="00F26BE8">
        <w:rPr>
          <w:rFonts w:ascii="ITC Avant Garde" w:hAnsi="ITC Avant Garde"/>
          <w:bCs/>
          <w:color w:val="000000"/>
          <w:sz w:val="20"/>
          <w:szCs w:val="20"/>
        </w:rPr>
        <w:t xml:space="preserve">. Lo anterior sin perjuicio de atraer los asuntos, mediante </w:t>
      </w:r>
      <w:r w:rsidR="002E2C19">
        <w:rPr>
          <w:rFonts w:ascii="ITC Avant Garde" w:hAnsi="ITC Avant Garde"/>
          <w:b/>
          <w:bCs/>
          <w:color w:val="000000"/>
          <w:sz w:val="20"/>
          <w:szCs w:val="20"/>
          <w:u w:val="single"/>
        </w:rPr>
        <w:t>su</w:t>
      </w:r>
      <w:r w:rsidR="000408DE">
        <w:rPr>
          <w:rFonts w:ascii="ITC Avant Garde" w:hAnsi="ITC Avant Garde"/>
          <w:b/>
          <w:bCs/>
          <w:color w:val="000000"/>
          <w:sz w:val="20"/>
          <w:szCs w:val="20"/>
          <w:u w:val="single"/>
        </w:rPr>
        <w:t xml:space="preserve"> facultad originaria pre</w:t>
      </w:r>
      <w:r w:rsidR="000408DE" w:rsidRPr="000408DE">
        <w:rPr>
          <w:rFonts w:ascii="ITC Avant Garde" w:hAnsi="ITC Avant Garde"/>
          <w:b/>
          <w:bCs/>
          <w:color w:val="000000"/>
          <w:sz w:val="20"/>
          <w:szCs w:val="20"/>
          <w:u w:val="single"/>
        </w:rPr>
        <w:t xml:space="preserve">vista en </w:t>
      </w:r>
      <w:r w:rsidR="000408DE" w:rsidRPr="000408DE">
        <w:rPr>
          <w:rFonts w:ascii="ITC Avant Garde" w:eastAsia="Arial Unicode MS" w:hAnsi="ITC Avant Garde" w:cs="Arial Unicode MS"/>
          <w:b/>
          <w:bCs/>
          <w:sz w:val="20"/>
          <w:szCs w:val="20"/>
          <w:u w:val="single"/>
          <w:lang w:eastAsia="es-ES_tradnl"/>
        </w:rPr>
        <w:t>el artículo 17, fracción I, en relación con el artículo 15, fracción IV, ambos de la LFTR</w:t>
      </w:r>
      <w:r w:rsidR="000408DE" w:rsidRPr="000408DE">
        <w:rPr>
          <w:rStyle w:val="Refdenotaalpie"/>
          <w:rFonts w:ascii="ITC Avant Garde" w:eastAsia="Arial Unicode MS" w:hAnsi="ITC Avant Garde" w:cs="Arial Unicode MS"/>
          <w:b/>
          <w:bCs/>
          <w:sz w:val="20"/>
          <w:szCs w:val="20"/>
          <w:u w:val="single"/>
          <w:lang w:eastAsia="es-ES_tradnl"/>
        </w:rPr>
        <w:footnoteReference w:id="3"/>
      </w:r>
      <w:r w:rsidR="00F26BE8" w:rsidRPr="00D50555">
        <w:rPr>
          <w:rFonts w:ascii="ITC Avant Garde" w:hAnsi="ITC Avant Garde"/>
          <w:bCs/>
          <w:color w:val="000000"/>
          <w:sz w:val="20"/>
          <w:szCs w:val="20"/>
        </w:rPr>
        <w:t>.</w:t>
      </w:r>
    </w:p>
    <w:p w:rsidR="002F3CB4" w:rsidRPr="00E562A7" w:rsidRDefault="00F26BE8" w:rsidP="00E562A7">
      <w:pPr>
        <w:spacing w:after="120" w:line="276" w:lineRule="auto"/>
        <w:jc w:val="both"/>
        <w:rPr>
          <w:rFonts w:ascii="ITC Avant Garde" w:hAnsi="ITC Avant Garde"/>
          <w:bCs/>
          <w:color w:val="000000"/>
          <w:sz w:val="20"/>
          <w:szCs w:val="20"/>
        </w:rPr>
      </w:pPr>
      <w:r w:rsidRPr="00D50555">
        <w:rPr>
          <w:rFonts w:ascii="ITC Avant Garde" w:eastAsia="Arial Unicode MS" w:hAnsi="ITC Avant Garde" w:cs="Arial Unicode MS"/>
          <w:bCs/>
          <w:sz w:val="20"/>
          <w:szCs w:val="20"/>
          <w:lang w:eastAsia="es-ES_tradnl"/>
        </w:rPr>
        <w:lastRenderedPageBreak/>
        <w:t xml:space="preserve">En tales condiciones, </w:t>
      </w:r>
      <w:r w:rsidR="00216BC8">
        <w:rPr>
          <w:rFonts w:ascii="ITC Avant Garde" w:eastAsia="Arial Unicode MS" w:hAnsi="ITC Avant Garde" w:cs="Arial Unicode MS"/>
          <w:bCs/>
          <w:sz w:val="20"/>
          <w:szCs w:val="20"/>
          <w:lang w:eastAsia="es-ES_tradnl"/>
        </w:rPr>
        <w:t>si bien</w:t>
      </w:r>
      <w:r w:rsidR="00AB7BCE">
        <w:rPr>
          <w:rFonts w:ascii="ITC Avant Garde" w:eastAsia="Arial Unicode MS" w:hAnsi="ITC Avant Garde" w:cs="Arial Unicode MS"/>
          <w:bCs/>
          <w:sz w:val="20"/>
          <w:szCs w:val="20"/>
          <w:lang w:eastAsia="es-ES_tradnl"/>
        </w:rPr>
        <w:t>,</w:t>
      </w:r>
      <w:r w:rsidR="00216BC8">
        <w:rPr>
          <w:rFonts w:ascii="ITC Avant Garde" w:eastAsia="Arial Unicode MS" w:hAnsi="ITC Avant Garde" w:cs="Arial Unicode MS"/>
          <w:bCs/>
          <w:sz w:val="20"/>
          <w:szCs w:val="20"/>
          <w:lang w:eastAsia="es-ES_tradnl"/>
        </w:rPr>
        <w:t xml:space="preserve"> de acuerdo </w:t>
      </w:r>
      <w:r w:rsidR="00AB7BCE">
        <w:rPr>
          <w:rFonts w:ascii="ITC Avant Garde" w:eastAsia="Arial Unicode MS" w:hAnsi="ITC Avant Garde" w:cs="Arial Unicode MS"/>
          <w:bCs/>
          <w:sz w:val="20"/>
          <w:szCs w:val="20"/>
          <w:lang w:eastAsia="es-ES_tradnl"/>
        </w:rPr>
        <w:t>a lo establecido en el antecedente S</w:t>
      </w:r>
      <w:r w:rsidR="007D07F4">
        <w:rPr>
          <w:rFonts w:ascii="ITC Avant Garde" w:eastAsia="Arial Unicode MS" w:hAnsi="ITC Avant Garde" w:cs="Arial Unicode MS"/>
          <w:bCs/>
          <w:sz w:val="20"/>
          <w:szCs w:val="20"/>
          <w:lang w:eastAsia="es-ES_tradnl"/>
        </w:rPr>
        <w:t>É</w:t>
      </w:r>
      <w:r w:rsidR="00AB7BCE">
        <w:rPr>
          <w:rFonts w:ascii="ITC Avant Garde" w:eastAsia="Arial Unicode MS" w:hAnsi="ITC Avant Garde" w:cs="Arial Unicode MS"/>
          <w:bCs/>
          <w:sz w:val="20"/>
          <w:szCs w:val="20"/>
          <w:lang w:eastAsia="es-ES_tradnl"/>
        </w:rPr>
        <w:t xml:space="preserve">PTIMO del presente acuerdo, el Pleno de este Instituto fue el encargado de realizar las modificaciones a la Concesión de PanAmSat, </w:t>
      </w:r>
      <w:r w:rsidRPr="00D50555">
        <w:rPr>
          <w:rFonts w:ascii="ITC Avant Garde" w:eastAsia="Arial Unicode MS" w:hAnsi="ITC Avant Garde" w:cs="Arial Unicode MS"/>
          <w:bCs/>
          <w:sz w:val="20"/>
          <w:szCs w:val="20"/>
          <w:lang w:eastAsia="es-ES_tradnl"/>
        </w:rPr>
        <w:t xml:space="preserve">se considera procedente que sea </w:t>
      </w:r>
      <w:r w:rsidRPr="00D50555">
        <w:rPr>
          <w:rFonts w:ascii="ITC Avant Garde" w:hAnsi="ITC Avant Garde"/>
          <w:bCs/>
          <w:color w:val="000000"/>
          <w:sz w:val="20"/>
          <w:szCs w:val="20"/>
        </w:rPr>
        <w:t xml:space="preserve">la </w:t>
      </w:r>
      <w:r w:rsidRPr="00D50555">
        <w:rPr>
          <w:rFonts w:ascii="ITC Avant Garde" w:eastAsia="Arial Unicode MS" w:hAnsi="ITC Avant Garde" w:cs="Arial Unicode MS"/>
          <w:b/>
          <w:bCs/>
          <w:sz w:val="20"/>
          <w:szCs w:val="20"/>
          <w:u w:val="single"/>
          <w:lang w:eastAsia="es-ES_tradnl"/>
        </w:rPr>
        <w:t>Unidad de Concesiones y Servicios, a través de la Dirección General de Autorizaciones y Servicios</w:t>
      </w:r>
      <w:r w:rsidR="00403520">
        <w:rPr>
          <w:rFonts w:ascii="ITC Avant Garde" w:eastAsia="Arial Unicode MS" w:hAnsi="ITC Avant Garde" w:cs="Arial Unicode MS"/>
          <w:b/>
          <w:bCs/>
          <w:sz w:val="20"/>
          <w:szCs w:val="20"/>
          <w:u w:val="single"/>
          <w:lang w:eastAsia="es-ES_tradnl"/>
        </w:rPr>
        <w:t>,</w:t>
      </w:r>
      <w:r w:rsidRPr="00D50555">
        <w:rPr>
          <w:rFonts w:ascii="ITC Avant Garde" w:eastAsia="Arial Unicode MS" w:hAnsi="ITC Avant Garde" w:cs="Arial Unicode MS"/>
          <w:bCs/>
          <w:sz w:val="20"/>
          <w:szCs w:val="20"/>
          <w:lang w:eastAsia="es-ES_tradnl"/>
        </w:rPr>
        <w:t xml:space="preserve"> la instancia que resuelva las </w:t>
      </w:r>
      <w:r w:rsidR="0020766F">
        <w:rPr>
          <w:rFonts w:ascii="ITC Avant Garde" w:eastAsia="Arial Unicode MS" w:hAnsi="ITC Avant Garde" w:cs="Arial Unicode MS"/>
          <w:bCs/>
          <w:sz w:val="20"/>
          <w:szCs w:val="20"/>
          <w:lang w:eastAsia="es-ES_tradnl"/>
        </w:rPr>
        <w:t xml:space="preserve">solicitudes </w:t>
      </w:r>
      <w:r w:rsidRPr="00D50555">
        <w:rPr>
          <w:rFonts w:ascii="ITC Avant Garde" w:eastAsia="Arial Unicode MS" w:hAnsi="ITC Avant Garde" w:cs="Arial Unicode MS"/>
          <w:bCs/>
          <w:sz w:val="20"/>
          <w:szCs w:val="20"/>
          <w:lang w:eastAsia="es-ES_tradnl"/>
        </w:rPr>
        <w:t xml:space="preserve">relacionadas con la </w:t>
      </w:r>
      <w:r w:rsidRPr="00D50555">
        <w:rPr>
          <w:rFonts w:ascii="ITC Avant Garde" w:hAnsi="ITC Avant Garde"/>
          <w:bCs/>
          <w:color w:val="000000"/>
          <w:sz w:val="20"/>
          <w:szCs w:val="20"/>
        </w:rPr>
        <w:t>modificación, cesión o prórroga de</w:t>
      </w:r>
      <w:r w:rsidR="0020766F">
        <w:rPr>
          <w:rFonts w:ascii="ITC Avant Garde" w:hAnsi="ITC Avant Garde"/>
          <w:bCs/>
          <w:color w:val="000000"/>
          <w:sz w:val="20"/>
          <w:szCs w:val="20"/>
        </w:rPr>
        <w:t xml:space="preserve"> </w:t>
      </w:r>
      <w:r w:rsidR="00451869" w:rsidRPr="00D50555">
        <w:rPr>
          <w:rFonts w:ascii="ITC Avant Garde" w:eastAsia="Arial Unicode MS" w:hAnsi="ITC Avant Garde" w:cs="Arial Unicode MS"/>
          <w:bCs/>
          <w:color w:val="000000"/>
          <w:sz w:val="20"/>
          <w:szCs w:val="20"/>
          <w:u w:color="000000"/>
          <w:lang w:eastAsia="es-ES_tradnl"/>
        </w:rPr>
        <w:t>las concesiones para explotar los derechos de emisión y recepción de señales de bandas de frecuencias asociadas a sistemas satelitales extranjeros que cubran y puedan prestar servicios en el territorio nacional</w:t>
      </w:r>
      <w:r w:rsidRPr="00D50555">
        <w:rPr>
          <w:rFonts w:ascii="ITC Avant Garde" w:hAnsi="ITC Avant Garde"/>
          <w:bCs/>
          <w:color w:val="000000"/>
          <w:sz w:val="20"/>
          <w:szCs w:val="20"/>
        </w:rPr>
        <w:t xml:space="preserve">, </w:t>
      </w:r>
      <w:r w:rsidR="0058020F">
        <w:rPr>
          <w:rFonts w:ascii="ITC Avant Garde" w:hAnsi="ITC Avant Garde"/>
          <w:bCs/>
          <w:color w:val="000000"/>
          <w:sz w:val="20"/>
          <w:szCs w:val="20"/>
        </w:rPr>
        <w:t xml:space="preserve">que fueron otorgadas conforme a la abrogada LFT. Ello de conformidad con lo indicado en el SEGUNDO Transitorio de Las Reglas </w:t>
      </w:r>
      <w:r w:rsidR="00451869">
        <w:rPr>
          <w:rFonts w:ascii="ITC Avant Garde" w:hAnsi="ITC Avant Garde"/>
          <w:bCs/>
          <w:color w:val="000000"/>
          <w:sz w:val="20"/>
          <w:szCs w:val="20"/>
        </w:rPr>
        <w:t xml:space="preserve">y </w:t>
      </w:r>
      <w:r w:rsidR="007530A0">
        <w:rPr>
          <w:rFonts w:ascii="ITC Avant Garde" w:hAnsi="ITC Avant Garde"/>
          <w:bCs/>
          <w:color w:val="000000"/>
          <w:sz w:val="20"/>
          <w:szCs w:val="20"/>
        </w:rPr>
        <w:t xml:space="preserve">mediante </w:t>
      </w:r>
      <w:r w:rsidR="00451869">
        <w:rPr>
          <w:rFonts w:ascii="ITC Avant Garde" w:hAnsi="ITC Avant Garde"/>
          <w:bCs/>
          <w:color w:val="000000"/>
          <w:sz w:val="20"/>
          <w:szCs w:val="20"/>
        </w:rPr>
        <w:t>el pago de derechos</w:t>
      </w:r>
      <w:r w:rsidRPr="00D50555">
        <w:rPr>
          <w:rFonts w:ascii="ITC Avant Garde" w:hAnsi="ITC Avant Garde"/>
          <w:bCs/>
          <w:color w:val="000000"/>
          <w:sz w:val="20"/>
          <w:szCs w:val="20"/>
        </w:rPr>
        <w:t xml:space="preserve"> </w:t>
      </w:r>
      <w:r w:rsidR="00F46C4F">
        <w:rPr>
          <w:rFonts w:ascii="ITC Avant Garde" w:hAnsi="ITC Avant Garde"/>
          <w:bCs/>
          <w:color w:val="000000"/>
          <w:sz w:val="20"/>
          <w:szCs w:val="20"/>
        </w:rPr>
        <w:t>previsto</w:t>
      </w:r>
      <w:r w:rsidR="00BD01C1">
        <w:rPr>
          <w:rFonts w:ascii="ITC Avant Garde" w:hAnsi="ITC Avant Garde"/>
          <w:bCs/>
          <w:color w:val="000000"/>
          <w:sz w:val="20"/>
          <w:szCs w:val="20"/>
        </w:rPr>
        <w:t xml:space="preserve"> </w:t>
      </w:r>
      <w:r w:rsidR="007530A0">
        <w:rPr>
          <w:rFonts w:ascii="ITC Avant Garde" w:hAnsi="ITC Avant Garde"/>
          <w:bCs/>
          <w:color w:val="000000"/>
          <w:sz w:val="20"/>
          <w:szCs w:val="20"/>
        </w:rPr>
        <w:t>para las autorizaciones en la LFD</w:t>
      </w:r>
      <w:r w:rsidR="00167FD9">
        <w:rPr>
          <w:rFonts w:ascii="ITC Avant Garde" w:eastAsia="Arial Unicode MS" w:hAnsi="ITC Avant Garde" w:cs="Arial Unicode MS"/>
          <w:color w:val="000000"/>
          <w:sz w:val="20"/>
          <w:szCs w:val="20"/>
          <w:u w:color="000000"/>
          <w:lang w:val="es-ES_tradnl" w:eastAsia="es-ES_tradnl"/>
        </w:rPr>
        <w:t>.</w:t>
      </w:r>
    </w:p>
    <w:p w:rsidR="004828BA" w:rsidRPr="00D50555" w:rsidRDefault="00F26BE8" w:rsidP="00E562A7">
      <w:pPr>
        <w:spacing w:after="120" w:line="276" w:lineRule="auto"/>
        <w:jc w:val="both"/>
        <w:rPr>
          <w:rFonts w:ascii="ITC Avant Garde" w:eastAsia="Arial Unicode MS" w:hAnsi="ITC Avant Garde" w:cs="Arial Unicode MS"/>
          <w:bCs/>
          <w:sz w:val="20"/>
          <w:szCs w:val="20"/>
          <w:lang w:eastAsia="es-ES_tradnl"/>
        </w:rPr>
      </w:pPr>
      <w:r w:rsidRPr="00D50555">
        <w:rPr>
          <w:rFonts w:ascii="ITC Avant Garde" w:eastAsia="Arial Unicode MS" w:hAnsi="ITC Avant Garde" w:cs="Arial Unicode MS"/>
          <w:bCs/>
          <w:sz w:val="20"/>
          <w:szCs w:val="20"/>
          <w:lang w:eastAsia="es-ES_tradnl"/>
        </w:rPr>
        <w:t xml:space="preserve">En razón de lo anteriormente expuesto, se concluye que ha lugar a confirmar la solicitud presentada por PanAmSat, en el sentido de que la </w:t>
      </w:r>
      <w:r w:rsidR="003331BC">
        <w:rPr>
          <w:rFonts w:ascii="ITC Avant Garde" w:eastAsia="Arial Unicode MS" w:hAnsi="ITC Avant Garde" w:cs="Arial Unicode MS"/>
          <w:bCs/>
          <w:sz w:val="20"/>
          <w:szCs w:val="20"/>
          <w:lang w:eastAsia="es-ES_tradnl"/>
        </w:rPr>
        <w:t>C</w:t>
      </w:r>
      <w:r w:rsidRPr="00D50555">
        <w:rPr>
          <w:rFonts w:ascii="ITC Avant Garde" w:eastAsia="Arial Unicode MS" w:hAnsi="ITC Avant Garde" w:cs="Arial Unicode MS"/>
          <w:bCs/>
          <w:sz w:val="20"/>
          <w:szCs w:val="20"/>
          <w:lang w:eastAsia="es-ES_tradnl"/>
        </w:rPr>
        <w:t xml:space="preserve">oncesión con la que cuenta debe ser tratada como una autorización </w:t>
      </w:r>
      <w:r w:rsidRPr="00D50555">
        <w:rPr>
          <w:rFonts w:ascii="ITC Avant Garde" w:eastAsia="Arial Unicode MS" w:hAnsi="ITC Avant Garde" w:cs="Arial Unicode MS"/>
          <w:b/>
          <w:bCs/>
          <w:sz w:val="20"/>
          <w:szCs w:val="20"/>
          <w:u w:val="single"/>
          <w:lang w:eastAsia="es-ES_tradnl"/>
        </w:rPr>
        <w:t>para efecto</w:t>
      </w:r>
      <w:r w:rsidR="00BD01C1">
        <w:rPr>
          <w:rFonts w:ascii="ITC Avant Garde" w:eastAsia="Arial Unicode MS" w:hAnsi="ITC Avant Garde" w:cs="Arial Unicode MS"/>
          <w:b/>
          <w:bCs/>
          <w:sz w:val="20"/>
          <w:szCs w:val="20"/>
          <w:u w:val="single"/>
          <w:lang w:eastAsia="es-ES_tradnl"/>
        </w:rPr>
        <w:t>s</w:t>
      </w:r>
      <w:r w:rsidRPr="00D50555">
        <w:rPr>
          <w:rFonts w:ascii="ITC Avant Garde" w:eastAsia="Arial Unicode MS" w:hAnsi="ITC Avant Garde" w:cs="Arial Unicode MS"/>
          <w:b/>
          <w:bCs/>
          <w:sz w:val="20"/>
          <w:szCs w:val="20"/>
          <w:u w:val="single"/>
          <w:lang w:eastAsia="es-ES_tradnl"/>
        </w:rPr>
        <w:t xml:space="preserve"> de su operación, explotación y prórroga, motivo por el cual, debe regularse de conformidad con lo establecido en el Título Sexto de la LFTR</w:t>
      </w:r>
      <w:r w:rsidRPr="00D50555">
        <w:rPr>
          <w:rFonts w:ascii="ITC Avant Garde" w:eastAsia="Arial Unicode MS" w:hAnsi="ITC Avant Garde" w:cs="Arial Unicode MS"/>
          <w:bCs/>
          <w:sz w:val="20"/>
          <w:szCs w:val="20"/>
          <w:lang w:eastAsia="es-ES_tradnl"/>
        </w:rPr>
        <w:t xml:space="preserve"> y en la demás normatividad aplicable vigente, específicamente Las Reglas y </w:t>
      </w:r>
      <w:r w:rsidRPr="007606F2">
        <w:rPr>
          <w:rFonts w:ascii="ITC Avant Garde" w:eastAsia="Arial Unicode MS" w:hAnsi="ITC Avant Garde" w:cs="Arial Unicode MS"/>
          <w:bCs/>
          <w:sz w:val="20"/>
          <w:szCs w:val="20"/>
          <w:lang w:eastAsia="es-ES_tradnl"/>
        </w:rPr>
        <w:t>el Estatuto</w:t>
      </w:r>
      <w:r w:rsidRPr="002F3CB4">
        <w:rPr>
          <w:rFonts w:ascii="ITC Avant Garde" w:eastAsia="Arial Unicode MS" w:hAnsi="ITC Avant Garde" w:cs="Arial Unicode MS"/>
          <w:bCs/>
          <w:color w:val="000000"/>
          <w:sz w:val="20"/>
          <w:szCs w:val="20"/>
          <w:u w:color="000000"/>
          <w:lang w:eastAsia="es-ES_tradnl"/>
        </w:rPr>
        <w:t>.</w:t>
      </w:r>
    </w:p>
    <w:p w:rsidR="00642979" w:rsidRPr="00E562A7" w:rsidRDefault="004828BA" w:rsidP="00E562A7">
      <w:pPr>
        <w:spacing w:after="120" w:line="276" w:lineRule="auto"/>
        <w:jc w:val="both"/>
        <w:rPr>
          <w:color w:val="FF0000"/>
          <w:sz w:val="20"/>
          <w:szCs w:val="20"/>
        </w:rPr>
      </w:pPr>
      <w:r w:rsidRPr="00D50555">
        <w:rPr>
          <w:rFonts w:ascii="ITC Avant Garde" w:eastAsia="Arial Unicode MS" w:hAnsi="ITC Avant Garde" w:cs="Arial Unicode MS"/>
          <w:bCs/>
          <w:sz w:val="20"/>
          <w:szCs w:val="20"/>
          <w:bdr w:val="none" w:sz="0" w:space="0" w:color="auto" w:frame="1"/>
          <w:lang w:val="es-ES_tradnl" w:eastAsia="es-ES_tradnl"/>
        </w:rPr>
        <w:t xml:space="preserve">En ese sentido, </w:t>
      </w:r>
      <w:r w:rsidRPr="00D50555">
        <w:rPr>
          <w:rFonts w:ascii="ITC Avant Garde" w:eastAsia="Arial Unicode MS" w:hAnsi="ITC Avant Garde" w:cs="Arial Unicode MS"/>
          <w:sz w:val="20"/>
          <w:szCs w:val="20"/>
          <w:bdr w:val="none" w:sz="0" w:space="0" w:color="auto" w:frame="1"/>
          <w:lang w:val="es-ES_tradnl" w:eastAsia="es-ES_tradnl"/>
        </w:rPr>
        <w:t>de conformidad con lo dispuesto en el artículo 28, párrafo décimo quinto y décimo sexto de la Constitución Política de los Estados Unidos Mexicanos; 15, fracción LVII y 170, fracción IV, de la Ley Federal de Telecomunicaciones y Radiodifusión; así como 1, 4, fracción I, y 6, fracción XVIII del Estatuto Orgánico del Instituto Federal de Telecomunicaciones, el Pleno emite el siguiente:</w:t>
      </w:r>
    </w:p>
    <w:p w:rsidR="00642979" w:rsidRPr="00C17F5A" w:rsidRDefault="00C17F5A" w:rsidP="00E562A7">
      <w:pPr>
        <w:pStyle w:val="Ttulo2"/>
        <w:spacing w:before="0" w:after="120"/>
        <w:jc w:val="center"/>
        <w:rPr>
          <w:rFonts w:ascii="ITC Avant Garde" w:hAnsi="ITC Avant Garde"/>
          <w:b/>
          <w:color w:val="000000" w:themeColor="text1"/>
          <w:sz w:val="20"/>
          <w:szCs w:val="20"/>
        </w:rPr>
      </w:pPr>
      <w:r>
        <w:rPr>
          <w:rFonts w:ascii="ITC Avant Garde" w:hAnsi="ITC Avant Garde"/>
          <w:b/>
          <w:color w:val="000000" w:themeColor="text1"/>
          <w:sz w:val="20"/>
          <w:szCs w:val="20"/>
        </w:rPr>
        <w:t>ACUERD</w:t>
      </w:r>
      <w:r w:rsidR="004828BA" w:rsidRPr="00E04B0D">
        <w:rPr>
          <w:rFonts w:ascii="ITC Avant Garde" w:hAnsi="ITC Avant Garde"/>
          <w:b/>
          <w:color w:val="000000" w:themeColor="text1"/>
          <w:sz w:val="20"/>
          <w:szCs w:val="20"/>
        </w:rPr>
        <w:t>O</w:t>
      </w:r>
    </w:p>
    <w:p w:rsidR="00642979" w:rsidRPr="00D50555" w:rsidRDefault="004828BA" w:rsidP="00E562A7">
      <w:pPr>
        <w:spacing w:after="120" w:line="276" w:lineRule="auto"/>
        <w:ind w:right="51"/>
        <w:jc w:val="both"/>
        <w:rPr>
          <w:rFonts w:ascii="ITC Avant Garde" w:hAnsi="ITC Avant Garde"/>
          <w:bCs/>
          <w:sz w:val="20"/>
          <w:szCs w:val="20"/>
        </w:rPr>
      </w:pPr>
      <w:r w:rsidRPr="00A9595E">
        <w:rPr>
          <w:rFonts w:ascii="ITC Avant Garde" w:eastAsia="Arial Unicode MS" w:hAnsi="ITC Avant Garde" w:cs="Arial Unicode MS"/>
          <w:b/>
          <w:color w:val="000000"/>
          <w:sz w:val="20"/>
          <w:szCs w:val="20"/>
          <w:u w:color="000000"/>
          <w:lang w:val="es-ES_tradnl" w:eastAsia="es-ES_tradnl"/>
        </w:rPr>
        <w:t xml:space="preserve">PRIMERO.- </w:t>
      </w:r>
      <w:r w:rsidRPr="00D50555">
        <w:rPr>
          <w:rFonts w:ascii="ITC Avant Garde" w:hAnsi="ITC Avant Garde"/>
          <w:bCs/>
          <w:sz w:val="20"/>
          <w:szCs w:val="20"/>
        </w:rPr>
        <w:t>Por las razones expuestas en el Considerando TERCERO del presente Acuerdo, el Pleno de este Instituto confirma el criterio solicitado por PanAmSat de México, S. de R.L. de C.V.</w:t>
      </w:r>
      <w:r w:rsidR="00211681" w:rsidRPr="00D50555">
        <w:rPr>
          <w:rFonts w:ascii="ITC Avant Garde" w:hAnsi="ITC Avant Garde"/>
          <w:bCs/>
          <w:sz w:val="20"/>
          <w:szCs w:val="20"/>
        </w:rPr>
        <w:t>,</w:t>
      </w:r>
      <w:r w:rsidRPr="00D50555">
        <w:rPr>
          <w:rFonts w:ascii="ITC Avant Garde" w:hAnsi="ITC Avant Garde"/>
          <w:bCs/>
          <w:sz w:val="20"/>
          <w:szCs w:val="20"/>
        </w:rPr>
        <w:t xml:space="preserve"> </w:t>
      </w:r>
      <w:r w:rsidR="0072273D" w:rsidRPr="00D50555">
        <w:rPr>
          <w:rFonts w:ascii="ITC Avant Garde" w:hAnsi="ITC Avant Garde"/>
          <w:bCs/>
          <w:sz w:val="20"/>
          <w:szCs w:val="20"/>
        </w:rPr>
        <w:t>en el sentido de que</w:t>
      </w:r>
      <w:r w:rsidR="004950B3">
        <w:rPr>
          <w:rFonts w:ascii="ITC Avant Garde" w:hAnsi="ITC Avant Garde"/>
          <w:bCs/>
          <w:sz w:val="20"/>
          <w:szCs w:val="20"/>
        </w:rPr>
        <w:t xml:space="preserve">, para la operación, explotación y prórroga de su título de concesión </w:t>
      </w:r>
      <w:r w:rsidR="004950B3" w:rsidRPr="00D50555">
        <w:rPr>
          <w:rFonts w:ascii="ITC Avant Garde" w:eastAsia="Arial Unicode MS" w:hAnsi="ITC Avant Garde" w:cs="Arial Unicode MS"/>
          <w:bCs/>
          <w:color w:val="000000"/>
          <w:sz w:val="20"/>
          <w:szCs w:val="20"/>
          <w:u w:color="000000"/>
          <w:lang w:eastAsia="es-ES_tradnl"/>
        </w:rPr>
        <w:t>para explotar los derechos de emisión y recepción de señales de bandas de frecuencias asociadas a sistemas satelitales extranjeros que cubran y puedan prestar servicios en el territorio nacional</w:t>
      </w:r>
      <w:r w:rsidR="006E1D9E">
        <w:rPr>
          <w:rFonts w:ascii="ITC Avant Garde" w:eastAsia="Arial Unicode MS" w:hAnsi="ITC Avant Garde" w:cs="Arial Unicode MS"/>
          <w:bCs/>
          <w:color w:val="000000"/>
          <w:sz w:val="20"/>
          <w:szCs w:val="20"/>
          <w:u w:color="000000"/>
          <w:lang w:eastAsia="es-ES_tradnl"/>
        </w:rPr>
        <w:t xml:space="preserve">, le son aplicables </w:t>
      </w:r>
      <w:r w:rsidR="009B4671" w:rsidRPr="00D50555">
        <w:rPr>
          <w:rFonts w:ascii="ITC Avant Garde" w:hAnsi="ITC Avant Garde"/>
          <w:bCs/>
          <w:sz w:val="20"/>
          <w:szCs w:val="20"/>
        </w:rPr>
        <w:t xml:space="preserve">las </w:t>
      </w:r>
      <w:r w:rsidR="004E3FDB" w:rsidRPr="00D50555">
        <w:rPr>
          <w:rFonts w:ascii="ITC Avant Garde" w:hAnsi="ITC Avant Garde"/>
          <w:bCs/>
          <w:sz w:val="20"/>
          <w:szCs w:val="20"/>
        </w:rPr>
        <w:t>disposiciones</w:t>
      </w:r>
      <w:r w:rsidR="009B4671" w:rsidRPr="00D50555">
        <w:rPr>
          <w:rFonts w:ascii="ITC Avant Garde" w:hAnsi="ITC Avant Garde"/>
          <w:bCs/>
          <w:sz w:val="20"/>
          <w:szCs w:val="20"/>
        </w:rPr>
        <w:t xml:space="preserve"> vigentes </w:t>
      </w:r>
      <w:r w:rsidR="004E3FDB" w:rsidRPr="00D50555">
        <w:rPr>
          <w:rFonts w:ascii="ITC Avant Garde" w:hAnsi="ITC Avant Garde"/>
          <w:bCs/>
          <w:sz w:val="20"/>
          <w:szCs w:val="20"/>
        </w:rPr>
        <w:t>que regulan a las autorizaciones</w:t>
      </w:r>
      <w:r w:rsidR="004E3FDB" w:rsidRPr="00D50555">
        <w:rPr>
          <w:rFonts w:ascii="ITC Avant Garde" w:eastAsia="Arial Unicode MS" w:hAnsi="ITC Avant Garde" w:cs="Arial Unicode MS"/>
          <w:bCs/>
          <w:color w:val="000000"/>
          <w:sz w:val="20"/>
          <w:szCs w:val="20"/>
          <w:u w:color="000000"/>
          <w:lang w:eastAsia="es-ES_tradnl"/>
        </w:rPr>
        <w:t>.</w:t>
      </w:r>
    </w:p>
    <w:p w:rsidR="0011678C" w:rsidRDefault="00A9595E" w:rsidP="00E562A7">
      <w:pPr>
        <w:spacing w:after="120" w:line="276" w:lineRule="auto"/>
        <w:ind w:right="51"/>
        <w:jc w:val="both"/>
        <w:rPr>
          <w:rFonts w:ascii="ITC Avant Garde" w:hAnsi="ITC Avant Garde"/>
          <w:bCs/>
          <w:sz w:val="20"/>
          <w:szCs w:val="20"/>
        </w:rPr>
      </w:pPr>
      <w:r w:rsidRPr="00A9595E">
        <w:rPr>
          <w:rFonts w:ascii="ITC Avant Garde" w:eastAsia="Arial Unicode MS" w:hAnsi="ITC Avant Garde" w:cs="Arial Unicode MS"/>
          <w:b/>
          <w:color w:val="000000"/>
          <w:sz w:val="20"/>
          <w:szCs w:val="20"/>
          <w:u w:color="000000"/>
          <w:lang w:val="es-ES_tradnl" w:eastAsia="es-ES_tradnl"/>
        </w:rPr>
        <w:t>SEGUNDO. -</w:t>
      </w:r>
      <w:r w:rsidR="004828BA" w:rsidRPr="00D50555">
        <w:rPr>
          <w:rFonts w:ascii="ITC Avant Garde" w:hAnsi="ITC Avant Garde"/>
          <w:bCs/>
          <w:sz w:val="20"/>
          <w:szCs w:val="20"/>
        </w:rPr>
        <w:t xml:space="preserve"> Se instruye al Secretario Técnico del Pleno para que en términos del artículo 177, fracción XII de la Ley Federal de Telecomunicaciones y Radiodifusión, inscriba en el Registro Público de Telecomunicaciones el presente Acuerdo.</w:t>
      </w:r>
    </w:p>
    <w:p w:rsidR="00A9595E" w:rsidRPr="00E562A7" w:rsidRDefault="00A9595E" w:rsidP="00E562A7">
      <w:pPr>
        <w:spacing w:after="120" w:line="276" w:lineRule="auto"/>
        <w:ind w:right="51"/>
        <w:jc w:val="both"/>
        <w:rPr>
          <w:rFonts w:ascii="ITC Avant Garde" w:hAnsi="ITC Avant Garde" w:cs="Arial"/>
          <w:sz w:val="20"/>
          <w:szCs w:val="20"/>
        </w:rPr>
      </w:pPr>
      <w:r w:rsidRPr="00A9595E">
        <w:rPr>
          <w:rFonts w:ascii="ITC Avant Garde" w:hAnsi="ITC Avant Garde"/>
          <w:b/>
          <w:sz w:val="20"/>
          <w:szCs w:val="20"/>
        </w:rPr>
        <w:t>TERCERO. -</w:t>
      </w:r>
      <w:r w:rsidR="004828BA" w:rsidRPr="00D50555">
        <w:rPr>
          <w:rFonts w:ascii="ITC Avant Garde" w:hAnsi="ITC Avant Garde"/>
          <w:bCs/>
          <w:sz w:val="20"/>
          <w:szCs w:val="20"/>
        </w:rPr>
        <w:t xml:space="preserve"> Notifíquese.</w:t>
      </w:r>
    </w:p>
    <w:p w:rsidR="0007314B" w:rsidRPr="0007314B" w:rsidRDefault="0007314B" w:rsidP="00E562A7">
      <w:pPr>
        <w:spacing w:after="120" w:line="276" w:lineRule="auto"/>
        <w:jc w:val="both"/>
        <w:rPr>
          <w:rFonts w:ascii="ITC Avant Garde" w:hAnsi="ITC Avant Garde"/>
          <w:sz w:val="14"/>
          <w:szCs w:val="14"/>
          <w:lang w:eastAsia="es-MX"/>
        </w:rPr>
      </w:pPr>
      <w:r w:rsidRPr="0007314B">
        <w:rPr>
          <w:rFonts w:ascii="ITC Avant Garde" w:hAnsi="ITC Avant Garde"/>
          <w:sz w:val="14"/>
          <w:szCs w:val="14"/>
          <w:lang w:val="es-ES" w:eastAsia="es-ES"/>
        </w:rPr>
        <w:t>El presente Acuerdo fue aprobado por el Pleno del Instituto Federal de Telecomunicaciones en su XXIII Sesión Ordinaria celebrada el 4 de julio de 2018</w:t>
      </w:r>
      <w:r w:rsidRPr="0007314B">
        <w:rPr>
          <w:rFonts w:ascii="ITC Avant Garde" w:hAnsi="ITC Avant Garde"/>
          <w:bCs/>
          <w:sz w:val="14"/>
          <w:szCs w:val="14"/>
          <w:lang w:val="es-ES" w:eastAsia="es-ES"/>
        </w:rPr>
        <w:t>, en lo general por</w:t>
      </w:r>
      <w:r w:rsidRPr="0007314B">
        <w:rPr>
          <w:rFonts w:ascii="ITC Avant Garde" w:hAnsi="ITC Avant Garde"/>
          <w:sz w:val="14"/>
          <w:szCs w:val="14"/>
          <w:lang w:val="es-ES" w:eastAsia="es-ES"/>
        </w:rPr>
        <w:t xml:space="preserve"> </w:t>
      </w:r>
      <w:r w:rsidRPr="0007314B">
        <w:rPr>
          <w:rFonts w:ascii="ITC Avant Garde" w:hAnsi="ITC Avant Garde"/>
          <w:bCs/>
          <w:sz w:val="14"/>
          <w:szCs w:val="14"/>
          <w:lang w:val="es-ES" w:eastAsia="es-ES"/>
        </w:rPr>
        <w:t>unanimidad</w:t>
      </w:r>
      <w:r w:rsidRPr="0007314B">
        <w:rPr>
          <w:rFonts w:ascii="ITC Avant Garde" w:hAnsi="ITC Avant Garde"/>
          <w:sz w:val="14"/>
          <w:szCs w:val="14"/>
          <w:lang w:val="es-ES" w:eastAsia="es-ES"/>
        </w:rPr>
        <w:t xml:space="preserve"> de votos de los Comisionados Gabriel Oswaldo Contreras Saldívar, María Elena Estavillo Flores, </w:t>
      </w:r>
      <w:r w:rsidRPr="0007314B">
        <w:rPr>
          <w:rFonts w:ascii="ITC Avant Garde" w:hAnsi="ITC Avant Garde"/>
          <w:sz w:val="14"/>
          <w:szCs w:val="14"/>
          <w:lang w:eastAsia="es-MX"/>
        </w:rPr>
        <w:t>Mario Germán Fromow Rangel, Adolfo Cuevas Teja, Javier Juárez Mojica, Arturo Robles Rovalo y Sóstenes Díaz González.</w:t>
      </w:r>
    </w:p>
    <w:p w:rsidR="0007314B" w:rsidRPr="0007314B" w:rsidRDefault="0007314B" w:rsidP="00E562A7">
      <w:pPr>
        <w:spacing w:after="120" w:line="276" w:lineRule="auto"/>
        <w:jc w:val="both"/>
        <w:rPr>
          <w:rFonts w:ascii="ITC Avant Garde" w:hAnsi="ITC Avant Garde"/>
          <w:sz w:val="14"/>
          <w:szCs w:val="14"/>
          <w:lang w:eastAsia="es-MX"/>
        </w:rPr>
      </w:pPr>
      <w:r w:rsidRPr="0007314B">
        <w:rPr>
          <w:rFonts w:ascii="ITC Avant Garde" w:hAnsi="ITC Avant Garde"/>
          <w:sz w:val="14"/>
          <w:szCs w:val="14"/>
          <w:lang w:eastAsia="es-MX"/>
        </w:rPr>
        <w:t>En lo particular, la Comisionada María Elena Estavillo Flores y el Comisionado Adolfo Cuevas Teja manifiestan voto concurrente.</w:t>
      </w:r>
    </w:p>
    <w:p w:rsidR="0007314B" w:rsidRPr="0007314B" w:rsidRDefault="0007314B" w:rsidP="00E562A7">
      <w:pPr>
        <w:spacing w:after="120" w:line="276" w:lineRule="auto"/>
        <w:jc w:val="both"/>
        <w:rPr>
          <w:rFonts w:ascii="ITC Avant Garde" w:hAnsi="ITC Avant Garde"/>
          <w:sz w:val="14"/>
          <w:szCs w:val="14"/>
          <w:lang w:eastAsia="es-MX"/>
        </w:rPr>
      </w:pPr>
      <w:r w:rsidRPr="0007314B">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P/IFT/040718/466.</w:t>
      </w:r>
    </w:p>
    <w:sectPr w:rsidR="0007314B" w:rsidRPr="0007314B" w:rsidSect="0007314B">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09" w:rsidRDefault="00667E09" w:rsidP="004828BA">
      <w:pPr>
        <w:spacing w:after="0" w:line="240" w:lineRule="auto"/>
      </w:pPr>
      <w:r>
        <w:separator/>
      </w:r>
    </w:p>
  </w:endnote>
  <w:endnote w:type="continuationSeparator" w:id="0">
    <w:p w:rsidR="00667E09" w:rsidRDefault="00667E09" w:rsidP="0048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109243"/>
      <w:docPartObj>
        <w:docPartGallery w:val="Page Numbers (Bottom of Page)"/>
        <w:docPartUnique/>
      </w:docPartObj>
    </w:sdtPr>
    <w:sdtEndPr/>
    <w:sdtContent>
      <w:sdt>
        <w:sdtPr>
          <w:id w:val="1728636285"/>
          <w:docPartObj>
            <w:docPartGallery w:val="Page Numbers (Top of Page)"/>
            <w:docPartUnique/>
          </w:docPartObj>
        </w:sdtPr>
        <w:sdtEndPr/>
        <w:sdtContent>
          <w:p w:rsidR="0012238A" w:rsidRDefault="005A5ABA">
            <w:pPr>
              <w:pStyle w:val="Piedepgina"/>
              <w:jc w:val="center"/>
            </w:pPr>
            <w:r w:rsidRPr="00EE69C4">
              <w:rPr>
                <w:rFonts w:ascii="ITC Avant Garde" w:hAnsi="ITC Avant Garde"/>
                <w:sz w:val="16"/>
                <w:szCs w:val="16"/>
                <w:lang w:val="es-ES"/>
              </w:rPr>
              <w:t xml:space="preserve">Página </w:t>
            </w:r>
            <w:r w:rsidRPr="00EE69C4">
              <w:rPr>
                <w:rFonts w:ascii="ITC Avant Garde" w:hAnsi="ITC Avant Garde"/>
                <w:b/>
                <w:bCs/>
                <w:sz w:val="16"/>
                <w:szCs w:val="16"/>
              </w:rPr>
              <w:fldChar w:fldCharType="begin"/>
            </w:r>
            <w:r w:rsidRPr="00EE69C4">
              <w:rPr>
                <w:rFonts w:ascii="ITC Avant Garde" w:hAnsi="ITC Avant Garde"/>
                <w:b/>
                <w:bCs/>
                <w:sz w:val="16"/>
                <w:szCs w:val="16"/>
              </w:rPr>
              <w:instrText>PAGE</w:instrText>
            </w:r>
            <w:r w:rsidRPr="00EE69C4">
              <w:rPr>
                <w:rFonts w:ascii="ITC Avant Garde" w:hAnsi="ITC Avant Garde"/>
                <w:b/>
                <w:bCs/>
                <w:sz w:val="16"/>
                <w:szCs w:val="16"/>
              </w:rPr>
              <w:fldChar w:fldCharType="separate"/>
            </w:r>
            <w:r w:rsidR="00F56AB7">
              <w:rPr>
                <w:rFonts w:ascii="ITC Avant Garde" w:hAnsi="ITC Avant Garde"/>
                <w:b/>
                <w:bCs/>
                <w:noProof/>
                <w:sz w:val="16"/>
                <w:szCs w:val="16"/>
              </w:rPr>
              <w:t>10</w:t>
            </w:r>
            <w:r w:rsidRPr="00EE69C4">
              <w:rPr>
                <w:rFonts w:ascii="ITC Avant Garde" w:hAnsi="ITC Avant Garde"/>
                <w:b/>
                <w:bCs/>
                <w:sz w:val="16"/>
                <w:szCs w:val="16"/>
              </w:rPr>
              <w:fldChar w:fldCharType="end"/>
            </w:r>
            <w:r w:rsidRPr="00EE69C4">
              <w:rPr>
                <w:rFonts w:ascii="ITC Avant Garde" w:hAnsi="ITC Avant Garde"/>
                <w:sz w:val="16"/>
                <w:szCs w:val="16"/>
                <w:lang w:val="es-ES"/>
              </w:rPr>
              <w:t xml:space="preserve"> de </w:t>
            </w:r>
            <w:r w:rsidRPr="00EE69C4">
              <w:rPr>
                <w:rFonts w:ascii="ITC Avant Garde" w:hAnsi="ITC Avant Garde"/>
                <w:b/>
                <w:bCs/>
                <w:sz w:val="16"/>
                <w:szCs w:val="16"/>
              </w:rPr>
              <w:fldChar w:fldCharType="begin"/>
            </w:r>
            <w:r w:rsidRPr="00EE69C4">
              <w:rPr>
                <w:rFonts w:ascii="ITC Avant Garde" w:hAnsi="ITC Avant Garde"/>
                <w:b/>
                <w:bCs/>
                <w:sz w:val="16"/>
                <w:szCs w:val="16"/>
              </w:rPr>
              <w:instrText>NUMPAGES</w:instrText>
            </w:r>
            <w:r w:rsidRPr="00EE69C4">
              <w:rPr>
                <w:rFonts w:ascii="ITC Avant Garde" w:hAnsi="ITC Avant Garde"/>
                <w:b/>
                <w:bCs/>
                <w:sz w:val="16"/>
                <w:szCs w:val="16"/>
              </w:rPr>
              <w:fldChar w:fldCharType="separate"/>
            </w:r>
            <w:r w:rsidR="00F56AB7">
              <w:rPr>
                <w:rFonts w:ascii="ITC Avant Garde" w:hAnsi="ITC Avant Garde"/>
                <w:b/>
                <w:bCs/>
                <w:noProof/>
                <w:sz w:val="16"/>
                <w:szCs w:val="16"/>
              </w:rPr>
              <w:t>10</w:t>
            </w:r>
            <w:r w:rsidRPr="00EE69C4">
              <w:rPr>
                <w:rFonts w:ascii="ITC Avant Garde" w:hAnsi="ITC Avant Garde"/>
                <w:b/>
                <w:bCs/>
                <w:sz w:val="16"/>
                <w:szCs w:val="16"/>
              </w:rPr>
              <w:fldChar w:fldCharType="end"/>
            </w:r>
          </w:p>
        </w:sdtContent>
      </w:sdt>
    </w:sdtContent>
  </w:sdt>
  <w:p w:rsidR="0012238A" w:rsidRDefault="001223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09" w:rsidRDefault="00667E09" w:rsidP="004828BA">
      <w:pPr>
        <w:spacing w:after="0" w:line="240" w:lineRule="auto"/>
      </w:pPr>
      <w:r>
        <w:separator/>
      </w:r>
    </w:p>
  </w:footnote>
  <w:footnote w:type="continuationSeparator" w:id="0">
    <w:p w:rsidR="00667E09" w:rsidRDefault="00667E09" w:rsidP="004828BA">
      <w:pPr>
        <w:spacing w:after="0" w:line="240" w:lineRule="auto"/>
      </w:pPr>
      <w:r>
        <w:continuationSeparator/>
      </w:r>
    </w:p>
  </w:footnote>
  <w:footnote w:id="1">
    <w:p w:rsidR="009D1C22" w:rsidRPr="00CD1816" w:rsidRDefault="009D1C22" w:rsidP="00E562A7">
      <w:pPr>
        <w:spacing w:after="120"/>
        <w:ind w:right="51"/>
        <w:jc w:val="both"/>
        <w:rPr>
          <w:rFonts w:ascii="ITC Avant Garde" w:hAnsi="ITC Avant Garde"/>
          <w:i/>
          <w:sz w:val="18"/>
          <w:szCs w:val="18"/>
        </w:rPr>
      </w:pPr>
      <w:r w:rsidRPr="00CD1816">
        <w:rPr>
          <w:rStyle w:val="Refdenotaalpie"/>
          <w:rFonts w:ascii="ITC Avant Garde" w:hAnsi="ITC Avant Garde"/>
          <w:i/>
          <w:sz w:val="18"/>
          <w:szCs w:val="18"/>
        </w:rPr>
        <w:footnoteRef/>
      </w:r>
      <w:r w:rsidRPr="00CD1816">
        <w:rPr>
          <w:rFonts w:ascii="ITC Avant Garde" w:hAnsi="ITC Avant Garde"/>
          <w:i/>
          <w:sz w:val="18"/>
          <w:szCs w:val="18"/>
        </w:rPr>
        <w:t xml:space="preserve"> </w:t>
      </w:r>
      <w:r w:rsidRPr="00CD1816">
        <w:rPr>
          <w:rFonts w:ascii="ITC Avant Garde" w:hAnsi="ITC Avant Garde"/>
          <w:b/>
          <w:i/>
          <w:sz w:val="18"/>
          <w:szCs w:val="18"/>
        </w:rPr>
        <w:t>Regla 12.</w:t>
      </w:r>
      <w:r w:rsidRPr="00CD1816">
        <w:rPr>
          <w:rFonts w:ascii="ITC Avant Garde" w:hAnsi="ITC Avant Garde"/>
          <w:i/>
          <w:sz w:val="18"/>
          <w:szCs w:val="18"/>
        </w:rPr>
        <w:t> En el caso de reubicaciones, adiciones o reemplazos de satélites que operen con características técnicas diferentes a las autorizadas, el interesado deberá solicitar la modificación correspondiente presentando al Instituto el Formato "IFT-Autorización-C" que forma parte de las presentes Reglas, debidamente requisitado conforme a la Regla 4, con la información y documentación respectiva, y el comprobante del pago de derechos o aprovechamientos correspondiente.</w:t>
      </w:r>
    </w:p>
    <w:p w:rsidR="009D1C22" w:rsidRPr="00CD1816" w:rsidRDefault="009D1C22" w:rsidP="00E562A7">
      <w:pPr>
        <w:spacing w:after="120"/>
        <w:ind w:right="51"/>
        <w:jc w:val="both"/>
        <w:rPr>
          <w:rFonts w:ascii="ITC Avant Garde" w:hAnsi="ITC Avant Garde"/>
          <w:i/>
          <w:sz w:val="18"/>
          <w:szCs w:val="18"/>
        </w:rPr>
      </w:pPr>
      <w:r w:rsidRPr="00CD1816">
        <w:rPr>
          <w:rFonts w:ascii="ITC Avant Garde" w:hAnsi="ITC Avant Garde"/>
          <w:b/>
          <w:i/>
          <w:sz w:val="18"/>
          <w:szCs w:val="18"/>
        </w:rPr>
        <w:t>Regla 24. </w:t>
      </w:r>
      <w:r w:rsidRPr="00CD1816">
        <w:rPr>
          <w:rFonts w:ascii="ITC Avant Garde" w:hAnsi="ITC Avant Garde"/>
          <w:i/>
          <w:sz w:val="18"/>
          <w:szCs w:val="18"/>
        </w:rPr>
        <w:t>Las Autorizaciones podrán modificarse durante su vigencia, previa presentación de la solicitud al Instituto, a fin de que éste resuelva lo conducente dentro de un plazo no mayor a 30 (treinta) días hábiles siguientes a la fecha de su recepción.</w:t>
      </w:r>
    </w:p>
    <w:p w:rsidR="009D1C22" w:rsidRPr="00E562A7" w:rsidRDefault="009D1C22" w:rsidP="00E562A7">
      <w:pPr>
        <w:spacing w:after="120"/>
        <w:ind w:right="51"/>
        <w:jc w:val="both"/>
        <w:rPr>
          <w:rFonts w:ascii="ITC Avant Garde" w:hAnsi="ITC Avant Garde"/>
          <w:i/>
          <w:sz w:val="18"/>
          <w:szCs w:val="18"/>
        </w:rPr>
      </w:pPr>
      <w:r w:rsidRPr="00CD1816">
        <w:rPr>
          <w:rFonts w:ascii="ITC Avant Garde" w:hAnsi="ITC Avant Garde"/>
          <w:i/>
          <w:sz w:val="18"/>
          <w:szCs w:val="18"/>
        </w:rPr>
        <w:t>Los interesados en tramitar la modificación de su Autorización deberán presentar el Formato que corresponda debidamente requisitado en lo aplicable, con los requisitos referidos en la Regla 4 y la información y documentación respectiva, así como, en su caso, el comprobante del pago de derechos o aprovechamientos correspondiente.</w:t>
      </w:r>
    </w:p>
  </w:footnote>
  <w:footnote w:id="2">
    <w:p w:rsidR="00706A7C" w:rsidRDefault="00706A7C" w:rsidP="00E562A7">
      <w:pPr>
        <w:spacing w:after="120"/>
        <w:ind w:right="49"/>
        <w:jc w:val="both"/>
        <w:rPr>
          <w:rFonts w:ascii="ITC Avant Garde" w:hAnsi="ITC Avant Garde"/>
          <w:b/>
          <w:i/>
          <w:sz w:val="18"/>
          <w:szCs w:val="18"/>
        </w:rPr>
      </w:pPr>
      <w:r>
        <w:rPr>
          <w:rStyle w:val="Refdenotaalpie"/>
        </w:rPr>
        <w:footnoteRef/>
      </w:r>
      <w:r w:rsidRPr="00243AAE">
        <w:rPr>
          <w:rFonts w:ascii="ITC Avant Garde" w:hAnsi="ITC Avant Garde"/>
          <w:b/>
          <w:i/>
          <w:sz w:val="18"/>
          <w:szCs w:val="18"/>
        </w:rPr>
        <w:t xml:space="preserve">CAPÍTULO XIII </w:t>
      </w:r>
    </w:p>
    <w:p w:rsidR="00706A7C" w:rsidRPr="00243AAE" w:rsidRDefault="00706A7C" w:rsidP="00E562A7">
      <w:pPr>
        <w:spacing w:after="120"/>
        <w:ind w:right="49"/>
        <w:jc w:val="both"/>
        <w:rPr>
          <w:rFonts w:ascii="ITC Avant Garde" w:hAnsi="ITC Avant Garde"/>
          <w:b/>
          <w:i/>
          <w:sz w:val="18"/>
          <w:szCs w:val="18"/>
        </w:rPr>
      </w:pPr>
      <w:r w:rsidRPr="00243AAE">
        <w:rPr>
          <w:rFonts w:ascii="ITC Avant Garde" w:hAnsi="ITC Avant Garde"/>
          <w:b/>
          <w:i/>
          <w:sz w:val="18"/>
          <w:szCs w:val="18"/>
        </w:rPr>
        <w:t>De la Unidad de Concesiones y Servicios</w:t>
      </w:r>
    </w:p>
    <w:p w:rsidR="00706A7C" w:rsidRPr="00E562A7" w:rsidRDefault="00706A7C" w:rsidP="00E562A7">
      <w:pPr>
        <w:spacing w:after="120"/>
        <w:ind w:right="49"/>
        <w:jc w:val="both"/>
        <w:rPr>
          <w:rFonts w:ascii="ITC Avant Garde" w:hAnsi="ITC Avant Garde"/>
          <w:i/>
          <w:sz w:val="18"/>
          <w:szCs w:val="18"/>
        </w:rPr>
      </w:pPr>
      <w:r w:rsidRPr="00243AAE">
        <w:rPr>
          <w:rFonts w:ascii="ITC Avant Garde" w:hAnsi="ITC Avant Garde"/>
          <w:b/>
          <w:i/>
          <w:sz w:val="18"/>
          <w:szCs w:val="18"/>
        </w:rPr>
        <w:t xml:space="preserve">Artículo 32. </w:t>
      </w:r>
      <w:r w:rsidRPr="00600E75">
        <w:rPr>
          <w:rFonts w:ascii="ITC Avant Garde" w:hAnsi="ITC Avant Garde"/>
          <w:i/>
          <w:sz w:val="18"/>
          <w:szCs w:val="18"/>
        </w:rPr>
        <w:t>La Unidad de Concesiones y Servicios tendrá adscritas a su cargo la Dirección General de Concesiones de Telecomunicaciones, la Dirección General de Concesiones de Radiodifusión y la Dirección General de Autorizaciones y Servicios, así como la Dirección General Adjunta del Registro Público de Telecomunicaciones. Al Titular de la Unidad de Concesiones y Servicios le corresponden originariamente las atribuciones conferidas a las Direcciones Generales y la Dirección General Ajunta previstas en este Capítulo del Estatuto Orgánico.</w:t>
      </w:r>
    </w:p>
    <w:p w:rsidR="00706A7C" w:rsidRPr="00600E75" w:rsidRDefault="00706A7C" w:rsidP="00E562A7">
      <w:pPr>
        <w:spacing w:after="120"/>
        <w:ind w:right="49"/>
        <w:jc w:val="both"/>
        <w:rPr>
          <w:rFonts w:ascii="ITC Avant Garde" w:hAnsi="ITC Avant Garde"/>
          <w:i/>
          <w:sz w:val="18"/>
          <w:szCs w:val="18"/>
        </w:rPr>
      </w:pPr>
      <w:r w:rsidRPr="00243AAE">
        <w:rPr>
          <w:rFonts w:ascii="ITC Avant Garde" w:hAnsi="ITC Avant Garde"/>
          <w:b/>
          <w:i/>
          <w:sz w:val="18"/>
          <w:szCs w:val="18"/>
        </w:rPr>
        <w:t xml:space="preserve">Artículo 35. </w:t>
      </w:r>
      <w:r w:rsidRPr="00600E75">
        <w:rPr>
          <w:rFonts w:ascii="ITC Avant Garde" w:hAnsi="ITC Avant Garde"/>
          <w:i/>
          <w:sz w:val="18"/>
          <w:szCs w:val="18"/>
        </w:rPr>
        <w:t>Corresponde a la Dirección General de Autorizaciones y Servicios el ejercicio de las siguientes atribuciones:</w:t>
      </w:r>
    </w:p>
    <w:p w:rsidR="00706A7C" w:rsidRPr="00600E75" w:rsidRDefault="00706A7C" w:rsidP="00E562A7">
      <w:pPr>
        <w:spacing w:after="120"/>
        <w:ind w:right="49"/>
        <w:jc w:val="both"/>
        <w:rPr>
          <w:rFonts w:ascii="ITC Avant Garde" w:hAnsi="ITC Avant Garde"/>
          <w:i/>
          <w:sz w:val="18"/>
          <w:szCs w:val="18"/>
        </w:rPr>
      </w:pPr>
      <w:r w:rsidRPr="00600E75">
        <w:rPr>
          <w:rFonts w:ascii="ITC Avant Garde" w:hAnsi="ITC Avant Garde"/>
          <w:i/>
          <w:sz w:val="18"/>
          <w:szCs w:val="18"/>
        </w:rPr>
        <w:t xml:space="preserve">(…) </w:t>
      </w:r>
    </w:p>
    <w:p w:rsidR="00706A7C" w:rsidRPr="00600E75" w:rsidRDefault="00706A7C" w:rsidP="00E562A7">
      <w:pPr>
        <w:spacing w:after="120"/>
        <w:ind w:right="49"/>
        <w:jc w:val="both"/>
        <w:rPr>
          <w:rFonts w:ascii="ITC Avant Garde" w:hAnsi="ITC Avant Garde"/>
          <w:i/>
          <w:sz w:val="18"/>
          <w:szCs w:val="18"/>
        </w:rPr>
      </w:pPr>
      <w:r w:rsidRPr="00600E75">
        <w:rPr>
          <w:rFonts w:ascii="ITC Avant Garde" w:hAnsi="ITC Avant Garde"/>
          <w:i/>
          <w:sz w:val="18"/>
          <w:szCs w:val="18"/>
        </w:rPr>
        <w:t>II. Tramitar, evaluar y, en su caso, otorgar las autorizaciones a que se refiere el artículo 170 de la Ley de Telecomunicaciones, así como resolver respecto de la modificación, cesión o prórroga de éstas y de permisos en materia de telecomunicaciones, previa opinión de las unidades competentes;</w:t>
      </w:r>
    </w:p>
    <w:p w:rsidR="000408DE" w:rsidRPr="00600E75" w:rsidRDefault="00706A7C" w:rsidP="00E562A7">
      <w:pPr>
        <w:spacing w:after="120"/>
        <w:ind w:right="49"/>
        <w:jc w:val="both"/>
        <w:rPr>
          <w:rFonts w:ascii="ITC Avant Garde" w:hAnsi="ITC Avant Garde"/>
          <w:i/>
          <w:sz w:val="18"/>
          <w:szCs w:val="18"/>
        </w:rPr>
      </w:pPr>
      <w:r w:rsidRPr="00600E75">
        <w:rPr>
          <w:rFonts w:ascii="ITC Avant Garde" w:hAnsi="ITC Avant Garde"/>
          <w:i/>
          <w:sz w:val="18"/>
          <w:szCs w:val="18"/>
        </w:rPr>
        <w:t>(…)</w:t>
      </w:r>
    </w:p>
  </w:footnote>
  <w:footnote w:id="3">
    <w:p w:rsidR="000408DE" w:rsidRPr="00BB1A3F" w:rsidRDefault="000408DE" w:rsidP="00E562A7">
      <w:pPr>
        <w:pStyle w:val="Default"/>
        <w:spacing w:after="120"/>
        <w:jc w:val="both"/>
        <w:rPr>
          <w:rFonts w:ascii="ITC Avant Garde" w:hAnsi="ITC Avant Garde"/>
          <w:i/>
          <w:sz w:val="18"/>
          <w:szCs w:val="18"/>
        </w:rPr>
      </w:pPr>
      <w:r w:rsidRPr="00BB1A3F">
        <w:rPr>
          <w:rStyle w:val="Refdenotaalpie"/>
          <w:rFonts w:ascii="ITC Avant Garde" w:hAnsi="ITC Avant Garde"/>
          <w:i/>
          <w:sz w:val="18"/>
          <w:szCs w:val="18"/>
        </w:rPr>
        <w:footnoteRef/>
      </w:r>
      <w:r w:rsidRPr="00BB1A3F">
        <w:rPr>
          <w:rFonts w:ascii="ITC Avant Garde" w:hAnsi="ITC Avant Garde"/>
          <w:i/>
          <w:sz w:val="18"/>
          <w:szCs w:val="18"/>
        </w:rPr>
        <w:t xml:space="preserve"> </w:t>
      </w:r>
      <w:r w:rsidRPr="00BB1A3F">
        <w:rPr>
          <w:rFonts w:ascii="ITC Avant Garde" w:hAnsi="ITC Avant Garde"/>
          <w:b/>
          <w:bCs/>
          <w:i/>
          <w:sz w:val="18"/>
          <w:szCs w:val="18"/>
        </w:rPr>
        <w:t xml:space="preserve">Artículo 17. </w:t>
      </w:r>
      <w:r w:rsidRPr="00BB1A3F">
        <w:rPr>
          <w:rFonts w:ascii="ITC Avant Garde" w:hAnsi="ITC Avant Garde"/>
          <w:i/>
          <w:sz w:val="18"/>
          <w:szCs w:val="18"/>
        </w:rPr>
        <w:t xml:space="preserve">Corresponde originariamente al Pleno el ejercicio de las facultades establecidas en el artículo 15 y de manera exclusiva e indelegable: </w:t>
      </w:r>
    </w:p>
    <w:p w:rsidR="000408DE" w:rsidRPr="00BB1A3F" w:rsidRDefault="000408DE" w:rsidP="00E562A7">
      <w:pPr>
        <w:pStyle w:val="Textonotapie"/>
        <w:spacing w:after="120"/>
        <w:jc w:val="both"/>
        <w:rPr>
          <w:rFonts w:ascii="ITC Avant Garde" w:hAnsi="ITC Avant Garde"/>
          <w:i/>
          <w:sz w:val="18"/>
          <w:szCs w:val="18"/>
        </w:rPr>
      </w:pPr>
      <w:r w:rsidRPr="00BB1A3F">
        <w:rPr>
          <w:rFonts w:ascii="ITC Avant Garde" w:hAnsi="ITC Avant Garde"/>
          <w:b/>
          <w:i/>
          <w:sz w:val="18"/>
          <w:szCs w:val="18"/>
        </w:rPr>
        <w:t>I.</w:t>
      </w:r>
      <w:r w:rsidRPr="00BB1A3F">
        <w:rPr>
          <w:rFonts w:ascii="ITC Avant Garde" w:hAnsi="ITC Avant Garde"/>
          <w:i/>
          <w:sz w:val="18"/>
          <w:szCs w:val="18"/>
        </w:rPr>
        <w:t xml:space="preserve"> Resolver los asuntos a los que se refieren las fracciones: I, II, III, IV, V, VI, VIII, IX, X, XI, XII, XIII, XIV, XV, XVII, XIX, XX, XXI, XXII, XXIII, XXXI, XL, XLI, XLIII, XLV, XLVIII, XLIX, LI, LIII, LIV, LVI, y LXII de dicho artículo.</w:t>
      </w:r>
    </w:p>
    <w:p w:rsidR="000408DE" w:rsidRPr="00BB1A3F" w:rsidRDefault="000408DE" w:rsidP="00E562A7">
      <w:pPr>
        <w:pStyle w:val="Textonotapie"/>
        <w:spacing w:after="120"/>
        <w:jc w:val="both"/>
        <w:rPr>
          <w:rFonts w:ascii="ITC Avant Garde" w:hAnsi="ITC Avant Garde"/>
          <w:i/>
          <w:sz w:val="18"/>
          <w:szCs w:val="18"/>
        </w:rPr>
      </w:pPr>
      <w:r w:rsidRPr="00BB1A3F">
        <w:rPr>
          <w:rFonts w:ascii="ITC Avant Garde" w:hAnsi="ITC Avant Garde"/>
          <w:i/>
          <w:sz w:val="18"/>
          <w:szCs w:val="18"/>
        </w:rPr>
        <w:t>(…)</w:t>
      </w:r>
    </w:p>
    <w:p w:rsidR="000408DE" w:rsidRPr="00BB1A3F" w:rsidRDefault="000408DE" w:rsidP="00E562A7">
      <w:pPr>
        <w:pStyle w:val="Textonotapie"/>
        <w:spacing w:after="120"/>
        <w:jc w:val="both"/>
        <w:rPr>
          <w:rFonts w:ascii="ITC Avant Garde" w:hAnsi="ITC Avant Garde"/>
          <w:i/>
          <w:sz w:val="18"/>
          <w:szCs w:val="18"/>
        </w:rPr>
      </w:pPr>
      <w:r w:rsidRPr="00BB1A3F">
        <w:rPr>
          <w:rFonts w:ascii="ITC Avant Garde" w:hAnsi="ITC Avant Garde"/>
          <w:b/>
          <w:bCs/>
          <w:i/>
          <w:sz w:val="18"/>
          <w:szCs w:val="18"/>
        </w:rPr>
        <w:t xml:space="preserve">Artículo 15. </w:t>
      </w:r>
      <w:r w:rsidRPr="00BB1A3F">
        <w:rPr>
          <w:rFonts w:ascii="ITC Avant Garde" w:hAnsi="ITC Avant Garde"/>
          <w:i/>
          <w:sz w:val="18"/>
          <w:szCs w:val="18"/>
        </w:rPr>
        <w:t>Para el ejercicio de sus atribuciones corresponde al Instituto:</w:t>
      </w:r>
    </w:p>
    <w:p w:rsidR="000408DE" w:rsidRPr="00BB1A3F" w:rsidRDefault="000408DE" w:rsidP="00E562A7">
      <w:pPr>
        <w:pStyle w:val="Textonotapie"/>
        <w:spacing w:after="120"/>
        <w:jc w:val="both"/>
        <w:rPr>
          <w:rFonts w:ascii="ITC Avant Garde" w:hAnsi="ITC Avant Garde"/>
          <w:i/>
          <w:sz w:val="18"/>
          <w:szCs w:val="18"/>
        </w:rPr>
      </w:pPr>
      <w:r w:rsidRPr="00BB1A3F">
        <w:rPr>
          <w:rFonts w:ascii="ITC Avant Garde" w:hAnsi="ITC Avant Garde"/>
          <w:i/>
          <w:sz w:val="18"/>
          <w:szCs w:val="18"/>
        </w:rPr>
        <w:t>(…)</w:t>
      </w:r>
    </w:p>
    <w:p w:rsidR="000408DE" w:rsidRPr="00BB1A3F" w:rsidRDefault="000408DE" w:rsidP="00E562A7">
      <w:pPr>
        <w:pStyle w:val="Textonotapie"/>
        <w:spacing w:after="120"/>
        <w:jc w:val="both"/>
        <w:rPr>
          <w:rFonts w:ascii="ITC Avant Garde" w:hAnsi="ITC Avant Garde"/>
          <w:i/>
          <w:sz w:val="18"/>
          <w:szCs w:val="18"/>
        </w:rPr>
      </w:pPr>
      <w:r w:rsidRPr="00BB1A3F">
        <w:rPr>
          <w:rFonts w:ascii="ITC Avant Garde" w:hAnsi="ITC Avant Garde"/>
          <w:b/>
          <w:bCs/>
          <w:i/>
          <w:sz w:val="18"/>
          <w:szCs w:val="18"/>
        </w:rPr>
        <w:t xml:space="preserve">IV. </w:t>
      </w:r>
      <w:r w:rsidRPr="00BB1A3F">
        <w:rPr>
          <w:rFonts w:ascii="ITC Avant Garde" w:hAnsi="ITC Avant Garde"/>
          <w:i/>
          <w:sz w:val="18"/>
          <w:szCs w:val="18"/>
        </w:rPr>
        <w:t>Otorgar las concesiones previstas en esta Ley y resolver sobre su prórroga, modificación o terminación por revocación, rescate o quiebra, así como autorizar cesiones o cambios de control accionario, titularidad u operación de sociedades relacionadas con concesiones;</w:t>
      </w:r>
    </w:p>
    <w:p w:rsidR="000408DE" w:rsidRPr="00BB1A3F" w:rsidRDefault="000408DE" w:rsidP="00E562A7">
      <w:pPr>
        <w:pStyle w:val="Textonotapie"/>
        <w:spacing w:after="120"/>
        <w:jc w:val="both"/>
        <w:rPr>
          <w:rFonts w:ascii="ITC Avant Garde" w:hAnsi="ITC Avant Garde"/>
          <w:i/>
          <w:sz w:val="18"/>
          <w:szCs w:val="18"/>
        </w:rPr>
      </w:pPr>
      <w:r w:rsidRPr="00BB1A3F">
        <w:rPr>
          <w:rFonts w:ascii="ITC Avant Garde" w:hAnsi="ITC Avant Garde"/>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5796D"/>
    <w:multiLevelType w:val="hybridMultilevel"/>
    <w:tmpl w:val="0FE87796"/>
    <w:lvl w:ilvl="0" w:tplc="332C7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BA"/>
    <w:rsid w:val="00002F90"/>
    <w:rsid w:val="00007E24"/>
    <w:rsid w:val="00010501"/>
    <w:rsid w:val="0001505D"/>
    <w:rsid w:val="0003298A"/>
    <w:rsid w:val="0003442B"/>
    <w:rsid w:val="00035531"/>
    <w:rsid w:val="000408DE"/>
    <w:rsid w:val="000562E0"/>
    <w:rsid w:val="00063C38"/>
    <w:rsid w:val="000663D7"/>
    <w:rsid w:val="000722EF"/>
    <w:rsid w:val="0007314B"/>
    <w:rsid w:val="000735BE"/>
    <w:rsid w:val="00081D2E"/>
    <w:rsid w:val="00081D84"/>
    <w:rsid w:val="00085BAA"/>
    <w:rsid w:val="000870E4"/>
    <w:rsid w:val="0009301B"/>
    <w:rsid w:val="000970D4"/>
    <w:rsid w:val="000A1079"/>
    <w:rsid w:val="000A24A8"/>
    <w:rsid w:val="000A7F05"/>
    <w:rsid w:val="000B4D0A"/>
    <w:rsid w:val="000B4EC5"/>
    <w:rsid w:val="000C1C6C"/>
    <w:rsid w:val="000D38EC"/>
    <w:rsid w:val="000E0A32"/>
    <w:rsid w:val="000E1724"/>
    <w:rsid w:val="000E798C"/>
    <w:rsid w:val="000F076A"/>
    <w:rsid w:val="000F4ABC"/>
    <w:rsid w:val="00101434"/>
    <w:rsid w:val="00102464"/>
    <w:rsid w:val="00103500"/>
    <w:rsid w:val="0010583B"/>
    <w:rsid w:val="00111509"/>
    <w:rsid w:val="00112FBA"/>
    <w:rsid w:val="00113431"/>
    <w:rsid w:val="00114827"/>
    <w:rsid w:val="0011678C"/>
    <w:rsid w:val="00116A43"/>
    <w:rsid w:val="0012128A"/>
    <w:rsid w:val="0012238A"/>
    <w:rsid w:val="001223D2"/>
    <w:rsid w:val="0012658E"/>
    <w:rsid w:val="001304AE"/>
    <w:rsid w:val="00132181"/>
    <w:rsid w:val="00134D43"/>
    <w:rsid w:val="00144AAD"/>
    <w:rsid w:val="00152E9A"/>
    <w:rsid w:val="001531D6"/>
    <w:rsid w:val="00154934"/>
    <w:rsid w:val="001550B5"/>
    <w:rsid w:val="00161805"/>
    <w:rsid w:val="001647CF"/>
    <w:rsid w:val="001653FA"/>
    <w:rsid w:val="00166D78"/>
    <w:rsid w:val="00167FD9"/>
    <w:rsid w:val="00171824"/>
    <w:rsid w:val="00171DFF"/>
    <w:rsid w:val="00172D1A"/>
    <w:rsid w:val="001751F1"/>
    <w:rsid w:val="00176894"/>
    <w:rsid w:val="00186B32"/>
    <w:rsid w:val="0019106B"/>
    <w:rsid w:val="00195FC3"/>
    <w:rsid w:val="001A07A0"/>
    <w:rsid w:val="001A1914"/>
    <w:rsid w:val="001A283F"/>
    <w:rsid w:val="001A38D7"/>
    <w:rsid w:val="001A73A6"/>
    <w:rsid w:val="001B2C34"/>
    <w:rsid w:val="001B3DF4"/>
    <w:rsid w:val="001C2141"/>
    <w:rsid w:val="001D0219"/>
    <w:rsid w:val="001D1438"/>
    <w:rsid w:val="001D39E2"/>
    <w:rsid w:val="001D3D3D"/>
    <w:rsid w:val="001D4652"/>
    <w:rsid w:val="001D4A15"/>
    <w:rsid w:val="001D59CE"/>
    <w:rsid w:val="001D6E82"/>
    <w:rsid w:val="001E2055"/>
    <w:rsid w:val="001E23D2"/>
    <w:rsid w:val="001E3B81"/>
    <w:rsid w:val="001F26DC"/>
    <w:rsid w:val="001F28BA"/>
    <w:rsid w:val="001F53AE"/>
    <w:rsid w:val="002033A5"/>
    <w:rsid w:val="00205F6D"/>
    <w:rsid w:val="00207149"/>
    <w:rsid w:val="0020766F"/>
    <w:rsid w:val="00210FB1"/>
    <w:rsid w:val="00211681"/>
    <w:rsid w:val="002122FF"/>
    <w:rsid w:val="002130D0"/>
    <w:rsid w:val="00216BC8"/>
    <w:rsid w:val="00217AEA"/>
    <w:rsid w:val="002202CA"/>
    <w:rsid w:val="00225ACB"/>
    <w:rsid w:val="00227F92"/>
    <w:rsid w:val="00231404"/>
    <w:rsid w:val="002338AC"/>
    <w:rsid w:val="00234013"/>
    <w:rsid w:val="00237D47"/>
    <w:rsid w:val="00240276"/>
    <w:rsid w:val="00241BD3"/>
    <w:rsid w:val="00243AAE"/>
    <w:rsid w:val="00244700"/>
    <w:rsid w:val="00252B51"/>
    <w:rsid w:val="00256FAF"/>
    <w:rsid w:val="00260037"/>
    <w:rsid w:val="00260060"/>
    <w:rsid w:val="002679F1"/>
    <w:rsid w:val="00271555"/>
    <w:rsid w:val="0028075D"/>
    <w:rsid w:val="00282374"/>
    <w:rsid w:val="00283AB2"/>
    <w:rsid w:val="00285AC5"/>
    <w:rsid w:val="002949B4"/>
    <w:rsid w:val="00294AB9"/>
    <w:rsid w:val="002A228A"/>
    <w:rsid w:val="002A2C60"/>
    <w:rsid w:val="002A45B2"/>
    <w:rsid w:val="002A5287"/>
    <w:rsid w:val="002A5D10"/>
    <w:rsid w:val="002B3CE5"/>
    <w:rsid w:val="002B7398"/>
    <w:rsid w:val="002B7B80"/>
    <w:rsid w:val="002C2593"/>
    <w:rsid w:val="002C7EFC"/>
    <w:rsid w:val="002D55F7"/>
    <w:rsid w:val="002D62F4"/>
    <w:rsid w:val="002E16FC"/>
    <w:rsid w:val="002E2C19"/>
    <w:rsid w:val="002E2F50"/>
    <w:rsid w:val="002F3CB4"/>
    <w:rsid w:val="002F7F41"/>
    <w:rsid w:val="00300657"/>
    <w:rsid w:val="003042AC"/>
    <w:rsid w:val="00304AC6"/>
    <w:rsid w:val="003056CC"/>
    <w:rsid w:val="003068BB"/>
    <w:rsid w:val="00315F2F"/>
    <w:rsid w:val="00324B61"/>
    <w:rsid w:val="003331BC"/>
    <w:rsid w:val="003368FF"/>
    <w:rsid w:val="00337B26"/>
    <w:rsid w:val="00341455"/>
    <w:rsid w:val="00344BBE"/>
    <w:rsid w:val="003451B7"/>
    <w:rsid w:val="00361ED1"/>
    <w:rsid w:val="00362703"/>
    <w:rsid w:val="00364B03"/>
    <w:rsid w:val="00366CDF"/>
    <w:rsid w:val="00374FBD"/>
    <w:rsid w:val="00381F05"/>
    <w:rsid w:val="00384F3C"/>
    <w:rsid w:val="00386B70"/>
    <w:rsid w:val="00387C96"/>
    <w:rsid w:val="00392664"/>
    <w:rsid w:val="003968E6"/>
    <w:rsid w:val="003A05AB"/>
    <w:rsid w:val="003A0B94"/>
    <w:rsid w:val="003A11FD"/>
    <w:rsid w:val="003A4994"/>
    <w:rsid w:val="003A6660"/>
    <w:rsid w:val="003B3D7F"/>
    <w:rsid w:val="003C140E"/>
    <w:rsid w:val="003D4773"/>
    <w:rsid w:val="003E35E5"/>
    <w:rsid w:val="003E3CA9"/>
    <w:rsid w:val="003F02AE"/>
    <w:rsid w:val="003F361B"/>
    <w:rsid w:val="003F4F69"/>
    <w:rsid w:val="00403520"/>
    <w:rsid w:val="004061C4"/>
    <w:rsid w:val="004064F9"/>
    <w:rsid w:val="00406FD1"/>
    <w:rsid w:val="004114EA"/>
    <w:rsid w:val="004148E5"/>
    <w:rsid w:val="00417C23"/>
    <w:rsid w:val="0042121B"/>
    <w:rsid w:val="00424EE0"/>
    <w:rsid w:val="00425E57"/>
    <w:rsid w:val="00433B88"/>
    <w:rsid w:val="004340E6"/>
    <w:rsid w:val="00441BA1"/>
    <w:rsid w:val="004466F4"/>
    <w:rsid w:val="0045055D"/>
    <w:rsid w:val="00451789"/>
    <w:rsid w:val="00451869"/>
    <w:rsid w:val="00453620"/>
    <w:rsid w:val="00454930"/>
    <w:rsid w:val="00461C11"/>
    <w:rsid w:val="004672C9"/>
    <w:rsid w:val="004674D4"/>
    <w:rsid w:val="00467564"/>
    <w:rsid w:val="00467743"/>
    <w:rsid w:val="004708CE"/>
    <w:rsid w:val="00475CBD"/>
    <w:rsid w:val="0048056C"/>
    <w:rsid w:val="00482564"/>
    <w:rsid w:val="004828BA"/>
    <w:rsid w:val="00482A42"/>
    <w:rsid w:val="00485AB7"/>
    <w:rsid w:val="004869ED"/>
    <w:rsid w:val="004950B3"/>
    <w:rsid w:val="00496E97"/>
    <w:rsid w:val="00497624"/>
    <w:rsid w:val="004A1A96"/>
    <w:rsid w:val="004B39D4"/>
    <w:rsid w:val="004B3FF6"/>
    <w:rsid w:val="004B627B"/>
    <w:rsid w:val="004B75F8"/>
    <w:rsid w:val="004C02AF"/>
    <w:rsid w:val="004C558E"/>
    <w:rsid w:val="004D048C"/>
    <w:rsid w:val="004D3B81"/>
    <w:rsid w:val="004D49F1"/>
    <w:rsid w:val="004D64E3"/>
    <w:rsid w:val="004E2E8A"/>
    <w:rsid w:val="004E3FDB"/>
    <w:rsid w:val="004E54FC"/>
    <w:rsid w:val="004F3F19"/>
    <w:rsid w:val="004F5F3A"/>
    <w:rsid w:val="004F613C"/>
    <w:rsid w:val="00501269"/>
    <w:rsid w:val="00502684"/>
    <w:rsid w:val="00503DA0"/>
    <w:rsid w:val="0050539C"/>
    <w:rsid w:val="00510D70"/>
    <w:rsid w:val="00520439"/>
    <w:rsid w:val="00522359"/>
    <w:rsid w:val="005260B4"/>
    <w:rsid w:val="00526155"/>
    <w:rsid w:val="00540F8D"/>
    <w:rsid w:val="00542120"/>
    <w:rsid w:val="00542C96"/>
    <w:rsid w:val="00543833"/>
    <w:rsid w:val="00544B58"/>
    <w:rsid w:val="00557F28"/>
    <w:rsid w:val="00563104"/>
    <w:rsid w:val="0056646E"/>
    <w:rsid w:val="005764C2"/>
    <w:rsid w:val="00577863"/>
    <w:rsid w:val="0058020F"/>
    <w:rsid w:val="0058447C"/>
    <w:rsid w:val="00586C27"/>
    <w:rsid w:val="0058776C"/>
    <w:rsid w:val="005948F9"/>
    <w:rsid w:val="00597055"/>
    <w:rsid w:val="00597380"/>
    <w:rsid w:val="005A2023"/>
    <w:rsid w:val="005A40A3"/>
    <w:rsid w:val="005A565E"/>
    <w:rsid w:val="005A5ABA"/>
    <w:rsid w:val="005B063C"/>
    <w:rsid w:val="005B237E"/>
    <w:rsid w:val="005B28C2"/>
    <w:rsid w:val="005B2CC1"/>
    <w:rsid w:val="005C1F64"/>
    <w:rsid w:val="005C31EA"/>
    <w:rsid w:val="005D07D7"/>
    <w:rsid w:val="005D2F19"/>
    <w:rsid w:val="005D509A"/>
    <w:rsid w:val="005D5B8A"/>
    <w:rsid w:val="005D7509"/>
    <w:rsid w:val="005E04EC"/>
    <w:rsid w:val="005E261A"/>
    <w:rsid w:val="005E27D4"/>
    <w:rsid w:val="005E2CFB"/>
    <w:rsid w:val="005F0F76"/>
    <w:rsid w:val="005F5909"/>
    <w:rsid w:val="00600543"/>
    <w:rsid w:val="00600E75"/>
    <w:rsid w:val="00605BAB"/>
    <w:rsid w:val="00606B29"/>
    <w:rsid w:val="006112B3"/>
    <w:rsid w:val="00611B2A"/>
    <w:rsid w:val="00612C4F"/>
    <w:rsid w:val="00617FE1"/>
    <w:rsid w:val="00621DF7"/>
    <w:rsid w:val="00621E63"/>
    <w:rsid w:val="006240EB"/>
    <w:rsid w:val="006249C1"/>
    <w:rsid w:val="00624F3C"/>
    <w:rsid w:val="006319A5"/>
    <w:rsid w:val="00632315"/>
    <w:rsid w:val="006351F1"/>
    <w:rsid w:val="00641CFE"/>
    <w:rsid w:val="00642979"/>
    <w:rsid w:val="006437D5"/>
    <w:rsid w:val="00643856"/>
    <w:rsid w:val="0064492E"/>
    <w:rsid w:val="00644971"/>
    <w:rsid w:val="00654A07"/>
    <w:rsid w:val="00655A3D"/>
    <w:rsid w:val="00656449"/>
    <w:rsid w:val="00664584"/>
    <w:rsid w:val="00666A55"/>
    <w:rsid w:val="00667E09"/>
    <w:rsid w:val="006700DD"/>
    <w:rsid w:val="006706DB"/>
    <w:rsid w:val="00671D03"/>
    <w:rsid w:val="00672655"/>
    <w:rsid w:val="006731DB"/>
    <w:rsid w:val="00673A42"/>
    <w:rsid w:val="006746A3"/>
    <w:rsid w:val="006872FA"/>
    <w:rsid w:val="006966A5"/>
    <w:rsid w:val="006A0266"/>
    <w:rsid w:val="006A7B92"/>
    <w:rsid w:val="006B1114"/>
    <w:rsid w:val="006B77E8"/>
    <w:rsid w:val="006B7EFE"/>
    <w:rsid w:val="006C16DF"/>
    <w:rsid w:val="006C6128"/>
    <w:rsid w:val="006C704B"/>
    <w:rsid w:val="006E1D9E"/>
    <w:rsid w:val="006E45A5"/>
    <w:rsid w:val="006F33CC"/>
    <w:rsid w:val="006F3855"/>
    <w:rsid w:val="006F4A39"/>
    <w:rsid w:val="006F63A2"/>
    <w:rsid w:val="00700DC6"/>
    <w:rsid w:val="007028B1"/>
    <w:rsid w:val="0070492B"/>
    <w:rsid w:val="00704938"/>
    <w:rsid w:val="00706A7C"/>
    <w:rsid w:val="007112FA"/>
    <w:rsid w:val="007162F7"/>
    <w:rsid w:val="0072273D"/>
    <w:rsid w:val="00722F37"/>
    <w:rsid w:val="007238DE"/>
    <w:rsid w:val="00725459"/>
    <w:rsid w:val="00730607"/>
    <w:rsid w:val="007335E7"/>
    <w:rsid w:val="0073793A"/>
    <w:rsid w:val="00740C1E"/>
    <w:rsid w:val="00744826"/>
    <w:rsid w:val="00746CC7"/>
    <w:rsid w:val="00747F15"/>
    <w:rsid w:val="00750E8E"/>
    <w:rsid w:val="00751625"/>
    <w:rsid w:val="00751BF3"/>
    <w:rsid w:val="007530A0"/>
    <w:rsid w:val="0075513C"/>
    <w:rsid w:val="007552C1"/>
    <w:rsid w:val="007606F2"/>
    <w:rsid w:val="007625ED"/>
    <w:rsid w:val="00766A2D"/>
    <w:rsid w:val="0076748C"/>
    <w:rsid w:val="007757ED"/>
    <w:rsid w:val="00775C0A"/>
    <w:rsid w:val="007803BB"/>
    <w:rsid w:val="00782AC9"/>
    <w:rsid w:val="00783382"/>
    <w:rsid w:val="00786E86"/>
    <w:rsid w:val="007928E0"/>
    <w:rsid w:val="00792B69"/>
    <w:rsid w:val="00793CB7"/>
    <w:rsid w:val="00797C7B"/>
    <w:rsid w:val="007A0415"/>
    <w:rsid w:val="007A0C23"/>
    <w:rsid w:val="007A4028"/>
    <w:rsid w:val="007C4134"/>
    <w:rsid w:val="007C7D08"/>
    <w:rsid w:val="007D07F4"/>
    <w:rsid w:val="007D2A0B"/>
    <w:rsid w:val="007D5092"/>
    <w:rsid w:val="007D6C56"/>
    <w:rsid w:val="007E1243"/>
    <w:rsid w:val="007E305E"/>
    <w:rsid w:val="007E532F"/>
    <w:rsid w:val="007E58AC"/>
    <w:rsid w:val="007F1A09"/>
    <w:rsid w:val="007F428A"/>
    <w:rsid w:val="007F7E60"/>
    <w:rsid w:val="008004F1"/>
    <w:rsid w:val="008039C6"/>
    <w:rsid w:val="00807033"/>
    <w:rsid w:val="00814175"/>
    <w:rsid w:val="00817F79"/>
    <w:rsid w:val="0082263C"/>
    <w:rsid w:val="00823643"/>
    <w:rsid w:val="00823B07"/>
    <w:rsid w:val="008266C8"/>
    <w:rsid w:val="0083067D"/>
    <w:rsid w:val="00830D5A"/>
    <w:rsid w:val="0083222D"/>
    <w:rsid w:val="00842893"/>
    <w:rsid w:val="0084405B"/>
    <w:rsid w:val="008445D9"/>
    <w:rsid w:val="008450E3"/>
    <w:rsid w:val="00852A9F"/>
    <w:rsid w:val="00854D83"/>
    <w:rsid w:val="008574C6"/>
    <w:rsid w:val="00863CCA"/>
    <w:rsid w:val="00871D97"/>
    <w:rsid w:val="0087419C"/>
    <w:rsid w:val="0087689A"/>
    <w:rsid w:val="0088562A"/>
    <w:rsid w:val="00892185"/>
    <w:rsid w:val="0089475D"/>
    <w:rsid w:val="008950EF"/>
    <w:rsid w:val="008A1676"/>
    <w:rsid w:val="008A255A"/>
    <w:rsid w:val="008A3B64"/>
    <w:rsid w:val="008B1E12"/>
    <w:rsid w:val="008B33D2"/>
    <w:rsid w:val="008B5170"/>
    <w:rsid w:val="008D42A2"/>
    <w:rsid w:val="008E10F3"/>
    <w:rsid w:val="008E1FE7"/>
    <w:rsid w:val="008E4712"/>
    <w:rsid w:val="008E7735"/>
    <w:rsid w:val="008F02B3"/>
    <w:rsid w:val="008F1FE7"/>
    <w:rsid w:val="008F4297"/>
    <w:rsid w:val="008F52B3"/>
    <w:rsid w:val="008F573D"/>
    <w:rsid w:val="0090381A"/>
    <w:rsid w:val="00905B95"/>
    <w:rsid w:val="00907B90"/>
    <w:rsid w:val="009212DC"/>
    <w:rsid w:val="009263AD"/>
    <w:rsid w:val="00931B78"/>
    <w:rsid w:val="009362DF"/>
    <w:rsid w:val="00940BB4"/>
    <w:rsid w:val="009434CE"/>
    <w:rsid w:val="00945E34"/>
    <w:rsid w:val="00946D7D"/>
    <w:rsid w:val="00951154"/>
    <w:rsid w:val="00951394"/>
    <w:rsid w:val="0095554E"/>
    <w:rsid w:val="00955BF3"/>
    <w:rsid w:val="00956DA6"/>
    <w:rsid w:val="0096170C"/>
    <w:rsid w:val="00965977"/>
    <w:rsid w:val="00967625"/>
    <w:rsid w:val="00971CFE"/>
    <w:rsid w:val="00971D7B"/>
    <w:rsid w:val="0097502E"/>
    <w:rsid w:val="00985221"/>
    <w:rsid w:val="009855A5"/>
    <w:rsid w:val="009931CB"/>
    <w:rsid w:val="0099670B"/>
    <w:rsid w:val="00997C96"/>
    <w:rsid w:val="009A1068"/>
    <w:rsid w:val="009A4348"/>
    <w:rsid w:val="009A7104"/>
    <w:rsid w:val="009B1127"/>
    <w:rsid w:val="009B1420"/>
    <w:rsid w:val="009B1C28"/>
    <w:rsid w:val="009B2D6F"/>
    <w:rsid w:val="009B40F1"/>
    <w:rsid w:val="009B4671"/>
    <w:rsid w:val="009C1916"/>
    <w:rsid w:val="009C31DB"/>
    <w:rsid w:val="009C438F"/>
    <w:rsid w:val="009D1C22"/>
    <w:rsid w:val="009D2F56"/>
    <w:rsid w:val="009D56BB"/>
    <w:rsid w:val="009D765D"/>
    <w:rsid w:val="009E2CD9"/>
    <w:rsid w:val="009E6EC7"/>
    <w:rsid w:val="009F1110"/>
    <w:rsid w:val="009F4AB7"/>
    <w:rsid w:val="009F59E5"/>
    <w:rsid w:val="009F7940"/>
    <w:rsid w:val="009F7B8C"/>
    <w:rsid w:val="00A01843"/>
    <w:rsid w:val="00A0451E"/>
    <w:rsid w:val="00A065D2"/>
    <w:rsid w:val="00A10C34"/>
    <w:rsid w:val="00A13EEF"/>
    <w:rsid w:val="00A143CA"/>
    <w:rsid w:val="00A15CB0"/>
    <w:rsid w:val="00A2484F"/>
    <w:rsid w:val="00A306E4"/>
    <w:rsid w:val="00A3163E"/>
    <w:rsid w:val="00A34449"/>
    <w:rsid w:val="00A35A7B"/>
    <w:rsid w:val="00A36F40"/>
    <w:rsid w:val="00A372D2"/>
    <w:rsid w:val="00A37AE6"/>
    <w:rsid w:val="00A45474"/>
    <w:rsid w:val="00A553F9"/>
    <w:rsid w:val="00A625C8"/>
    <w:rsid w:val="00A62FD4"/>
    <w:rsid w:val="00A6339B"/>
    <w:rsid w:val="00A70C81"/>
    <w:rsid w:val="00A72B9E"/>
    <w:rsid w:val="00A77FA9"/>
    <w:rsid w:val="00A86446"/>
    <w:rsid w:val="00A9595E"/>
    <w:rsid w:val="00A97DBC"/>
    <w:rsid w:val="00AA1FFA"/>
    <w:rsid w:val="00AA2031"/>
    <w:rsid w:val="00AA2582"/>
    <w:rsid w:val="00AA337B"/>
    <w:rsid w:val="00AA3A12"/>
    <w:rsid w:val="00AB05E1"/>
    <w:rsid w:val="00AB1567"/>
    <w:rsid w:val="00AB3C3D"/>
    <w:rsid w:val="00AB6329"/>
    <w:rsid w:val="00AB6C5D"/>
    <w:rsid w:val="00AB7BCE"/>
    <w:rsid w:val="00AC1111"/>
    <w:rsid w:val="00AC12EF"/>
    <w:rsid w:val="00AC5412"/>
    <w:rsid w:val="00AD17CB"/>
    <w:rsid w:val="00AE4564"/>
    <w:rsid w:val="00AE6638"/>
    <w:rsid w:val="00AF3611"/>
    <w:rsid w:val="00B12036"/>
    <w:rsid w:val="00B1582E"/>
    <w:rsid w:val="00B21C74"/>
    <w:rsid w:val="00B31CFF"/>
    <w:rsid w:val="00B36858"/>
    <w:rsid w:val="00B373BF"/>
    <w:rsid w:val="00B44215"/>
    <w:rsid w:val="00B4733B"/>
    <w:rsid w:val="00B54EAD"/>
    <w:rsid w:val="00B56EC3"/>
    <w:rsid w:val="00B61A3F"/>
    <w:rsid w:val="00B64DB7"/>
    <w:rsid w:val="00B64ED2"/>
    <w:rsid w:val="00B65C70"/>
    <w:rsid w:val="00B70C24"/>
    <w:rsid w:val="00B71A01"/>
    <w:rsid w:val="00B771B0"/>
    <w:rsid w:val="00B95480"/>
    <w:rsid w:val="00BA0F3A"/>
    <w:rsid w:val="00BA2A7E"/>
    <w:rsid w:val="00BA6CF3"/>
    <w:rsid w:val="00BB1A3F"/>
    <w:rsid w:val="00BD01C1"/>
    <w:rsid w:val="00BD1406"/>
    <w:rsid w:val="00BD4869"/>
    <w:rsid w:val="00BD4A58"/>
    <w:rsid w:val="00BE73DF"/>
    <w:rsid w:val="00BE789F"/>
    <w:rsid w:val="00BF17EA"/>
    <w:rsid w:val="00BF18BE"/>
    <w:rsid w:val="00BF4F23"/>
    <w:rsid w:val="00BF7B6A"/>
    <w:rsid w:val="00C03043"/>
    <w:rsid w:val="00C05B41"/>
    <w:rsid w:val="00C15CE4"/>
    <w:rsid w:val="00C17F5A"/>
    <w:rsid w:val="00C222FC"/>
    <w:rsid w:val="00C226BD"/>
    <w:rsid w:val="00C24BE1"/>
    <w:rsid w:val="00C336F9"/>
    <w:rsid w:val="00C34497"/>
    <w:rsid w:val="00C3451D"/>
    <w:rsid w:val="00C40920"/>
    <w:rsid w:val="00C40A54"/>
    <w:rsid w:val="00C53471"/>
    <w:rsid w:val="00C569AB"/>
    <w:rsid w:val="00C65D8F"/>
    <w:rsid w:val="00C6667D"/>
    <w:rsid w:val="00C725C3"/>
    <w:rsid w:val="00C75146"/>
    <w:rsid w:val="00C849C0"/>
    <w:rsid w:val="00C87B58"/>
    <w:rsid w:val="00C95715"/>
    <w:rsid w:val="00C96F8D"/>
    <w:rsid w:val="00CA0D9B"/>
    <w:rsid w:val="00CA70E8"/>
    <w:rsid w:val="00CB0547"/>
    <w:rsid w:val="00CB4498"/>
    <w:rsid w:val="00CB67CE"/>
    <w:rsid w:val="00CB6886"/>
    <w:rsid w:val="00CB789F"/>
    <w:rsid w:val="00CB7D24"/>
    <w:rsid w:val="00CC2F74"/>
    <w:rsid w:val="00CC6B9E"/>
    <w:rsid w:val="00CD0E5C"/>
    <w:rsid w:val="00CD1816"/>
    <w:rsid w:val="00CD3481"/>
    <w:rsid w:val="00CD5D3E"/>
    <w:rsid w:val="00CD6BD9"/>
    <w:rsid w:val="00CD6BDD"/>
    <w:rsid w:val="00CE5D18"/>
    <w:rsid w:val="00CF0FDE"/>
    <w:rsid w:val="00CF24ED"/>
    <w:rsid w:val="00CF39FE"/>
    <w:rsid w:val="00CF44B3"/>
    <w:rsid w:val="00CF724C"/>
    <w:rsid w:val="00D068E2"/>
    <w:rsid w:val="00D10541"/>
    <w:rsid w:val="00D15150"/>
    <w:rsid w:val="00D32AD9"/>
    <w:rsid w:val="00D34016"/>
    <w:rsid w:val="00D34449"/>
    <w:rsid w:val="00D41C65"/>
    <w:rsid w:val="00D43D18"/>
    <w:rsid w:val="00D4415E"/>
    <w:rsid w:val="00D46BA7"/>
    <w:rsid w:val="00D46DB0"/>
    <w:rsid w:val="00D50555"/>
    <w:rsid w:val="00D52866"/>
    <w:rsid w:val="00D643F1"/>
    <w:rsid w:val="00D647D4"/>
    <w:rsid w:val="00D66987"/>
    <w:rsid w:val="00D720DC"/>
    <w:rsid w:val="00D72F42"/>
    <w:rsid w:val="00D74D41"/>
    <w:rsid w:val="00D7787C"/>
    <w:rsid w:val="00D9288E"/>
    <w:rsid w:val="00D93AC6"/>
    <w:rsid w:val="00D93F82"/>
    <w:rsid w:val="00D977B3"/>
    <w:rsid w:val="00DA1F74"/>
    <w:rsid w:val="00DA26A1"/>
    <w:rsid w:val="00DA2C0F"/>
    <w:rsid w:val="00DA2D26"/>
    <w:rsid w:val="00DA32AF"/>
    <w:rsid w:val="00DA3D6A"/>
    <w:rsid w:val="00DA6E5E"/>
    <w:rsid w:val="00DB4551"/>
    <w:rsid w:val="00DB764B"/>
    <w:rsid w:val="00DB769C"/>
    <w:rsid w:val="00DB7D8C"/>
    <w:rsid w:val="00DC1BF5"/>
    <w:rsid w:val="00DC217B"/>
    <w:rsid w:val="00DC2A53"/>
    <w:rsid w:val="00DC4A87"/>
    <w:rsid w:val="00DD0705"/>
    <w:rsid w:val="00DD313C"/>
    <w:rsid w:val="00DD44EE"/>
    <w:rsid w:val="00DE2E17"/>
    <w:rsid w:val="00DE6DCC"/>
    <w:rsid w:val="00DF05A8"/>
    <w:rsid w:val="00DF3665"/>
    <w:rsid w:val="00E02AF0"/>
    <w:rsid w:val="00E03875"/>
    <w:rsid w:val="00E04B0D"/>
    <w:rsid w:val="00E1028E"/>
    <w:rsid w:val="00E152EC"/>
    <w:rsid w:val="00E20E7B"/>
    <w:rsid w:val="00E22080"/>
    <w:rsid w:val="00E25CA0"/>
    <w:rsid w:val="00E30197"/>
    <w:rsid w:val="00E30201"/>
    <w:rsid w:val="00E30C45"/>
    <w:rsid w:val="00E318E5"/>
    <w:rsid w:val="00E42F36"/>
    <w:rsid w:val="00E434AD"/>
    <w:rsid w:val="00E43DD8"/>
    <w:rsid w:val="00E54F20"/>
    <w:rsid w:val="00E55B50"/>
    <w:rsid w:val="00E562A7"/>
    <w:rsid w:val="00E562D9"/>
    <w:rsid w:val="00E572E7"/>
    <w:rsid w:val="00E606E3"/>
    <w:rsid w:val="00E647A6"/>
    <w:rsid w:val="00E67418"/>
    <w:rsid w:val="00E700DA"/>
    <w:rsid w:val="00E72CFB"/>
    <w:rsid w:val="00E76A58"/>
    <w:rsid w:val="00E77611"/>
    <w:rsid w:val="00E77EEF"/>
    <w:rsid w:val="00E8026E"/>
    <w:rsid w:val="00E81F1D"/>
    <w:rsid w:val="00E83C76"/>
    <w:rsid w:val="00E85842"/>
    <w:rsid w:val="00E92924"/>
    <w:rsid w:val="00E9391D"/>
    <w:rsid w:val="00E9469E"/>
    <w:rsid w:val="00E96D33"/>
    <w:rsid w:val="00E96F82"/>
    <w:rsid w:val="00EA0647"/>
    <w:rsid w:val="00EA0A8E"/>
    <w:rsid w:val="00EA17FF"/>
    <w:rsid w:val="00EA51C5"/>
    <w:rsid w:val="00EA5537"/>
    <w:rsid w:val="00EA7A70"/>
    <w:rsid w:val="00EB6E32"/>
    <w:rsid w:val="00EE11C4"/>
    <w:rsid w:val="00EE16DA"/>
    <w:rsid w:val="00EF132E"/>
    <w:rsid w:val="00EF160A"/>
    <w:rsid w:val="00EF2135"/>
    <w:rsid w:val="00EF2850"/>
    <w:rsid w:val="00EF2D03"/>
    <w:rsid w:val="00EF3D98"/>
    <w:rsid w:val="00EF4FF2"/>
    <w:rsid w:val="00EF7BC4"/>
    <w:rsid w:val="00F00CD8"/>
    <w:rsid w:val="00F016FF"/>
    <w:rsid w:val="00F06B69"/>
    <w:rsid w:val="00F134CA"/>
    <w:rsid w:val="00F15B61"/>
    <w:rsid w:val="00F26BE8"/>
    <w:rsid w:val="00F30E70"/>
    <w:rsid w:val="00F3178C"/>
    <w:rsid w:val="00F32DA7"/>
    <w:rsid w:val="00F32F80"/>
    <w:rsid w:val="00F36473"/>
    <w:rsid w:val="00F41CAC"/>
    <w:rsid w:val="00F41F12"/>
    <w:rsid w:val="00F44191"/>
    <w:rsid w:val="00F4615F"/>
    <w:rsid w:val="00F46C4F"/>
    <w:rsid w:val="00F51988"/>
    <w:rsid w:val="00F51E93"/>
    <w:rsid w:val="00F53A63"/>
    <w:rsid w:val="00F54666"/>
    <w:rsid w:val="00F55168"/>
    <w:rsid w:val="00F56279"/>
    <w:rsid w:val="00F56AB7"/>
    <w:rsid w:val="00F7552F"/>
    <w:rsid w:val="00F76BF3"/>
    <w:rsid w:val="00F805E8"/>
    <w:rsid w:val="00F8761B"/>
    <w:rsid w:val="00F90F5C"/>
    <w:rsid w:val="00F96341"/>
    <w:rsid w:val="00FA5DAA"/>
    <w:rsid w:val="00FB301A"/>
    <w:rsid w:val="00FB4031"/>
    <w:rsid w:val="00FB4717"/>
    <w:rsid w:val="00FB5A8C"/>
    <w:rsid w:val="00FC22BF"/>
    <w:rsid w:val="00FC4DB8"/>
    <w:rsid w:val="00FC52A2"/>
    <w:rsid w:val="00FD1AC8"/>
    <w:rsid w:val="00FD7648"/>
    <w:rsid w:val="00FE0D4B"/>
    <w:rsid w:val="00FE3156"/>
    <w:rsid w:val="00FF1562"/>
    <w:rsid w:val="00FF1980"/>
    <w:rsid w:val="00FF36E9"/>
    <w:rsid w:val="00FF7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DEF96-63E3-47EA-8F55-A385D4C7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BA"/>
  </w:style>
  <w:style w:type="paragraph" w:styleId="Ttulo1">
    <w:name w:val="heading 1"/>
    <w:basedOn w:val="Normal"/>
    <w:next w:val="Normal"/>
    <w:link w:val="Ttulo1Car"/>
    <w:uiPriority w:val="9"/>
    <w:qFormat/>
    <w:rsid w:val="00A8644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8644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rsid w:val="004828BA"/>
    <w:pPr>
      <w:spacing w:before="100" w:after="100" w:line="240" w:lineRule="auto"/>
    </w:pPr>
    <w:rPr>
      <w:rFonts w:ascii="Times New Roman" w:eastAsia="Arial Unicode MS" w:hAnsi="Arial Unicode MS" w:cs="Arial Unicode MS"/>
      <w:color w:val="000000"/>
      <w:sz w:val="24"/>
      <w:szCs w:val="24"/>
      <w:u w:color="000000"/>
      <w:lang w:val="es-ES_tradnl" w:eastAsia="es-ES_tradnl"/>
    </w:rPr>
  </w:style>
  <w:style w:type="paragraph" w:styleId="Textonotapie">
    <w:name w:val="footnote text"/>
    <w:basedOn w:val="Normal"/>
    <w:link w:val="TextonotapieCar"/>
    <w:uiPriority w:val="99"/>
    <w:unhideWhenUsed/>
    <w:rsid w:val="004828BA"/>
    <w:pPr>
      <w:spacing w:after="0" w:line="240" w:lineRule="auto"/>
    </w:pPr>
    <w:rPr>
      <w:sz w:val="20"/>
      <w:szCs w:val="20"/>
    </w:rPr>
  </w:style>
  <w:style w:type="character" w:customStyle="1" w:styleId="TextonotapieCar">
    <w:name w:val="Texto nota pie Car"/>
    <w:basedOn w:val="Fuentedeprrafopredeter"/>
    <w:link w:val="Textonotapie"/>
    <w:uiPriority w:val="99"/>
    <w:rsid w:val="004828BA"/>
    <w:rPr>
      <w:sz w:val="20"/>
      <w:szCs w:val="20"/>
    </w:rPr>
  </w:style>
  <w:style w:type="character" w:styleId="Refdenotaalpie">
    <w:name w:val="footnote reference"/>
    <w:basedOn w:val="Fuentedeprrafopredeter"/>
    <w:uiPriority w:val="99"/>
    <w:semiHidden/>
    <w:unhideWhenUsed/>
    <w:rsid w:val="004828BA"/>
    <w:rPr>
      <w:vertAlign w:val="superscript"/>
    </w:rPr>
  </w:style>
  <w:style w:type="table" w:styleId="Tablaconcuadrcula">
    <w:name w:val="Table Grid"/>
    <w:basedOn w:val="Tablanormal"/>
    <w:uiPriority w:val="59"/>
    <w:rsid w:val="004828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82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8BA"/>
  </w:style>
  <w:style w:type="character" w:styleId="Refdecomentario">
    <w:name w:val="annotation reference"/>
    <w:basedOn w:val="Fuentedeprrafopredeter"/>
    <w:uiPriority w:val="99"/>
    <w:semiHidden/>
    <w:unhideWhenUsed/>
    <w:rsid w:val="00482A42"/>
    <w:rPr>
      <w:sz w:val="16"/>
      <w:szCs w:val="16"/>
    </w:rPr>
  </w:style>
  <w:style w:type="paragraph" w:styleId="Textocomentario">
    <w:name w:val="annotation text"/>
    <w:basedOn w:val="Normal"/>
    <w:link w:val="TextocomentarioCar"/>
    <w:uiPriority w:val="99"/>
    <w:semiHidden/>
    <w:unhideWhenUsed/>
    <w:rsid w:val="00482A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2A42"/>
    <w:rPr>
      <w:sz w:val="20"/>
      <w:szCs w:val="20"/>
    </w:rPr>
  </w:style>
  <w:style w:type="paragraph" w:styleId="Asuntodelcomentario">
    <w:name w:val="annotation subject"/>
    <w:basedOn w:val="Textocomentario"/>
    <w:next w:val="Textocomentario"/>
    <w:link w:val="AsuntodelcomentarioCar"/>
    <w:uiPriority w:val="99"/>
    <w:semiHidden/>
    <w:unhideWhenUsed/>
    <w:rsid w:val="00482A42"/>
    <w:rPr>
      <w:b/>
      <w:bCs/>
    </w:rPr>
  </w:style>
  <w:style w:type="character" w:customStyle="1" w:styleId="AsuntodelcomentarioCar">
    <w:name w:val="Asunto del comentario Car"/>
    <w:basedOn w:val="TextocomentarioCar"/>
    <w:link w:val="Asuntodelcomentario"/>
    <w:uiPriority w:val="99"/>
    <w:semiHidden/>
    <w:rsid w:val="00482A42"/>
    <w:rPr>
      <w:b/>
      <w:bCs/>
      <w:sz w:val="20"/>
      <w:szCs w:val="20"/>
    </w:rPr>
  </w:style>
  <w:style w:type="paragraph" w:styleId="Textodeglobo">
    <w:name w:val="Balloon Text"/>
    <w:basedOn w:val="Normal"/>
    <w:link w:val="TextodegloboCar"/>
    <w:uiPriority w:val="99"/>
    <w:semiHidden/>
    <w:unhideWhenUsed/>
    <w:rsid w:val="00482A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A42"/>
    <w:rPr>
      <w:rFonts w:ascii="Segoe UI" w:hAnsi="Segoe UI" w:cs="Segoe UI"/>
      <w:sz w:val="18"/>
      <w:szCs w:val="18"/>
    </w:rPr>
  </w:style>
  <w:style w:type="paragraph" w:styleId="Prrafodelista">
    <w:name w:val="List Paragraph"/>
    <w:basedOn w:val="Normal"/>
    <w:uiPriority w:val="34"/>
    <w:qFormat/>
    <w:rsid w:val="003F4F69"/>
    <w:pPr>
      <w:spacing w:line="252" w:lineRule="auto"/>
      <w:ind w:left="720"/>
      <w:contextualSpacing/>
    </w:pPr>
  </w:style>
  <w:style w:type="paragraph" w:styleId="Revisin">
    <w:name w:val="Revision"/>
    <w:hidden/>
    <w:uiPriority w:val="99"/>
    <w:semiHidden/>
    <w:rsid w:val="000C1C6C"/>
    <w:pPr>
      <w:spacing w:after="0" w:line="240" w:lineRule="auto"/>
    </w:pPr>
  </w:style>
  <w:style w:type="paragraph" w:styleId="Textoindependiente">
    <w:name w:val="Body Text"/>
    <w:basedOn w:val="Normal"/>
    <w:link w:val="TextoindependienteCar"/>
    <w:uiPriority w:val="99"/>
    <w:semiHidden/>
    <w:unhideWhenUsed/>
    <w:rsid w:val="00D72F42"/>
    <w:pPr>
      <w:spacing w:after="120"/>
    </w:pPr>
  </w:style>
  <w:style w:type="character" w:customStyle="1" w:styleId="TextoindependienteCar">
    <w:name w:val="Texto independiente Car"/>
    <w:basedOn w:val="Fuentedeprrafopredeter"/>
    <w:link w:val="Textoindependiente"/>
    <w:uiPriority w:val="99"/>
    <w:semiHidden/>
    <w:rsid w:val="00D72F42"/>
  </w:style>
  <w:style w:type="paragraph" w:styleId="Textoindependiente2">
    <w:name w:val="Body Text 2"/>
    <w:basedOn w:val="Normal"/>
    <w:link w:val="Textoindependiente2Car"/>
    <w:unhideWhenUsed/>
    <w:rsid w:val="004F5F3A"/>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4F5F3A"/>
    <w:rPr>
      <w:rFonts w:ascii="Calibri" w:eastAsia="Calibri" w:hAnsi="Calibri" w:cs="Times New Roman"/>
    </w:rPr>
  </w:style>
  <w:style w:type="paragraph" w:customStyle="1" w:styleId="Default">
    <w:name w:val="Default"/>
    <w:rsid w:val="00CA0D9B"/>
    <w:pPr>
      <w:autoSpaceDE w:val="0"/>
      <w:autoSpaceDN w:val="0"/>
      <w:adjustRightInd w:val="0"/>
      <w:spacing w:after="0" w:line="240" w:lineRule="auto"/>
    </w:pPr>
    <w:rPr>
      <w:rFonts w:ascii="Arial" w:hAnsi="Arial" w:cs="Arial"/>
      <w:color w:val="000000"/>
      <w:sz w:val="24"/>
      <w:szCs w:val="24"/>
    </w:rPr>
  </w:style>
  <w:style w:type="paragraph" w:styleId="TDC3">
    <w:name w:val="toc 3"/>
    <w:basedOn w:val="TDC2"/>
    <w:next w:val="Normal"/>
    <w:autoRedefine/>
    <w:uiPriority w:val="39"/>
    <w:unhideWhenUsed/>
    <w:rsid w:val="00D4415E"/>
    <w:pPr>
      <w:spacing w:after="0" w:line="276" w:lineRule="auto"/>
      <w:ind w:left="0"/>
      <w:jc w:val="center"/>
    </w:pPr>
    <w:rPr>
      <w:rFonts w:ascii="Times New Roman" w:eastAsia="Calibri" w:hAnsi="Times New Roman" w:cs="Times New Roman"/>
      <w:noProof/>
      <w:sz w:val="20"/>
      <w:lang w:val="es-ES"/>
    </w:rPr>
  </w:style>
  <w:style w:type="paragraph" w:styleId="TDC2">
    <w:name w:val="toc 2"/>
    <w:basedOn w:val="Normal"/>
    <w:next w:val="Normal"/>
    <w:autoRedefine/>
    <w:uiPriority w:val="39"/>
    <w:semiHidden/>
    <w:unhideWhenUsed/>
    <w:rsid w:val="00D4415E"/>
    <w:pPr>
      <w:spacing w:after="100"/>
      <w:ind w:left="220"/>
    </w:pPr>
  </w:style>
  <w:style w:type="character" w:customStyle="1" w:styleId="Ttulo1Car">
    <w:name w:val="Título 1 Car"/>
    <w:basedOn w:val="Fuentedeprrafopredeter"/>
    <w:link w:val="Ttulo1"/>
    <w:uiPriority w:val="9"/>
    <w:rsid w:val="00A8644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86446"/>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
    <w:uiPriority w:val="11"/>
    <w:qFormat/>
    <w:rsid w:val="00E30C4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30C4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5982">
      <w:bodyDiv w:val="1"/>
      <w:marLeft w:val="0"/>
      <w:marRight w:val="0"/>
      <w:marTop w:val="0"/>
      <w:marBottom w:val="0"/>
      <w:divBdr>
        <w:top w:val="none" w:sz="0" w:space="0" w:color="auto"/>
        <w:left w:val="none" w:sz="0" w:space="0" w:color="auto"/>
        <w:bottom w:val="none" w:sz="0" w:space="0" w:color="auto"/>
        <w:right w:val="none" w:sz="0" w:space="0" w:color="auto"/>
      </w:divBdr>
      <w:divsChild>
        <w:div w:id="489181573">
          <w:marLeft w:val="0"/>
          <w:marRight w:val="0"/>
          <w:marTop w:val="0"/>
          <w:marBottom w:val="97"/>
          <w:divBdr>
            <w:top w:val="none" w:sz="0" w:space="0" w:color="auto"/>
            <w:left w:val="none" w:sz="0" w:space="0" w:color="auto"/>
            <w:bottom w:val="none" w:sz="0" w:space="0" w:color="auto"/>
            <w:right w:val="none" w:sz="0" w:space="0" w:color="auto"/>
          </w:divBdr>
        </w:div>
        <w:div w:id="1315641116">
          <w:marLeft w:val="0"/>
          <w:marRight w:val="0"/>
          <w:marTop w:val="0"/>
          <w:marBottom w:val="97"/>
          <w:divBdr>
            <w:top w:val="none" w:sz="0" w:space="0" w:color="auto"/>
            <w:left w:val="none" w:sz="0" w:space="0" w:color="auto"/>
            <w:bottom w:val="none" w:sz="0" w:space="0" w:color="auto"/>
            <w:right w:val="none" w:sz="0" w:space="0" w:color="auto"/>
          </w:divBdr>
        </w:div>
      </w:divsChild>
    </w:div>
    <w:div w:id="98292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86C97-9E99-4777-B077-D335B391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4165</Words>
  <Characters>22911</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DGCJ</dc:creator>
  <cp:keywords/>
  <dc:description/>
  <cp:lastModifiedBy>Cesar Vicente Perez Gaytan</cp:lastModifiedBy>
  <cp:revision>2</cp:revision>
  <cp:lastPrinted>2018-07-06T17:32:00Z</cp:lastPrinted>
  <dcterms:created xsi:type="dcterms:W3CDTF">2018-08-23T18:55:00Z</dcterms:created>
  <dcterms:modified xsi:type="dcterms:W3CDTF">2018-08-23T18:55:00Z</dcterms:modified>
</cp:coreProperties>
</file>